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D0FE3" w:rsidRPr="004565F5" w14:paraId="66E4C1B1" w14:textId="77777777" w:rsidTr="00EA6738">
        <w:trPr>
          <w:trHeight w:hRule="exact" w:val="418"/>
          <w:jc w:val="center"/>
        </w:trPr>
        <w:tc>
          <w:tcPr>
            <w:tcW w:w="8721" w:type="dxa"/>
            <w:gridSpan w:val="2"/>
          </w:tcPr>
          <w:p w14:paraId="115AE3E0" w14:textId="77777777" w:rsidR="006D0FE3" w:rsidRPr="004565F5" w:rsidRDefault="006D0FE3" w:rsidP="000C1A72">
            <w:pPr>
              <w:pStyle w:val="a3"/>
              <w:jc w:val="center"/>
              <w:rPr>
                <w:rFonts w:ascii="Tahoma" w:hAnsi="Tahoma" w:cs="Tahoma"/>
                <w:color w:val="000080"/>
                <w:rtl/>
              </w:rPr>
            </w:pPr>
            <w:bookmarkStart w:id="0" w:name="LastJudge"/>
            <w:r w:rsidRPr="004565F5">
              <w:rPr>
                <w:rFonts w:ascii="Tahoma" w:hAnsi="Tahoma" w:cs="Tahoma"/>
                <w:b/>
                <w:bCs/>
                <w:color w:val="000080"/>
                <w:rtl/>
              </w:rPr>
              <w:t>בית משפט השלום בקריית שמונה</w:t>
            </w:r>
          </w:p>
        </w:tc>
      </w:tr>
      <w:tr w:rsidR="006D0FE3" w:rsidRPr="004565F5" w14:paraId="05EAE055" w14:textId="77777777" w:rsidTr="00EA6738">
        <w:trPr>
          <w:trHeight w:val="337"/>
          <w:jc w:val="center"/>
        </w:trPr>
        <w:tc>
          <w:tcPr>
            <w:tcW w:w="5054" w:type="dxa"/>
          </w:tcPr>
          <w:p w14:paraId="70E7A1C7" w14:textId="77777777" w:rsidR="006D0FE3" w:rsidRPr="004565F5" w:rsidRDefault="006D0FE3" w:rsidP="000C1A72">
            <w:pPr>
              <w:rPr>
                <w:rFonts w:cs="FrankRuehl"/>
                <w:sz w:val="28"/>
                <w:szCs w:val="28"/>
                <w:rtl/>
              </w:rPr>
            </w:pPr>
            <w:r w:rsidRPr="004565F5">
              <w:rPr>
                <w:rFonts w:cs="FrankRuehl"/>
                <w:sz w:val="28"/>
                <w:szCs w:val="28"/>
                <w:rtl/>
              </w:rPr>
              <w:t>ת"פ</w:t>
            </w:r>
            <w:r w:rsidRPr="004565F5">
              <w:rPr>
                <w:rFonts w:cs="FrankRuehl" w:hint="cs"/>
                <w:sz w:val="28"/>
                <w:szCs w:val="28"/>
                <w:rtl/>
              </w:rPr>
              <w:t xml:space="preserve"> </w:t>
            </w:r>
            <w:r w:rsidRPr="004565F5">
              <w:rPr>
                <w:rFonts w:cs="FrankRuehl"/>
                <w:sz w:val="28"/>
                <w:szCs w:val="28"/>
                <w:rtl/>
              </w:rPr>
              <w:t>18216-09-16</w:t>
            </w:r>
            <w:r w:rsidRPr="004565F5">
              <w:rPr>
                <w:rFonts w:cs="FrankRuehl" w:hint="cs"/>
                <w:sz w:val="28"/>
                <w:szCs w:val="28"/>
                <w:rtl/>
              </w:rPr>
              <w:t xml:space="preserve"> </w:t>
            </w:r>
            <w:r w:rsidRPr="004565F5">
              <w:rPr>
                <w:rFonts w:cs="FrankRuehl"/>
                <w:sz w:val="28"/>
                <w:szCs w:val="28"/>
                <w:rtl/>
              </w:rPr>
              <w:t>תביעות מרום הגליל והגולן נ' ינוביץ</w:t>
            </w:r>
          </w:p>
          <w:p w14:paraId="01364084" w14:textId="77777777" w:rsidR="006D0FE3" w:rsidRPr="004565F5" w:rsidRDefault="006D0FE3" w:rsidP="000C1A72">
            <w:pPr>
              <w:pStyle w:val="a3"/>
              <w:rPr>
                <w:rFonts w:cs="FrankRuehl"/>
                <w:sz w:val="28"/>
                <w:szCs w:val="28"/>
                <w:rtl/>
              </w:rPr>
            </w:pPr>
          </w:p>
        </w:tc>
        <w:tc>
          <w:tcPr>
            <w:tcW w:w="3667" w:type="dxa"/>
          </w:tcPr>
          <w:p w14:paraId="1955A6C0" w14:textId="77777777" w:rsidR="006D0FE3" w:rsidRPr="004565F5" w:rsidRDefault="006D0FE3" w:rsidP="000C1A72">
            <w:pPr>
              <w:pStyle w:val="a3"/>
              <w:jc w:val="right"/>
              <w:rPr>
                <w:rFonts w:cs="FrankRuehl"/>
                <w:sz w:val="28"/>
                <w:szCs w:val="28"/>
                <w:rtl/>
              </w:rPr>
            </w:pPr>
          </w:p>
        </w:tc>
      </w:tr>
    </w:tbl>
    <w:p w14:paraId="1EACCDEC" w14:textId="77777777" w:rsidR="006D0FE3" w:rsidRPr="004565F5" w:rsidRDefault="006D0FE3" w:rsidP="006D0FE3">
      <w:pPr>
        <w:pStyle w:val="a3"/>
        <w:rPr>
          <w:rtl/>
        </w:rPr>
      </w:pPr>
      <w:r w:rsidRPr="004565F5">
        <w:rPr>
          <w:rFonts w:hint="cs"/>
          <w:rtl/>
        </w:rPr>
        <w:t xml:space="preserve"> </w:t>
      </w:r>
    </w:p>
    <w:p w14:paraId="666498EE" w14:textId="77777777" w:rsidR="006D0FE3" w:rsidRPr="004565F5" w:rsidRDefault="006D0FE3" w:rsidP="006D0FE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D0FE3" w:rsidRPr="004565F5" w14:paraId="78C81436" w14:textId="77777777" w:rsidTr="00EA6738">
        <w:trPr>
          <w:trHeight w:val="295"/>
          <w:jc w:val="center"/>
        </w:trPr>
        <w:tc>
          <w:tcPr>
            <w:tcW w:w="945" w:type="dxa"/>
            <w:tcBorders>
              <w:top w:val="nil"/>
              <w:left w:val="nil"/>
              <w:bottom w:val="nil"/>
              <w:right w:val="nil"/>
            </w:tcBorders>
            <w:shd w:val="clear" w:color="auto" w:fill="auto"/>
          </w:tcPr>
          <w:p w14:paraId="3C4BE1E1" w14:textId="77777777" w:rsidR="006D0FE3" w:rsidRPr="004565F5" w:rsidRDefault="006D0FE3" w:rsidP="006D0FE3">
            <w:pPr>
              <w:jc w:val="both"/>
              <w:rPr>
                <w:rFonts w:ascii="Arial" w:hAnsi="Arial"/>
                <w:b/>
                <w:bCs/>
                <w:sz w:val="28"/>
                <w:szCs w:val="28"/>
              </w:rPr>
            </w:pPr>
            <w:r w:rsidRPr="004565F5">
              <w:rPr>
                <w:rFonts w:ascii="Arial" w:hAnsi="Arial" w:hint="cs"/>
                <w:b/>
                <w:bCs/>
                <w:sz w:val="28"/>
                <w:szCs w:val="28"/>
                <w:rtl/>
              </w:rPr>
              <w:t>ב</w:t>
            </w:r>
            <w:r w:rsidRPr="004565F5">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462536D3" w14:textId="77777777" w:rsidR="006D0FE3" w:rsidRPr="004565F5" w:rsidRDefault="006D0FE3" w:rsidP="000C1A72">
            <w:pPr>
              <w:rPr>
                <w:rFonts w:ascii="Arial" w:hAnsi="Arial"/>
                <w:b/>
                <w:bCs/>
                <w:rtl/>
              </w:rPr>
            </w:pPr>
            <w:r w:rsidRPr="004565F5">
              <w:rPr>
                <w:rFonts w:ascii="Arial" w:hAnsi="Arial" w:hint="cs"/>
                <w:b/>
                <w:bCs/>
                <w:rtl/>
              </w:rPr>
              <w:t>כבוד ה</w:t>
            </w:r>
            <w:r w:rsidRPr="004565F5">
              <w:rPr>
                <w:rFonts w:ascii="Arial" w:hAnsi="Arial"/>
                <w:b/>
                <w:bCs/>
                <w:rtl/>
              </w:rPr>
              <w:t>שופטת</w:t>
            </w:r>
            <w:r w:rsidRPr="004565F5">
              <w:rPr>
                <w:rFonts w:ascii="Arial" w:hAnsi="Arial" w:hint="cs"/>
                <w:b/>
                <w:bCs/>
                <w:rtl/>
              </w:rPr>
              <w:t xml:space="preserve">  </w:t>
            </w:r>
            <w:r w:rsidRPr="004565F5">
              <w:rPr>
                <w:rFonts w:ascii="Arial" w:hAnsi="Arial"/>
                <w:b/>
                <w:bCs/>
                <w:rtl/>
              </w:rPr>
              <w:t>רות שפילברג כהן</w:t>
            </w:r>
          </w:p>
          <w:p w14:paraId="1CB51E70" w14:textId="77777777" w:rsidR="006D0FE3" w:rsidRPr="004565F5" w:rsidRDefault="006D0FE3" w:rsidP="000C1A72">
            <w:pPr>
              <w:rPr>
                <w:b/>
                <w:bCs/>
                <w:rtl/>
              </w:rPr>
            </w:pPr>
          </w:p>
          <w:p w14:paraId="6B5D63BC" w14:textId="77777777" w:rsidR="006D0FE3" w:rsidRPr="004565F5" w:rsidRDefault="006D0FE3" w:rsidP="006D0FE3">
            <w:pPr>
              <w:jc w:val="both"/>
              <w:rPr>
                <w:rFonts w:ascii="Arial" w:hAnsi="Arial"/>
                <w:b/>
                <w:bCs/>
                <w:sz w:val="28"/>
                <w:szCs w:val="28"/>
              </w:rPr>
            </w:pPr>
          </w:p>
        </w:tc>
      </w:tr>
      <w:tr w:rsidR="006D0FE3" w:rsidRPr="004565F5" w14:paraId="1B68E505" w14:textId="77777777" w:rsidTr="00EA6738">
        <w:trPr>
          <w:trHeight w:val="355"/>
          <w:jc w:val="center"/>
        </w:trPr>
        <w:tc>
          <w:tcPr>
            <w:tcW w:w="945" w:type="dxa"/>
            <w:tcBorders>
              <w:top w:val="nil"/>
              <w:left w:val="nil"/>
              <w:bottom w:val="nil"/>
              <w:right w:val="nil"/>
            </w:tcBorders>
            <w:shd w:val="clear" w:color="auto" w:fill="auto"/>
          </w:tcPr>
          <w:p w14:paraId="2EBC51A1" w14:textId="77777777" w:rsidR="006D0FE3" w:rsidRPr="004565F5" w:rsidRDefault="006D0FE3" w:rsidP="006D0FE3">
            <w:pPr>
              <w:jc w:val="both"/>
              <w:rPr>
                <w:rFonts w:ascii="Arial" w:hAnsi="Arial"/>
                <w:b/>
                <w:bCs/>
                <w:sz w:val="28"/>
                <w:szCs w:val="28"/>
              </w:rPr>
            </w:pPr>
            <w:bookmarkStart w:id="1" w:name="FirstAppellant"/>
            <w:r w:rsidRPr="004565F5">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9946AA1" w14:textId="77777777" w:rsidR="006D0FE3" w:rsidRPr="004565F5" w:rsidRDefault="006D0FE3" w:rsidP="000C1A72">
            <w:pPr>
              <w:rPr>
                <w:b/>
                <w:bCs/>
              </w:rPr>
            </w:pPr>
            <w:r w:rsidRPr="004565F5">
              <w:rPr>
                <w:rFonts w:ascii="Arial" w:hAnsi="Arial"/>
                <w:b/>
                <w:bCs/>
                <w:sz w:val="28"/>
                <w:szCs w:val="28"/>
                <w:rtl/>
              </w:rPr>
              <w:t>תביעות מרום הגליל והגולן</w:t>
            </w:r>
          </w:p>
        </w:tc>
        <w:tc>
          <w:tcPr>
            <w:tcW w:w="3761" w:type="dxa"/>
            <w:tcBorders>
              <w:top w:val="nil"/>
              <w:left w:val="nil"/>
              <w:bottom w:val="nil"/>
              <w:right w:val="nil"/>
            </w:tcBorders>
            <w:shd w:val="clear" w:color="auto" w:fill="auto"/>
          </w:tcPr>
          <w:p w14:paraId="1DCB4D80" w14:textId="77777777" w:rsidR="006D0FE3" w:rsidRPr="004565F5" w:rsidRDefault="006D0FE3" w:rsidP="006D0FE3">
            <w:pPr>
              <w:jc w:val="both"/>
              <w:rPr>
                <w:rFonts w:ascii="Arial" w:hAnsi="Arial"/>
                <w:b/>
                <w:bCs/>
                <w:sz w:val="28"/>
                <w:szCs w:val="28"/>
              </w:rPr>
            </w:pPr>
          </w:p>
        </w:tc>
      </w:tr>
      <w:bookmarkEnd w:id="1"/>
      <w:tr w:rsidR="006D0FE3" w:rsidRPr="004565F5" w14:paraId="757A663E" w14:textId="77777777" w:rsidTr="00EA6738">
        <w:trPr>
          <w:trHeight w:val="355"/>
          <w:jc w:val="center"/>
        </w:trPr>
        <w:tc>
          <w:tcPr>
            <w:tcW w:w="945" w:type="dxa"/>
            <w:tcBorders>
              <w:top w:val="nil"/>
              <w:left w:val="nil"/>
              <w:bottom w:val="nil"/>
              <w:right w:val="nil"/>
            </w:tcBorders>
            <w:shd w:val="clear" w:color="auto" w:fill="auto"/>
          </w:tcPr>
          <w:p w14:paraId="2226A92A" w14:textId="77777777" w:rsidR="006D0FE3" w:rsidRPr="004565F5" w:rsidRDefault="006D0FE3" w:rsidP="006D0FE3">
            <w:pPr>
              <w:jc w:val="both"/>
              <w:rPr>
                <w:rFonts w:ascii="Arial" w:hAnsi="Arial"/>
                <w:b/>
                <w:bCs/>
                <w:sz w:val="28"/>
                <w:szCs w:val="28"/>
                <w:rtl/>
              </w:rPr>
            </w:pPr>
          </w:p>
        </w:tc>
        <w:tc>
          <w:tcPr>
            <w:tcW w:w="4114" w:type="dxa"/>
            <w:tcBorders>
              <w:top w:val="nil"/>
              <w:left w:val="nil"/>
              <w:bottom w:val="nil"/>
              <w:right w:val="nil"/>
            </w:tcBorders>
            <w:shd w:val="clear" w:color="auto" w:fill="auto"/>
          </w:tcPr>
          <w:p w14:paraId="40347A83" w14:textId="77777777" w:rsidR="006D0FE3" w:rsidRPr="004565F5" w:rsidRDefault="006D0FE3" w:rsidP="006D0FE3">
            <w:pPr>
              <w:jc w:val="both"/>
              <w:rPr>
                <w:b/>
                <w:bCs/>
                <w:rtl/>
              </w:rPr>
            </w:pPr>
          </w:p>
        </w:tc>
        <w:tc>
          <w:tcPr>
            <w:tcW w:w="3761" w:type="dxa"/>
            <w:tcBorders>
              <w:top w:val="nil"/>
              <w:left w:val="nil"/>
              <w:bottom w:val="nil"/>
              <w:right w:val="nil"/>
            </w:tcBorders>
            <w:shd w:val="clear" w:color="auto" w:fill="auto"/>
          </w:tcPr>
          <w:p w14:paraId="384CCDA8" w14:textId="77777777" w:rsidR="006D0FE3" w:rsidRPr="004565F5" w:rsidRDefault="006D0FE3" w:rsidP="006D0FE3">
            <w:pPr>
              <w:jc w:val="right"/>
              <w:rPr>
                <w:rFonts w:ascii="Arial" w:hAnsi="Arial"/>
                <w:b/>
                <w:bCs/>
                <w:sz w:val="28"/>
                <w:szCs w:val="28"/>
                <w:rtl/>
              </w:rPr>
            </w:pPr>
            <w:r w:rsidRPr="004565F5">
              <w:rPr>
                <w:rFonts w:ascii="Arial" w:hAnsi="Arial" w:hint="cs"/>
                <w:b/>
                <w:bCs/>
                <w:sz w:val="28"/>
                <w:szCs w:val="28"/>
                <w:rtl/>
              </w:rPr>
              <w:t>ה</w:t>
            </w:r>
            <w:r w:rsidRPr="004565F5">
              <w:rPr>
                <w:rFonts w:ascii="Arial" w:hAnsi="Arial"/>
                <w:b/>
                <w:bCs/>
                <w:sz w:val="28"/>
                <w:szCs w:val="28"/>
                <w:rtl/>
              </w:rPr>
              <w:t>מאשימה</w:t>
            </w:r>
          </w:p>
        </w:tc>
      </w:tr>
      <w:tr w:rsidR="006D0FE3" w:rsidRPr="004565F5" w14:paraId="53EA0236" w14:textId="77777777" w:rsidTr="00EA6738">
        <w:trPr>
          <w:trHeight w:val="355"/>
          <w:jc w:val="center"/>
        </w:trPr>
        <w:tc>
          <w:tcPr>
            <w:tcW w:w="945" w:type="dxa"/>
            <w:tcBorders>
              <w:top w:val="nil"/>
              <w:left w:val="nil"/>
              <w:bottom w:val="nil"/>
              <w:right w:val="nil"/>
            </w:tcBorders>
            <w:shd w:val="clear" w:color="auto" w:fill="auto"/>
          </w:tcPr>
          <w:p w14:paraId="73B14BE9" w14:textId="77777777" w:rsidR="006D0FE3" w:rsidRPr="004565F5" w:rsidRDefault="006D0FE3" w:rsidP="006D0FE3">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73BA1F5B" w14:textId="77777777" w:rsidR="006D0FE3" w:rsidRPr="004565F5" w:rsidRDefault="006D0FE3" w:rsidP="006D0FE3">
            <w:pPr>
              <w:jc w:val="center"/>
              <w:rPr>
                <w:rFonts w:ascii="Arial" w:hAnsi="Arial"/>
                <w:b/>
                <w:bCs/>
                <w:sz w:val="28"/>
                <w:szCs w:val="28"/>
                <w:rtl/>
              </w:rPr>
            </w:pPr>
          </w:p>
          <w:p w14:paraId="4651CDAF" w14:textId="77777777" w:rsidR="006D0FE3" w:rsidRPr="004565F5" w:rsidRDefault="006D0FE3" w:rsidP="006D0FE3">
            <w:pPr>
              <w:jc w:val="center"/>
              <w:rPr>
                <w:rFonts w:ascii="Arial" w:hAnsi="Arial"/>
                <w:b/>
                <w:bCs/>
                <w:sz w:val="28"/>
                <w:szCs w:val="28"/>
                <w:rtl/>
              </w:rPr>
            </w:pPr>
            <w:r w:rsidRPr="004565F5">
              <w:rPr>
                <w:rFonts w:ascii="Arial" w:hAnsi="Arial"/>
                <w:b/>
                <w:bCs/>
                <w:sz w:val="28"/>
                <w:szCs w:val="28"/>
                <w:rtl/>
              </w:rPr>
              <w:t>נגד</w:t>
            </w:r>
          </w:p>
          <w:p w14:paraId="4B4C9481" w14:textId="77777777" w:rsidR="006D0FE3" w:rsidRPr="004565F5" w:rsidRDefault="006D0FE3" w:rsidP="006D0FE3">
            <w:pPr>
              <w:jc w:val="both"/>
              <w:rPr>
                <w:rFonts w:ascii="Arial" w:hAnsi="Arial"/>
                <w:b/>
                <w:bCs/>
                <w:sz w:val="28"/>
                <w:szCs w:val="28"/>
              </w:rPr>
            </w:pPr>
          </w:p>
        </w:tc>
      </w:tr>
      <w:tr w:rsidR="006D0FE3" w:rsidRPr="004565F5" w14:paraId="2F880509" w14:textId="77777777" w:rsidTr="00EA6738">
        <w:trPr>
          <w:trHeight w:val="355"/>
          <w:jc w:val="center"/>
        </w:trPr>
        <w:tc>
          <w:tcPr>
            <w:tcW w:w="945" w:type="dxa"/>
            <w:tcBorders>
              <w:top w:val="nil"/>
              <w:left w:val="nil"/>
              <w:bottom w:val="nil"/>
              <w:right w:val="nil"/>
            </w:tcBorders>
            <w:shd w:val="clear" w:color="auto" w:fill="auto"/>
          </w:tcPr>
          <w:p w14:paraId="5363BA4B" w14:textId="77777777" w:rsidR="006D0FE3" w:rsidRPr="004565F5" w:rsidRDefault="006D0FE3" w:rsidP="000C1A72">
            <w:pPr>
              <w:rPr>
                <w:rFonts w:ascii="Arial" w:hAnsi="Arial"/>
                <w:b/>
                <w:bCs/>
                <w:sz w:val="28"/>
                <w:szCs w:val="28"/>
                <w:rtl/>
              </w:rPr>
            </w:pPr>
          </w:p>
        </w:tc>
        <w:tc>
          <w:tcPr>
            <w:tcW w:w="4114" w:type="dxa"/>
            <w:tcBorders>
              <w:top w:val="nil"/>
              <w:left w:val="nil"/>
              <w:bottom w:val="nil"/>
              <w:right w:val="nil"/>
            </w:tcBorders>
            <w:shd w:val="clear" w:color="auto" w:fill="auto"/>
          </w:tcPr>
          <w:p w14:paraId="33EE9F92" w14:textId="77777777" w:rsidR="006D0FE3" w:rsidRPr="004565F5" w:rsidRDefault="006D0FE3" w:rsidP="000C1A72">
            <w:pPr>
              <w:rPr>
                <w:b/>
                <w:bCs/>
                <w:rtl/>
              </w:rPr>
            </w:pPr>
            <w:r w:rsidRPr="004565F5">
              <w:rPr>
                <w:rFonts w:ascii="Arial" w:hAnsi="Arial"/>
                <w:b/>
                <w:bCs/>
                <w:sz w:val="28"/>
                <w:szCs w:val="28"/>
                <w:rtl/>
              </w:rPr>
              <w:t>קורל ינוביץ</w:t>
            </w:r>
          </w:p>
        </w:tc>
        <w:tc>
          <w:tcPr>
            <w:tcW w:w="3761" w:type="dxa"/>
            <w:tcBorders>
              <w:top w:val="nil"/>
              <w:left w:val="nil"/>
              <w:bottom w:val="nil"/>
              <w:right w:val="nil"/>
            </w:tcBorders>
            <w:shd w:val="clear" w:color="auto" w:fill="auto"/>
          </w:tcPr>
          <w:p w14:paraId="646C7316" w14:textId="77777777" w:rsidR="006D0FE3" w:rsidRPr="004565F5" w:rsidRDefault="006D0FE3" w:rsidP="006D0FE3">
            <w:pPr>
              <w:jc w:val="right"/>
              <w:rPr>
                <w:rFonts w:ascii="Arial" w:hAnsi="Arial"/>
                <w:b/>
                <w:bCs/>
                <w:sz w:val="28"/>
                <w:szCs w:val="28"/>
              </w:rPr>
            </w:pPr>
          </w:p>
        </w:tc>
      </w:tr>
      <w:tr w:rsidR="006D0FE3" w:rsidRPr="004565F5" w14:paraId="78A617C7" w14:textId="77777777" w:rsidTr="00EA6738">
        <w:trPr>
          <w:trHeight w:val="355"/>
          <w:jc w:val="center"/>
        </w:trPr>
        <w:tc>
          <w:tcPr>
            <w:tcW w:w="945" w:type="dxa"/>
            <w:tcBorders>
              <w:top w:val="nil"/>
              <w:left w:val="nil"/>
              <w:bottom w:val="nil"/>
              <w:right w:val="nil"/>
            </w:tcBorders>
            <w:shd w:val="clear" w:color="auto" w:fill="auto"/>
          </w:tcPr>
          <w:p w14:paraId="1035EF48" w14:textId="77777777" w:rsidR="006D0FE3" w:rsidRPr="004565F5" w:rsidRDefault="006D0FE3" w:rsidP="006D0FE3">
            <w:pPr>
              <w:jc w:val="both"/>
              <w:rPr>
                <w:rFonts w:ascii="Arial" w:hAnsi="Arial"/>
                <w:b/>
                <w:bCs/>
                <w:sz w:val="28"/>
                <w:szCs w:val="28"/>
                <w:rtl/>
              </w:rPr>
            </w:pPr>
          </w:p>
        </w:tc>
        <w:tc>
          <w:tcPr>
            <w:tcW w:w="4114" w:type="dxa"/>
            <w:tcBorders>
              <w:top w:val="nil"/>
              <w:left w:val="nil"/>
              <w:bottom w:val="nil"/>
              <w:right w:val="nil"/>
            </w:tcBorders>
            <w:shd w:val="clear" w:color="auto" w:fill="auto"/>
          </w:tcPr>
          <w:p w14:paraId="00295BCD" w14:textId="77777777" w:rsidR="006D0FE3" w:rsidRPr="004565F5" w:rsidRDefault="006D0FE3" w:rsidP="006D0FE3">
            <w:pPr>
              <w:jc w:val="both"/>
              <w:rPr>
                <w:b/>
                <w:bCs/>
                <w:rtl/>
              </w:rPr>
            </w:pPr>
          </w:p>
        </w:tc>
        <w:tc>
          <w:tcPr>
            <w:tcW w:w="3761" w:type="dxa"/>
            <w:tcBorders>
              <w:top w:val="nil"/>
              <w:left w:val="nil"/>
              <w:bottom w:val="nil"/>
              <w:right w:val="nil"/>
            </w:tcBorders>
            <w:shd w:val="clear" w:color="auto" w:fill="auto"/>
          </w:tcPr>
          <w:p w14:paraId="4DB37541" w14:textId="77777777" w:rsidR="006D0FE3" w:rsidRPr="004565F5" w:rsidRDefault="006D0FE3" w:rsidP="006D0FE3">
            <w:pPr>
              <w:jc w:val="right"/>
              <w:rPr>
                <w:rFonts w:ascii="Arial" w:hAnsi="Arial"/>
                <w:b/>
                <w:bCs/>
                <w:sz w:val="28"/>
                <w:szCs w:val="28"/>
              </w:rPr>
            </w:pPr>
            <w:r w:rsidRPr="004565F5">
              <w:rPr>
                <w:rFonts w:ascii="Arial" w:hAnsi="Arial" w:hint="cs"/>
                <w:b/>
                <w:bCs/>
                <w:sz w:val="28"/>
                <w:szCs w:val="28"/>
                <w:rtl/>
              </w:rPr>
              <w:t>הנאשם</w:t>
            </w:r>
          </w:p>
        </w:tc>
      </w:tr>
      <w:tr w:rsidR="006D0FE3" w:rsidRPr="00183110" w14:paraId="3BBAFB25" w14:textId="77777777" w:rsidTr="006D0FE3">
        <w:trPr>
          <w:trHeight w:val="355"/>
          <w:jc w:val="center"/>
        </w:trPr>
        <w:tc>
          <w:tcPr>
            <w:tcW w:w="8820" w:type="dxa"/>
            <w:gridSpan w:val="3"/>
            <w:tcBorders>
              <w:top w:val="nil"/>
              <w:left w:val="nil"/>
              <w:bottom w:val="nil"/>
              <w:right w:val="nil"/>
            </w:tcBorders>
            <w:shd w:val="clear" w:color="auto" w:fill="auto"/>
          </w:tcPr>
          <w:p w14:paraId="16EB1B5E" w14:textId="77777777" w:rsidR="00EA6738" w:rsidRDefault="00EA6738" w:rsidP="004565F5">
            <w:pPr>
              <w:jc w:val="center"/>
              <w:rPr>
                <w:rFonts w:ascii="Arial" w:hAnsi="Arial"/>
                <w:sz w:val="32"/>
                <w:szCs w:val="32"/>
                <w:rtl/>
              </w:rPr>
            </w:pPr>
            <w:bookmarkStart w:id="2" w:name="PsakDin" w:colFirst="0" w:colLast="0"/>
            <w:bookmarkStart w:id="3" w:name="LawTable"/>
            <w:bookmarkEnd w:id="0"/>
            <w:bookmarkEnd w:id="3"/>
          </w:p>
          <w:p w14:paraId="5485922E" w14:textId="77777777" w:rsidR="00EA6738" w:rsidRPr="00EA6738" w:rsidRDefault="00EA6738" w:rsidP="00EA6738">
            <w:pPr>
              <w:spacing w:after="120" w:line="240" w:lineRule="exact"/>
              <w:ind w:left="283" w:hanging="283"/>
              <w:jc w:val="both"/>
              <w:rPr>
                <w:rFonts w:ascii="FrankRuehl" w:hAnsi="FrankRuehl" w:cs="FrankRuehl"/>
                <w:rtl/>
              </w:rPr>
            </w:pPr>
            <w:r w:rsidRPr="00EA6738">
              <w:rPr>
                <w:rFonts w:ascii="FrankRuehl" w:hAnsi="FrankRuehl" w:cs="FrankRuehl"/>
                <w:rtl/>
              </w:rPr>
              <w:t xml:space="preserve">חקיקה שאוזכרה: </w:t>
            </w:r>
          </w:p>
          <w:p w14:paraId="2345CEEC" w14:textId="77777777" w:rsidR="00EA6738" w:rsidRPr="00EA6738" w:rsidRDefault="00EA6738" w:rsidP="00EA6738">
            <w:pPr>
              <w:spacing w:after="120" w:line="240" w:lineRule="exact"/>
              <w:ind w:left="283" w:hanging="283"/>
              <w:jc w:val="both"/>
              <w:rPr>
                <w:rFonts w:ascii="FrankRuehl" w:hAnsi="FrankRuehl" w:cs="FrankRuehl"/>
                <w:rtl/>
              </w:rPr>
            </w:pPr>
            <w:hyperlink r:id="rId7" w:history="1">
              <w:r w:rsidRPr="00EA6738">
                <w:rPr>
                  <w:rFonts w:ascii="FrankRuehl" w:hAnsi="FrankRuehl" w:cs="FrankRuehl"/>
                  <w:color w:val="0000FF"/>
                  <w:u w:val="single"/>
                  <w:rtl/>
                </w:rPr>
                <w:t>פקודת הסמים המסוכנים [נוסח חדש], תשל"ג-1973</w:t>
              </w:r>
            </w:hyperlink>
            <w:r w:rsidRPr="00EA6738">
              <w:rPr>
                <w:rFonts w:ascii="FrankRuehl" w:hAnsi="FrankRuehl" w:cs="FrankRuehl"/>
                <w:rtl/>
              </w:rPr>
              <w:t xml:space="preserve">: סע'  </w:t>
            </w:r>
            <w:hyperlink r:id="rId8" w:history="1">
              <w:r w:rsidRPr="00EA6738">
                <w:rPr>
                  <w:rFonts w:ascii="FrankRuehl" w:hAnsi="FrankRuehl" w:cs="FrankRuehl"/>
                  <w:color w:val="0000FF"/>
                  <w:u w:val="single"/>
                  <w:rtl/>
                </w:rPr>
                <w:t>6</w:t>
              </w:r>
            </w:hyperlink>
            <w:r w:rsidRPr="00EA6738">
              <w:rPr>
                <w:rFonts w:ascii="FrankRuehl" w:hAnsi="FrankRuehl" w:cs="FrankRuehl"/>
                <w:rtl/>
              </w:rPr>
              <w:t xml:space="preserve">, </w:t>
            </w:r>
            <w:hyperlink r:id="rId9" w:history="1">
              <w:r w:rsidRPr="00EA6738">
                <w:rPr>
                  <w:rFonts w:ascii="FrankRuehl" w:hAnsi="FrankRuehl" w:cs="FrankRuehl"/>
                  <w:color w:val="0000FF"/>
                  <w:u w:val="single"/>
                  <w:rtl/>
                </w:rPr>
                <w:t>7.א.</w:t>
              </w:r>
            </w:hyperlink>
            <w:r w:rsidRPr="00EA6738">
              <w:rPr>
                <w:rFonts w:ascii="FrankRuehl" w:hAnsi="FrankRuehl" w:cs="FrankRuehl"/>
                <w:rtl/>
              </w:rPr>
              <w:t xml:space="preserve">, </w:t>
            </w:r>
            <w:hyperlink r:id="rId10" w:history="1">
              <w:r w:rsidRPr="00EA6738">
                <w:rPr>
                  <w:rFonts w:ascii="FrankRuehl" w:hAnsi="FrankRuehl" w:cs="FrankRuehl"/>
                  <w:color w:val="0000FF"/>
                  <w:u w:val="single"/>
                  <w:rtl/>
                </w:rPr>
                <w:t>7.ג</w:t>
              </w:r>
            </w:hyperlink>
          </w:p>
          <w:p w14:paraId="481FEFE7" w14:textId="77777777" w:rsidR="00EA6738" w:rsidRPr="00EA6738" w:rsidRDefault="00EA6738" w:rsidP="00EA6738">
            <w:pPr>
              <w:spacing w:after="120" w:line="240" w:lineRule="exact"/>
              <w:ind w:left="283" w:hanging="283"/>
              <w:jc w:val="both"/>
              <w:rPr>
                <w:rFonts w:ascii="FrankRuehl" w:hAnsi="FrankRuehl" w:cs="FrankRuehl"/>
                <w:rtl/>
              </w:rPr>
            </w:pPr>
            <w:hyperlink r:id="rId11" w:history="1">
              <w:r w:rsidRPr="00EA6738">
                <w:rPr>
                  <w:rFonts w:ascii="FrankRuehl" w:hAnsi="FrankRuehl" w:cs="FrankRuehl"/>
                  <w:color w:val="0000FF"/>
                  <w:u w:val="single"/>
                  <w:rtl/>
                </w:rPr>
                <w:t>חוק המתווכים במקרקעין, תשנ"ו-1996</w:t>
              </w:r>
            </w:hyperlink>
            <w:r w:rsidRPr="00EA6738">
              <w:rPr>
                <w:rFonts w:ascii="FrankRuehl" w:hAnsi="FrankRuehl" w:cs="FrankRuehl"/>
                <w:rtl/>
              </w:rPr>
              <w:t xml:space="preserve">: סע'  </w:t>
            </w:r>
            <w:hyperlink r:id="rId12" w:history="1">
              <w:r w:rsidRPr="00EA6738">
                <w:rPr>
                  <w:rFonts w:ascii="FrankRuehl" w:hAnsi="FrankRuehl" w:cs="FrankRuehl"/>
                  <w:color w:val="0000FF"/>
                  <w:u w:val="single"/>
                  <w:rtl/>
                </w:rPr>
                <w:t>5(א)</w:t>
              </w:r>
            </w:hyperlink>
          </w:p>
          <w:p w14:paraId="0C43454A" w14:textId="77777777" w:rsidR="00EA6738" w:rsidRPr="00EA6738" w:rsidRDefault="00EA6738" w:rsidP="00EA6738">
            <w:pPr>
              <w:spacing w:after="120" w:line="240" w:lineRule="exact"/>
              <w:ind w:left="283" w:hanging="283"/>
              <w:jc w:val="both"/>
              <w:rPr>
                <w:rFonts w:ascii="FrankRuehl" w:hAnsi="FrankRuehl" w:cs="FrankRuehl"/>
                <w:rtl/>
              </w:rPr>
            </w:pPr>
            <w:hyperlink r:id="rId13" w:history="1">
              <w:r w:rsidRPr="00EA6738">
                <w:rPr>
                  <w:rFonts w:ascii="FrankRuehl" w:hAnsi="FrankRuehl" w:cs="FrankRuehl"/>
                  <w:color w:val="0000FF"/>
                  <w:u w:val="single"/>
                  <w:rtl/>
                </w:rPr>
                <w:t>חוק העונשין, תשל"ז-1977</w:t>
              </w:r>
            </w:hyperlink>
            <w:r w:rsidRPr="00EA6738">
              <w:rPr>
                <w:rFonts w:ascii="FrankRuehl" w:hAnsi="FrankRuehl" w:cs="FrankRuehl"/>
                <w:rtl/>
              </w:rPr>
              <w:t xml:space="preserve">: סע'  </w:t>
            </w:r>
            <w:hyperlink r:id="rId14" w:history="1">
              <w:r w:rsidRPr="00EA6738">
                <w:rPr>
                  <w:rFonts w:ascii="FrankRuehl" w:hAnsi="FrankRuehl" w:cs="FrankRuehl"/>
                  <w:color w:val="0000FF"/>
                  <w:u w:val="single"/>
                  <w:rtl/>
                </w:rPr>
                <w:t>40ד</w:t>
              </w:r>
            </w:hyperlink>
          </w:p>
          <w:p w14:paraId="0BC5EF98" w14:textId="77777777" w:rsidR="00EA6738" w:rsidRPr="00EA6738" w:rsidRDefault="00EA6738" w:rsidP="00EA6738">
            <w:pPr>
              <w:spacing w:after="120" w:line="240" w:lineRule="exact"/>
              <w:ind w:left="283" w:hanging="283"/>
              <w:jc w:val="both"/>
              <w:rPr>
                <w:rFonts w:ascii="FrankRuehl" w:hAnsi="FrankRuehl" w:cs="FrankRuehl"/>
                <w:rtl/>
              </w:rPr>
            </w:pPr>
          </w:p>
          <w:p w14:paraId="4385472D" w14:textId="77777777" w:rsidR="004565F5" w:rsidRPr="004565F5" w:rsidRDefault="004565F5" w:rsidP="004565F5">
            <w:pPr>
              <w:jc w:val="center"/>
              <w:rPr>
                <w:rFonts w:ascii="Arial" w:hAnsi="Arial"/>
                <w:b/>
                <w:bCs/>
                <w:sz w:val="32"/>
                <w:szCs w:val="32"/>
                <w:u w:val="single"/>
                <w:rtl/>
              </w:rPr>
            </w:pPr>
            <w:bookmarkStart w:id="4" w:name="LawTable_End"/>
            <w:bookmarkEnd w:id="4"/>
            <w:r w:rsidRPr="004565F5">
              <w:rPr>
                <w:rFonts w:ascii="Arial" w:hAnsi="Arial"/>
                <w:b/>
                <w:bCs/>
                <w:sz w:val="32"/>
                <w:szCs w:val="32"/>
                <w:u w:val="single"/>
                <w:rtl/>
              </w:rPr>
              <w:t>גזר דין</w:t>
            </w:r>
          </w:p>
          <w:p w14:paraId="6B086296" w14:textId="77777777" w:rsidR="006D0FE3" w:rsidRPr="004565F5" w:rsidRDefault="006D0FE3" w:rsidP="004565F5">
            <w:pPr>
              <w:jc w:val="center"/>
              <w:rPr>
                <w:rFonts w:ascii="Arial" w:hAnsi="Arial"/>
                <w:bCs/>
                <w:sz w:val="32"/>
                <w:szCs w:val="32"/>
                <w:u w:val="single"/>
                <w:rtl/>
              </w:rPr>
            </w:pPr>
          </w:p>
        </w:tc>
      </w:tr>
      <w:bookmarkEnd w:id="2"/>
    </w:tbl>
    <w:p w14:paraId="0F418E97" w14:textId="77777777" w:rsidR="006D0FE3" w:rsidRDefault="006D0FE3" w:rsidP="006D0FE3">
      <w:pPr>
        <w:rPr>
          <w:rFonts w:ascii="Arial" w:hAnsi="Arial"/>
          <w:rtl/>
        </w:rPr>
      </w:pPr>
    </w:p>
    <w:p w14:paraId="6107E9A8" w14:textId="77777777" w:rsidR="006D0FE3" w:rsidRDefault="006D0FE3" w:rsidP="006D0FE3">
      <w:pPr>
        <w:jc w:val="both"/>
        <w:rPr>
          <w:b/>
          <w:bCs/>
          <w:u w:val="single"/>
        </w:rPr>
      </w:pPr>
      <w:r>
        <w:rPr>
          <w:rFonts w:hint="cs"/>
          <w:b/>
          <w:bCs/>
          <w:u w:val="single"/>
          <w:rtl/>
        </w:rPr>
        <w:t>כתב אישום ורקע</w:t>
      </w:r>
    </w:p>
    <w:p w14:paraId="079BB1B8" w14:textId="77777777" w:rsidR="006D0FE3" w:rsidRDefault="006D0FE3" w:rsidP="006D0FE3">
      <w:pPr>
        <w:spacing w:line="360" w:lineRule="auto"/>
        <w:jc w:val="both"/>
      </w:pPr>
    </w:p>
    <w:p w14:paraId="7AFD9198" w14:textId="77777777" w:rsidR="006D0FE3" w:rsidRDefault="006D0FE3" w:rsidP="006D0FE3">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על סמך  הודאתו ובמסגרת הסדר טיעון בעבירות סמים כדלקמן: </w:t>
      </w:r>
    </w:p>
    <w:p w14:paraId="6CC7656F" w14:textId="77777777" w:rsidR="006D0FE3" w:rsidRDefault="006D0FE3" w:rsidP="006D0FE3">
      <w:pPr>
        <w:spacing w:line="360" w:lineRule="auto"/>
        <w:ind w:left="720"/>
        <w:jc w:val="both"/>
        <w:rPr>
          <w:rtl/>
        </w:rPr>
      </w:pPr>
      <w:r>
        <w:rPr>
          <w:rFonts w:hint="cs"/>
          <w:rtl/>
        </w:rPr>
        <w:t xml:space="preserve">גידול וייצור סמים, בהתאם </w:t>
      </w:r>
      <w:hyperlink r:id="rId15" w:history="1">
        <w:r w:rsidR="00EA6738" w:rsidRPr="00EA6738">
          <w:rPr>
            <w:color w:val="0000FF"/>
            <w:u w:val="single"/>
            <w:rtl/>
          </w:rPr>
          <w:t>לסעיף 6</w:t>
        </w:r>
      </w:hyperlink>
      <w:r>
        <w:rPr>
          <w:rFonts w:hint="cs"/>
          <w:rtl/>
        </w:rPr>
        <w:t xml:space="preserve"> ל</w:t>
      </w:r>
      <w:hyperlink r:id="rId16" w:history="1">
        <w:r w:rsidR="004565F5" w:rsidRPr="004565F5">
          <w:rPr>
            <w:color w:val="0000FF"/>
            <w:u w:val="single"/>
            <w:rtl/>
          </w:rPr>
          <w:t>פקודת הסמים המסוכנים</w:t>
        </w:r>
      </w:hyperlink>
      <w:r>
        <w:rPr>
          <w:rFonts w:hint="cs"/>
          <w:rtl/>
        </w:rPr>
        <w:t xml:space="preserve">, וכן החזקת סמים לצריכה עצמית, על פי סעיף </w:t>
      </w:r>
      <w:hyperlink r:id="rId17" w:history="1">
        <w:r w:rsidR="00EA6738" w:rsidRPr="00EA6738">
          <w:rPr>
            <w:color w:val="0000FF"/>
            <w:u w:val="single"/>
            <w:rtl/>
          </w:rPr>
          <w:t>7(א) + (ג)</w:t>
        </w:r>
      </w:hyperlink>
      <w:r>
        <w:rPr>
          <w:rFonts w:hint="cs"/>
          <w:rtl/>
        </w:rPr>
        <w:t xml:space="preserve"> סיפא לפקודה.</w:t>
      </w:r>
    </w:p>
    <w:p w14:paraId="388B3ED9" w14:textId="77777777" w:rsidR="006D0FE3" w:rsidRDefault="006D0FE3" w:rsidP="006D0FE3">
      <w:pPr>
        <w:spacing w:line="360" w:lineRule="auto"/>
        <w:jc w:val="both"/>
        <w:rPr>
          <w:rtl/>
        </w:rPr>
      </w:pPr>
      <w:bookmarkStart w:id="6" w:name="ABSTRACT_END"/>
      <w:bookmarkEnd w:id="6"/>
    </w:p>
    <w:p w14:paraId="50F6D77C" w14:textId="77777777" w:rsidR="006D0FE3" w:rsidRDefault="006D0FE3" w:rsidP="006D0FE3">
      <w:pPr>
        <w:spacing w:line="360" w:lineRule="auto"/>
        <w:ind w:left="720"/>
        <w:jc w:val="both"/>
        <w:rPr>
          <w:rtl/>
        </w:rPr>
      </w:pPr>
      <w:r>
        <w:rPr>
          <w:rFonts w:hint="cs"/>
          <w:rtl/>
        </w:rPr>
        <w:t>מדובר ב48 שתילים של סם מסוכן מסוג קנאביס, שהגיעו למשקל של כ 600 גרם, אשר הנאשם גידל בעציצים בחדר בביתו שבצפת, שאת דלתו הסתיר באמצעות מזרון. בחדר החזיק הנאשם גם ציוד ל"מעבדת הידרו" לגידול סמים, שכלל מנורות, מפוח, שנאים, בקר טמפרטורה ורשת לייבוש הסמים.</w:t>
      </w:r>
    </w:p>
    <w:p w14:paraId="28B582EB" w14:textId="77777777" w:rsidR="006D0FE3" w:rsidRDefault="006D0FE3" w:rsidP="006D0FE3">
      <w:pPr>
        <w:spacing w:line="360" w:lineRule="auto"/>
        <w:ind w:firstLine="720"/>
        <w:jc w:val="both"/>
        <w:rPr>
          <w:rtl/>
        </w:rPr>
      </w:pPr>
      <w:r>
        <w:rPr>
          <w:rFonts w:hint="cs"/>
          <w:rtl/>
        </w:rPr>
        <w:t>בנוסף החזיק הנאשם בביתו סמים מסוכנים מסוג קנאבוס במשקל של 122.77 גרם.</w:t>
      </w:r>
    </w:p>
    <w:p w14:paraId="566C472A" w14:textId="77777777" w:rsidR="006D0FE3" w:rsidRDefault="006D0FE3" w:rsidP="006D0FE3">
      <w:pPr>
        <w:spacing w:line="360" w:lineRule="auto"/>
        <w:ind w:firstLine="720"/>
        <w:jc w:val="both"/>
        <w:rPr>
          <w:rtl/>
        </w:rPr>
      </w:pPr>
      <w:r>
        <w:rPr>
          <w:rFonts w:hint="cs"/>
          <w:rtl/>
        </w:rPr>
        <w:t>השתילים, הסמים והציוד התגלו בחיפוש שנערך בבית ביום 4.9.16.</w:t>
      </w:r>
    </w:p>
    <w:p w14:paraId="12F2EF47" w14:textId="77777777" w:rsidR="006D0FE3" w:rsidRDefault="006D0FE3" w:rsidP="006D0FE3">
      <w:pPr>
        <w:spacing w:line="360" w:lineRule="auto"/>
        <w:jc w:val="both"/>
        <w:rPr>
          <w:rtl/>
        </w:rPr>
      </w:pPr>
    </w:p>
    <w:p w14:paraId="0CD2222E" w14:textId="77777777" w:rsidR="006D0FE3" w:rsidRDefault="006D0FE3" w:rsidP="006D0FE3">
      <w:pPr>
        <w:spacing w:line="360" w:lineRule="auto"/>
        <w:ind w:left="720" w:hanging="720"/>
        <w:jc w:val="both"/>
        <w:rPr>
          <w:rtl/>
        </w:rPr>
      </w:pPr>
      <w:r>
        <w:rPr>
          <w:rFonts w:hint="cs"/>
          <w:rtl/>
        </w:rPr>
        <w:lastRenderedPageBreak/>
        <w:t>2.</w:t>
      </w:r>
      <w:r>
        <w:rPr>
          <w:rFonts w:hint="cs"/>
          <w:rtl/>
        </w:rPr>
        <w:tab/>
        <w:t>ביום 8/11/16 הגיעו הצדדים להסדר טיעון, במסגרתו תוקן כתב האישום למתכונתו שלעיל, הנאשם הודה והורשע, נקבע כי יוגש לגביו תסקיר טרם הטיעונים לעונש וכי הטיעון יהיה "פתוח". המאשימה הודיעה כי בכל מקרה תעמוד על עונש שיכלול מאסר בפועל, ואילו הנאשם ביקש כי שרות המבחן יתייחס גם לאפשרות ביטולה של ההרשעה.</w:t>
      </w:r>
    </w:p>
    <w:p w14:paraId="7475F8B4" w14:textId="77777777" w:rsidR="006D0FE3" w:rsidRDefault="006D0FE3" w:rsidP="006D0FE3">
      <w:pPr>
        <w:spacing w:line="360" w:lineRule="auto"/>
        <w:jc w:val="both"/>
        <w:rPr>
          <w:rtl/>
        </w:rPr>
      </w:pPr>
    </w:p>
    <w:p w14:paraId="6CD301DB" w14:textId="77777777" w:rsidR="006D0FE3" w:rsidRDefault="006D0FE3" w:rsidP="006D0FE3">
      <w:pPr>
        <w:spacing w:line="360" w:lineRule="auto"/>
        <w:jc w:val="both"/>
        <w:rPr>
          <w:rtl/>
        </w:rPr>
      </w:pPr>
    </w:p>
    <w:p w14:paraId="75FB211F" w14:textId="77777777" w:rsidR="006D0FE3" w:rsidRDefault="006D0FE3" w:rsidP="006D0FE3">
      <w:pPr>
        <w:spacing w:line="360" w:lineRule="auto"/>
        <w:rPr>
          <w:b/>
          <w:bCs/>
          <w:u w:val="single"/>
          <w:rtl/>
        </w:rPr>
      </w:pPr>
      <w:r>
        <w:rPr>
          <w:rFonts w:hint="cs"/>
          <w:b/>
          <w:bCs/>
          <w:u w:val="single"/>
          <w:rtl/>
        </w:rPr>
        <w:t>תסקיר שרות המבחן</w:t>
      </w:r>
    </w:p>
    <w:p w14:paraId="3E329820" w14:textId="77777777" w:rsidR="006D0FE3" w:rsidRDefault="006D0FE3" w:rsidP="006D0FE3">
      <w:pPr>
        <w:spacing w:line="360" w:lineRule="auto"/>
        <w:rPr>
          <w:rtl/>
        </w:rPr>
      </w:pPr>
    </w:p>
    <w:p w14:paraId="3602D2D3" w14:textId="77777777" w:rsidR="006D0FE3" w:rsidRDefault="006D0FE3" w:rsidP="006D0FE3">
      <w:pPr>
        <w:spacing w:line="360" w:lineRule="auto"/>
        <w:jc w:val="both"/>
        <w:rPr>
          <w:rtl/>
        </w:rPr>
      </w:pPr>
      <w:r>
        <w:rPr>
          <w:rFonts w:hint="cs"/>
          <w:rtl/>
        </w:rPr>
        <w:t>3.</w:t>
      </w:r>
      <w:r>
        <w:rPr>
          <w:rFonts w:hint="cs"/>
          <w:rtl/>
        </w:rPr>
        <w:tab/>
        <w:t xml:space="preserve">תסקיר שרות המבחן סקר בהרחבה את נסיבותיו של הנאשם, רווק בן 29, נעדר עבר פלילי. </w:t>
      </w:r>
    </w:p>
    <w:p w14:paraId="255EC245" w14:textId="77777777" w:rsidR="006D0FE3" w:rsidRDefault="006D0FE3" w:rsidP="006D0FE3">
      <w:pPr>
        <w:spacing w:line="360" w:lineRule="auto"/>
        <w:ind w:left="720"/>
        <w:jc w:val="both"/>
        <w:rPr>
          <w:rtl/>
        </w:rPr>
      </w:pPr>
      <w:r>
        <w:rPr>
          <w:rFonts w:hint="cs"/>
          <w:rtl/>
        </w:rPr>
        <w:t xml:space="preserve">הנאשם דיווח לשרות המבחן, כי גדל במערכת משפחתית מורכבת, ואולם אף על פי כן, תפקד בצורה חיובית יחסית במסגרות לימודיות וחברתיות. עקב בעיות רפואיות, דורג בפרופיל צבאי נמוך, ואולם לדבריו, נלחם להתגייס ושירת שירות צבאי בשב"ס. לאחר שהשתחרר מהצבא, גוייס לשירות בתי הסוהר בשירות קבע ועבד בבית הסוהר "חרמון" כסוהר, עד מעצרו בתיק הנוכחי. במקביל למד לימודי הנדסאי בניין במכללת צפת. </w:t>
      </w:r>
    </w:p>
    <w:p w14:paraId="3F4F8DD5" w14:textId="77777777" w:rsidR="006D0FE3" w:rsidRDefault="006D0FE3" w:rsidP="006D0FE3">
      <w:pPr>
        <w:spacing w:line="360" w:lineRule="auto"/>
        <w:jc w:val="both"/>
        <w:rPr>
          <w:rtl/>
        </w:rPr>
      </w:pPr>
    </w:p>
    <w:p w14:paraId="6A010A21" w14:textId="77777777" w:rsidR="006D0FE3" w:rsidRDefault="006D0FE3" w:rsidP="006D0FE3">
      <w:pPr>
        <w:spacing w:line="360" w:lineRule="auto"/>
        <w:ind w:left="720"/>
        <w:jc w:val="both"/>
        <w:rPr>
          <w:rtl/>
        </w:rPr>
      </w:pPr>
      <w:r>
        <w:rPr>
          <w:rFonts w:hint="cs"/>
          <w:rtl/>
        </w:rPr>
        <w:t>שרות המבחן סקר בהרחבה את מצבו המשפחתי המורכב של הנאשם. אביו תואר כדמות אגרסיבית ואלימה, אשר המשפחה גדלה בצל אלימותו כלפי האם, לרבות נטייתו להשליך חפצים ולהשליט בבית אווירת פחד. אמו תוארה כאישה חלשה, אשר לתפיסת הנאשם, לא הצליחה להגן עליו מפני התנהגותו של האב.  גם לאב וגם לאם ילדים מנישואים קודמים בנוסף לילדים משותפים, ביניהם אחיו הגדול של הנאשם, שעמו מתקיים קשר מורכב.</w:t>
      </w:r>
    </w:p>
    <w:p w14:paraId="44EE8774" w14:textId="77777777" w:rsidR="006D0FE3" w:rsidRDefault="006D0FE3" w:rsidP="006D0FE3">
      <w:pPr>
        <w:spacing w:line="360" w:lineRule="auto"/>
        <w:jc w:val="both"/>
        <w:rPr>
          <w:rtl/>
        </w:rPr>
      </w:pPr>
    </w:p>
    <w:p w14:paraId="0DCF4376" w14:textId="77777777" w:rsidR="006D0FE3" w:rsidRDefault="006D0FE3" w:rsidP="006D0FE3">
      <w:pPr>
        <w:spacing w:line="360" w:lineRule="auto"/>
        <w:ind w:left="720"/>
        <w:jc w:val="both"/>
        <w:rPr>
          <w:rtl/>
        </w:rPr>
      </w:pPr>
      <w:r>
        <w:rPr>
          <w:rFonts w:hint="cs"/>
          <w:rtl/>
        </w:rPr>
        <w:t xml:space="preserve">במהלך שנת 2015 נפצע הנאשם יחד עם אחיו בתאונת דרכים קשה, ודיווח כי מאז הוא מתקשה לתפקד וסובל מכאבים, אשר הובילו אותו לדבריו לשימוש בקנבוס, תחילה קנבוס רפואי שקיבל אביו ברישיון, ובהמשך בצורה אינטנסיבית. </w:t>
      </w:r>
    </w:p>
    <w:p w14:paraId="635BC2EF" w14:textId="77777777" w:rsidR="006D0FE3" w:rsidRDefault="006D0FE3" w:rsidP="006D0FE3">
      <w:pPr>
        <w:spacing w:line="360" w:lineRule="auto"/>
        <w:ind w:left="720"/>
        <w:jc w:val="both"/>
        <w:rPr>
          <w:rtl/>
        </w:rPr>
      </w:pPr>
      <w:r>
        <w:rPr>
          <w:rFonts w:hint="cs"/>
          <w:rtl/>
        </w:rPr>
        <w:t>הוגש אישור רפואי מטעם אורטופד על כך שהנאשם מתלונן על כאבים, והוא מופנה לבדיקות שונות.</w:t>
      </w:r>
    </w:p>
    <w:p w14:paraId="52522616" w14:textId="77777777" w:rsidR="006D0FE3" w:rsidRDefault="006D0FE3" w:rsidP="006D0FE3">
      <w:pPr>
        <w:spacing w:line="360" w:lineRule="auto"/>
        <w:ind w:left="720"/>
        <w:jc w:val="both"/>
        <w:rPr>
          <w:rtl/>
        </w:rPr>
      </w:pPr>
      <w:r>
        <w:rPr>
          <w:rFonts w:hint="cs"/>
          <w:rtl/>
        </w:rPr>
        <w:t xml:space="preserve">על רקע זה, טען הנאשם, כי גידל את הסמים לשימושו העצמי, עקב נזקקות פיזית לשיכוך כאבים, ועל מנת שלא ליצור קשר עם אוכלוסיית עוברי חוק להשגת הסמים בדרך אחרת. </w:t>
      </w:r>
    </w:p>
    <w:p w14:paraId="348BFCF9" w14:textId="77777777" w:rsidR="006D0FE3" w:rsidRDefault="006D0FE3" w:rsidP="006D0FE3">
      <w:pPr>
        <w:spacing w:line="360" w:lineRule="auto"/>
        <w:jc w:val="both"/>
        <w:rPr>
          <w:rtl/>
        </w:rPr>
      </w:pPr>
    </w:p>
    <w:p w14:paraId="7974B445" w14:textId="77777777" w:rsidR="006D0FE3" w:rsidRDefault="006D0FE3" w:rsidP="006D0FE3">
      <w:pPr>
        <w:spacing w:line="360" w:lineRule="auto"/>
        <w:ind w:left="720"/>
        <w:jc w:val="both"/>
        <w:rPr>
          <w:rtl/>
        </w:rPr>
      </w:pPr>
      <w:r>
        <w:rPr>
          <w:rFonts w:hint="cs"/>
          <w:rtl/>
        </w:rPr>
        <w:t xml:space="preserve">שרות המבחן התרשם מהנאשם כמי שהתמודד עם קשיים רבים בשנות ילדותו, והעריך כי ביצוע עבירות הינו חריג בתפקודו ההתנהגותי, המאופיין בדרך כלל במחשבה בשיקול דעת. ההליך הפלילי והמעצר נמצאו על ידי שרות המבחן כגורם מרתיע ומציב גבולות משמעותי. שרות המבחן העריך כי קיים </w:t>
      </w:r>
      <w:r>
        <w:rPr>
          <w:rFonts w:hint="cs"/>
          <w:b/>
          <w:bCs/>
          <w:rtl/>
        </w:rPr>
        <w:t>סיכון בינוני</w:t>
      </w:r>
      <w:r>
        <w:rPr>
          <w:rFonts w:hint="cs"/>
          <w:rtl/>
        </w:rPr>
        <w:t xml:space="preserve"> להישנות מעשים דומים מצד הנאשם, כל עוד לא יימצא פתרון למצבו הרפואי, ולצד הערכה זו, סבר כי המשך טיפול ביחידה להתמכרויות בצפת, שהחל הנאשם במהלך ההליך הפלילי, יפחית את הסיכון באופן משמעותי. </w:t>
      </w:r>
    </w:p>
    <w:p w14:paraId="0D34B6C7" w14:textId="77777777" w:rsidR="006D0FE3" w:rsidRDefault="006D0FE3" w:rsidP="006D0FE3">
      <w:pPr>
        <w:spacing w:line="360" w:lineRule="auto"/>
        <w:ind w:left="720"/>
        <w:jc w:val="both"/>
        <w:rPr>
          <w:rtl/>
        </w:rPr>
      </w:pPr>
      <w:r>
        <w:rPr>
          <w:rFonts w:hint="cs"/>
          <w:rtl/>
        </w:rPr>
        <w:lastRenderedPageBreak/>
        <w:t xml:space="preserve">דווח כי במהלך הטיפול אגב התנהלות תיק זה, מסר הנאשם בדיקות שתן נקיות, והתייצב לכל הפגישות כנדרש. </w:t>
      </w:r>
    </w:p>
    <w:p w14:paraId="3A549F93" w14:textId="77777777" w:rsidR="006D0FE3" w:rsidRDefault="006D0FE3" w:rsidP="006D0FE3">
      <w:pPr>
        <w:spacing w:line="360" w:lineRule="auto"/>
        <w:jc w:val="both"/>
        <w:rPr>
          <w:rtl/>
        </w:rPr>
      </w:pPr>
    </w:p>
    <w:p w14:paraId="5B7A957B" w14:textId="77777777" w:rsidR="006D0FE3" w:rsidRDefault="006D0FE3" w:rsidP="006D0FE3">
      <w:pPr>
        <w:spacing w:line="360" w:lineRule="auto"/>
        <w:ind w:left="720"/>
        <w:jc w:val="both"/>
        <w:rPr>
          <w:rtl/>
        </w:rPr>
      </w:pPr>
      <w:r>
        <w:rPr>
          <w:rFonts w:hint="cs"/>
          <w:rtl/>
        </w:rPr>
        <w:t xml:space="preserve">שרות המבחן המליץ לבטל את הרשעתו של הנאשם, תוך שלקח בחשבון את המוטיבציה שהפגין והנכונות להמשיך בטיפול. שרות המבחן התרשם מהחשש שהנאשם ביטא, שמא הרשעה תפגע באפשרויות התעסוקתיות שלו בתחום לימודי הנדסאות בניין. לצד ביטול ההרשעה, המליץ שרות המבחן להטיל צו של"צ בהיקף של 180 שעות וצו מבחן לתקופה של שנה. </w:t>
      </w:r>
    </w:p>
    <w:p w14:paraId="08C569AD" w14:textId="77777777" w:rsidR="006D0FE3" w:rsidRDefault="006D0FE3" w:rsidP="006D0FE3">
      <w:pPr>
        <w:spacing w:line="360" w:lineRule="auto"/>
        <w:jc w:val="both"/>
        <w:rPr>
          <w:rtl/>
        </w:rPr>
      </w:pPr>
    </w:p>
    <w:p w14:paraId="1873CB18" w14:textId="77777777" w:rsidR="006D0FE3" w:rsidRDefault="006D0FE3" w:rsidP="006D0FE3">
      <w:pPr>
        <w:spacing w:line="360" w:lineRule="auto"/>
        <w:rPr>
          <w:rtl/>
        </w:rPr>
      </w:pPr>
    </w:p>
    <w:p w14:paraId="2D4328DE" w14:textId="77777777" w:rsidR="006D0FE3" w:rsidRDefault="006D0FE3" w:rsidP="006D0FE3">
      <w:pPr>
        <w:spacing w:line="360" w:lineRule="auto"/>
        <w:rPr>
          <w:rtl/>
        </w:rPr>
      </w:pPr>
      <w:r>
        <w:rPr>
          <w:rFonts w:hint="cs"/>
          <w:b/>
          <w:bCs/>
          <w:u w:val="single"/>
          <w:rtl/>
        </w:rPr>
        <w:t>טיעוני הצדדים לעונש</w:t>
      </w:r>
    </w:p>
    <w:p w14:paraId="04839BA0" w14:textId="77777777" w:rsidR="006D0FE3" w:rsidRDefault="006D0FE3" w:rsidP="006D0FE3">
      <w:pPr>
        <w:spacing w:line="360" w:lineRule="auto"/>
        <w:rPr>
          <w:rtl/>
        </w:rPr>
      </w:pPr>
    </w:p>
    <w:p w14:paraId="47F60DD6" w14:textId="77777777" w:rsidR="006D0FE3" w:rsidRDefault="006D0FE3" w:rsidP="006D0FE3">
      <w:pPr>
        <w:spacing w:line="360" w:lineRule="auto"/>
        <w:ind w:left="720" w:hanging="720"/>
        <w:jc w:val="both"/>
        <w:rPr>
          <w:rtl/>
        </w:rPr>
      </w:pPr>
      <w:r>
        <w:rPr>
          <w:rFonts w:hint="cs"/>
          <w:rtl/>
        </w:rPr>
        <w:t>4.</w:t>
      </w:r>
      <w:r>
        <w:rPr>
          <w:rFonts w:hint="cs"/>
          <w:rtl/>
        </w:rPr>
        <w:tab/>
        <w:t>המאשימה הפנתה לחומרתן הרבה של עבירות הסמים, המאופיינות במקרה זה בנסיבות חמורות שעניינן כמות הסמים, ולכמות  הפוטנציאלית שהייתה עלולה לגדול ולצמוח אלמלא חשיפת העבירות. המאשימה התייחסה לרמת התכנון והתעוזה הגבוהים שבעבירות, וטענה כי מתחם הענישה נע בין 8 ל20 חודשי מאסר בפועל, אלפי שקלים קנס, פסילת רשיון ומאסר מותנה. המאשימה לקחה בחשבון את נתוניו החיוביים של הנאשם, ובקשה לגזור את ענשו בצד הנמוך של מתחם הענישה.</w:t>
      </w:r>
    </w:p>
    <w:p w14:paraId="457D93DF" w14:textId="77777777" w:rsidR="006D0FE3" w:rsidRDefault="006D0FE3" w:rsidP="006D0FE3">
      <w:pPr>
        <w:spacing w:line="360" w:lineRule="auto"/>
        <w:rPr>
          <w:rtl/>
        </w:rPr>
      </w:pPr>
    </w:p>
    <w:p w14:paraId="7D9EB6A3" w14:textId="77777777" w:rsidR="006D0FE3" w:rsidRDefault="006D0FE3" w:rsidP="006D0FE3">
      <w:pPr>
        <w:spacing w:line="360" w:lineRule="auto"/>
        <w:ind w:left="720" w:hanging="720"/>
        <w:jc w:val="both"/>
        <w:rPr>
          <w:rtl/>
        </w:rPr>
      </w:pPr>
      <w:r>
        <w:rPr>
          <w:rFonts w:hint="cs"/>
          <w:rtl/>
        </w:rPr>
        <w:t>5.</w:t>
      </w:r>
      <w:r>
        <w:rPr>
          <w:rFonts w:hint="cs"/>
          <w:rtl/>
        </w:rPr>
        <w:tab/>
        <w:t xml:space="preserve">מטעם הנאשם העידה לעונש אחותו, ששימשה משמורנית עליו לאחר ששוחרר למעצר בית. האחות גב' שרון כהן, עובדת סוציאלית המשמשת כראש צוות אגף הרווחה בקרית שמונה, העידה לגבי הנסיבות החריגות שאפיינו את משפחת הנאשם, שכללו רקע אלים, והעידה כי הנאשם מאופיין בקווים חיוביים ובתפקוד טוב. האחות התייחסה גם לתאונת הדרכים הקשה שעבר הנאשם, ועל רקע זה ביקשה לראות את תפקודו החיובי כסימן מיטיב. האחות העידה כי הנאשם עזר גם לה בהתמודדות עם מחלה, ושיתפה את בית המשפט בהלם שאחז במשפחתו של הנאשם, לאחר שנודע על הסתבכותו. האחות ביקשה להתחשב בנאשם ולאפשר לו חיים תקינים בעתיד, ומצדה התחייבה לסייע לו וללוות אותו. </w:t>
      </w:r>
    </w:p>
    <w:p w14:paraId="4CD1893E" w14:textId="77777777" w:rsidR="006D0FE3" w:rsidRDefault="006D0FE3" w:rsidP="006D0FE3">
      <w:pPr>
        <w:spacing w:line="360" w:lineRule="auto"/>
        <w:rPr>
          <w:rtl/>
        </w:rPr>
      </w:pPr>
    </w:p>
    <w:p w14:paraId="1D8AFD72" w14:textId="77777777" w:rsidR="006D0FE3" w:rsidRDefault="006D0FE3" w:rsidP="006D0FE3">
      <w:pPr>
        <w:spacing w:line="360" w:lineRule="auto"/>
        <w:ind w:left="720" w:hanging="720"/>
        <w:jc w:val="both"/>
        <w:rPr>
          <w:rtl/>
        </w:rPr>
      </w:pPr>
      <w:r>
        <w:rPr>
          <w:rFonts w:hint="cs"/>
          <w:rtl/>
        </w:rPr>
        <w:t>6.</w:t>
      </w:r>
      <w:r>
        <w:rPr>
          <w:rFonts w:hint="cs"/>
          <w:rtl/>
        </w:rPr>
        <w:tab/>
        <w:t xml:space="preserve">ב"כ הנאשם ביקש לבטל את הרשעתו בדין, והפנה לכך שמדובר, טרם ההסתבכות, באיש שב"ס שהחזיק במשרתו 9 שנים ותיפקד בה באופן חיובי. הסניגור מיקד את תאונת הדרכים הקשה שבה היה הנאשם מעורב ובה נפצע, כנקודת מפנה שלילית שבעטיה נגרר לשימוש בסמים, ומאוחר יותר לגידולם. הודגש הצורך לאפשר לנאשם לשקם את מצבו הכלכלי, שכן עבודתו בשב"ס הופסקה. נאמר, כי הנאשם עתיד לסיים את לימודיו וברצונו לעבוד כהנדסאי בניין, וכי בנוסף הוא מחזיק ברישיון לתיווך מקרקעין, וכי תחומי פרנסה אלה עלולים להיפגע, אם ההרשעה בדין תיוותר על כנה. הוצג מכתב ממעסיק בעסק תיווך נדל"ן, שבו נאמר כי אם בית המשפט ירשיע את הנאשם, לא יוכל אותו מעסיק להעסיקו, וכי רישיון תיווך הנדל"ן שלו יישלל. הוגשו גם מסמכים רפואיים ואישורי לימודים. </w:t>
      </w:r>
    </w:p>
    <w:p w14:paraId="7829C3CB" w14:textId="77777777" w:rsidR="006D0FE3" w:rsidRDefault="006D0FE3" w:rsidP="006D0FE3">
      <w:pPr>
        <w:spacing w:line="360" w:lineRule="auto"/>
        <w:jc w:val="both"/>
        <w:rPr>
          <w:rtl/>
        </w:rPr>
      </w:pPr>
    </w:p>
    <w:p w14:paraId="75494A97" w14:textId="77777777" w:rsidR="006D0FE3" w:rsidRDefault="006D0FE3" w:rsidP="006D0FE3">
      <w:pPr>
        <w:spacing w:line="360" w:lineRule="auto"/>
        <w:ind w:left="720"/>
        <w:jc w:val="both"/>
        <w:rPr>
          <w:rtl/>
        </w:rPr>
      </w:pPr>
      <w:r>
        <w:rPr>
          <w:rFonts w:hint="cs"/>
          <w:rtl/>
        </w:rPr>
        <w:t xml:space="preserve">מבלי להמעיט מחומרת העבירה, הפנה ב"כ הנאשם לכך שכמות השתילים והסמים לא היתה גדולה יחסית למקרים אחרים, שאליהם הפנה בהגישו פסיקה. לנוכח כל האמור לעיל, ביקש ב"כ הנאשם לבטל את הרשעתו ולקבל לגביו את המלצת שרות המבחן. </w:t>
      </w:r>
    </w:p>
    <w:p w14:paraId="17BF68D6" w14:textId="77777777" w:rsidR="006D0FE3" w:rsidRDefault="006D0FE3" w:rsidP="006D0FE3">
      <w:pPr>
        <w:spacing w:line="360" w:lineRule="auto"/>
        <w:jc w:val="both"/>
        <w:rPr>
          <w:rtl/>
        </w:rPr>
      </w:pPr>
    </w:p>
    <w:p w14:paraId="25259576" w14:textId="77777777" w:rsidR="006D0FE3" w:rsidRDefault="006D0FE3" w:rsidP="006D0FE3">
      <w:pPr>
        <w:spacing w:line="360" w:lineRule="auto"/>
        <w:jc w:val="both"/>
        <w:rPr>
          <w:rtl/>
        </w:rPr>
      </w:pPr>
      <w:r>
        <w:rPr>
          <w:rFonts w:hint="cs"/>
          <w:rtl/>
        </w:rPr>
        <w:t>7.</w:t>
      </w:r>
      <w:r>
        <w:rPr>
          <w:rFonts w:hint="cs"/>
          <w:rtl/>
        </w:rPr>
        <w:tab/>
        <w:t xml:space="preserve">הנאשם הביע חרטה ובושה על מעשיו, וביקש להתחשב  בו ולהימנע מפגיעה בעתידו. </w:t>
      </w:r>
    </w:p>
    <w:p w14:paraId="2DE3A0CB" w14:textId="77777777" w:rsidR="006D0FE3" w:rsidRDefault="006D0FE3" w:rsidP="006D0FE3">
      <w:pPr>
        <w:rPr>
          <w:rtl/>
        </w:rPr>
      </w:pPr>
    </w:p>
    <w:p w14:paraId="109C45D2" w14:textId="77777777" w:rsidR="006D0FE3" w:rsidRDefault="006D0FE3" w:rsidP="006D0FE3">
      <w:pPr>
        <w:spacing w:line="360" w:lineRule="auto"/>
        <w:jc w:val="both"/>
        <w:rPr>
          <w:rFonts w:ascii="Calibri" w:hAnsi="Calibri"/>
          <w:b/>
          <w:bCs/>
          <w:u w:val="single"/>
          <w:rtl/>
        </w:rPr>
      </w:pPr>
    </w:p>
    <w:p w14:paraId="562F33FF" w14:textId="77777777" w:rsidR="006D0FE3" w:rsidRDefault="006D0FE3" w:rsidP="006D0FE3">
      <w:pPr>
        <w:spacing w:line="360" w:lineRule="auto"/>
        <w:jc w:val="both"/>
        <w:rPr>
          <w:rFonts w:ascii="Calibri" w:hAnsi="Calibri"/>
          <w:rtl/>
        </w:rPr>
      </w:pPr>
      <w:r>
        <w:rPr>
          <w:rFonts w:ascii="Calibri" w:hAnsi="Calibri" w:hint="cs"/>
          <w:b/>
          <w:bCs/>
          <w:u w:val="single"/>
          <w:rtl/>
        </w:rPr>
        <w:t>דיון והכרעה</w:t>
      </w:r>
    </w:p>
    <w:p w14:paraId="6BEAAC01" w14:textId="77777777" w:rsidR="006D0FE3" w:rsidRDefault="006D0FE3" w:rsidP="006D0FE3">
      <w:pPr>
        <w:spacing w:line="360" w:lineRule="auto"/>
        <w:jc w:val="both"/>
        <w:rPr>
          <w:rFonts w:ascii="Calibri" w:hAnsi="Calibri"/>
          <w:rtl/>
        </w:rPr>
      </w:pPr>
    </w:p>
    <w:p w14:paraId="24D5918F" w14:textId="77777777" w:rsidR="006D0FE3" w:rsidRDefault="006D0FE3" w:rsidP="006D0FE3">
      <w:pPr>
        <w:spacing w:line="360" w:lineRule="auto"/>
        <w:jc w:val="both"/>
        <w:rPr>
          <w:rFonts w:ascii="Calibri" w:hAnsi="Calibri"/>
          <w:u w:val="single"/>
          <w:rtl/>
        </w:rPr>
      </w:pPr>
      <w:r>
        <w:rPr>
          <w:rFonts w:ascii="Calibri" w:hAnsi="Calibri" w:hint="cs"/>
          <w:u w:val="single"/>
          <w:rtl/>
        </w:rPr>
        <w:t>שאלת ההרשעה בדין</w:t>
      </w:r>
    </w:p>
    <w:p w14:paraId="303DE3B5" w14:textId="77777777" w:rsidR="006D0FE3" w:rsidRDefault="006D0FE3" w:rsidP="006D0FE3">
      <w:pPr>
        <w:spacing w:line="360" w:lineRule="auto"/>
        <w:jc w:val="both"/>
        <w:rPr>
          <w:b/>
          <w:bCs/>
          <w:u w:val="single"/>
          <w:rtl/>
        </w:rPr>
      </w:pPr>
    </w:p>
    <w:p w14:paraId="5155588A" w14:textId="77777777" w:rsidR="006D0FE3" w:rsidRDefault="006D0FE3" w:rsidP="006D0FE3">
      <w:pPr>
        <w:spacing w:line="360" w:lineRule="auto"/>
        <w:jc w:val="both"/>
        <w:rPr>
          <w:rFonts w:ascii="David" w:hAnsi="David"/>
          <w:rtl/>
        </w:rPr>
      </w:pPr>
      <w:r>
        <w:rPr>
          <w:rFonts w:hint="cs"/>
          <w:rtl/>
        </w:rPr>
        <w:t>8.</w:t>
      </w:r>
      <w:r w:rsidR="004565F5">
        <w:rPr>
          <w:rFonts w:hint="cs"/>
          <w:rtl/>
        </w:rPr>
        <w:t xml:space="preserve">        </w:t>
      </w:r>
      <w:r>
        <w:rPr>
          <w:rFonts w:hint="cs"/>
          <w:rtl/>
        </w:rPr>
        <w:t xml:space="preserve"> הכלל בהליך הפלילי הנו, כי נאשם בגיר, שהוכחה אשמתו - יורשע בדין.</w:t>
      </w:r>
    </w:p>
    <w:p w14:paraId="52329267" w14:textId="77777777" w:rsidR="006D0FE3" w:rsidRDefault="006D0FE3" w:rsidP="006D0FE3">
      <w:pPr>
        <w:spacing w:line="360" w:lineRule="auto"/>
        <w:ind w:left="720"/>
        <w:jc w:val="both"/>
      </w:pPr>
      <w:r>
        <w:rPr>
          <w:rFonts w:hint="cs"/>
          <w:rtl/>
        </w:rPr>
        <w:t>הימנעות מהרשעה הנה חריג לכלל, המוצדק רק במקרים נדירים וחריגים, בהם אין יחס סביר בין הנזק הצפוי לנאשם מן ההרשעה, אשר יש לקבוע כי הוא ממשי וחריף,</w:t>
      </w:r>
      <w:r w:rsidR="004565F5">
        <w:rPr>
          <w:rFonts w:hint="cs"/>
          <w:rtl/>
        </w:rPr>
        <w:t xml:space="preserve"> </w:t>
      </w:r>
      <w:r>
        <w:rPr>
          <w:rFonts w:hint="cs"/>
          <w:rtl/>
        </w:rPr>
        <w:t xml:space="preserve"> לבין היעדר חומרתה של העבירה, שניתן להימנע מהרשעת מבצעה, מבלי שהדבר יפגע באינטרס הציבורי ובערך המוגן.</w:t>
      </w:r>
    </w:p>
    <w:p w14:paraId="79276550" w14:textId="77777777" w:rsidR="006D0FE3" w:rsidRDefault="006D0FE3" w:rsidP="006D0FE3">
      <w:pPr>
        <w:spacing w:line="360" w:lineRule="auto"/>
        <w:ind w:right="850"/>
        <w:jc w:val="both"/>
        <w:rPr>
          <w:b/>
          <w:bCs/>
          <w:rtl/>
        </w:rPr>
      </w:pPr>
    </w:p>
    <w:p w14:paraId="77669D7A" w14:textId="77777777" w:rsidR="006D0FE3" w:rsidRDefault="006D0FE3" w:rsidP="006D0FE3">
      <w:pPr>
        <w:spacing w:line="360" w:lineRule="auto"/>
        <w:ind w:left="720" w:hanging="720"/>
        <w:jc w:val="both"/>
        <w:rPr>
          <w:rtl/>
        </w:rPr>
      </w:pPr>
      <w:r>
        <w:rPr>
          <w:rFonts w:hint="cs"/>
          <w:rtl/>
        </w:rPr>
        <w:t>9.</w:t>
      </w:r>
      <w:r w:rsidR="004565F5">
        <w:rPr>
          <w:rFonts w:hint="cs"/>
          <w:rtl/>
        </w:rPr>
        <w:t xml:space="preserve">        </w:t>
      </w:r>
      <w:r>
        <w:rPr>
          <w:rFonts w:hint="cs"/>
          <w:rtl/>
        </w:rPr>
        <w:t xml:space="preserve"> הכלל המנחה לגבי הימנעות מהרשעה, נקבע ב </w:t>
      </w:r>
      <w:hyperlink r:id="rId18" w:history="1">
        <w:r w:rsidR="004565F5" w:rsidRPr="004565F5">
          <w:rPr>
            <w:color w:val="0000FF"/>
            <w:u w:val="single"/>
            <w:rtl/>
          </w:rPr>
          <w:t>ע"פ 2083/96</w:t>
        </w:r>
      </w:hyperlink>
      <w:r>
        <w:rPr>
          <w:rFonts w:hint="cs"/>
          <w:rtl/>
        </w:rPr>
        <w:t xml:space="preserve"> </w:t>
      </w:r>
      <w:r>
        <w:rPr>
          <w:rFonts w:hint="cs"/>
          <w:b/>
          <w:bCs/>
          <w:rtl/>
        </w:rPr>
        <w:t>תמר כתב נגד מדינת ישראל</w:t>
      </w:r>
      <w:r>
        <w:rPr>
          <w:rFonts w:hint="cs"/>
          <w:rtl/>
        </w:rPr>
        <w:t xml:space="preserve">,  שם נקבע כי הימנעות מהרשעה תהיה מוצדקת רק בהתקיים שני תנאים מצטברים – ראשית, על ההרשעה לפגוע פגיעה חמורה בשיקום הנאשם, ושנית, סוג העבירה מאפשר לוותר בנסיבות המקרה המסוים על ההרשעה בלי לפגוע באופן מהותי בשיקולי הענישה. </w:t>
      </w:r>
    </w:p>
    <w:p w14:paraId="36B4556B" w14:textId="77777777" w:rsidR="006D0FE3" w:rsidRDefault="006D0FE3" w:rsidP="006D0FE3">
      <w:pPr>
        <w:spacing w:line="360" w:lineRule="auto"/>
        <w:jc w:val="both"/>
        <w:rPr>
          <w:rtl/>
        </w:rPr>
      </w:pPr>
    </w:p>
    <w:p w14:paraId="3F3DCCB4" w14:textId="77777777" w:rsidR="006D0FE3" w:rsidRDefault="006D0FE3" w:rsidP="006D0FE3">
      <w:pPr>
        <w:spacing w:line="360" w:lineRule="auto"/>
        <w:ind w:left="720"/>
        <w:jc w:val="both"/>
        <w:rPr>
          <w:rtl/>
        </w:rPr>
      </w:pPr>
      <w:r>
        <w:rPr>
          <w:rFonts w:hint="cs"/>
          <w:rtl/>
        </w:rPr>
        <w:t>ב</w:t>
      </w:r>
      <w:hyperlink r:id="rId19" w:history="1">
        <w:r w:rsidR="004565F5" w:rsidRPr="004565F5">
          <w:rPr>
            <w:color w:val="0000FF"/>
            <w:u w:val="single"/>
            <w:rtl/>
          </w:rPr>
          <w:t>רע"פ 1439/13</w:t>
        </w:r>
      </w:hyperlink>
      <w:r>
        <w:rPr>
          <w:rFonts w:hint="cs"/>
          <w:b/>
          <w:bCs/>
          <w:rtl/>
        </w:rPr>
        <w:t xml:space="preserve"> אליהו קשת נגד מדינת ישראל</w:t>
      </w:r>
      <w:r>
        <w:rPr>
          <w:rFonts w:hint="cs"/>
          <w:rtl/>
        </w:rPr>
        <w:t>, חזר בית המשפט העליון על ההלכה שנקבעה בהלכת כתב.</w:t>
      </w:r>
    </w:p>
    <w:p w14:paraId="40E2DF45" w14:textId="77777777" w:rsidR="006D0FE3" w:rsidRDefault="006D0FE3" w:rsidP="006D0FE3">
      <w:pPr>
        <w:spacing w:line="360" w:lineRule="auto"/>
        <w:jc w:val="both"/>
        <w:rPr>
          <w:rtl/>
        </w:rPr>
      </w:pPr>
    </w:p>
    <w:p w14:paraId="5A9C37A7" w14:textId="77777777" w:rsidR="006D0FE3" w:rsidRDefault="006D0FE3" w:rsidP="006D0FE3">
      <w:pPr>
        <w:spacing w:line="360" w:lineRule="auto"/>
        <w:ind w:left="1440" w:right="850"/>
        <w:jc w:val="both"/>
        <w:rPr>
          <w:b/>
          <w:bCs/>
          <w:rtl/>
        </w:rPr>
      </w:pPr>
      <w:r>
        <w:rPr>
          <w:rFonts w:hint="cs"/>
          <w:b/>
          <w:bCs/>
          <w:rtl/>
        </w:rPr>
        <w:t>"כפי שכבר קבעתי במקום אחר, הכללים בסוגיית ההימנעות מהרשעה הותוו על-ידי בית-משפט זה ב</w:t>
      </w:r>
      <w:r w:rsidRPr="00970586">
        <w:rPr>
          <w:rFonts w:hint="cs"/>
          <w:rtl/>
        </w:rPr>
        <w:t xml:space="preserve"> </w:t>
      </w:r>
      <w:hyperlink r:id="rId20" w:history="1">
        <w:r w:rsidR="004565F5" w:rsidRPr="004565F5">
          <w:rPr>
            <w:color w:val="0000FF"/>
            <w:u w:val="single"/>
            <w:rtl/>
          </w:rPr>
          <w:t>ע"פ 2083/96</w:t>
        </w:r>
      </w:hyperlink>
      <w:r>
        <w:rPr>
          <w:rFonts w:hint="cs"/>
          <w:rtl/>
        </w:rPr>
        <w:t xml:space="preserve"> </w:t>
      </w:r>
      <w:r>
        <w:rPr>
          <w:rFonts w:hint="cs"/>
          <w:b/>
          <w:bCs/>
          <w:rtl/>
        </w:rPr>
        <w:t>תמר כתב נגד מדינת ישראל  פדי נב(3) 337, 342-341 (1997), בו נקבע, כי הימנעות מהרשעה תתאפשר בהתקיימם של שני תנאים מצטברים: ראשית, על עצם ההרשעה לפגוע פגיעה חמורה בשיקומו או בעתידו של הנאשם; ושנית, סוג העבירה המיוחסת לנאשם, מאפשרת להימנע, בנסיבות המקרה, מהרשעה, וזאת, מבלי לפגוע בשיקולי ענישה אחרים..."</w:t>
      </w:r>
    </w:p>
    <w:p w14:paraId="360FD67D" w14:textId="77777777" w:rsidR="006D0FE3" w:rsidRDefault="006D0FE3" w:rsidP="006D0FE3">
      <w:pPr>
        <w:spacing w:line="360" w:lineRule="auto"/>
        <w:ind w:left="850" w:right="850"/>
        <w:jc w:val="both"/>
        <w:rPr>
          <w:b/>
          <w:bCs/>
          <w:rtl/>
        </w:rPr>
      </w:pPr>
    </w:p>
    <w:p w14:paraId="18A44491" w14:textId="77777777" w:rsidR="006D0FE3" w:rsidRDefault="006D0FE3" w:rsidP="006D0FE3">
      <w:pPr>
        <w:spacing w:line="360" w:lineRule="auto"/>
        <w:ind w:left="720" w:hanging="720"/>
        <w:contextualSpacing/>
        <w:jc w:val="both"/>
        <w:rPr>
          <w:rtl/>
        </w:rPr>
      </w:pPr>
      <w:r>
        <w:rPr>
          <w:rFonts w:hint="cs"/>
          <w:rtl/>
        </w:rPr>
        <w:t>10.</w:t>
      </w:r>
      <w:r w:rsidR="004565F5">
        <w:rPr>
          <w:rFonts w:hint="cs"/>
          <w:rtl/>
        </w:rPr>
        <w:t xml:space="preserve">        </w:t>
      </w:r>
      <w:r>
        <w:rPr>
          <w:rFonts w:hint="cs"/>
          <w:rtl/>
        </w:rPr>
        <w:t xml:space="preserve"> אם כן,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מהרשעת מבצעה תהיה פחות סבירה ובלתי מוצדקת, ותתאפשר, אם בכלל, רק מקום בו תוכח פגיעה ניכרת וקשה בעתידו של הנאשם.</w:t>
      </w:r>
    </w:p>
    <w:p w14:paraId="70E72944" w14:textId="77777777" w:rsidR="006D0FE3" w:rsidRDefault="006D0FE3" w:rsidP="006D0FE3">
      <w:pPr>
        <w:spacing w:line="360" w:lineRule="auto"/>
        <w:jc w:val="both"/>
        <w:rPr>
          <w:rtl/>
        </w:rPr>
      </w:pPr>
    </w:p>
    <w:p w14:paraId="6F27178D" w14:textId="77777777" w:rsidR="006D0FE3" w:rsidRDefault="006D0FE3" w:rsidP="006D0FE3">
      <w:pPr>
        <w:spacing w:line="360" w:lineRule="auto"/>
        <w:ind w:left="720" w:hanging="720"/>
        <w:jc w:val="both"/>
        <w:rPr>
          <w:rtl/>
        </w:rPr>
      </w:pPr>
      <w:r>
        <w:rPr>
          <w:rFonts w:hint="cs"/>
          <w:rtl/>
        </w:rPr>
        <w:t>11.</w:t>
      </w:r>
      <w:r w:rsidR="004565F5">
        <w:rPr>
          <w:rFonts w:hint="cs"/>
          <w:rtl/>
        </w:rPr>
        <w:t xml:space="preserve">       </w:t>
      </w:r>
      <w:r>
        <w:rPr>
          <w:rFonts w:hint="cs"/>
          <w:rtl/>
        </w:rPr>
        <w:t xml:space="preserve"> שקלתי את נסיבותיו של כתב האישום המתוקן, ומצאתי כי לא ניתן לבטל את הרשעתו של הנאשם בגין העבירות שביצע. נסיבותיו החמורות של כתב האישום, עבירות הסמים שבוצעו בתחכום, תכנון ובהיקף משמעותי, שוללות במקרה זה ביטול הרשעה, וזאת גם אילו הייתי מוצאת כי הרשעה בדין עלולה לפגוע פגיעה קונקרטית בעתידו של הנאשם. </w:t>
      </w:r>
    </w:p>
    <w:p w14:paraId="49BF742F" w14:textId="77777777" w:rsidR="006D0FE3" w:rsidRDefault="006D0FE3" w:rsidP="006D0FE3">
      <w:pPr>
        <w:spacing w:line="360" w:lineRule="auto"/>
        <w:ind w:left="720"/>
        <w:jc w:val="both"/>
        <w:rPr>
          <w:rtl/>
        </w:rPr>
      </w:pPr>
      <w:r>
        <w:rPr>
          <w:rFonts w:hint="cs"/>
          <w:rtl/>
        </w:rPr>
        <w:t xml:space="preserve">כפי שיפורט בהמשך, מצאתי כי במקרה זה פגיעה הקונקרטית המשמעותית במישור התעסוקתי כבר נעשתה, וזאת משום שהנאשם, מטבע הדברים, ודומה כי אין צורך להרחיב על כך מילים, פוטר משרות בתי הסוהר עקב הסתבכותו, מעצרו ואישומו, וזאת ללא כל קשר לאופן סיום ההליך. תוכניותיו לעתיד כפי שהוצגו בפני, אינן כאלה אשר הרשעה בפלילים תסכלן בהכרח.  ואולם אדגיש שוב, כי גם אילו שוכנעתי בפגיעה וודאית במישור התעסוקתי, לא היה בכך כדי לשכנע, בנסיבות הנוכחיות, לבטל את ההרשעה. </w:t>
      </w:r>
    </w:p>
    <w:p w14:paraId="50D90192" w14:textId="77777777" w:rsidR="006D0FE3" w:rsidRDefault="006D0FE3" w:rsidP="006D0FE3">
      <w:pPr>
        <w:spacing w:line="360" w:lineRule="auto"/>
        <w:ind w:left="720" w:hanging="720"/>
        <w:jc w:val="both"/>
        <w:rPr>
          <w:rtl/>
        </w:rPr>
      </w:pPr>
    </w:p>
    <w:p w14:paraId="301E175B" w14:textId="77777777" w:rsidR="006D0FE3" w:rsidRDefault="006D0FE3" w:rsidP="006D0FE3">
      <w:pPr>
        <w:spacing w:line="360" w:lineRule="auto"/>
        <w:ind w:left="720" w:hanging="720"/>
        <w:jc w:val="both"/>
        <w:rPr>
          <w:rtl/>
        </w:rPr>
      </w:pPr>
      <w:r>
        <w:rPr>
          <w:rFonts w:hint="cs"/>
          <w:rtl/>
        </w:rPr>
        <w:t>12.</w:t>
      </w:r>
      <w:r>
        <w:rPr>
          <w:rFonts w:hint="cs"/>
          <w:rtl/>
        </w:rPr>
        <w:tab/>
        <w:t xml:space="preserve">מדובר בהתנהגות פלילית המאופיינת בתכנון, יוזמה, הצטיידות ופעילות מתמשכת, שהחלה, בהקמת "מעבדת סמים" בחדר, מוסתר במתכוון על ידי מזרון שנשען על הדלת. התנהגות ארוכת טווח מהסוג האמור, לא ניתנת לתפיסה כ"מעידה". המושג  "מעידה" הולם מטבע הגדרתו התנהגויות שמקורן בטעות בשיקול הדעת, בחירה שגויה ב "פניה לא נכונה", מבלי שניתן, בשל אותה טעות רגעית, לחזור חזרה  ולתקן את המשגה. זו איננה התמונה המצטיירת כאן. מדובר בסוהר פעיל של רשות בתי הסוהר, מעמד שמשמעויותיו ברורות, הבוחר להקים בביתו מעבדת סמים. </w:t>
      </w:r>
    </w:p>
    <w:p w14:paraId="0D72C552" w14:textId="77777777" w:rsidR="006D0FE3" w:rsidRDefault="006D0FE3" w:rsidP="006D0FE3">
      <w:pPr>
        <w:spacing w:line="360" w:lineRule="auto"/>
        <w:ind w:left="720"/>
        <w:jc w:val="both"/>
        <w:rPr>
          <w:rtl/>
        </w:rPr>
      </w:pPr>
      <w:r>
        <w:rPr>
          <w:rFonts w:hint="cs"/>
          <w:rtl/>
        </w:rPr>
        <w:t xml:space="preserve">אין דרך לקיים ולבצע גידול סמים בקנה המידה הנתון, מבלי לקיים על בסיס קבוע מעקב אחר הגידול, והמסקנה היא כי הנאשם, במשך זמן לא ידוע –  טיפח ליווה וטיפל בשתילים אותם שתל. מדובר בפרק זמן, לא ברגע חולף, של פעילות פלילית, שנעשתה מדעת, ואשר הניבה תנובה לא מבוטלת של סמים, סה"כ במשקל העולה על 700 ג', והייתה עלולה, אלמלא נחשפה, להגיע לקנה מידה גדול הרבה יותר. </w:t>
      </w:r>
    </w:p>
    <w:p w14:paraId="0708844E" w14:textId="77777777" w:rsidR="006D0FE3" w:rsidRDefault="006D0FE3" w:rsidP="006D0FE3">
      <w:pPr>
        <w:spacing w:line="360" w:lineRule="auto"/>
        <w:ind w:left="720" w:hanging="720"/>
        <w:jc w:val="both"/>
        <w:rPr>
          <w:rtl/>
        </w:rPr>
      </w:pPr>
    </w:p>
    <w:p w14:paraId="6CC84993" w14:textId="77777777" w:rsidR="006D0FE3" w:rsidRDefault="006D0FE3" w:rsidP="006D0FE3">
      <w:pPr>
        <w:spacing w:line="360" w:lineRule="auto"/>
        <w:ind w:left="720" w:hanging="720"/>
        <w:jc w:val="both"/>
        <w:rPr>
          <w:rtl/>
        </w:rPr>
      </w:pPr>
      <w:r>
        <w:rPr>
          <w:rFonts w:hint="cs"/>
          <w:rtl/>
        </w:rPr>
        <w:t>13.</w:t>
      </w:r>
      <w:r>
        <w:rPr>
          <w:rFonts w:hint="cs"/>
          <w:rtl/>
        </w:rPr>
        <w:tab/>
        <w:t xml:space="preserve">עבירות הסמים מגינות על ערכים חשובים, שהעיקרי בהם הוא בריאות הציבור, שכן הנזק הגופני הנגרם משימוש בסמים, הוכר וגונה בפסיקת בית המשפט העליון פעמים רבות. מלבד הנזק הגופני הישיר הנגרם מצריכת סמים למשתמשים, מגינות עבירות הסמים על ערכים רחבים רבים, שעניינם שלום הציבור במובן הרחב, מניעת עבריינות בתחומי הרכוש והאלימות, שכן קיים קשר ברור בין הפצת סמים וצריכתם, לעבירות חמורות המבוצעות על רקע צריכת סמים, ולשם השגתם ומימונם. </w:t>
      </w:r>
    </w:p>
    <w:p w14:paraId="5ABB70CE" w14:textId="77777777" w:rsidR="006D0FE3" w:rsidRDefault="006D0FE3" w:rsidP="006D0FE3">
      <w:pPr>
        <w:spacing w:line="360" w:lineRule="auto"/>
        <w:ind w:left="720" w:hanging="720"/>
        <w:jc w:val="both"/>
        <w:rPr>
          <w:rtl/>
        </w:rPr>
      </w:pPr>
    </w:p>
    <w:p w14:paraId="63E377F5" w14:textId="77777777" w:rsidR="006D0FE3" w:rsidRDefault="006D0FE3" w:rsidP="006D0FE3">
      <w:pPr>
        <w:spacing w:line="360" w:lineRule="auto"/>
        <w:ind w:left="720"/>
        <w:jc w:val="both"/>
        <w:rPr>
          <w:rFonts w:ascii="Calibri" w:hAnsi="Calibri"/>
          <w:rtl/>
        </w:rPr>
      </w:pPr>
      <w:r>
        <w:rPr>
          <w:rFonts w:hint="cs"/>
          <w:rtl/>
        </w:rPr>
        <w:t xml:space="preserve">ראה לעניין זה את דברי בית המשפט העליון ב </w:t>
      </w:r>
      <w:hyperlink r:id="rId21" w:history="1">
        <w:r w:rsidR="004565F5" w:rsidRPr="004565F5">
          <w:rPr>
            <w:color w:val="0000FF"/>
            <w:u w:val="single"/>
            <w:rtl/>
          </w:rPr>
          <w:t>ע"פ 3172/13</w:t>
        </w:r>
      </w:hyperlink>
      <w:r>
        <w:rPr>
          <w:rFonts w:hint="cs"/>
          <w:rtl/>
        </w:rPr>
        <w:t xml:space="preserve">  </w:t>
      </w:r>
      <w:r>
        <w:rPr>
          <w:rFonts w:hint="cs"/>
          <w:b/>
          <w:bCs/>
          <w:rtl/>
        </w:rPr>
        <w:t>סואעד</w:t>
      </w:r>
      <w:r>
        <w:rPr>
          <w:rFonts w:hint="cs"/>
          <w:b/>
          <w:bCs/>
        </w:rPr>
        <w:t xml:space="preserve"> </w:t>
      </w:r>
      <w:r>
        <w:rPr>
          <w:rFonts w:hint="cs"/>
          <w:b/>
          <w:bCs/>
          <w:rtl/>
        </w:rPr>
        <w:t>נ'</w:t>
      </w:r>
      <w:r>
        <w:rPr>
          <w:rFonts w:hint="cs"/>
          <w:b/>
          <w:bCs/>
        </w:rPr>
        <w:t xml:space="preserve"> </w:t>
      </w:r>
      <w:r>
        <w:rPr>
          <w:rFonts w:hint="cs"/>
          <w:b/>
          <w:bCs/>
          <w:rtl/>
        </w:rPr>
        <w:t>מדינת ישראל</w:t>
      </w:r>
      <w:r>
        <w:rPr>
          <w:rFonts w:hint="cs"/>
          <w:rtl/>
        </w:rPr>
        <w:t>:</w:t>
      </w:r>
    </w:p>
    <w:p w14:paraId="287DEC24" w14:textId="77777777" w:rsidR="006D0FE3" w:rsidRDefault="006D0FE3" w:rsidP="006D0FE3">
      <w:pPr>
        <w:spacing w:line="360" w:lineRule="auto"/>
        <w:jc w:val="both"/>
        <w:rPr>
          <w:rFonts w:ascii="Calibri" w:hAnsi="Calibri"/>
          <w:rtl/>
        </w:rPr>
      </w:pPr>
    </w:p>
    <w:p w14:paraId="01D8D768" w14:textId="77777777" w:rsidR="006D0FE3" w:rsidRDefault="006D0FE3" w:rsidP="006D0FE3">
      <w:pPr>
        <w:spacing w:line="360" w:lineRule="auto"/>
        <w:ind w:left="1440" w:right="850"/>
        <w:jc w:val="both"/>
        <w:rPr>
          <w:rFonts w:ascii="Calibri" w:hAnsi="Calibri"/>
          <w:b/>
          <w:bCs/>
          <w:rtl/>
        </w:rPr>
      </w:pPr>
      <w:r>
        <w:rPr>
          <w:rFonts w:ascii="Calibri" w:hAnsi="Calibri" w:hint="cs"/>
          <w:b/>
          <w:bCs/>
          <w:rtl/>
        </w:rPr>
        <w:t>"על</w:t>
      </w:r>
      <w:r>
        <w:rPr>
          <w:rFonts w:ascii="Calibri" w:hAnsi="Calibri"/>
          <w:b/>
          <w:bCs/>
        </w:rPr>
        <w:t xml:space="preserve"> </w:t>
      </w:r>
      <w:r>
        <w:rPr>
          <w:rFonts w:ascii="Calibri" w:hAnsi="Calibri" w:hint="cs"/>
          <w:b/>
          <w:bCs/>
          <w:rtl/>
        </w:rPr>
        <w:t>פגיעתן</w:t>
      </w:r>
      <w:r>
        <w:rPr>
          <w:rFonts w:ascii="Calibri" w:hAnsi="Calibri"/>
          <w:b/>
          <w:bCs/>
        </w:rPr>
        <w:t xml:space="preserve"> </w:t>
      </w:r>
      <w:r>
        <w:rPr>
          <w:rFonts w:ascii="Calibri" w:hAnsi="Calibri" w:hint="cs"/>
          <w:b/>
          <w:bCs/>
          <w:rtl/>
        </w:rPr>
        <w:t>הרבה</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עבירות</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ועל</w:t>
      </w:r>
      <w:r>
        <w:rPr>
          <w:rFonts w:ascii="Calibri" w:hAnsi="Calibri"/>
          <w:b/>
          <w:bCs/>
        </w:rPr>
        <w:t xml:space="preserve"> </w:t>
      </w:r>
      <w:r>
        <w:rPr>
          <w:rFonts w:ascii="Calibri" w:hAnsi="Calibri" w:hint="cs"/>
          <w:b/>
          <w:bCs/>
          <w:rtl/>
        </w:rPr>
        <w:t>תפקידו</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המשפט</w:t>
      </w:r>
      <w:r>
        <w:rPr>
          <w:rFonts w:ascii="Calibri" w:hAnsi="Calibri"/>
          <w:b/>
          <w:bCs/>
        </w:rPr>
        <w:t xml:space="preserve"> </w:t>
      </w:r>
      <w:r>
        <w:rPr>
          <w:rFonts w:ascii="Calibri" w:hAnsi="Calibri" w:hint="cs"/>
          <w:b/>
          <w:bCs/>
          <w:rtl/>
        </w:rPr>
        <w:t>במאבק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לצד</w:t>
      </w:r>
      <w:r>
        <w:rPr>
          <w:rFonts w:ascii="Calibri" w:hAnsi="Calibri"/>
          <w:b/>
          <w:bCs/>
        </w:rPr>
        <w:t xml:space="preserve"> </w:t>
      </w:r>
      <w:r>
        <w:rPr>
          <w:rFonts w:ascii="Calibri" w:hAnsi="Calibri" w:hint="cs"/>
          <w:b/>
          <w:bCs/>
          <w:rtl/>
        </w:rPr>
        <w:t>גורמים</w:t>
      </w:r>
      <w:r>
        <w:rPr>
          <w:rFonts w:ascii="Calibri" w:hAnsi="Calibri"/>
          <w:b/>
          <w:bCs/>
        </w:rPr>
        <w:t xml:space="preserve"> </w:t>
      </w:r>
      <w:r>
        <w:rPr>
          <w:rFonts w:ascii="Calibri" w:hAnsi="Calibri" w:hint="cs"/>
          <w:b/>
          <w:bCs/>
          <w:rtl/>
        </w:rPr>
        <w:t>וגופים</w:t>
      </w:r>
      <w:r>
        <w:rPr>
          <w:rFonts w:ascii="Calibri" w:hAnsi="Calibri"/>
          <w:b/>
          <w:bCs/>
        </w:rPr>
        <w:t xml:space="preserve"> </w:t>
      </w:r>
      <w:r>
        <w:rPr>
          <w:rFonts w:ascii="Calibri" w:hAnsi="Calibri" w:hint="cs"/>
          <w:b/>
          <w:bCs/>
          <w:rtl/>
        </w:rPr>
        <w:t>נוספים,</w:t>
      </w:r>
      <w:r>
        <w:rPr>
          <w:rFonts w:ascii="Calibri" w:hAnsi="Calibri"/>
          <w:b/>
          <w:bCs/>
        </w:rPr>
        <w:t xml:space="preserve"> </w:t>
      </w:r>
      <w:r>
        <w:rPr>
          <w:rFonts w:ascii="Calibri" w:hAnsi="Calibri" w:hint="cs"/>
          <w:b/>
          <w:bCs/>
          <w:rtl/>
        </w:rPr>
        <w:t>עמד</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משפט</w:t>
      </w:r>
      <w:r>
        <w:rPr>
          <w:rFonts w:ascii="Calibri" w:hAnsi="Calibri"/>
          <w:b/>
          <w:bCs/>
        </w:rPr>
        <w:t xml:space="preserve"> </w:t>
      </w:r>
      <w:r>
        <w:rPr>
          <w:rFonts w:ascii="Calibri" w:hAnsi="Calibri" w:hint="cs"/>
          <w:b/>
          <w:bCs/>
          <w:rtl/>
        </w:rPr>
        <w:t>זה</w:t>
      </w:r>
      <w:r>
        <w:rPr>
          <w:rFonts w:ascii="Calibri" w:hAnsi="Calibri"/>
          <w:b/>
          <w:bCs/>
        </w:rPr>
        <w:t xml:space="preserve"> </w:t>
      </w:r>
      <w:r>
        <w:rPr>
          <w:rFonts w:ascii="Calibri" w:hAnsi="Calibri" w:hint="cs"/>
          <w:b/>
          <w:bCs/>
          <w:rtl/>
        </w:rPr>
        <w:t>פעמים</w:t>
      </w:r>
      <w:r>
        <w:rPr>
          <w:rFonts w:ascii="Calibri" w:hAnsi="Calibri"/>
          <w:b/>
          <w:bCs/>
        </w:rPr>
        <w:t xml:space="preserve"> </w:t>
      </w:r>
      <w:r>
        <w:rPr>
          <w:rFonts w:ascii="Calibri" w:hAnsi="Calibri" w:hint="cs"/>
          <w:b/>
          <w:bCs/>
          <w:rtl/>
        </w:rPr>
        <w:t>רבות...</w:t>
      </w:r>
      <w:r>
        <w:rPr>
          <w:rFonts w:ascii="Calibri" w:hAnsi="Calibri"/>
          <w:b/>
          <w:bCs/>
        </w:rPr>
        <w:t xml:space="preserve"> </w:t>
      </w:r>
      <w:r>
        <w:rPr>
          <w:rFonts w:ascii="Calibri" w:hAnsi="Calibri" w:hint="cs"/>
          <w:b/>
          <w:bCs/>
          <w:rtl/>
        </w:rPr>
        <w:t>אין</w:t>
      </w:r>
      <w:r>
        <w:rPr>
          <w:rFonts w:ascii="Calibri" w:hAnsi="Calibri"/>
          <w:b/>
          <w:bCs/>
        </w:rPr>
        <w:t xml:space="preserve"> </w:t>
      </w:r>
      <w:r>
        <w:rPr>
          <w:rFonts w:ascii="Calibri" w:hAnsi="Calibri" w:hint="cs"/>
          <w:b/>
          <w:bCs/>
          <w:rtl/>
        </w:rPr>
        <w:t>ספור</w:t>
      </w:r>
      <w:r>
        <w:rPr>
          <w:rFonts w:ascii="Calibri" w:hAnsi="Calibri"/>
          <w:b/>
          <w:bCs/>
        </w:rPr>
        <w:t xml:space="preserve"> </w:t>
      </w:r>
      <w:r>
        <w:rPr>
          <w:rFonts w:ascii="Calibri" w:hAnsi="Calibri" w:hint="cs"/>
          <w:b/>
          <w:bCs/>
          <w:rtl/>
        </w:rPr>
        <w:t>מילים</w:t>
      </w:r>
      <w:r>
        <w:rPr>
          <w:rFonts w:ascii="Calibri" w:hAnsi="Calibri"/>
          <w:b/>
          <w:bCs/>
        </w:rPr>
        <w:t xml:space="preserve"> </w:t>
      </w:r>
      <w:r>
        <w:rPr>
          <w:rFonts w:ascii="Calibri" w:hAnsi="Calibri" w:hint="cs"/>
          <w:b/>
          <w:bCs/>
          <w:rtl/>
        </w:rPr>
        <w:t>נאמרו</w:t>
      </w:r>
      <w:r>
        <w:rPr>
          <w:rFonts w:ascii="Calibri" w:hAnsi="Calibri"/>
          <w:b/>
          <w:bCs/>
        </w:rPr>
        <w:t xml:space="preserve"> </w:t>
      </w:r>
      <w:r>
        <w:rPr>
          <w:rFonts w:ascii="Calibri" w:hAnsi="Calibri" w:hint="cs"/>
          <w:b/>
          <w:bCs/>
          <w:rtl/>
        </w:rPr>
        <w:t>בדבר</w:t>
      </w:r>
      <w:r>
        <w:rPr>
          <w:rFonts w:ascii="Calibri" w:hAnsi="Calibri"/>
          <w:b/>
          <w:bCs/>
        </w:rPr>
        <w:t xml:space="preserve"> </w:t>
      </w:r>
      <w:r>
        <w:rPr>
          <w:rFonts w:ascii="Calibri" w:hAnsi="Calibri" w:hint="cs"/>
          <w:b/>
          <w:bCs/>
          <w:rtl/>
        </w:rPr>
        <w:t>הצורך</w:t>
      </w:r>
      <w:r>
        <w:rPr>
          <w:rFonts w:ascii="Calibri" w:hAnsi="Calibri"/>
          <w:b/>
          <w:bCs/>
        </w:rPr>
        <w:t xml:space="preserve"> </w:t>
      </w:r>
      <w:r>
        <w:rPr>
          <w:rFonts w:ascii="Calibri" w:hAnsi="Calibri" w:hint="cs"/>
          <w:b/>
          <w:bCs/>
          <w:rtl/>
        </w:rPr>
        <w:t>להכות</w:t>
      </w:r>
      <w:r>
        <w:rPr>
          <w:rFonts w:ascii="Calibri" w:hAnsi="Calibri"/>
          <w:b/>
          <w:bCs/>
        </w:rPr>
        <w:t xml:space="preserve"> </w:t>
      </w:r>
      <w:r>
        <w:rPr>
          <w:rFonts w:ascii="Calibri" w:hAnsi="Calibri" w:hint="cs"/>
          <w:b/>
          <w:bCs/>
          <w:rtl/>
        </w:rPr>
        <w:t>בכל</w:t>
      </w:r>
      <w:r>
        <w:rPr>
          <w:rFonts w:ascii="Calibri" w:hAnsi="Calibri"/>
          <w:b/>
          <w:bCs/>
        </w:rPr>
        <w:t xml:space="preserve"> </w:t>
      </w:r>
      <w:r>
        <w:rPr>
          <w:rFonts w:ascii="Calibri" w:hAnsi="Calibri" w:hint="cs"/>
          <w:b/>
          <w:bCs/>
          <w:rtl/>
        </w:rPr>
        <w:t>אחת</w:t>
      </w:r>
      <w:r>
        <w:rPr>
          <w:rFonts w:ascii="Calibri" w:hAnsi="Calibri"/>
          <w:b/>
          <w:bCs/>
        </w:rPr>
        <w:t xml:space="preserve"> </w:t>
      </w:r>
      <w:r>
        <w:rPr>
          <w:rFonts w:ascii="Calibri" w:hAnsi="Calibri" w:hint="cs"/>
          <w:b/>
          <w:bCs/>
          <w:rtl/>
        </w:rPr>
        <w:t>ואחת</w:t>
      </w:r>
      <w:r>
        <w:rPr>
          <w:rFonts w:ascii="Calibri" w:hAnsi="Calibri"/>
          <w:b/>
          <w:bCs/>
        </w:rPr>
        <w:t xml:space="preserve"> </w:t>
      </w:r>
      <w:r>
        <w:rPr>
          <w:rFonts w:ascii="Calibri" w:hAnsi="Calibri" w:hint="cs"/>
          <w:b/>
          <w:bCs/>
          <w:rtl/>
        </w:rPr>
        <w:t>מחוליות</w:t>
      </w:r>
      <w:r>
        <w:rPr>
          <w:rFonts w:ascii="Calibri" w:hAnsi="Calibri"/>
          <w:b/>
          <w:bCs/>
        </w:rPr>
        <w:t xml:space="preserve"> </w:t>
      </w:r>
      <w:r>
        <w:rPr>
          <w:rFonts w:ascii="Calibri" w:hAnsi="Calibri" w:hint="cs"/>
          <w:b/>
          <w:bCs/>
          <w:rtl/>
        </w:rPr>
        <w:t>הפצת</w:t>
      </w:r>
      <w:r>
        <w:rPr>
          <w:rFonts w:ascii="Calibri" w:hAnsi="Calibri"/>
          <w:b/>
          <w:bCs/>
        </w:rPr>
        <w:t xml:space="preserve"> </w:t>
      </w:r>
      <w:r>
        <w:rPr>
          <w:rFonts w:ascii="Calibri" w:hAnsi="Calibri" w:hint="cs"/>
          <w:b/>
          <w:bCs/>
          <w:rtl/>
        </w:rPr>
        <w:t>הסם...</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הוא</w:t>
      </w:r>
      <w:r>
        <w:rPr>
          <w:rFonts w:ascii="Calibri" w:hAnsi="Calibri"/>
          <w:b/>
          <w:bCs/>
        </w:rPr>
        <w:t xml:space="preserve"> </w:t>
      </w:r>
      <w:r>
        <w:rPr>
          <w:rFonts w:ascii="Calibri" w:hAnsi="Calibri" w:hint="cs"/>
          <w:b/>
          <w:bCs/>
          <w:rtl/>
        </w:rPr>
        <w:t>סיזיפי</w:t>
      </w:r>
      <w:r>
        <w:rPr>
          <w:rFonts w:ascii="Calibri" w:hAnsi="Calibri"/>
          <w:b/>
          <w:bCs/>
        </w:rPr>
        <w:t xml:space="preserve"> </w:t>
      </w:r>
      <w:r>
        <w:rPr>
          <w:rFonts w:ascii="Calibri" w:hAnsi="Calibri" w:hint="cs"/>
          <w:b/>
          <w:bCs/>
          <w:rtl/>
        </w:rPr>
        <w:t>ואל</w:t>
      </w:r>
      <w:r>
        <w:rPr>
          <w:rFonts w:ascii="Calibri" w:hAnsi="Calibri"/>
          <w:b/>
          <w:bCs/>
        </w:rPr>
        <w:t xml:space="preserve"> </w:t>
      </w:r>
      <w:r>
        <w:rPr>
          <w:rFonts w:ascii="Calibri" w:hAnsi="Calibri" w:hint="cs"/>
          <w:b/>
          <w:bCs/>
          <w:rtl/>
        </w:rPr>
        <w:t>לנו</w:t>
      </w:r>
      <w:r>
        <w:rPr>
          <w:rFonts w:ascii="Calibri" w:hAnsi="Calibri"/>
          <w:b/>
          <w:bCs/>
        </w:rPr>
        <w:t xml:space="preserve"> </w:t>
      </w:r>
      <w:r>
        <w:rPr>
          <w:rFonts w:ascii="Calibri" w:hAnsi="Calibri" w:hint="cs"/>
          <w:b/>
          <w:bCs/>
          <w:rtl/>
        </w:rPr>
        <w:t>להשלות</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עצמנו</w:t>
      </w:r>
      <w:r>
        <w:rPr>
          <w:rFonts w:ascii="Calibri" w:hAnsi="Calibri"/>
          <w:b/>
          <w:bCs/>
        </w:rPr>
        <w:t xml:space="preserve"> </w:t>
      </w:r>
      <w:r>
        <w:rPr>
          <w:rFonts w:ascii="Calibri" w:hAnsi="Calibri" w:hint="cs"/>
          <w:b/>
          <w:bCs/>
          <w:rtl/>
        </w:rPr>
        <w:t>כי</w:t>
      </w:r>
      <w:r>
        <w:rPr>
          <w:rFonts w:ascii="Calibri" w:hAnsi="Calibri"/>
          <w:b/>
          <w:bCs/>
        </w:rPr>
        <w:t xml:space="preserve"> </w:t>
      </w:r>
      <w:r>
        <w:rPr>
          <w:rFonts w:ascii="Calibri" w:hAnsi="Calibri" w:hint="cs"/>
          <w:b/>
          <w:bCs/>
          <w:rtl/>
        </w:rPr>
        <w:t>ענישה</w:t>
      </w:r>
      <w:r>
        <w:rPr>
          <w:rFonts w:ascii="Calibri" w:hAnsi="Calibri"/>
          <w:b/>
          <w:bCs/>
        </w:rPr>
        <w:t xml:space="preserve"> </w:t>
      </w:r>
      <w:r>
        <w:rPr>
          <w:rFonts w:ascii="Calibri" w:hAnsi="Calibri" w:hint="cs"/>
          <w:b/>
          <w:bCs/>
          <w:rtl/>
        </w:rPr>
        <w:t>מכבידה</w:t>
      </w:r>
      <w:r>
        <w:rPr>
          <w:rFonts w:ascii="Calibri" w:hAnsi="Calibri"/>
          <w:b/>
          <w:bCs/>
        </w:rPr>
        <w:t xml:space="preserve"> </w:t>
      </w:r>
      <w:r>
        <w:rPr>
          <w:rFonts w:ascii="Calibri" w:hAnsi="Calibri" w:hint="cs"/>
          <w:b/>
          <w:bCs/>
          <w:rtl/>
        </w:rPr>
        <w:t>תביא</w:t>
      </w:r>
      <w:r>
        <w:rPr>
          <w:rFonts w:ascii="Calibri" w:hAnsi="Calibri"/>
          <w:b/>
          <w:bCs/>
        </w:rPr>
        <w:t xml:space="preserve"> </w:t>
      </w:r>
      <w:r>
        <w:rPr>
          <w:rFonts w:ascii="Calibri" w:hAnsi="Calibri" w:hint="cs"/>
          <w:b/>
          <w:bCs/>
          <w:rtl/>
        </w:rPr>
        <w:t>לחיסול</w:t>
      </w:r>
      <w:r>
        <w:rPr>
          <w:rFonts w:ascii="Calibri" w:hAnsi="Calibri"/>
          <w:b/>
          <w:bCs/>
        </w:rPr>
        <w:t xml:space="preserve"> </w:t>
      </w:r>
      <w:r>
        <w:rPr>
          <w:rFonts w:ascii="Calibri" w:hAnsi="Calibri" w:hint="cs"/>
          <w:b/>
          <w:bCs/>
          <w:rtl/>
        </w:rPr>
        <w:t>הנגע. כל</w:t>
      </w:r>
      <w:r>
        <w:rPr>
          <w:rFonts w:ascii="Calibri" w:hAnsi="Calibri"/>
          <w:b/>
          <w:bCs/>
        </w:rPr>
        <w:t xml:space="preserve"> </w:t>
      </w:r>
      <w:r>
        <w:rPr>
          <w:rFonts w:ascii="Calibri" w:hAnsi="Calibri" w:hint="cs"/>
          <w:b/>
          <w:bCs/>
          <w:rtl/>
        </w:rPr>
        <w:t>עוד</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ביקוש</w:t>
      </w:r>
      <w:r>
        <w:rPr>
          <w:rFonts w:ascii="Calibri" w:hAnsi="Calibri"/>
          <w:b/>
          <w:bCs/>
        </w:rPr>
        <w:t xml:space="preserve"> </w:t>
      </w:r>
      <w:r>
        <w:rPr>
          <w:rFonts w:ascii="Calibri" w:hAnsi="Calibri" w:hint="cs"/>
          <w:b/>
          <w:bCs/>
          <w:rtl/>
        </w:rPr>
        <w:t>לסמים</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היצע, כך</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בישראל</w:t>
      </w:r>
      <w:r>
        <w:rPr>
          <w:rFonts w:ascii="Calibri" w:hAnsi="Calibri"/>
          <w:b/>
          <w:bCs/>
        </w:rPr>
        <w:t xml:space="preserve"> </w:t>
      </w:r>
      <w:r>
        <w:rPr>
          <w:rFonts w:ascii="Calibri" w:hAnsi="Calibri" w:hint="cs"/>
          <w:b/>
          <w:bCs/>
          <w:rtl/>
        </w:rPr>
        <w:t>וכך</w:t>
      </w:r>
      <w:r>
        <w:rPr>
          <w:rFonts w:ascii="Calibri" w:hAnsi="Calibri"/>
          <w:b/>
          <w:bCs/>
        </w:rPr>
        <w:t xml:space="preserve"> </w:t>
      </w:r>
      <w:r>
        <w:rPr>
          <w:rFonts w:ascii="Calibri" w:hAnsi="Calibri" w:hint="cs"/>
          <w:b/>
          <w:bCs/>
          <w:rtl/>
        </w:rPr>
        <w:t>במדינות</w:t>
      </w:r>
      <w:r>
        <w:rPr>
          <w:rFonts w:ascii="Calibri" w:hAnsi="Calibri"/>
          <w:b/>
          <w:bCs/>
        </w:rPr>
        <w:t xml:space="preserve"> </w:t>
      </w:r>
      <w:r>
        <w:rPr>
          <w:rFonts w:ascii="Calibri" w:hAnsi="Calibri" w:hint="cs"/>
          <w:b/>
          <w:bCs/>
          <w:rtl/>
        </w:rPr>
        <w:t>הים. אך</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אינו</w:t>
      </w:r>
      <w:r>
        <w:rPr>
          <w:rFonts w:ascii="Calibri" w:hAnsi="Calibri"/>
          <w:b/>
          <w:bCs/>
        </w:rPr>
        <w:t xml:space="preserve"> </w:t>
      </w:r>
      <w:r>
        <w:rPr>
          <w:rFonts w:ascii="Calibri" w:hAnsi="Calibri" w:hint="cs"/>
          <w:b/>
          <w:bCs/>
          <w:rtl/>
        </w:rPr>
        <w:t>חסר</w:t>
      </w:r>
      <w:r>
        <w:rPr>
          <w:rFonts w:ascii="Calibri" w:hAnsi="Calibri"/>
          <w:b/>
          <w:bCs/>
        </w:rPr>
        <w:t xml:space="preserve"> </w:t>
      </w:r>
      <w:r>
        <w:rPr>
          <w:rFonts w:ascii="Calibri" w:hAnsi="Calibri" w:hint="cs"/>
          <w:b/>
          <w:bCs/>
          <w:rtl/>
        </w:rPr>
        <w:t>תוחלת. גם</w:t>
      </w:r>
      <w:r>
        <w:rPr>
          <w:rFonts w:ascii="Calibri" w:hAnsi="Calibri"/>
          <w:b/>
          <w:bCs/>
        </w:rPr>
        <w:t xml:space="preserve"> </w:t>
      </w:r>
      <w:r>
        <w:rPr>
          <w:rFonts w:ascii="Calibri" w:hAnsi="Calibri" w:hint="cs"/>
          <w:b/>
          <w:bCs/>
          <w:rtl/>
        </w:rPr>
        <w:t>אם</w:t>
      </w:r>
      <w:r>
        <w:rPr>
          <w:rFonts w:ascii="Calibri" w:hAnsi="Calibri"/>
          <w:b/>
          <w:bCs/>
        </w:rPr>
        <w:t xml:space="preserve"> </w:t>
      </w:r>
      <w:r>
        <w:rPr>
          <w:rFonts w:ascii="Calibri" w:hAnsi="Calibri" w:hint="cs"/>
          <w:b/>
          <w:bCs/>
          <w:rtl/>
        </w:rPr>
        <w:t>לא</w:t>
      </w:r>
      <w:r>
        <w:rPr>
          <w:rFonts w:ascii="Calibri" w:hAnsi="Calibri"/>
          <w:b/>
          <w:bCs/>
        </w:rPr>
        <w:t xml:space="preserve"> </w:t>
      </w:r>
      <w:r>
        <w:rPr>
          <w:rFonts w:ascii="Calibri" w:hAnsi="Calibri" w:hint="cs"/>
          <w:b/>
          <w:bCs/>
          <w:rtl/>
        </w:rPr>
        <w:t>ניתן</w:t>
      </w:r>
      <w:r>
        <w:rPr>
          <w:rFonts w:ascii="Calibri" w:hAnsi="Calibri"/>
          <w:b/>
          <w:bCs/>
        </w:rPr>
        <w:t xml:space="preserve"> </w:t>
      </w:r>
      <w:r>
        <w:rPr>
          <w:rFonts w:ascii="Calibri" w:hAnsi="Calibri" w:hint="cs"/>
          <w:b/>
          <w:bCs/>
          <w:rtl/>
        </w:rPr>
        <w:t>לחסל</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לחלוטין, ניתן</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להקטין</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היקפו</w:t>
      </w:r>
      <w:r>
        <w:rPr>
          <w:rFonts w:ascii="Calibri" w:hAnsi="Calibri"/>
          <w:b/>
          <w:bCs/>
        </w:rPr>
        <w:t xml:space="preserve"> </w:t>
      </w:r>
      <w:r>
        <w:rPr>
          <w:rFonts w:ascii="Calibri" w:hAnsi="Calibri" w:hint="cs"/>
          <w:b/>
          <w:bCs/>
          <w:rtl/>
        </w:rPr>
        <w:t>ולצמצם</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 xml:space="preserve">נזקיו." </w:t>
      </w:r>
    </w:p>
    <w:p w14:paraId="76CC5857" w14:textId="77777777" w:rsidR="006D0FE3" w:rsidRDefault="006D0FE3" w:rsidP="006D0FE3">
      <w:pPr>
        <w:spacing w:line="360" w:lineRule="auto"/>
        <w:ind w:left="1440" w:right="850"/>
        <w:jc w:val="both"/>
        <w:rPr>
          <w:rFonts w:ascii="Calibri" w:hAnsi="Calibri"/>
          <w:b/>
          <w:bCs/>
        </w:rPr>
      </w:pPr>
    </w:p>
    <w:p w14:paraId="1865FE37" w14:textId="77777777" w:rsidR="006D0FE3" w:rsidRDefault="006D0FE3" w:rsidP="006D0FE3">
      <w:pPr>
        <w:spacing w:line="360" w:lineRule="auto"/>
        <w:ind w:left="720" w:hanging="720"/>
        <w:jc w:val="both"/>
        <w:rPr>
          <w:rtl/>
        </w:rPr>
      </w:pPr>
      <w:r>
        <w:rPr>
          <w:rFonts w:hint="cs"/>
          <w:rtl/>
        </w:rPr>
        <w:t>14.</w:t>
      </w:r>
      <w:r>
        <w:rPr>
          <w:rFonts w:hint="cs"/>
          <w:rtl/>
        </w:rPr>
        <w:tab/>
        <w:t xml:space="preserve">העבירות אותן ביצע הנאשם פגעו פגיעה ממשית בערכים המוגנים. דבריו, לפיהם ביקש להבטיח לעצמו אספקת סמים לשם טיפול רפואי בכאבים, אינם ניתנים להצדקה ולהבנה, מה עוד שגם אם יתקבלו כלשונם, אין פרופורציה בין הצורך הרפואי לכאורה, לבין היקף המיזם הפלילי המתאפיין בחומרה רבה.  אין צורך לומר, כי מי שסובל מחולי, במקרה זה סבלי החלמה מתאונת דרכים, ומבקש להסתייע בקנאבוס, פתוחה בפניו הדרך היחידה האפשרית בחוק, לקבל אספקת קנאבוס רפואי ברישיון. מטעם הנאשם לא הוצג כל מסמך שיש בו להעיד שניסה לפנות בדרך החוקית לאספקת קנאבוס, ותחת זאת בחר לגדל במעבדת סמים כמות של שתילים שאין כל פרופורציה בינה לבין תלונתו על כאבים. </w:t>
      </w:r>
    </w:p>
    <w:p w14:paraId="1BD65116" w14:textId="77777777" w:rsidR="006D0FE3" w:rsidRDefault="006D0FE3" w:rsidP="006D0FE3">
      <w:pPr>
        <w:spacing w:line="360" w:lineRule="auto"/>
        <w:ind w:left="720" w:hanging="720"/>
        <w:jc w:val="both"/>
        <w:rPr>
          <w:rFonts w:ascii="David" w:hAnsi="David"/>
          <w:rtl/>
        </w:rPr>
      </w:pPr>
    </w:p>
    <w:p w14:paraId="07F168F3" w14:textId="77777777" w:rsidR="006D0FE3" w:rsidRDefault="006D0FE3" w:rsidP="006D0FE3">
      <w:pPr>
        <w:spacing w:line="360" w:lineRule="auto"/>
        <w:ind w:left="720" w:hanging="720"/>
        <w:jc w:val="both"/>
        <w:rPr>
          <w:rtl/>
        </w:rPr>
      </w:pPr>
      <w:r>
        <w:rPr>
          <w:rFonts w:hint="cs"/>
          <w:rtl/>
        </w:rPr>
        <w:t>15.</w:t>
      </w:r>
      <w:r>
        <w:rPr>
          <w:rFonts w:hint="cs"/>
          <w:rtl/>
        </w:rPr>
        <w:tab/>
        <w:t xml:space="preserve">לא בכדי נמנעה פקודת הסמים, </w:t>
      </w:r>
      <w:hyperlink r:id="rId22" w:history="1">
        <w:r w:rsidR="00EA6738" w:rsidRPr="00EA6738">
          <w:rPr>
            <w:color w:val="0000FF"/>
            <w:u w:val="single"/>
            <w:rtl/>
          </w:rPr>
          <w:t>בסעיף 6</w:t>
        </w:r>
      </w:hyperlink>
      <w:r>
        <w:rPr>
          <w:rFonts w:hint="cs"/>
          <w:rtl/>
        </w:rPr>
        <w:t xml:space="preserve"> שעניינו גידול סמים, מקביעת הבחנה בין גידול שמטרתו לצריכה עצמית, לבין גידול סמים שמטרתו אינה צריכה עצמית. העדר הפרדה זה, מקורו בחזקה כי מי שמגדל סמים, במקרה זה כמות גדולה של שתילי סם, וגידול הסמים שבו חטא יעלה יפה, הרי שקיימת מפניו סכנה ממשית וברורה מאליה, שיפיץ את הסם, עם או בלי תמורה, לאחרים. הכמות שנתפסה בביתו של הנאשם העולה על 700 גרם של סם מסוג קנבוס, עולה בהרבה על הכמות שמוגדרת בחוק ככזו שמיועדת לשימוש עצמי, ולכן מעשי הנאשם נגועים בצל הגדול של חשד השורה על עבירות סמים למטרות מסחריות. </w:t>
      </w:r>
    </w:p>
    <w:p w14:paraId="5353EF58" w14:textId="77777777" w:rsidR="006D0FE3" w:rsidRDefault="006D0FE3" w:rsidP="006D0FE3">
      <w:pPr>
        <w:spacing w:line="360" w:lineRule="auto"/>
        <w:ind w:left="720" w:hanging="720"/>
        <w:jc w:val="both"/>
        <w:rPr>
          <w:rtl/>
        </w:rPr>
      </w:pPr>
    </w:p>
    <w:p w14:paraId="5611DE3B" w14:textId="77777777" w:rsidR="006D0FE3" w:rsidRDefault="006D0FE3" w:rsidP="006D0FE3">
      <w:pPr>
        <w:spacing w:line="360" w:lineRule="auto"/>
        <w:ind w:left="720" w:hanging="720"/>
        <w:jc w:val="both"/>
        <w:rPr>
          <w:rtl/>
        </w:rPr>
      </w:pPr>
      <w:r>
        <w:rPr>
          <w:rFonts w:hint="cs"/>
          <w:rtl/>
        </w:rPr>
        <w:t>16.</w:t>
      </w:r>
      <w:r>
        <w:rPr>
          <w:rFonts w:hint="cs"/>
          <w:rtl/>
        </w:rPr>
        <w:tab/>
        <w:t xml:space="preserve">לצד החומרה שבמעשים, השוללת כאמור לעיל אפשרות לבטל הרשעה, לא הונח בפני בסיס המוכיח כי ההרשעה תפגע בנאשם פגיעה קונקרטית. </w:t>
      </w:r>
    </w:p>
    <w:p w14:paraId="0687606B" w14:textId="77777777" w:rsidR="006D0FE3" w:rsidRDefault="006D0FE3" w:rsidP="006D0FE3">
      <w:pPr>
        <w:spacing w:line="360" w:lineRule="auto"/>
        <w:ind w:left="720" w:hanging="720"/>
        <w:jc w:val="both"/>
        <w:rPr>
          <w:rtl/>
        </w:rPr>
      </w:pPr>
    </w:p>
    <w:p w14:paraId="128A9A54" w14:textId="77777777" w:rsidR="006D0FE3" w:rsidRDefault="006D0FE3" w:rsidP="006D0FE3">
      <w:pPr>
        <w:spacing w:line="360" w:lineRule="auto"/>
        <w:ind w:left="720"/>
        <w:jc w:val="both"/>
        <w:rPr>
          <w:rtl/>
        </w:rPr>
      </w:pPr>
      <w:r>
        <w:rPr>
          <w:rFonts w:hint="cs"/>
          <w:rtl/>
        </w:rPr>
        <w:t xml:space="preserve">על נאשם המבקש לבטל את הרשעתו, לשכנע את בית המשפט כי הנזק שייגרם לו אם יורשע הוא חמור ובלתי מידתי והוא עולה על הנזק שייגרם לאינטרס הציבורי בהימנעות מהרשעתו. על הנאשם להתייחס לנזק מוחשי קונקרטי ולא לאפשרויות תיאורטיות לפיהן יגרם לו נזק בעתיד. </w:t>
      </w:r>
    </w:p>
    <w:p w14:paraId="6A4F377E" w14:textId="77777777" w:rsidR="006D0FE3" w:rsidRDefault="006D0FE3" w:rsidP="006D0FE3">
      <w:pPr>
        <w:spacing w:line="360" w:lineRule="auto"/>
        <w:ind w:left="720"/>
        <w:jc w:val="both"/>
        <w:rPr>
          <w:rtl/>
        </w:rPr>
      </w:pPr>
      <w:r>
        <w:rPr>
          <w:rFonts w:hint="cs"/>
          <w:rtl/>
        </w:rPr>
        <w:t xml:space="preserve">ראו לעניין זה את הדברים שנאמרו ב </w:t>
      </w:r>
      <w:hyperlink r:id="rId23" w:history="1">
        <w:r w:rsidR="004565F5" w:rsidRPr="004565F5">
          <w:rPr>
            <w:color w:val="0000FF"/>
            <w:u w:val="single"/>
            <w:rtl/>
          </w:rPr>
          <w:t>רע"פ 9118/12</w:t>
        </w:r>
      </w:hyperlink>
      <w:r>
        <w:rPr>
          <w:rFonts w:hint="cs"/>
          <w:rtl/>
        </w:rPr>
        <w:t xml:space="preserve">  </w:t>
      </w:r>
      <w:r>
        <w:rPr>
          <w:rFonts w:hint="cs"/>
          <w:b/>
          <w:bCs/>
          <w:rtl/>
        </w:rPr>
        <w:t>אלכסנדר פריגין נגד מדינת ישראל</w:t>
      </w:r>
      <w:r>
        <w:rPr>
          <w:rFonts w:hint="cs"/>
          <w:rtl/>
        </w:rPr>
        <w:t>:</w:t>
      </w:r>
    </w:p>
    <w:p w14:paraId="7C10D8B4" w14:textId="77777777" w:rsidR="006D0FE3" w:rsidRDefault="006D0FE3" w:rsidP="006D0FE3">
      <w:pPr>
        <w:spacing w:line="360" w:lineRule="auto"/>
        <w:jc w:val="both"/>
        <w:rPr>
          <w:rtl/>
        </w:rPr>
      </w:pPr>
    </w:p>
    <w:p w14:paraId="2D565BDD" w14:textId="77777777" w:rsidR="006D0FE3" w:rsidRDefault="006D0FE3" w:rsidP="006D0FE3">
      <w:pPr>
        <w:spacing w:line="360" w:lineRule="auto"/>
        <w:ind w:left="1440" w:right="850"/>
        <w:jc w:val="both"/>
      </w:pPr>
      <w:r>
        <w:rPr>
          <w:rFonts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650F0B78" w14:textId="77777777" w:rsidR="006D0FE3" w:rsidRDefault="006D0FE3" w:rsidP="006D0FE3">
      <w:pPr>
        <w:spacing w:line="360" w:lineRule="auto"/>
        <w:ind w:left="720"/>
        <w:jc w:val="both"/>
      </w:pPr>
    </w:p>
    <w:p w14:paraId="0D37E0CD" w14:textId="77777777" w:rsidR="006D0FE3" w:rsidRDefault="006D0FE3" w:rsidP="006D0FE3">
      <w:pPr>
        <w:spacing w:line="360" w:lineRule="auto"/>
        <w:ind w:left="720" w:hanging="720"/>
        <w:jc w:val="both"/>
        <w:rPr>
          <w:rtl/>
        </w:rPr>
      </w:pPr>
      <w:r>
        <w:rPr>
          <w:rFonts w:hint="cs"/>
          <w:rtl/>
        </w:rPr>
        <w:t>17.</w:t>
      </w:r>
      <w:r>
        <w:rPr>
          <w:rFonts w:hint="cs"/>
          <w:rtl/>
        </w:rPr>
        <w:tab/>
        <w:t xml:space="preserve">ב"כ הנאשם הפנה לנזק הרב שנגרם לנאשם כתוצאה מהסתבכותו הפלילית, אשר לאחר 9 שנים בהן עבד כסוהר שב"ס, חלקן בשרות צבאי סדיר, הודח מהשרות ופוטר. כאמור, נזק ממשי זה איננו תוצאה של הרשעה בדין, וביטול ההרשעה, גם אם ייקבע כבקשתו של הנאשם, אין בו לתקנו. הדעת אינה נותנת לקבל, כי סוהר, איש אכיפת חוק, יקבל יחס סלחני לגבי ביצוע עבירות כה חמורות, ולכן פיטוריו של הנאשם משב"ס הינם תוצאה מחוייבת המציאות. בהתאם, כזו היא גם הותרת ההרשעה על כנה. </w:t>
      </w:r>
    </w:p>
    <w:p w14:paraId="33B7C2A9" w14:textId="77777777" w:rsidR="006D0FE3" w:rsidRDefault="006D0FE3" w:rsidP="006D0FE3">
      <w:pPr>
        <w:spacing w:line="360" w:lineRule="auto"/>
        <w:ind w:left="720"/>
        <w:jc w:val="both"/>
        <w:rPr>
          <w:rtl/>
        </w:rPr>
      </w:pPr>
    </w:p>
    <w:p w14:paraId="2BB38AFD" w14:textId="77777777" w:rsidR="006D0FE3" w:rsidRDefault="006D0FE3" w:rsidP="006D0FE3">
      <w:pPr>
        <w:spacing w:line="360" w:lineRule="auto"/>
        <w:ind w:left="720" w:hanging="720"/>
        <w:jc w:val="both"/>
        <w:rPr>
          <w:rtl/>
        </w:rPr>
      </w:pPr>
      <w:r>
        <w:rPr>
          <w:rFonts w:hint="cs"/>
          <w:rtl/>
        </w:rPr>
        <w:t>18.</w:t>
      </w:r>
      <w:r>
        <w:rPr>
          <w:rFonts w:hint="cs"/>
          <w:rtl/>
        </w:rPr>
        <w:tab/>
        <w:t xml:space="preserve">לא שוכנעתי שהרשעת הנאשם בפלילים עלולה לסכל את סיום לימודיו בתחום הנדסאות הבניין, אף לא בעיסוק בתחום זה, שאינו מאופיין דווקא בדרישות יוצאות דופן  להוכחת יושר.  גם תעסוקה עתידית כמתווך נדל"ן, לא נשללת באופן אוטומטי לאור הרשעה בפלילים, ולא הונח יסוד שמוכיח את ההפך. פנייתו של המעסיק בכתב, לפיה יבוטל רישיון המתווך, אין בה די להוכחת הנטען. </w:t>
      </w:r>
    </w:p>
    <w:p w14:paraId="21E7CB3A" w14:textId="77777777" w:rsidR="006D0FE3" w:rsidRDefault="006D0FE3" w:rsidP="006D0FE3">
      <w:pPr>
        <w:spacing w:line="360" w:lineRule="auto"/>
        <w:ind w:left="720" w:hanging="720"/>
        <w:jc w:val="both"/>
        <w:rPr>
          <w:rtl/>
        </w:rPr>
      </w:pPr>
    </w:p>
    <w:p w14:paraId="546C3634" w14:textId="77777777" w:rsidR="006D0FE3" w:rsidRDefault="006D0FE3" w:rsidP="006D0FE3">
      <w:pPr>
        <w:spacing w:line="360" w:lineRule="auto"/>
        <w:ind w:left="720" w:hanging="720"/>
        <w:jc w:val="both"/>
        <w:rPr>
          <w:rtl/>
        </w:rPr>
      </w:pPr>
      <w:r>
        <w:rPr>
          <w:rFonts w:hint="cs"/>
          <w:rtl/>
        </w:rPr>
        <w:tab/>
        <w:t xml:space="preserve">עיון בהוראותיו של סעיף </w:t>
      </w:r>
      <w:hyperlink r:id="rId24" w:history="1">
        <w:r w:rsidR="00EA6738" w:rsidRPr="00EA6738">
          <w:rPr>
            <w:color w:val="0000FF"/>
            <w:u w:val="single"/>
            <w:rtl/>
          </w:rPr>
          <w:t>5(א</w:t>
        </w:r>
        <w:r w:rsidR="00EA6738" w:rsidRPr="00EA6738">
          <w:rPr>
            <w:color w:val="0000FF"/>
            <w:u w:val="single"/>
            <w:rtl/>
          </w:rPr>
          <w:t>)</w:t>
        </w:r>
      </w:hyperlink>
      <w:r>
        <w:rPr>
          <w:rFonts w:hint="cs"/>
          <w:rtl/>
        </w:rPr>
        <w:t xml:space="preserve"> </w:t>
      </w:r>
      <w:hyperlink r:id="rId25" w:history="1">
        <w:r w:rsidR="00EA6738" w:rsidRPr="00EA6738">
          <w:rPr>
            <w:color w:val="0000FF"/>
            <w:u w:val="single"/>
            <w:rtl/>
          </w:rPr>
          <w:t>לחוק המתווכים</w:t>
        </w:r>
      </w:hyperlink>
      <w:r>
        <w:rPr>
          <w:rFonts w:hint="cs"/>
          <w:rtl/>
        </w:rPr>
        <w:t xml:space="preserve"> מגלה מדדים למתן רשיונות תיווך למי שעומד בתנאים כדלקמן:</w:t>
      </w:r>
    </w:p>
    <w:p w14:paraId="56684354" w14:textId="77777777" w:rsidR="006D0FE3" w:rsidRDefault="006D0FE3" w:rsidP="006D0FE3">
      <w:pPr>
        <w:keepNext/>
        <w:tabs>
          <w:tab w:val="num" w:pos="1440"/>
        </w:tabs>
        <w:autoSpaceDE w:val="0"/>
        <w:autoSpaceDN w:val="0"/>
        <w:adjustRightInd w:val="0"/>
        <w:spacing w:before="100" w:after="100"/>
        <w:ind w:left="1080"/>
        <w:outlineLvl w:val="2"/>
        <w:rPr>
          <w:b/>
          <w:bCs/>
          <w:rtl/>
        </w:rPr>
      </w:pPr>
      <w:r>
        <w:rPr>
          <w:rFonts w:hint="cs"/>
          <w:b/>
          <w:bCs/>
          <w:rtl/>
        </w:rPr>
        <w:t>אזרח</w:t>
      </w:r>
      <w:r>
        <w:rPr>
          <w:rFonts w:hint="cs"/>
          <w:b/>
          <w:bCs/>
        </w:rPr>
        <w:t xml:space="preserve"> </w:t>
      </w:r>
      <w:r>
        <w:rPr>
          <w:rFonts w:hint="cs"/>
          <w:b/>
          <w:bCs/>
          <w:rtl/>
        </w:rPr>
        <w:t>או</w:t>
      </w:r>
      <w:r>
        <w:rPr>
          <w:rFonts w:hint="cs"/>
          <w:b/>
          <w:bCs/>
        </w:rPr>
        <w:t xml:space="preserve"> </w:t>
      </w:r>
      <w:r>
        <w:rPr>
          <w:rFonts w:hint="cs"/>
          <w:b/>
          <w:bCs/>
          <w:rtl/>
        </w:rPr>
        <w:t>תושב</w:t>
      </w:r>
      <w:r>
        <w:rPr>
          <w:rFonts w:hint="cs"/>
          <w:b/>
          <w:bCs/>
        </w:rPr>
        <w:t xml:space="preserve"> </w:t>
      </w:r>
      <w:r>
        <w:rPr>
          <w:rFonts w:hint="cs"/>
          <w:b/>
          <w:bCs/>
          <w:rtl/>
        </w:rPr>
        <w:t>של</w:t>
      </w:r>
      <w:r>
        <w:rPr>
          <w:rFonts w:hint="cs"/>
          <w:b/>
          <w:bCs/>
        </w:rPr>
        <w:t xml:space="preserve"> </w:t>
      </w:r>
      <w:r>
        <w:rPr>
          <w:rFonts w:hint="cs"/>
          <w:b/>
          <w:bCs/>
          <w:rtl/>
        </w:rPr>
        <w:t>מדינת</w:t>
      </w:r>
      <w:r>
        <w:rPr>
          <w:rFonts w:hint="cs"/>
          <w:b/>
          <w:bCs/>
        </w:rPr>
        <w:t xml:space="preserve"> </w:t>
      </w:r>
      <w:r>
        <w:rPr>
          <w:rFonts w:hint="cs"/>
          <w:b/>
          <w:bCs/>
          <w:rtl/>
        </w:rPr>
        <w:t>ישראל</w:t>
      </w:r>
      <w:r>
        <w:rPr>
          <w:rFonts w:hint="cs"/>
          <w:b/>
          <w:bCs/>
        </w:rPr>
        <w:t xml:space="preserve"> </w:t>
      </w:r>
      <w:r>
        <w:rPr>
          <w:rFonts w:hint="cs"/>
          <w:b/>
          <w:bCs/>
          <w:rtl/>
        </w:rPr>
        <w:t>או</w:t>
      </w:r>
      <w:r>
        <w:rPr>
          <w:rFonts w:hint="cs"/>
          <w:b/>
          <w:bCs/>
        </w:rPr>
        <w:t xml:space="preserve"> </w:t>
      </w:r>
      <w:r>
        <w:rPr>
          <w:rFonts w:hint="cs"/>
          <w:b/>
          <w:bCs/>
          <w:rtl/>
        </w:rPr>
        <w:t>שהוא</w:t>
      </w:r>
      <w:r>
        <w:rPr>
          <w:rFonts w:hint="cs"/>
          <w:b/>
          <w:bCs/>
        </w:rPr>
        <w:t xml:space="preserve"> </w:t>
      </w:r>
      <w:r>
        <w:rPr>
          <w:rFonts w:hint="cs"/>
          <w:b/>
          <w:bCs/>
          <w:rtl/>
        </w:rPr>
        <w:t>תושב</w:t>
      </w:r>
      <w:r>
        <w:rPr>
          <w:rFonts w:hint="cs"/>
          <w:b/>
          <w:bCs/>
        </w:rPr>
        <w:t xml:space="preserve"> </w:t>
      </w:r>
      <w:r>
        <w:rPr>
          <w:rFonts w:hint="cs"/>
          <w:b/>
          <w:bCs/>
          <w:rtl/>
        </w:rPr>
        <w:t>חוץ</w:t>
      </w:r>
      <w:r>
        <w:rPr>
          <w:rFonts w:hint="cs"/>
          <w:b/>
          <w:bCs/>
        </w:rPr>
        <w:t xml:space="preserve"> </w:t>
      </w:r>
      <w:r>
        <w:rPr>
          <w:rFonts w:hint="cs"/>
          <w:b/>
          <w:bCs/>
          <w:rtl/>
        </w:rPr>
        <w:t>שניתן</w:t>
      </w:r>
      <w:r>
        <w:rPr>
          <w:rFonts w:hint="cs"/>
          <w:b/>
          <w:bCs/>
        </w:rPr>
        <w:t xml:space="preserve"> </w:t>
      </w:r>
      <w:r>
        <w:rPr>
          <w:rFonts w:hint="cs"/>
          <w:b/>
          <w:bCs/>
          <w:rtl/>
        </w:rPr>
        <w:t>לו</w:t>
      </w:r>
      <w:r>
        <w:rPr>
          <w:rFonts w:hint="cs"/>
          <w:b/>
          <w:bCs/>
        </w:rPr>
        <w:t xml:space="preserve"> </w:t>
      </w:r>
      <w:r>
        <w:rPr>
          <w:rFonts w:hint="cs"/>
          <w:b/>
          <w:bCs/>
          <w:rtl/>
        </w:rPr>
        <w:t>היתר</w:t>
      </w:r>
      <w:r>
        <w:rPr>
          <w:rFonts w:hint="cs"/>
          <w:b/>
          <w:bCs/>
        </w:rPr>
        <w:t xml:space="preserve"> </w:t>
      </w:r>
      <w:r>
        <w:rPr>
          <w:rFonts w:hint="cs"/>
          <w:b/>
          <w:bCs/>
          <w:rtl/>
        </w:rPr>
        <w:t>כדין</w:t>
      </w:r>
      <w:r>
        <w:rPr>
          <w:rFonts w:hint="cs"/>
          <w:b/>
          <w:bCs/>
        </w:rPr>
        <w:t xml:space="preserve"> </w:t>
      </w:r>
      <w:r>
        <w:rPr>
          <w:rFonts w:hint="cs"/>
          <w:b/>
          <w:bCs/>
          <w:rtl/>
        </w:rPr>
        <w:t>לעבוד</w:t>
      </w:r>
      <w:r>
        <w:rPr>
          <w:rFonts w:hint="cs"/>
          <w:b/>
          <w:bCs/>
        </w:rPr>
        <w:t xml:space="preserve"> </w:t>
      </w:r>
      <w:r>
        <w:rPr>
          <w:rFonts w:hint="cs"/>
          <w:b/>
          <w:bCs/>
          <w:rtl/>
        </w:rPr>
        <w:t>בישראל</w:t>
      </w:r>
      <w:r>
        <w:rPr>
          <w:rFonts w:hint="cs"/>
          <w:b/>
          <w:bCs/>
        </w:rPr>
        <w:t xml:space="preserve"> -  </w:t>
      </w:r>
    </w:p>
    <w:p w14:paraId="78EBD091" w14:textId="77777777" w:rsidR="006D0FE3" w:rsidRDefault="006D0FE3" w:rsidP="006D0FE3">
      <w:pPr>
        <w:numPr>
          <w:ilvl w:val="0"/>
          <w:numId w:val="1"/>
        </w:numPr>
        <w:tabs>
          <w:tab w:val="num" w:pos="1440"/>
        </w:tabs>
        <w:autoSpaceDE w:val="0"/>
        <w:autoSpaceDN w:val="0"/>
        <w:adjustRightInd w:val="0"/>
        <w:spacing w:before="100" w:after="100"/>
        <w:ind w:left="1440" w:right="720"/>
        <w:outlineLvl w:val="0"/>
        <w:rPr>
          <w:b/>
          <w:bCs/>
          <w:rtl/>
        </w:rPr>
      </w:pPr>
      <w:r>
        <w:rPr>
          <w:rFonts w:hint="cs"/>
          <w:b/>
          <w:bCs/>
          <w:rtl/>
        </w:rPr>
        <w:t>מלאו</w:t>
      </w:r>
      <w:r>
        <w:rPr>
          <w:rFonts w:hint="cs"/>
          <w:b/>
          <w:bCs/>
        </w:rPr>
        <w:t xml:space="preserve"> </w:t>
      </w:r>
      <w:r>
        <w:rPr>
          <w:rFonts w:hint="cs"/>
          <w:b/>
          <w:bCs/>
          <w:rtl/>
        </w:rPr>
        <w:t>לו</w:t>
      </w:r>
      <w:r>
        <w:rPr>
          <w:rFonts w:hint="cs"/>
          <w:b/>
          <w:bCs/>
        </w:rPr>
        <w:t xml:space="preserve"> 18 </w:t>
      </w:r>
      <w:r>
        <w:rPr>
          <w:rFonts w:hint="cs"/>
          <w:b/>
          <w:bCs/>
          <w:rtl/>
        </w:rPr>
        <w:t>שנים</w:t>
      </w:r>
      <w:r>
        <w:rPr>
          <w:rFonts w:hint="cs"/>
          <w:b/>
          <w:bCs/>
        </w:rPr>
        <w:t xml:space="preserve">. </w:t>
      </w:r>
    </w:p>
    <w:p w14:paraId="09AD4FD4" w14:textId="77777777" w:rsidR="006D0FE3" w:rsidRDefault="006D0FE3" w:rsidP="006D0FE3">
      <w:pPr>
        <w:numPr>
          <w:ilvl w:val="0"/>
          <w:numId w:val="1"/>
        </w:numPr>
        <w:tabs>
          <w:tab w:val="num" w:pos="1440"/>
        </w:tabs>
        <w:autoSpaceDE w:val="0"/>
        <w:autoSpaceDN w:val="0"/>
        <w:adjustRightInd w:val="0"/>
        <w:spacing w:before="100" w:after="100"/>
        <w:ind w:left="1440" w:right="720"/>
        <w:outlineLvl w:val="0"/>
        <w:rPr>
          <w:b/>
          <w:bCs/>
        </w:rPr>
      </w:pPr>
      <w:r>
        <w:rPr>
          <w:rFonts w:hint="cs"/>
          <w:b/>
          <w:bCs/>
          <w:rtl/>
        </w:rPr>
        <w:t>הוא</w:t>
      </w:r>
      <w:r>
        <w:rPr>
          <w:rFonts w:hint="cs"/>
          <w:b/>
          <w:bCs/>
        </w:rPr>
        <w:t xml:space="preserve"> </w:t>
      </w:r>
      <w:r>
        <w:rPr>
          <w:rFonts w:hint="cs"/>
          <w:b/>
          <w:bCs/>
          <w:rtl/>
        </w:rPr>
        <w:t>אינו</w:t>
      </w:r>
      <w:r>
        <w:rPr>
          <w:rFonts w:hint="cs"/>
          <w:b/>
          <w:bCs/>
        </w:rPr>
        <w:t xml:space="preserve"> </w:t>
      </w:r>
      <w:r>
        <w:rPr>
          <w:rFonts w:hint="cs"/>
          <w:b/>
          <w:bCs/>
          <w:rtl/>
        </w:rPr>
        <w:t>פושט</w:t>
      </w:r>
      <w:r>
        <w:rPr>
          <w:rFonts w:hint="cs"/>
          <w:b/>
          <w:bCs/>
        </w:rPr>
        <w:t xml:space="preserve"> </w:t>
      </w:r>
      <w:r>
        <w:rPr>
          <w:rFonts w:hint="cs"/>
          <w:b/>
          <w:bCs/>
          <w:rtl/>
        </w:rPr>
        <w:t>רגל</w:t>
      </w:r>
      <w:r>
        <w:rPr>
          <w:rFonts w:hint="cs"/>
          <w:b/>
          <w:bCs/>
        </w:rPr>
        <w:t xml:space="preserve">. </w:t>
      </w:r>
    </w:p>
    <w:p w14:paraId="58DC22F3" w14:textId="77777777" w:rsidR="006D0FE3" w:rsidRDefault="006D0FE3" w:rsidP="006D0FE3">
      <w:pPr>
        <w:numPr>
          <w:ilvl w:val="0"/>
          <w:numId w:val="1"/>
        </w:numPr>
        <w:tabs>
          <w:tab w:val="num" w:pos="1440"/>
        </w:tabs>
        <w:autoSpaceDE w:val="0"/>
        <w:autoSpaceDN w:val="0"/>
        <w:adjustRightInd w:val="0"/>
        <w:spacing w:before="100" w:after="100"/>
        <w:ind w:left="1440" w:right="720"/>
        <w:outlineLvl w:val="0"/>
        <w:rPr>
          <w:b/>
          <w:bCs/>
        </w:rPr>
      </w:pPr>
      <w:r>
        <w:rPr>
          <w:rFonts w:hint="cs"/>
          <w:b/>
          <w:bCs/>
          <w:rtl/>
        </w:rPr>
        <w:t>הוא</w:t>
      </w:r>
      <w:r>
        <w:rPr>
          <w:rFonts w:hint="cs"/>
          <w:b/>
          <w:bCs/>
        </w:rPr>
        <w:t xml:space="preserve"> </w:t>
      </w:r>
      <w:r>
        <w:rPr>
          <w:rFonts w:hint="cs"/>
          <w:b/>
          <w:bCs/>
          <w:rtl/>
        </w:rPr>
        <w:t>לא</w:t>
      </w:r>
      <w:r>
        <w:rPr>
          <w:rFonts w:hint="cs"/>
          <w:b/>
          <w:bCs/>
        </w:rPr>
        <w:t xml:space="preserve"> </w:t>
      </w:r>
      <w:r>
        <w:rPr>
          <w:rFonts w:hint="cs"/>
          <w:b/>
          <w:bCs/>
          <w:rtl/>
        </w:rPr>
        <w:t>הורשע</w:t>
      </w:r>
      <w:r>
        <w:rPr>
          <w:rFonts w:hint="cs"/>
          <w:b/>
          <w:bCs/>
        </w:rPr>
        <w:t xml:space="preserve"> </w:t>
      </w:r>
      <w:r>
        <w:rPr>
          <w:rFonts w:hint="cs"/>
          <w:b/>
          <w:bCs/>
          <w:rtl/>
        </w:rPr>
        <w:t>בעבירה</w:t>
      </w:r>
      <w:r>
        <w:rPr>
          <w:rFonts w:hint="cs"/>
          <w:b/>
          <w:bCs/>
        </w:rPr>
        <w:t xml:space="preserve"> </w:t>
      </w:r>
      <w:r>
        <w:rPr>
          <w:rFonts w:hint="cs"/>
          <w:b/>
          <w:bCs/>
          <w:rtl/>
        </w:rPr>
        <w:t>שמפאת</w:t>
      </w:r>
      <w:r>
        <w:rPr>
          <w:rFonts w:hint="cs"/>
          <w:b/>
          <w:bCs/>
        </w:rPr>
        <w:t xml:space="preserve"> </w:t>
      </w:r>
      <w:r>
        <w:rPr>
          <w:rFonts w:hint="cs"/>
          <w:b/>
          <w:bCs/>
          <w:rtl/>
        </w:rPr>
        <w:t>מהותה</w:t>
      </w:r>
      <w:r>
        <w:rPr>
          <w:rFonts w:hint="cs"/>
          <w:b/>
          <w:bCs/>
        </w:rPr>
        <w:t xml:space="preserve">, </w:t>
      </w:r>
      <w:r>
        <w:rPr>
          <w:rFonts w:hint="cs"/>
          <w:b/>
          <w:bCs/>
          <w:rtl/>
        </w:rPr>
        <w:t>חומרתה</w:t>
      </w:r>
      <w:r>
        <w:rPr>
          <w:rFonts w:hint="cs"/>
          <w:b/>
          <w:bCs/>
        </w:rPr>
        <w:t xml:space="preserve"> </w:t>
      </w:r>
      <w:r>
        <w:rPr>
          <w:rFonts w:hint="cs"/>
          <w:b/>
          <w:bCs/>
          <w:rtl/>
        </w:rPr>
        <w:t>ונסיבותיה</w:t>
      </w:r>
      <w:r>
        <w:rPr>
          <w:rFonts w:hint="cs"/>
          <w:b/>
          <w:bCs/>
        </w:rPr>
        <w:t xml:space="preserve"> </w:t>
      </w:r>
      <w:r>
        <w:rPr>
          <w:rFonts w:hint="cs"/>
          <w:b/>
          <w:bCs/>
          <w:rtl/>
        </w:rPr>
        <w:t>אינו</w:t>
      </w:r>
      <w:r>
        <w:rPr>
          <w:rFonts w:hint="cs"/>
          <w:b/>
          <w:bCs/>
        </w:rPr>
        <w:t xml:space="preserve"> </w:t>
      </w:r>
      <w:r>
        <w:rPr>
          <w:rFonts w:hint="cs"/>
          <w:b/>
          <w:bCs/>
          <w:rtl/>
        </w:rPr>
        <w:t>ראוי</w:t>
      </w:r>
      <w:r>
        <w:rPr>
          <w:rFonts w:hint="cs"/>
          <w:b/>
          <w:bCs/>
        </w:rPr>
        <w:t xml:space="preserve"> </w:t>
      </w:r>
      <w:r>
        <w:rPr>
          <w:rFonts w:hint="cs"/>
          <w:b/>
          <w:bCs/>
          <w:rtl/>
        </w:rPr>
        <w:t>לשמש</w:t>
      </w:r>
      <w:r>
        <w:rPr>
          <w:rFonts w:hint="cs"/>
          <w:b/>
          <w:bCs/>
        </w:rPr>
        <w:t xml:space="preserve"> </w:t>
      </w:r>
      <w:r>
        <w:rPr>
          <w:rFonts w:hint="cs"/>
          <w:b/>
          <w:bCs/>
          <w:rtl/>
        </w:rPr>
        <w:t>מתווך</w:t>
      </w:r>
      <w:r>
        <w:rPr>
          <w:rFonts w:hint="cs"/>
          <w:b/>
          <w:bCs/>
        </w:rPr>
        <w:t xml:space="preserve"> </w:t>
      </w:r>
      <w:r>
        <w:rPr>
          <w:rFonts w:hint="cs"/>
          <w:b/>
          <w:bCs/>
          <w:rtl/>
        </w:rPr>
        <w:t>במקרקעין</w:t>
      </w:r>
      <w:r>
        <w:rPr>
          <w:rFonts w:hint="cs"/>
          <w:b/>
          <w:bCs/>
        </w:rPr>
        <w:t>.</w:t>
      </w:r>
    </w:p>
    <w:p w14:paraId="1035A131" w14:textId="77777777" w:rsidR="006D0FE3" w:rsidRDefault="006D0FE3" w:rsidP="006D0FE3">
      <w:pPr>
        <w:numPr>
          <w:ilvl w:val="0"/>
          <w:numId w:val="1"/>
        </w:numPr>
        <w:tabs>
          <w:tab w:val="num" w:pos="1440"/>
        </w:tabs>
        <w:autoSpaceDE w:val="0"/>
        <w:autoSpaceDN w:val="0"/>
        <w:adjustRightInd w:val="0"/>
        <w:spacing w:before="100" w:after="100"/>
        <w:ind w:left="1440" w:right="720"/>
        <w:outlineLvl w:val="0"/>
        <w:rPr>
          <w:b/>
          <w:bCs/>
        </w:rPr>
      </w:pPr>
      <w:r>
        <w:rPr>
          <w:rFonts w:hint="cs"/>
          <w:b/>
          <w:bCs/>
          <w:rtl/>
        </w:rPr>
        <w:t>אם</w:t>
      </w:r>
      <w:r>
        <w:rPr>
          <w:rFonts w:hint="cs"/>
          <w:b/>
          <w:bCs/>
        </w:rPr>
        <w:t xml:space="preserve"> </w:t>
      </w:r>
      <w:r>
        <w:rPr>
          <w:rFonts w:hint="cs"/>
          <w:b/>
          <w:bCs/>
          <w:rtl/>
        </w:rPr>
        <w:t>הוא</w:t>
      </w:r>
      <w:r>
        <w:rPr>
          <w:rFonts w:hint="cs"/>
          <w:b/>
          <w:bCs/>
        </w:rPr>
        <w:t xml:space="preserve"> </w:t>
      </w:r>
      <w:r>
        <w:rPr>
          <w:rFonts w:hint="cs"/>
          <w:b/>
          <w:bCs/>
          <w:rtl/>
        </w:rPr>
        <w:t>נידון</w:t>
      </w:r>
      <w:r>
        <w:rPr>
          <w:rFonts w:hint="cs"/>
          <w:b/>
          <w:bCs/>
        </w:rPr>
        <w:t xml:space="preserve"> </w:t>
      </w:r>
      <w:r>
        <w:rPr>
          <w:rFonts w:hint="cs"/>
          <w:b/>
          <w:bCs/>
          <w:rtl/>
        </w:rPr>
        <w:t>לעונש</w:t>
      </w:r>
      <w:r>
        <w:rPr>
          <w:rFonts w:hint="cs"/>
          <w:b/>
          <w:bCs/>
        </w:rPr>
        <w:t xml:space="preserve"> </w:t>
      </w:r>
      <w:r>
        <w:rPr>
          <w:rFonts w:hint="cs"/>
          <w:b/>
          <w:bCs/>
          <w:rtl/>
        </w:rPr>
        <w:t>מאסר</w:t>
      </w:r>
      <w:r>
        <w:rPr>
          <w:rFonts w:hint="cs"/>
          <w:b/>
          <w:bCs/>
        </w:rPr>
        <w:t xml:space="preserve"> </w:t>
      </w:r>
      <w:r>
        <w:rPr>
          <w:rFonts w:hint="cs"/>
          <w:b/>
          <w:bCs/>
          <w:rtl/>
        </w:rPr>
        <w:t>בפועל</w:t>
      </w:r>
      <w:r>
        <w:rPr>
          <w:rFonts w:hint="cs"/>
          <w:b/>
          <w:bCs/>
        </w:rPr>
        <w:t xml:space="preserve">, </w:t>
      </w:r>
      <w:r>
        <w:rPr>
          <w:rFonts w:hint="cs"/>
          <w:b/>
          <w:bCs/>
          <w:rtl/>
        </w:rPr>
        <w:t>הוא</w:t>
      </w:r>
      <w:r>
        <w:rPr>
          <w:rFonts w:hint="cs"/>
          <w:b/>
          <w:bCs/>
        </w:rPr>
        <w:t xml:space="preserve"> </w:t>
      </w:r>
      <w:r>
        <w:rPr>
          <w:rFonts w:hint="cs"/>
          <w:b/>
          <w:bCs/>
          <w:rtl/>
        </w:rPr>
        <w:t>סיים</w:t>
      </w:r>
      <w:r>
        <w:rPr>
          <w:rFonts w:hint="cs"/>
          <w:b/>
          <w:bCs/>
        </w:rPr>
        <w:t xml:space="preserve"> </w:t>
      </w:r>
      <w:r>
        <w:rPr>
          <w:rFonts w:hint="cs"/>
          <w:b/>
          <w:bCs/>
          <w:rtl/>
        </w:rPr>
        <w:t>לשאת</w:t>
      </w:r>
      <w:r>
        <w:rPr>
          <w:rFonts w:hint="cs"/>
          <w:b/>
          <w:bCs/>
        </w:rPr>
        <w:t xml:space="preserve"> </w:t>
      </w:r>
      <w:r>
        <w:rPr>
          <w:rFonts w:hint="cs"/>
          <w:b/>
          <w:bCs/>
          <w:rtl/>
        </w:rPr>
        <w:t>את</w:t>
      </w:r>
      <w:r>
        <w:rPr>
          <w:rFonts w:hint="cs"/>
          <w:b/>
          <w:bCs/>
        </w:rPr>
        <w:t xml:space="preserve"> </w:t>
      </w:r>
      <w:r>
        <w:rPr>
          <w:rFonts w:hint="cs"/>
          <w:b/>
          <w:bCs/>
          <w:rtl/>
        </w:rPr>
        <w:t>עונשו</w:t>
      </w:r>
      <w:r>
        <w:rPr>
          <w:rFonts w:hint="cs"/>
          <w:b/>
          <w:bCs/>
        </w:rPr>
        <w:t xml:space="preserve"> </w:t>
      </w:r>
      <w:r>
        <w:rPr>
          <w:rFonts w:hint="cs"/>
          <w:b/>
          <w:bCs/>
          <w:rtl/>
        </w:rPr>
        <w:t>שישה</w:t>
      </w:r>
      <w:r>
        <w:rPr>
          <w:rFonts w:hint="cs"/>
          <w:b/>
          <w:bCs/>
        </w:rPr>
        <w:t xml:space="preserve"> </w:t>
      </w:r>
      <w:r>
        <w:rPr>
          <w:rFonts w:hint="cs"/>
          <w:b/>
          <w:bCs/>
          <w:rtl/>
        </w:rPr>
        <w:t>חודשים</w:t>
      </w:r>
      <w:r>
        <w:rPr>
          <w:rFonts w:hint="cs"/>
          <w:b/>
          <w:bCs/>
        </w:rPr>
        <w:t xml:space="preserve"> </w:t>
      </w:r>
      <w:r>
        <w:rPr>
          <w:rFonts w:hint="cs"/>
          <w:b/>
          <w:bCs/>
          <w:rtl/>
        </w:rPr>
        <w:t>לפחות</w:t>
      </w:r>
      <w:r>
        <w:rPr>
          <w:rFonts w:hint="cs"/>
          <w:b/>
          <w:bCs/>
        </w:rPr>
        <w:t xml:space="preserve"> </w:t>
      </w:r>
      <w:r>
        <w:rPr>
          <w:rFonts w:hint="cs"/>
          <w:b/>
          <w:bCs/>
          <w:rtl/>
        </w:rPr>
        <w:t>לפני</w:t>
      </w:r>
      <w:r>
        <w:rPr>
          <w:rFonts w:hint="cs"/>
          <w:b/>
          <w:bCs/>
        </w:rPr>
        <w:t xml:space="preserve"> </w:t>
      </w:r>
      <w:r>
        <w:rPr>
          <w:rFonts w:hint="cs"/>
          <w:b/>
          <w:bCs/>
          <w:rtl/>
        </w:rPr>
        <w:t>הגשת</w:t>
      </w:r>
      <w:r>
        <w:rPr>
          <w:rFonts w:hint="cs"/>
          <w:b/>
          <w:bCs/>
        </w:rPr>
        <w:t xml:space="preserve"> </w:t>
      </w:r>
      <w:r>
        <w:rPr>
          <w:rFonts w:hint="cs"/>
          <w:b/>
          <w:bCs/>
          <w:rtl/>
        </w:rPr>
        <w:t>הבקשה</w:t>
      </w:r>
      <w:r>
        <w:rPr>
          <w:rFonts w:hint="cs"/>
          <w:b/>
          <w:bCs/>
        </w:rPr>
        <w:t>.</w:t>
      </w:r>
    </w:p>
    <w:p w14:paraId="74759144" w14:textId="77777777" w:rsidR="006D0FE3" w:rsidRDefault="006D0FE3" w:rsidP="006D0FE3">
      <w:pPr>
        <w:numPr>
          <w:ilvl w:val="0"/>
          <w:numId w:val="1"/>
        </w:numPr>
        <w:tabs>
          <w:tab w:val="num" w:pos="1440"/>
        </w:tabs>
        <w:autoSpaceDE w:val="0"/>
        <w:autoSpaceDN w:val="0"/>
        <w:adjustRightInd w:val="0"/>
        <w:spacing w:before="100" w:after="100"/>
        <w:ind w:left="1440" w:right="720"/>
        <w:outlineLvl w:val="0"/>
        <w:rPr>
          <w:b/>
          <w:bCs/>
        </w:rPr>
      </w:pPr>
      <w:r>
        <w:rPr>
          <w:rFonts w:hint="cs"/>
          <w:b/>
          <w:bCs/>
          <w:rtl/>
        </w:rPr>
        <w:t>הוא</w:t>
      </w:r>
      <w:r>
        <w:rPr>
          <w:rFonts w:hint="cs"/>
          <w:b/>
          <w:bCs/>
        </w:rPr>
        <w:t xml:space="preserve"> </w:t>
      </w:r>
      <w:r>
        <w:rPr>
          <w:rFonts w:hint="cs"/>
          <w:b/>
          <w:bCs/>
          <w:rtl/>
        </w:rPr>
        <w:t>עמד</w:t>
      </w:r>
      <w:r>
        <w:rPr>
          <w:rFonts w:hint="cs"/>
          <w:b/>
          <w:bCs/>
        </w:rPr>
        <w:t xml:space="preserve"> </w:t>
      </w:r>
      <w:r>
        <w:rPr>
          <w:rFonts w:hint="cs"/>
          <w:b/>
          <w:bCs/>
          <w:rtl/>
        </w:rPr>
        <w:t>בהצלחה</w:t>
      </w:r>
      <w:r>
        <w:rPr>
          <w:rFonts w:hint="cs"/>
          <w:b/>
          <w:bCs/>
        </w:rPr>
        <w:t xml:space="preserve"> </w:t>
      </w:r>
      <w:r>
        <w:rPr>
          <w:rFonts w:hint="cs"/>
          <w:b/>
          <w:bCs/>
          <w:rtl/>
        </w:rPr>
        <w:t>בבחינה</w:t>
      </w:r>
      <w:r>
        <w:rPr>
          <w:rFonts w:hint="cs"/>
          <w:b/>
          <w:bCs/>
        </w:rPr>
        <w:t xml:space="preserve"> </w:t>
      </w:r>
      <w:r>
        <w:rPr>
          <w:rFonts w:hint="cs"/>
          <w:b/>
          <w:bCs/>
          <w:rtl/>
        </w:rPr>
        <w:t>לקראת</w:t>
      </w:r>
      <w:r>
        <w:rPr>
          <w:rFonts w:hint="cs"/>
          <w:b/>
          <w:bCs/>
        </w:rPr>
        <w:t xml:space="preserve"> </w:t>
      </w:r>
      <w:r>
        <w:rPr>
          <w:rFonts w:hint="cs"/>
          <w:b/>
          <w:bCs/>
          <w:rtl/>
        </w:rPr>
        <w:t>קבלת</w:t>
      </w:r>
      <w:r>
        <w:rPr>
          <w:rFonts w:hint="cs"/>
          <w:b/>
          <w:bCs/>
        </w:rPr>
        <w:t xml:space="preserve"> </w:t>
      </w:r>
      <w:r>
        <w:rPr>
          <w:rFonts w:hint="cs"/>
          <w:b/>
          <w:bCs/>
          <w:rtl/>
        </w:rPr>
        <w:t>רשיון</w:t>
      </w:r>
      <w:r>
        <w:rPr>
          <w:rFonts w:hint="cs"/>
          <w:b/>
          <w:bCs/>
        </w:rPr>
        <w:t xml:space="preserve"> </w:t>
      </w:r>
      <w:r>
        <w:rPr>
          <w:rFonts w:hint="cs"/>
          <w:b/>
          <w:bCs/>
          <w:rtl/>
        </w:rPr>
        <w:t>תיווך</w:t>
      </w:r>
      <w:r>
        <w:rPr>
          <w:rFonts w:hint="cs"/>
          <w:b/>
          <w:bCs/>
        </w:rPr>
        <w:t xml:space="preserve"> </w:t>
      </w:r>
      <w:r>
        <w:rPr>
          <w:rFonts w:hint="cs"/>
          <w:b/>
          <w:bCs/>
          <w:rtl/>
        </w:rPr>
        <w:t xml:space="preserve">במקרקעין   </w:t>
      </w:r>
    </w:p>
    <w:p w14:paraId="5D52CDF2" w14:textId="77777777" w:rsidR="006D0FE3" w:rsidRDefault="006D0FE3" w:rsidP="006D0FE3">
      <w:pPr>
        <w:autoSpaceDE w:val="0"/>
        <w:autoSpaceDN w:val="0"/>
        <w:adjustRightInd w:val="0"/>
        <w:spacing w:before="100" w:after="100"/>
        <w:ind w:left="720" w:firstLine="720"/>
        <w:rPr>
          <w:rFonts w:cs="Times New Roman"/>
          <w:b/>
          <w:bCs/>
        </w:rPr>
      </w:pPr>
      <w:r>
        <w:rPr>
          <w:rFonts w:hint="cs"/>
          <w:b/>
          <w:bCs/>
          <w:rtl/>
        </w:rPr>
        <w:t>חשוב</w:t>
      </w:r>
      <w:r>
        <w:rPr>
          <w:rFonts w:hint="cs"/>
          <w:b/>
          <w:bCs/>
        </w:rPr>
        <w:t xml:space="preserve"> </w:t>
      </w:r>
      <w:r>
        <w:rPr>
          <w:rFonts w:hint="cs"/>
          <w:b/>
          <w:bCs/>
          <w:rtl/>
        </w:rPr>
        <w:t>לדעת</w:t>
      </w:r>
      <w:r>
        <w:rPr>
          <w:rFonts w:hint="cs"/>
          <w:b/>
          <w:bCs/>
        </w:rPr>
        <w:t xml:space="preserve"> - </w:t>
      </w:r>
      <w:r>
        <w:rPr>
          <w:rFonts w:hint="cs"/>
          <w:b/>
          <w:bCs/>
          <w:rtl/>
        </w:rPr>
        <w:t>דין</w:t>
      </w:r>
      <w:r>
        <w:rPr>
          <w:rFonts w:hint="cs"/>
          <w:b/>
          <w:bCs/>
        </w:rPr>
        <w:t xml:space="preserve"> </w:t>
      </w:r>
      <w:r>
        <w:rPr>
          <w:rFonts w:hint="cs"/>
          <w:b/>
          <w:bCs/>
          <w:rtl/>
        </w:rPr>
        <w:t>עבודות</w:t>
      </w:r>
      <w:r>
        <w:rPr>
          <w:rFonts w:hint="cs"/>
          <w:b/>
          <w:bCs/>
        </w:rPr>
        <w:t xml:space="preserve"> </w:t>
      </w:r>
      <w:r>
        <w:rPr>
          <w:rFonts w:hint="cs"/>
          <w:b/>
          <w:bCs/>
          <w:rtl/>
        </w:rPr>
        <w:t>שירות</w:t>
      </w:r>
      <w:r>
        <w:rPr>
          <w:rFonts w:hint="cs"/>
          <w:b/>
          <w:bCs/>
        </w:rPr>
        <w:t xml:space="preserve"> </w:t>
      </w:r>
      <w:r>
        <w:rPr>
          <w:rFonts w:hint="cs"/>
          <w:b/>
          <w:bCs/>
          <w:rtl/>
        </w:rPr>
        <w:t>כדין</w:t>
      </w:r>
      <w:r>
        <w:rPr>
          <w:rFonts w:hint="cs"/>
          <w:b/>
          <w:bCs/>
        </w:rPr>
        <w:t xml:space="preserve"> </w:t>
      </w:r>
      <w:r>
        <w:rPr>
          <w:rFonts w:hint="cs"/>
          <w:b/>
          <w:bCs/>
          <w:rtl/>
        </w:rPr>
        <w:t>מאסר</w:t>
      </w:r>
      <w:r>
        <w:rPr>
          <w:rFonts w:hint="cs"/>
          <w:b/>
          <w:bCs/>
        </w:rPr>
        <w:t xml:space="preserve"> </w:t>
      </w:r>
      <w:r>
        <w:rPr>
          <w:rFonts w:hint="cs"/>
          <w:b/>
          <w:bCs/>
          <w:rtl/>
        </w:rPr>
        <w:t>רגיל</w:t>
      </w:r>
      <w:r>
        <w:rPr>
          <w:rFonts w:cs="Times New Roman" w:hint="cs"/>
          <w:b/>
          <w:bCs/>
        </w:rPr>
        <w:t xml:space="preserve">. </w:t>
      </w:r>
    </w:p>
    <w:p w14:paraId="4CB39AA6" w14:textId="77777777" w:rsidR="006D0FE3" w:rsidRDefault="006D0FE3" w:rsidP="006D0FE3">
      <w:pPr>
        <w:ind w:left="720"/>
      </w:pPr>
    </w:p>
    <w:p w14:paraId="2140B510" w14:textId="77777777" w:rsidR="006D0FE3" w:rsidRDefault="006D0FE3" w:rsidP="006D0FE3">
      <w:pPr>
        <w:spacing w:line="360" w:lineRule="auto"/>
        <w:ind w:left="720" w:hanging="720"/>
        <w:jc w:val="both"/>
      </w:pPr>
    </w:p>
    <w:p w14:paraId="4A6EE9B9" w14:textId="77777777" w:rsidR="006D0FE3" w:rsidRDefault="006D0FE3" w:rsidP="006D0FE3">
      <w:pPr>
        <w:spacing w:line="360" w:lineRule="auto"/>
        <w:ind w:left="720"/>
        <w:jc w:val="both"/>
      </w:pPr>
      <w:r>
        <w:rPr>
          <w:rFonts w:hint="cs"/>
          <w:rtl/>
        </w:rPr>
        <w:t xml:space="preserve">המסקנה הנה כי אפילו אם יורשע, ואף אם יירצה מאסר – לא חסומה בפני הנאשם הדרך לעבוד כמתווך, וכי החלטה בעניין נתונה למקבלי ההחלטות על פי שיקול דעתם. גם אם יעוכב העיסוק בתחום, אין הדבר מתחייב באופן תמידי. </w:t>
      </w:r>
    </w:p>
    <w:p w14:paraId="1C093FEB" w14:textId="77777777" w:rsidR="006D0FE3" w:rsidRDefault="006D0FE3" w:rsidP="006D0FE3">
      <w:pPr>
        <w:spacing w:line="360" w:lineRule="auto"/>
        <w:ind w:left="720"/>
        <w:jc w:val="both"/>
        <w:rPr>
          <w:rtl/>
        </w:rPr>
      </w:pPr>
      <w:r>
        <w:rPr>
          <w:rFonts w:hint="cs"/>
          <w:rtl/>
        </w:rPr>
        <w:t>אם כן, לא הוכחה תוצאה ברורה וחריפה של ההרשעה לנאשם בתחומי עיסוקו הנוכחיים והעתידיים הנראים לעין.</w:t>
      </w:r>
    </w:p>
    <w:p w14:paraId="29E5C874" w14:textId="77777777" w:rsidR="006D0FE3" w:rsidRDefault="006D0FE3" w:rsidP="006D0FE3">
      <w:pPr>
        <w:spacing w:line="360" w:lineRule="auto"/>
        <w:ind w:left="720"/>
        <w:jc w:val="both"/>
        <w:rPr>
          <w:rtl/>
        </w:rPr>
      </w:pPr>
      <w:r>
        <w:rPr>
          <w:rFonts w:hint="cs"/>
          <w:rtl/>
        </w:rPr>
        <w:t xml:space="preserve">אציין שוב, כי גם אילו הוכחה פגיעה קונקרטית קשה, לא היה בכך לשכנע כי דין ההרשעה להתבטל. </w:t>
      </w:r>
    </w:p>
    <w:p w14:paraId="6F47D8D0" w14:textId="77777777" w:rsidR="006D0FE3" w:rsidRDefault="006D0FE3" w:rsidP="006D0FE3">
      <w:pPr>
        <w:spacing w:line="360" w:lineRule="auto"/>
        <w:ind w:left="720"/>
        <w:jc w:val="both"/>
        <w:rPr>
          <w:rtl/>
        </w:rPr>
      </w:pPr>
    </w:p>
    <w:p w14:paraId="32559920" w14:textId="77777777" w:rsidR="006D0FE3" w:rsidRDefault="006D0FE3" w:rsidP="006D0FE3">
      <w:pPr>
        <w:spacing w:line="360" w:lineRule="auto"/>
        <w:ind w:left="720"/>
        <w:jc w:val="both"/>
        <w:rPr>
          <w:b/>
          <w:bCs/>
          <w:u w:val="single"/>
          <w:rtl/>
        </w:rPr>
      </w:pPr>
      <w:r>
        <w:rPr>
          <w:rFonts w:hint="cs"/>
          <w:b/>
          <w:bCs/>
          <w:u w:val="single"/>
          <w:rtl/>
        </w:rPr>
        <w:t>אני מותירה לפיכך את הרשעת הנאשם על כנה</w:t>
      </w:r>
      <w:r>
        <w:rPr>
          <w:rFonts w:hint="cs"/>
          <w:rtl/>
        </w:rPr>
        <w:t>.</w:t>
      </w:r>
      <w:r>
        <w:rPr>
          <w:rFonts w:hint="cs"/>
          <w:b/>
          <w:bCs/>
          <w:u w:val="single"/>
          <w:rtl/>
        </w:rPr>
        <w:t xml:space="preserve">  </w:t>
      </w:r>
    </w:p>
    <w:p w14:paraId="18E03A51" w14:textId="77777777" w:rsidR="006D0FE3" w:rsidRDefault="006D0FE3" w:rsidP="006D0FE3">
      <w:pPr>
        <w:spacing w:line="360" w:lineRule="auto"/>
        <w:jc w:val="both"/>
        <w:rPr>
          <w:rFonts w:ascii="Calibri" w:hAnsi="Calibri"/>
          <w:b/>
          <w:bCs/>
          <w:u w:val="single"/>
          <w:rtl/>
        </w:rPr>
      </w:pPr>
    </w:p>
    <w:p w14:paraId="6D29F929" w14:textId="77777777" w:rsidR="006D0FE3" w:rsidRDefault="006D0FE3" w:rsidP="006D0FE3">
      <w:pPr>
        <w:spacing w:line="360" w:lineRule="auto"/>
        <w:ind w:left="720" w:hanging="720"/>
        <w:jc w:val="both"/>
        <w:rPr>
          <w:rFonts w:ascii="Calibri" w:hAnsi="Calibri"/>
          <w:rtl/>
        </w:rPr>
      </w:pPr>
      <w:r>
        <w:rPr>
          <w:rFonts w:ascii="Calibri" w:hAnsi="Calibri" w:hint="cs"/>
          <w:rtl/>
        </w:rPr>
        <w:t>19.</w:t>
      </w:r>
      <w:r>
        <w:rPr>
          <w:rFonts w:ascii="Calibri" w:hAnsi="Calibri" w:hint="cs"/>
          <w:rtl/>
        </w:rPr>
        <w:tab/>
        <w:t xml:space="preserve">אגש איפוא לקביעת עונשו של הנאשם לאחר שהורשע בדין. </w:t>
      </w:r>
    </w:p>
    <w:p w14:paraId="7E487B86" w14:textId="77777777" w:rsidR="006D0FE3" w:rsidRDefault="006D0FE3" w:rsidP="006D0FE3">
      <w:pPr>
        <w:spacing w:line="360" w:lineRule="auto"/>
        <w:ind w:left="720" w:hanging="720"/>
        <w:jc w:val="both"/>
        <w:rPr>
          <w:rFonts w:ascii="Calibri" w:hAnsi="Calibri"/>
          <w:rtl/>
        </w:rPr>
      </w:pPr>
    </w:p>
    <w:p w14:paraId="3DB7B798" w14:textId="77777777" w:rsidR="006D0FE3" w:rsidRDefault="006D0FE3" w:rsidP="006D0FE3">
      <w:pPr>
        <w:spacing w:line="360" w:lineRule="auto"/>
        <w:ind w:left="720"/>
        <w:jc w:val="both"/>
        <w:rPr>
          <w:rFonts w:ascii="Calibri" w:hAnsi="Calibri"/>
          <w:rtl/>
        </w:rPr>
      </w:pPr>
      <w:r>
        <w:rPr>
          <w:rFonts w:ascii="Calibri" w:hAnsi="Calibri" w:hint="cs"/>
          <w:rtl/>
        </w:rPr>
        <w:t>מלאכת גזירת העונש נעשית, על פי הוראות תיקון 113 שב</w:t>
      </w:r>
      <w:hyperlink r:id="rId26" w:history="1">
        <w:r w:rsidR="004565F5" w:rsidRPr="004565F5">
          <w:rPr>
            <w:rFonts w:ascii="Calibri" w:hAnsi="Calibri" w:hint="eastAsia"/>
            <w:color w:val="0000FF"/>
            <w:u w:val="single"/>
            <w:rtl/>
          </w:rPr>
          <w:t>חוק</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העונשין</w:t>
        </w:r>
      </w:hyperlink>
      <w:r>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4C0B1C0F" w14:textId="77777777" w:rsidR="006D0FE3" w:rsidRDefault="006D0FE3" w:rsidP="006D0FE3">
      <w:pPr>
        <w:spacing w:line="360" w:lineRule="auto"/>
        <w:jc w:val="both"/>
        <w:rPr>
          <w:rFonts w:ascii="Calibri" w:hAnsi="Calibri"/>
          <w:b/>
          <w:bCs/>
          <w:u w:val="single"/>
          <w:rtl/>
        </w:rPr>
      </w:pPr>
    </w:p>
    <w:p w14:paraId="61403D1F" w14:textId="77777777" w:rsidR="006D0FE3" w:rsidRDefault="006D0FE3" w:rsidP="006D0FE3">
      <w:pPr>
        <w:spacing w:line="360" w:lineRule="auto"/>
        <w:jc w:val="both"/>
        <w:rPr>
          <w:rFonts w:ascii="Calibri" w:hAnsi="Calibri"/>
          <w:b/>
          <w:bCs/>
          <w:u w:val="single"/>
          <w:rtl/>
        </w:rPr>
      </w:pPr>
    </w:p>
    <w:p w14:paraId="7875A7A6" w14:textId="77777777" w:rsidR="006D0FE3" w:rsidRDefault="006D0FE3" w:rsidP="006D0FE3">
      <w:pPr>
        <w:spacing w:line="360" w:lineRule="auto"/>
        <w:ind w:firstLine="720"/>
        <w:jc w:val="both"/>
        <w:rPr>
          <w:rFonts w:ascii="Calibri" w:hAnsi="Calibri"/>
          <w:b/>
          <w:bCs/>
          <w:u w:val="single"/>
          <w:rtl/>
        </w:rPr>
      </w:pPr>
      <w:r>
        <w:rPr>
          <w:rFonts w:ascii="Calibri" w:hAnsi="Calibri" w:hint="cs"/>
          <w:b/>
          <w:bCs/>
          <w:u w:val="single"/>
          <w:rtl/>
        </w:rPr>
        <w:t>מתחם העונש ההולם</w:t>
      </w:r>
      <w:r>
        <w:rPr>
          <w:rFonts w:ascii="Calibri" w:hAnsi="Calibri" w:hint="cs"/>
          <w:rtl/>
        </w:rPr>
        <w:t>.</w:t>
      </w:r>
    </w:p>
    <w:p w14:paraId="54AD7FE4" w14:textId="77777777" w:rsidR="006D0FE3" w:rsidRDefault="006D0FE3" w:rsidP="006D0FE3">
      <w:pPr>
        <w:spacing w:line="360" w:lineRule="auto"/>
        <w:ind w:firstLine="720"/>
        <w:jc w:val="both"/>
        <w:rPr>
          <w:rFonts w:ascii="Calibri" w:hAnsi="Calibri"/>
          <w:u w:val="single"/>
          <w:rtl/>
        </w:rPr>
      </w:pPr>
    </w:p>
    <w:p w14:paraId="1F103FF2" w14:textId="77777777" w:rsidR="006D0FE3" w:rsidRDefault="006D0FE3" w:rsidP="006D0FE3">
      <w:pPr>
        <w:spacing w:line="360" w:lineRule="auto"/>
        <w:ind w:left="720" w:hanging="720"/>
        <w:jc w:val="both"/>
        <w:rPr>
          <w:rFonts w:ascii="Calibri" w:hAnsi="Calibri"/>
          <w:rtl/>
        </w:rPr>
      </w:pPr>
      <w:r>
        <w:rPr>
          <w:rFonts w:ascii="Calibri" w:hAnsi="Calibri" w:hint="cs"/>
          <w:rtl/>
        </w:rPr>
        <w:t>20.</w:t>
      </w:r>
      <w:r>
        <w:rPr>
          <w:rFonts w:ascii="Calibri" w:hAnsi="Calibri" w:hint="cs"/>
          <w:rtl/>
        </w:rPr>
        <w:tab/>
        <w:t xml:space="preserve">מדד חומרתה של עבירת גידול סמים, אשר פגיעתה בערכים המוגנים נדונה לעיל,  לוקח בחשבון את נסיבות גידול הסמים, סוגם וכמותם, ושיקולים נוספים. במקרה זה, חומרתן של העבירות מאופיין בכך שמדובר בכמות לא מבוטלת – 48 שתילים. משקלם של הסמים שנתפסו הינו, במקרים שעניינם מעבדות סמים, שיקול משני, שכן ברור כי משקל הסמים תלוי בנסיבה עיקרית אחת, והיא מועד התפיסה והחיפוש, יחסית למועד השתילה. אין במדד המשקל ללמד מסקנה מכרעת לגבי חומרת העבירות, שכן הסמים נשקלים בנקודה שהינה מקרית, היא אותה נקודה שבה חושפת המשטרה את ההתארגנות הפלילית. ההנחה הברורה הינה, כי אילולא נחשפה מעבדת הסמים של הנאשם, היו השתילים מניבים תנובה רבה יותר של קנבוס, מזו העולה על 600 ג', שנתפסה בפועל. </w:t>
      </w:r>
    </w:p>
    <w:p w14:paraId="4D71F2E4" w14:textId="77777777" w:rsidR="006D0FE3" w:rsidRDefault="006D0FE3" w:rsidP="006D0FE3">
      <w:pPr>
        <w:spacing w:line="360" w:lineRule="auto"/>
        <w:ind w:left="720" w:hanging="720"/>
        <w:jc w:val="both"/>
        <w:rPr>
          <w:rFonts w:ascii="Calibri" w:hAnsi="Calibri"/>
          <w:rtl/>
        </w:rPr>
      </w:pPr>
    </w:p>
    <w:p w14:paraId="277FF5B6" w14:textId="77777777" w:rsidR="006D0FE3" w:rsidRDefault="006D0FE3" w:rsidP="006D0FE3">
      <w:pPr>
        <w:spacing w:line="360" w:lineRule="auto"/>
        <w:ind w:left="720" w:hanging="720"/>
        <w:jc w:val="both"/>
        <w:rPr>
          <w:rFonts w:ascii="Calibri" w:hAnsi="Calibri"/>
          <w:rtl/>
        </w:rPr>
      </w:pPr>
      <w:r>
        <w:rPr>
          <w:rFonts w:ascii="Calibri" w:hAnsi="Calibri" w:hint="cs"/>
          <w:rtl/>
        </w:rPr>
        <w:tab/>
        <w:t xml:space="preserve">חומרה נוספת אשר ניכרת מהמעשים נעוצה כאמור לעיל במאפייני התכנון וההתארגנות, ההצטיידות בציוד "הידרו" אופייני, שכולל אמצעי תאורה, שנאי ורשת מיוחדת לטיפול בצמחים. </w:t>
      </w:r>
    </w:p>
    <w:p w14:paraId="73021BA2" w14:textId="77777777" w:rsidR="006D0FE3" w:rsidRDefault="006D0FE3" w:rsidP="006D0FE3">
      <w:pPr>
        <w:spacing w:line="360" w:lineRule="auto"/>
        <w:ind w:left="720" w:hanging="720"/>
        <w:jc w:val="both"/>
        <w:rPr>
          <w:rFonts w:ascii="Calibri" w:hAnsi="Calibri"/>
          <w:rtl/>
        </w:rPr>
      </w:pPr>
    </w:p>
    <w:p w14:paraId="32EB11DC" w14:textId="77777777" w:rsidR="006D0FE3" w:rsidRDefault="006D0FE3" w:rsidP="006D0FE3">
      <w:pPr>
        <w:spacing w:line="360" w:lineRule="auto"/>
        <w:ind w:left="720" w:hanging="720"/>
        <w:jc w:val="both"/>
        <w:rPr>
          <w:rFonts w:ascii="Calibri" w:hAnsi="Calibri"/>
          <w:rtl/>
        </w:rPr>
      </w:pPr>
      <w:r>
        <w:rPr>
          <w:rFonts w:ascii="Calibri" w:hAnsi="Calibri" w:hint="cs"/>
          <w:rtl/>
        </w:rPr>
        <w:t>21.</w:t>
      </w:r>
      <w:r>
        <w:rPr>
          <w:rFonts w:ascii="Calibri" w:hAnsi="Calibri" w:hint="cs"/>
          <w:rtl/>
        </w:rPr>
        <w:tab/>
        <w:t xml:space="preserve">מדובר בתופעה מתעצמת ונפוצה של גידול סמים, אשר גונתה בפסיקה לא פעם. ראה לעניין זה לדוגמא את הדברים שנאמרו ב </w:t>
      </w:r>
      <w:hyperlink r:id="rId27" w:history="1">
        <w:r w:rsidR="004565F5" w:rsidRPr="004565F5">
          <w:rPr>
            <w:rFonts w:ascii="Calibri" w:hAnsi="Calibri" w:hint="eastAsia"/>
            <w:color w:val="0000FF"/>
            <w:u w:val="single"/>
            <w:rtl/>
          </w:rPr>
          <w:t>עפ</w:t>
        </w:r>
        <w:r w:rsidR="004565F5" w:rsidRPr="004565F5">
          <w:rPr>
            <w:rFonts w:ascii="Calibri" w:hAnsi="Calibri"/>
            <w:color w:val="0000FF"/>
            <w:u w:val="single"/>
            <w:rtl/>
          </w:rPr>
          <w:t>"</w:t>
        </w:r>
        <w:r w:rsidR="004565F5" w:rsidRPr="004565F5">
          <w:rPr>
            <w:rFonts w:ascii="Calibri" w:hAnsi="Calibri" w:hint="eastAsia"/>
            <w:color w:val="0000FF"/>
            <w:u w:val="single"/>
            <w:rtl/>
          </w:rPr>
          <w:t>ג</w:t>
        </w:r>
        <w:r w:rsidR="004565F5" w:rsidRPr="004565F5">
          <w:rPr>
            <w:rFonts w:ascii="Calibri" w:hAnsi="Calibri"/>
            <w:color w:val="0000FF"/>
            <w:u w:val="single"/>
            <w:rtl/>
          </w:rPr>
          <w:t xml:space="preserve"> 12819-11-15</w:t>
        </w:r>
      </w:hyperlink>
      <w:r>
        <w:rPr>
          <w:rFonts w:ascii="Calibri" w:hAnsi="Calibri" w:hint="cs"/>
          <w:rtl/>
        </w:rPr>
        <w:t xml:space="preserve">  (מחוזי תל-אביב) </w:t>
      </w:r>
      <w:r>
        <w:rPr>
          <w:rFonts w:ascii="Calibri" w:hAnsi="Calibri" w:hint="cs"/>
          <w:b/>
          <w:bCs/>
          <w:rtl/>
        </w:rPr>
        <w:t>מדינת ישראל נגד גיא בן צבי</w:t>
      </w:r>
      <w:r>
        <w:rPr>
          <w:rFonts w:ascii="Calibri" w:hAnsi="Calibri" w:hint="cs"/>
          <w:rtl/>
        </w:rPr>
        <w:t>:</w:t>
      </w:r>
    </w:p>
    <w:p w14:paraId="7F18F012" w14:textId="77777777" w:rsidR="006D0FE3" w:rsidRDefault="006D0FE3" w:rsidP="006D0FE3">
      <w:pPr>
        <w:spacing w:line="360" w:lineRule="auto"/>
        <w:jc w:val="both"/>
        <w:rPr>
          <w:rFonts w:ascii="Calibri" w:hAnsi="Calibri"/>
          <w:rtl/>
        </w:rPr>
      </w:pPr>
    </w:p>
    <w:p w14:paraId="7ABEE9DB" w14:textId="77777777" w:rsidR="006D0FE3" w:rsidRDefault="006D0FE3" w:rsidP="006D0FE3">
      <w:pPr>
        <w:spacing w:line="360" w:lineRule="auto"/>
        <w:ind w:left="1440" w:right="850"/>
        <w:jc w:val="both"/>
        <w:rPr>
          <w:rFonts w:ascii="Calibri" w:hAnsi="Calibri"/>
          <w:rtl/>
        </w:rPr>
      </w:pPr>
      <w:r>
        <w:rPr>
          <w:rFonts w:ascii="Calibri" w:hAnsi="Calibri" w:hint="cs"/>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091E7890" w14:textId="77777777" w:rsidR="006D0FE3" w:rsidRDefault="006D0FE3" w:rsidP="006D0FE3">
      <w:pPr>
        <w:spacing w:line="360" w:lineRule="auto"/>
        <w:ind w:left="720" w:hanging="720"/>
        <w:jc w:val="both"/>
        <w:rPr>
          <w:rFonts w:ascii="Calibri" w:hAnsi="Calibri"/>
          <w:rtl/>
        </w:rPr>
      </w:pPr>
    </w:p>
    <w:p w14:paraId="7103E57B" w14:textId="77777777" w:rsidR="006D0FE3" w:rsidRDefault="006D0FE3" w:rsidP="006D0FE3">
      <w:pPr>
        <w:spacing w:line="360" w:lineRule="auto"/>
        <w:ind w:left="720" w:hanging="720"/>
        <w:jc w:val="both"/>
        <w:rPr>
          <w:rFonts w:ascii="Calibri" w:hAnsi="Calibri"/>
          <w:rtl/>
        </w:rPr>
      </w:pPr>
      <w:r>
        <w:rPr>
          <w:rFonts w:ascii="Calibri" w:hAnsi="Calibri" w:hint="cs"/>
          <w:rtl/>
        </w:rPr>
        <w:t>22.</w:t>
      </w:r>
      <w:r>
        <w:rPr>
          <w:rFonts w:ascii="Calibri" w:hAnsi="Calibri" w:hint="cs"/>
          <w:rtl/>
        </w:rPr>
        <w:tab/>
        <w:t xml:space="preserve">מצאתי כי מעשיו של הנאשם פגעו בערכים המוגנים פגיעה ברמה בינונית – גבוהה, וזאת כשלטובת הנאשם יש להבחין בין עניינו לבין עניינים חמורים יותר שבהם גודלו שתילים רבים, ולפעמים רבים בהרבה מכאן, וכן בין עניינו לבין מקרים חמורים יותר, בהם נתפסו בנוסף גם מוצגים המעידים על כוונות מסחריות, דוגמת משקל, אריזות סמים או רשימות החשודות כרשימות לקוחות. </w:t>
      </w:r>
    </w:p>
    <w:p w14:paraId="3D87903A" w14:textId="77777777" w:rsidR="006D0FE3" w:rsidRDefault="006D0FE3" w:rsidP="006D0FE3">
      <w:pPr>
        <w:spacing w:line="360" w:lineRule="auto"/>
        <w:ind w:right="850"/>
        <w:jc w:val="both"/>
        <w:rPr>
          <w:rFonts w:ascii="Calibri" w:hAnsi="Calibri"/>
          <w:b/>
          <w:bCs/>
          <w:rtl/>
        </w:rPr>
      </w:pPr>
    </w:p>
    <w:p w14:paraId="14B4D452" w14:textId="77777777" w:rsidR="006D0FE3" w:rsidRDefault="006D0FE3" w:rsidP="006D0FE3">
      <w:pPr>
        <w:spacing w:line="360" w:lineRule="auto"/>
        <w:ind w:left="720" w:hanging="720"/>
        <w:jc w:val="both"/>
        <w:rPr>
          <w:rFonts w:ascii="Calibri" w:hAnsi="Calibri"/>
          <w:rtl/>
        </w:rPr>
      </w:pPr>
      <w:r>
        <w:rPr>
          <w:rFonts w:ascii="Calibri" w:hAnsi="Calibri" w:hint="cs"/>
          <w:rtl/>
        </w:rPr>
        <w:t>23.</w:t>
      </w:r>
      <w:r>
        <w:rPr>
          <w:rFonts w:ascii="Calibri" w:hAnsi="Calibri" w:hint="cs"/>
          <w:rtl/>
        </w:rPr>
        <w:tab/>
        <w:t xml:space="preserve">בחינת מדיניות הענישה מעלה כי הוטלה ענישה מגוונת בעבירות גידול סמים, החל ממאסר בפועל לריצוי בדרך של עבודות שרות ועד מאסרים בפועל משמעותיים מאחורי סורג ובריח, בהתאם לנסיבותיו של כל מקרה ומקרה. במקרים קלים משמעותית מהמקרה שבפני, כשמדובר בגידול שתילים ספורים ללא אמצעים "מקצועניים", ניתנת ענישה ללא רכיב של מאסר בפועל, ואולם במקרים דומים, הימנעות ממאסר ממש, הינה מבחינת חריג. ראה להלן התייחסות לענישה במקרים דומים. </w:t>
      </w:r>
    </w:p>
    <w:p w14:paraId="7841F9B2" w14:textId="77777777" w:rsidR="006D0FE3" w:rsidRDefault="006D0FE3" w:rsidP="006D0FE3">
      <w:pPr>
        <w:spacing w:line="360" w:lineRule="auto"/>
        <w:jc w:val="both"/>
        <w:rPr>
          <w:rFonts w:ascii="Calibri" w:hAnsi="Calibri"/>
          <w:b/>
          <w:bCs/>
          <w:rtl/>
        </w:rPr>
      </w:pPr>
    </w:p>
    <w:p w14:paraId="16150C71" w14:textId="77777777" w:rsidR="006D0FE3" w:rsidRDefault="006D0FE3" w:rsidP="006D0FE3">
      <w:pPr>
        <w:spacing w:line="360" w:lineRule="auto"/>
        <w:ind w:left="1440" w:hanging="720"/>
        <w:jc w:val="both"/>
        <w:rPr>
          <w:rFonts w:ascii="Calibri" w:hAnsi="Calibri"/>
          <w:rtl/>
        </w:rPr>
      </w:pPr>
      <w:r>
        <w:rPr>
          <w:rFonts w:ascii="Calibri" w:hAnsi="Calibri" w:hint="cs"/>
          <w:rtl/>
        </w:rPr>
        <w:t>א.</w:t>
      </w:r>
      <w:r>
        <w:rPr>
          <w:rFonts w:ascii="Calibri" w:hAnsi="Calibri" w:hint="cs"/>
          <w:rtl/>
        </w:rPr>
        <w:tab/>
        <w:t xml:space="preserve"> </w:t>
      </w:r>
      <w:hyperlink r:id="rId28" w:history="1">
        <w:r w:rsidR="004565F5" w:rsidRPr="004565F5">
          <w:rPr>
            <w:rFonts w:ascii="Calibri" w:hAnsi="Calibri" w:hint="eastAsia"/>
            <w:color w:val="0000FF"/>
            <w:u w:val="single"/>
            <w:rtl/>
          </w:rPr>
          <w:t>רע</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1787/15</w:t>
        </w:r>
      </w:hyperlink>
      <w:r>
        <w:rPr>
          <w:rFonts w:ascii="Calibri" w:hAnsi="Calibri" w:hint="cs"/>
          <w:rtl/>
        </w:rPr>
        <w:t xml:space="preserve"> </w:t>
      </w:r>
      <w:r>
        <w:rPr>
          <w:rFonts w:ascii="Calibri" w:hAnsi="Calibri" w:hint="cs"/>
          <w:b/>
          <w:bCs/>
          <w:rtl/>
        </w:rPr>
        <w:t>אדי עמר נגד מדינת ישראל (24.03.15)</w:t>
      </w:r>
      <w:r>
        <w:rPr>
          <w:rFonts w:ascii="Calibri" w:hAnsi="Calibri" w:hint="cs"/>
          <w:rtl/>
        </w:rPr>
        <w:t xml:space="preserve">, המבקש הודה והורשע בביצוע עבירות של גידול, הכנה וייצור סמים מסוכנים, החזקה ושימוש בסמים שלא לצריכה עצמית והחזקת כלים להכנת סם שלא לצריכה עצמית. המבקש החזיק בדירת מגוריו, השייכת לבת זוגו, 9 שתילי קנבוס במשקל כולל של 4.380 קילוגרם נטו. בנוסף החזיק המבקש בכלים המשמשים לגידול, הכנה וייצור סמים מסוכנים וכן נתפסו סכומי כסף ומט"ח. </w:t>
      </w:r>
      <w:r>
        <w:rPr>
          <w:rFonts w:ascii="Calibri" w:hAnsi="Calibri" w:hint="cs"/>
          <w:u w:val="single"/>
          <w:rtl/>
        </w:rPr>
        <w:t>בית המשפט השלום גזר עליו 8 חודשי מאסר בפועל ועונשים נלווים.</w:t>
      </w:r>
      <w:r>
        <w:rPr>
          <w:rFonts w:ascii="Calibri" w:hAnsi="Calibri" w:hint="cs"/>
          <w:rtl/>
        </w:rPr>
        <w:t xml:space="preserve"> </w:t>
      </w:r>
    </w:p>
    <w:p w14:paraId="408AF862" w14:textId="77777777" w:rsidR="006D0FE3" w:rsidRDefault="006D0FE3" w:rsidP="006D0FE3">
      <w:pPr>
        <w:spacing w:line="360" w:lineRule="auto"/>
        <w:jc w:val="both"/>
        <w:rPr>
          <w:rFonts w:ascii="Calibri" w:hAnsi="Calibri"/>
          <w:rtl/>
        </w:rPr>
      </w:pPr>
    </w:p>
    <w:p w14:paraId="2E679D52" w14:textId="77777777" w:rsidR="006D0FE3" w:rsidRDefault="006D0FE3" w:rsidP="006D0FE3">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29" w:history="1">
        <w:r w:rsidR="004565F5" w:rsidRPr="004565F5">
          <w:rPr>
            <w:rFonts w:ascii="Calibri" w:hAnsi="Calibri" w:hint="eastAsia"/>
            <w:color w:val="0000FF"/>
            <w:u w:val="single"/>
            <w:rtl/>
          </w:rPr>
          <w:t>רע</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7005/14</w:t>
        </w:r>
      </w:hyperlink>
      <w:r>
        <w:rPr>
          <w:rFonts w:ascii="Calibri" w:hAnsi="Calibri" w:hint="cs"/>
          <w:rtl/>
        </w:rPr>
        <w:t xml:space="preserve"> </w:t>
      </w:r>
      <w:r>
        <w:rPr>
          <w:rFonts w:ascii="Calibri" w:hAnsi="Calibri" w:hint="cs"/>
          <w:b/>
          <w:bCs/>
          <w:rtl/>
        </w:rPr>
        <w:t>עידן דגן נגד מדינת ישראל (30.11.14)</w:t>
      </w:r>
      <w:r>
        <w:rPr>
          <w:rFonts w:ascii="Calibri" w:hAnsi="Calibri" w:hint="cs"/>
          <w:rtl/>
        </w:rPr>
        <w:t xml:space="preserve">, המבקש הודה והורשע בעבירות גידול סמים והחזקה ושימוש בסמים לצריכה עצמית. הנאשם החזיק מעבדה לגידול סמים וגידל 2.721.83 גרם סם מסוכן מסוג קנאביס. </w:t>
      </w:r>
      <w:r>
        <w:rPr>
          <w:rFonts w:ascii="Calibri" w:hAnsi="Calibri" w:hint="cs"/>
          <w:u w:val="single"/>
          <w:rtl/>
        </w:rPr>
        <w:t>בית המשפט השלום גזר עליו 10 חודשי מאסר בפועל ועונשים נלווים</w:t>
      </w:r>
      <w:r>
        <w:rPr>
          <w:rFonts w:ascii="Calibri" w:hAnsi="Calibri" w:hint="cs"/>
          <w:rtl/>
        </w:rPr>
        <w:t>. העונש לא הופחת בהליכי ערעור.</w:t>
      </w:r>
    </w:p>
    <w:p w14:paraId="580B24D6" w14:textId="77777777" w:rsidR="006D0FE3" w:rsidRDefault="006D0FE3" w:rsidP="006D0FE3">
      <w:pPr>
        <w:spacing w:line="360" w:lineRule="auto"/>
        <w:jc w:val="both"/>
        <w:rPr>
          <w:rFonts w:ascii="Calibri" w:hAnsi="Calibri"/>
          <w:rtl/>
        </w:rPr>
      </w:pPr>
    </w:p>
    <w:p w14:paraId="3E90FB9C" w14:textId="77777777" w:rsidR="006D0FE3" w:rsidRDefault="006D0FE3" w:rsidP="006D0FE3">
      <w:pPr>
        <w:spacing w:line="360" w:lineRule="auto"/>
        <w:ind w:left="1440" w:hanging="720"/>
        <w:jc w:val="both"/>
        <w:rPr>
          <w:rFonts w:ascii="Calibri" w:hAnsi="Calibri"/>
          <w:rtl/>
        </w:rPr>
      </w:pPr>
      <w:r>
        <w:rPr>
          <w:rFonts w:ascii="Calibri" w:hAnsi="Calibri" w:hint="cs"/>
          <w:rtl/>
        </w:rPr>
        <w:t>ג.</w:t>
      </w:r>
      <w:r>
        <w:rPr>
          <w:rFonts w:ascii="Calibri" w:hAnsi="Calibri" w:hint="cs"/>
          <w:rtl/>
        </w:rPr>
        <w:tab/>
      </w:r>
      <w:hyperlink r:id="rId30" w:history="1">
        <w:r w:rsidR="004565F5" w:rsidRPr="004565F5">
          <w:rPr>
            <w:rFonts w:ascii="Calibri" w:hAnsi="Calibri" w:hint="eastAsia"/>
            <w:color w:val="0000FF"/>
            <w:u w:val="single"/>
            <w:rtl/>
          </w:rPr>
          <w:t>רע</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7819/15</w:t>
        </w:r>
      </w:hyperlink>
      <w:r>
        <w:rPr>
          <w:rFonts w:ascii="Calibri" w:hAnsi="Calibri" w:hint="cs"/>
          <w:rtl/>
        </w:rPr>
        <w:t xml:space="preserve"> </w:t>
      </w:r>
      <w:r>
        <w:rPr>
          <w:rFonts w:ascii="Calibri" w:hAnsi="Calibri" w:hint="cs"/>
          <w:b/>
          <w:bCs/>
          <w:rtl/>
        </w:rPr>
        <w:t>עופר סלור נגד מדינת ישראל (22.05.16)</w:t>
      </w:r>
      <w:r>
        <w:rPr>
          <w:rFonts w:ascii="Calibri" w:hAnsi="Calibri" w:hint="cs"/>
          <w:rtl/>
        </w:rPr>
        <w:t xml:space="preserve">, המבקש הודה והורשע בשתי עבירות של גידול, ייצור והכנת סמים מסוכנים והחזקת סמים שלא לצריכה עצמית. המבקש גידל </w:t>
      </w:r>
      <w:r>
        <w:rPr>
          <w:rFonts w:hint="cs"/>
          <w:rtl/>
        </w:rPr>
        <w:t xml:space="preserve">במעבדה שהקים בדירתו 45 שתילים של סם מסוכן מסוג קנאביס במשקל כולל של  7,440 גרם נטו. </w:t>
      </w:r>
      <w:r>
        <w:rPr>
          <w:rFonts w:ascii="Calibri" w:hAnsi="Calibri" w:hint="cs"/>
          <w:u w:val="single"/>
          <w:rtl/>
        </w:rPr>
        <w:t>בית המשפט השלום גזר עליו 9 חודשי מאסר בפועל</w:t>
      </w:r>
      <w:r>
        <w:rPr>
          <w:rFonts w:ascii="Calibri" w:hAnsi="Calibri" w:hint="cs"/>
          <w:rtl/>
        </w:rPr>
        <w:t>. העונש נותר על כנו בערעורים.</w:t>
      </w:r>
    </w:p>
    <w:p w14:paraId="5B116FA7" w14:textId="77777777" w:rsidR="006D0FE3" w:rsidRDefault="006D0FE3" w:rsidP="006D0FE3">
      <w:pPr>
        <w:spacing w:line="360" w:lineRule="auto"/>
        <w:jc w:val="both"/>
        <w:rPr>
          <w:rFonts w:ascii="Calibri" w:hAnsi="Calibri"/>
          <w:rtl/>
        </w:rPr>
      </w:pPr>
    </w:p>
    <w:p w14:paraId="46F54DA8" w14:textId="77777777" w:rsidR="006D0FE3" w:rsidRDefault="006D0FE3" w:rsidP="006D0FE3">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31" w:history="1">
        <w:r w:rsidR="004565F5" w:rsidRPr="004565F5">
          <w:rPr>
            <w:rFonts w:ascii="Calibri" w:hAnsi="Calibri" w:hint="eastAsia"/>
            <w:color w:val="0000FF"/>
            <w:u w:val="single"/>
            <w:rtl/>
          </w:rPr>
          <w:t>רע</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314/16</w:t>
        </w:r>
      </w:hyperlink>
      <w:r>
        <w:rPr>
          <w:rFonts w:ascii="Calibri" w:hAnsi="Calibri" w:hint="cs"/>
          <w:rtl/>
        </w:rPr>
        <w:t xml:space="preserve"> </w:t>
      </w:r>
      <w:r>
        <w:rPr>
          <w:rFonts w:ascii="Calibri" w:hAnsi="Calibri" w:hint="cs"/>
          <w:b/>
          <w:bCs/>
          <w:rtl/>
        </w:rPr>
        <w:t>גיא בן צבי נגד מדינת ישראל</w:t>
      </w:r>
      <w:r>
        <w:rPr>
          <w:rFonts w:ascii="Calibri" w:hAnsi="Calibri" w:hint="cs"/>
          <w:rtl/>
        </w:rPr>
        <w:t xml:space="preserve"> </w:t>
      </w:r>
      <w:r>
        <w:rPr>
          <w:rFonts w:ascii="Calibri" w:hAnsi="Calibri" w:hint="cs"/>
          <w:b/>
          <w:bCs/>
          <w:rtl/>
        </w:rPr>
        <w:t>(22.02.16)</w:t>
      </w:r>
      <w:r>
        <w:rPr>
          <w:rFonts w:ascii="Calibri" w:hAnsi="Calibri" w:hint="cs"/>
          <w:rtl/>
        </w:rPr>
        <w:t xml:space="preserve">, המבקש הודה והורשע בעבירה של גידול סם מסוכן. המבקש הקים מעבדת סמים, נשפט בבית משפט השלום ל6 חודשי מאסר בדרך של עבודות שרות ועונשים נלווים. </w:t>
      </w:r>
      <w:r>
        <w:rPr>
          <w:rFonts w:ascii="Calibri" w:hAnsi="Calibri" w:hint="cs"/>
          <w:u w:val="single"/>
          <w:rtl/>
        </w:rPr>
        <w:t>ערעור המדינה על קולת העונש התקבל ובית המשפט המחוזי גזר עליו 10 חודשי מאסר בפועל</w:t>
      </w:r>
      <w:r>
        <w:rPr>
          <w:rFonts w:ascii="Calibri" w:hAnsi="Calibri" w:hint="cs"/>
          <w:rtl/>
        </w:rPr>
        <w:t>. רשות ערעור פלילי נדחתה.</w:t>
      </w:r>
    </w:p>
    <w:p w14:paraId="4BB106C3" w14:textId="77777777" w:rsidR="006D0FE3" w:rsidRDefault="006D0FE3" w:rsidP="006D0FE3">
      <w:pPr>
        <w:spacing w:line="360" w:lineRule="auto"/>
        <w:jc w:val="both"/>
        <w:rPr>
          <w:rFonts w:ascii="Calibri" w:hAnsi="Calibri"/>
          <w:rtl/>
        </w:rPr>
      </w:pPr>
    </w:p>
    <w:p w14:paraId="615D53C9" w14:textId="77777777" w:rsidR="006D0FE3" w:rsidRDefault="006D0FE3" w:rsidP="006D0FE3">
      <w:pPr>
        <w:spacing w:line="360" w:lineRule="auto"/>
        <w:ind w:left="1440" w:hanging="720"/>
        <w:jc w:val="both"/>
        <w:rPr>
          <w:rFonts w:ascii="Calibri" w:hAnsi="Calibri"/>
          <w:u w:val="single"/>
          <w:rtl/>
        </w:rPr>
      </w:pPr>
      <w:r>
        <w:rPr>
          <w:rFonts w:ascii="Calibri" w:hAnsi="Calibri" w:hint="cs"/>
          <w:rtl/>
        </w:rPr>
        <w:t>ה.</w:t>
      </w:r>
      <w:r>
        <w:rPr>
          <w:rtl/>
        </w:rPr>
        <w:tab/>
      </w:r>
      <w:r>
        <w:rPr>
          <w:rFonts w:ascii="Calibri" w:hAnsi="Calibri" w:hint="cs"/>
          <w:rtl/>
        </w:rPr>
        <w:t xml:space="preserve"> </w:t>
      </w:r>
      <w:hyperlink r:id="rId32" w:history="1">
        <w:r w:rsidR="004565F5" w:rsidRPr="004565F5">
          <w:rPr>
            <w:rFonts w:ascii="Calibri" w:hAnsi="Calibri" w:hint="eastAsia"/>
            <w:color w:val="0000FF"/>
            <w:u w:val="single"/>
            <w:rtl/>
          </w:rPr>
          <w:t>רע</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5177/14</w:t>
        </w:r>
      </w:hyperlink>
      <w:r>
        <w:rPr>
          <w:rFonts w:ascii="Calibri" w:hAnsi="Calibri" w:hint="cs"/>
          <w:rtl/>
        </w:rPr>
        <w:t xml:space="preserve"> </w:t>
      </w:r>
      <w:r>
        <w:rPr>
          <w:rFonts w:ascii="Calibri" w:hAnsi="Calibri" w:hint="cs"/>
          <w:b/>
          <w:bCs/>
          <w:rtl/>
        </w:rPr>
        <w:t>משה זוארץ נגד מדינת ישראל (31.12.14)</w:t>
      </w:r>
      <w:r>
        <w:rPr>
          <w:rFonts w:ascii="Calibri" w:hAnsi="Calibri" w:hint="cs"/>
          <w:rtl/>
        </w:rPr>
        <w:t>, המבקש, נעדר עבר פלילי, הודה והורשע בעבירות שעניינן גידול והחזקה של סם מסוכן מסוג קנבוס, שלא לצריכה עצמית, בכמות העולה על כ-10 ק"ג. בית המשפט השלום גזר עליו 8 חודשי מאסר בפועל, מאסרים על תנאי וקנס.</w:t>
      </w:r>
      <w:r>
        <w:rPr>
          <w:rFonts w:ascii="Calibri" w:hAnsi="Calibri" w:hint="cs"/>
          <w:u w:val="single"/>
          <w:rtl/>
        </w:rPr>
        <w:t xml:space="preserve"> בית המשפט המחוזי העמיד את עונשו של המבקש על 6.5 חודשי מאסר בפועל, הפחית מסכום הקנס והותיר את יתר חלקי גזר הדין על כנם.</w:t>
      </w:r>
      <w:r>
        <w:rPr>
          <w:rFonts w:ascii="Calibri" w:hAnsi="Calibri" w:hint="cs"/>
          <w:rtl/>
        </w:rPr>
        <w:t xml:space="preserve"> </w:t>
      </w:r>
      <w:r>
        <w:rPr>
          <w:rFonts w:ascii="Calibri" w:hAnsi="Calibri" w:hint="cs"/>
          <w:u w:val="single"/>
          <w:rtl/>
        </w:rPr>
        <w:t xml:space="preserve"> רע"פ נדחה.</w:t>
      </w:r>
    </w:p>
    <w:p w14:paraId="546423E7" w14:textId="77777777" w:rsidR="006D0FE3" w:rsidRDefault="006D0FE3" w:rsidP="006D0FE3">
      <w:pPr>
        <w:spacing w:line="360" w:lineRule="auto"/>
        <w:jc w:val="both"/>
        <w:rPr>
          <w:rFonts w:ascii="Calibri" w:hAnsi="Calibri"/>
          <w:u w:val="single"/>
          <w:rtl/>
        </w:rPr>
      </w:pPr>
    </w:p>
    <w:p w14:paraId="20C2459D" w14:textId="77777777" w:rsidR="006D0FE3" w:rsidRDefault="006D0FE3" w:rsidP="006D0FE3">
      <w:pPr>
        <w:spacing w:line="360" w:lineRule="auto"/>
        <w:ind w:left="1440" w:hanging="720"/>
        <w:jc w:val="both"/>
        <w:rPr>
          <w:rFonts w:ascii="Calibri" w:hAnsi="Calibri"/>
          <w:rtl/>
        </w:rPr>
      </w:pPr>
      <w:r>
        <w:rPr>
          <w:rFonts w:ascii="Calibri" w:hAnsi="Calibri" w:hint="cs"/>
          <w:rtl/>
        </w:rPr>
        <w:t>ו.</w:t>
      </w:r>
      <w:r>
        <w:rPr>
          <w:rFonts w:ascii="Calibri" w:hAnsi="Calibri" w:hint="cs"/>
          <w:rtl/>
        </w:rPr>
        <w:tab/>
      </w:r>
      <w:hyperlink r:id="rId33" w:history="1">
        <w:r w:rsidR="004565F5" w:rsidRPr="004565F5">
          <w:rPr>
            <w:rFonts w:ascii="Calibri" w:hAnsi="Calibri" w:hint="eastAsia"/>
            <w:b/>
            <w:bCs/>
            <w:color w:val="0000FF"/>
            <w:u w:val="single"/>
            <w:rtl/>
          </w:rPr>
          <w:t>עפ</w:t>
        </w:r>
        <w:r w:rsidR="004565F5" w:rsidRPr="004565F5">
          <w:rPr>
            <w:rFonts w:ascii="Calibri" w:hAnsi="Calibri"/>
            <w:b/>
            <w:bCs/>
            <w:color w:val="0000FF"/>
            <w:u w:val="single"/>
            <w:rtl/>
          </w:rPr>
          <w:t>"</w:t>
        </w:r>
        <w:r w:rsidR="004565F5" w:rsidRPr="004565F5">
          <w:rPr>
            <w:rFonts w:ascii="Calibri" w:hAnsi="Calibri" w:hint="eastAsia"/>
            <w:b/>
            <w:bCs/>
            <w:color w:val="0000FF"/>
            <w:u w:val="single"/>
            <w:rtl/>
          </w:rPr>
          <w:t>ג</w:t>
        </w:r>
        <w:r w:rsidR="004565F5" w:rsidRPr="004565F5">
          <w:rPr>
            <w:rFonts w:ascii="Calibri" w:hAnsi="Calibri"/>
            <w:b/>
            <w:bCs/>
            <w:color w:val="0000FF"/>
            <w:u w:val="single"/>
            <w:rtl/>
          </w:rPr>
          <w:t xml:space="preserve"> 46572-03-15</w:t>
        </w:r>
      </w:hyperlink>
      <w:r>
        <w:rPr>
          <w:rFonts w:ascii="Calibri" w:hAnsi="Calibri" w:hint="cs"/>
          <w:b/>
          <w:bCs/>
          <w:rtl/>
        </w:rPr>
        <w:t xml:space="preserve"> (ת"א) מדינת ישראל נגד חנוך זרובסקי (01.06.15)</w:t>
      </w:r>
      <w:r>
        <w:rPr>
          <w:rFonts w:ascii="Calibri" w:hAnsi="Calibri" w:hint="cs"/>
          <w:rtl/>
        </w:rPr>
        <w:t xml:space="preserve">, המשיב הודה והורשע בשלושה אישומים שונים שעניינם עבירות של גידול סמים, החזקת סמים והחזקת כלים להכנת סם, הכל שלא לצריכה עצמית, כמות הסם המצטברת היא מעל 4.5 ק"ג. בית המשפט השלום גזר עליו 6 חודשי מאסר לריצוי בדרך של עבודת שרות. </w:t>
      </w:r>
      <w:r>
        <w:rPr>
          <w:rFonts w:ascii="Calibri" w:hAnsi="Calibri" w:hint="cs"/>
          <w:u w:val="single"/>
          <w:rtl/>
        </w:rPr>
        <w:t>בית המשפט המחוזי החמיר בעונשו וגזר עליו 12 חודשי מאסר בפועל זאת מבלי למצות עמו את הדין</w:t>
      </w:r>
      <w:r>
        <w:rPr>
          <w:rFonts w:ascii="Calibri" w:hAnsi="Calibri" w:hint="cs"/>
          <w:rtl/>
        </w:rPr>
        <w:t>.</w:t>
      </w:r>
    </w:p>
    <w:p w14:paraId="57F552B4" w14:textId="77777777" w:rsidR="006D0FE3" w:rsidRDefault="006D0FE3" w:rsidP="006D0FE3">
      <w:pPr>
        <w:spacing w:line="360" w:lineRule="auto"/>
        <w:jc w:val="both"/>
        <w:rPr>
          <w:rFonts w:ascii="Calibri" w:hAnsi="Calibri"/>
          <w:rtl/>
        </w:rPr>
      </w:pPr>
    </w:p>
    <w:p w14:paraId="7972A5D8" w14:textId="77777777" w:rsidR="006D0FE3" w:rsidRDefault="006D0FE3" w:rsidP="006D0FE3">
      <w:pPr>
        <w:spacing w:line="360" w:lineRule="auto"/>
        <w:ind w:left="1440" w:hanging="720"/>
        <w:jc w:val="both"/>
        <w:rPr>
          <w:rFonts w:ascii="Calibri" w:hAnsi="Calibri"/>
          <w:u w:val="single"/>
          <w:rtl/>
        </w:rPr>
      </w:pPr>
      <w:r>
        <w:rPr>
          <w:rFonts w:ascii="Calibri" w:hAnsi="Calibri" w:hint="cs"/>
          <w:rtl/>
        </w:rPr>
        <w:t>ז.</w:t>
      </w:r>
      <w:r>
        <w:rPr>
          <w:rFonts w:ascii="Calibri" w:hAnsi="Calibri" w:hint="cs"/>
          <w:rtl/>
        </w:rPr>
        <w:tab/>
      </w:r>
      <w:hyperlink r:id="rId34" w:history="1">
        <w:r w:rsidR="004565F5" w:rsidRPr="004565F5">
          <w:rPr>
            <w:rFonts w:ascii="Calibri" w:hAnsi="Calibri" w:hint="eastAsia"/>
            <w:color w:val="0000FF"/>
            <w:u w:val="single"/>
            <w:rtl/>
          </w:rPr>
          <w:t>עפ</w:t>
        </w:r>
        <w:r w:rsidR="004565F5" w:rsidRPr="004565F5">
          <w:rPr>
            <w:rFonts w:ascii="Calibri" w:hAnsi="Calibri"/>
            <w:color w:val="0000FF"/>
            <w:u w:val="single"/>
            <w:rtl/>
          </w:rPr>
          <w:t>"</w:t>
        </w:r>
        <w:r w:rsidR="004565F5" w:rsidRPr="004565F5">
          <w:rPr>
            <w:rFonts w:ascii="Calibri" w:hAnsi="Calibri" w:hint="eastAsia"/>
            <w:color w:val="0000FF"/>
            <w:u w:val="single"/>
            <w:rtl/>
          </w:rPr>
          <w:t>ג</w:t>
        </w:r>
        <w:r w:rsidR="004565F5" w:rsidRPr="004565F5">
          <w:rPr>
            <w:rFonts w:ascii="Calibri" w:hAnsi="Calibri"/>
            <w:color w:val="0000FF"/>
            <w:u w:val="single"/>
            <w:rtl/>
          </w:rPr>
          <w:t xml:space="preserve"> 5065-01-15</w:t>
        </w:r>
      </w:hyperlink>
      <w:r>
        <w:rPr>
          <w:rFonts w:ascii="Calibri" w:hAnsi="Calibri" w:hint="cs"/>
          <w:rtl/>
        </w:rPr>
        <w:t xml:space="preserve"> </w:t>
      </w:r>
      <w:r>
        <w:rPr>
          <w:rFonts w:ascii="Calibri" w:hAnsi="Calibri" w:hint="cs"/>
          <w:b/>
          <w:bCs/>
          <w:rtl/>
        </w:rPr>
        <w:t>אור בר עם נגד מדינת ישראל (20.04.15)</w:t>
      </w:r>
      <w:r>
        <w:rPr>
          <w:rFonts w:ascii="Calibri" w:hAnsi="Calibri" w:hint="cs"/>
          <w:rtl/>
        </w:rPr>
        <w:t xml:space="preserve">, המערער הודה והורשע </w:t>
      </w:r>
      <w:r>
        <w:rPr>
          <w:rFonts w:ascii="Arial" w:hAnsi="Arial" w:hint="cs"/>
          <w:rtl/>
        </w:rPr>
        <w:t>בכך שגידל בשטח בקיבוץ, 13 שתילי סם מסוכן מסוג קנבוס במשקל כולל של כ- 330 גרם, וכן החזיק שלא כדין כלים להכנת הסם</w:t>
      </w:r>
      <w:r>
        <w:rPr>
          <w:rFonts w:ascii="Calibri" w:hAnsi="Calibri" w:hint="cs"/>
          <w:rtl/>
        </w:rPr>
        <w:t xml:space="preserve">. בית המשפט גזר עליו 6 חודשי מאסר שירוצו בעבודות שירות, מאסרים על תנאי, קנס, התחייבות וצו מבחן. </w:t>
      </w:r>
      <w:r>
        <w:rPr>
          <w:rFonts w:ascii="Calibri" w:hAnsi="Calibri" w:hint="cs"/>
          <w:u w:val="single"/>
          <w:rtl/>
        </w:rPr>
        <w:t>בית המשפט המחוזי הקל בעונשו והעמיד את תקופת המאסר על 3 חודשי עבודות שרות, והותיר את יתר רכיבי גזר הדין על כנם.</w:t>
      </w:r>
    </w:p>
    <w:p w14:paraId="3E51433C" w14:textId="77777777" w:rsidR="006D0FE3" w:rsidRDefault="006D0FE3" w:rsidP="006D0FE3">
      <w:pPr>
        <w:rPr>
          <w:rFonts w:ascii="Calibri" w:hAnsi="Calibri"/>
          <w:rtl/>
        </w:rPr>
      </w:pPr>
    </w:p>
    <w:p w14:paraId="4E8D20B3" w14:textId="77777777" w:rsidR="006D0FE3" w:rsidRDefault="006D0FE3" w:rsidP="006D0FE3">
      <w:pPr>
        <w:spacing w:line="360" w:lineRule="auto"/>
        <w:jc w:val="both"/>
        <w:rPr>
          <w:rFonts w:ascii="Calibri" w:hAnsi="Calibri"/>
          <w:rtl/>
        </w:rPr>
      </w:pPr>
    </w:p>
    <w:p w14:paraId="172C4CF2" w14:textId="77777777" w:rsidR="006D0FE3" w:rsidRDefault="006D0FE3" w:rsidP="006D0FE3">
      <w:pPr>
        <w:spacing w:line="360" w:lineRule="auto"/>
        <w:ind w:left="1440" w:hanging="720"/>
        <w:jc w:val="both"/>
        <w:rPr>
          <w:rFonts w:ascii="Calibri" w:hAnsi="Calibri"/>
          <w:rtl/>
        </w:rPr>
      </w:pPr>
      <w:r>
        <w:rPr>
          <w:rFonts w:ascii="Calibri" w:hAnsi="Calibri" w:hint="cs"/>
          <w:rtl/>
        </w:rPr>
        <w:t>ח.</w:t>
      </w:r>
      <w:r>
        <w:rPr>
          <w:rFonts w:ascii="Calibri" w:hAnsi="Calibri" w:hint="cs"/>
          <w:rtl/>
        </w:rPr>
        <w:tab/>
      </w:r>
      <w:hyperlink r:id="rId35" w:history="1">
        <w:r w:rsidR="004565F5" w:rsidRPr="004565F5">
          <w:rPr>
            <w:rFonts w:ascii="Calibri" w:hAnsi="Calibri" w:hint="eastAsia"/>
            <w:color w:val="0000FF"/>
            <w:u w:val="single"/>
            <w:rtl/>
          </w:rPr>
          <w:t>עפ</w:t>
        </w:r>
        <w:r w:rsidR="004565F5" w:rsidRPr="004565F5">
          <w:rPr>
            <w:rFonts w:ascii="Calibri" w:hAnsi="Calibri"/>
            <w:color w:val="0000FF"/>
            <w:u w:val="single"/>
            <w:rtl/>
          </w:rPr>
          <w:t>"</w:t>
        </w:r>
        <w:r w:rsidR="004565F5" w:rsidRPr="004565F5">
          <w:rPr>
            <w:rFonts w:ascii="Calibri" w:hAnsi="Calibri" w:hint="eastAsia"/>
            <w:color w:val="0000FF"/>
            <w:u w:val="single"/>
            <w:rtl/>
          </w:rPr>
          <w:t>ג</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ת</w:t>
        </w:r>
        <w:r w:rsidR="004565F5" w:rsidRPr="004565F5">
          <w:rPr>
            <w:rFonts w:ascii="Calibri" w:hAnsi="Calibri"/>
            <w:color w:val="0000FF"/>
            <w:u w:val="single"/>
            <w:rtl/>
          </w:rPr>
          <w:t>"</w:t>
        </w:r>
        <w:r w:rsidR="004565F5" w:rsidRPr="004565F5">
          <w:rPr>
            <w:rFonts w:ascii="Calibri" w:hAnsi="Calibri" w:hint="eastAsia"/>
            <w:color w:val="0000FF"/>
            <w:u w:val="single"/>
            <w:rtl/>
          </w:rPr>
          <w:t>א</w:t>
        </w:r>
        <w:r w:rsidR="004565F5" w:rsidRPr="004565F5">
          <w:rPr>
            <w:rFonts w:ascii="Calibri" w:hAnsi="Calibri"/>
            <w:color w:val="0000FF"/>
            <w:u w:val="single"/>
            <w:rtl/>
          </w:rPr>
          <w:t>) 31126-05-14</w:t>
        </w:r>
      </w:hyperlink>
      <w:r>
        <w:rPr>
          <w:rFonts w:ascii="Calibri" w:hAnsi="Calibri" w:hint="cs"/>
          <w:rtl/>
        </w:rPr>
        <w:t xml:space="preserve"> </w:t>
      </w:r>
      <w:r>
        <w:rPr>
          <w:rFonts w:ascii="Calibri" w:hAnsi="Calibri" w:hint="cs"/>
          <w:b/>
          <w:bCs/>
          <w:rtl/>
        </w:rPr>
        <w:t>מדינת ישראל נגד יהודה חריט (12.01.15)</w:t>
      </w:r>
      <w:r>
        <w:rPr>
          <w:rFonts w:ascii="Calibri" w:hAnsi="Calibri" w:hint="cs"/>
          <w:rtl/>
        </w:rPr>
        <w:t xml:space="preserve">,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Pr>
          <w:rFonts w:ascii="Calibri" w:hAnsi="Calibri" w:hint="cs"/>
          <w:u w:val="single"/>
          <w:rtl/>
        </w:rPr>
        <w:t>בית המשפט המחוזי קיבל את ערעור המדינה והשית עליו 6 חודשי מאסר לריצוי בדרך של עבודות שרות, ביטל את השל"צ והותיר את יתר רכיבי גזר הדין על כנם</w:t>
      </w:r>
      <w:r>
        <w:rPr>
          <w:rFonts w:ascii="Calibri" w:hAnsi="Calibri" w:hint="cs"/>
          <w:rtl/>
        </w:rPr>
        <w:t>.</w:t>
      </w:r>
    </w:p>
    <w:p w14:paraId="19909232" w14:textId="77777777" w:rsidR="006D0FE3" w:rsidRDefault="006D0FE3" w:rsidP="006D0FE3">
      <w:pPr>
        <w:spacing w:line="360" w:lineRule="auto"/>
        <w:jc w:val="both"/>
        <w:rPr>
          <w:rFonts w:ascii="Calibri" w:hAnsi="Calibri"/>
          <w:rtl/>
        </w:rPr>
      </w:pPr>
    </w:p>
    <w:p w14:paraId="5A453711" w14:textId="77777777" w:rsidR="006D0FE3" w:rsidRDefault="006D0FE3" w:rsidP="006D0FE3">
      <w:pPr>
        <w:spacing w:line="360" w:lineRule="auto"/>
        <w:ind w:left="1440" w:hanging="720"/>
        <w:jc w:val="both"/>
        <w:rPr>
          <w:rFonts w:ascii="Calibri" w:hAnsi="Calibri"/>
          <w:u w:val="single"/>
          <w:rtl/>
        </w:rPr>
      </w:pPr>
      <w:r>
        <w:rPr>
          <w:rFonts w:ascii="Calibri" w:hAnsi="Calibri" w:hint="cs"/>
          <w:rtl/>
        </w:rPr>
        <w:t>ט.</w:t>
      </w:r>
      <w:r>
        <w:rPr>
          <w:rFonts w:ascii="Calibri" w:hAnsi="Calibri" w:hint="cs"/>
          <w:rtl/>
        </w:rPr>
        <w:tab/>
      </w:r>
      <w:hyperlink r:id="rId36" w:history="1">
        <w:r w:rsidR="004565F5" w:rsidRPr="004565F5">
          <w:rPr>
            <w:rFonts w:ascii="Calibri" w:hAnsi="Calibri" w:hint="eastAsia"/>
            <w:color w:val="0000FF"/>
            <w:u w:val="single"/>
            <w:rtl/>
          </w:rPr>
          <w:t>ת</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קרית</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גת</w:t>
        </w:r>
        <w:r w:rsidR="004565F5" w:rsidRPr="004565F5">
          <w:rPr>
            <w:rFonts w:ascii="Calibri" w:hAnsi="Calibri"/>
            <w:color w:val="0000FF"/>
            <w:u w:val="single"/>
            <w:rtl/>
          </w:rPr>
          <w:t>) 6800-09-13</w:t>
        </w:r>
      </w:hyperlink>
      <w:r>
        <w:rPr>
          <w:rFonts w:ascii="Calibri" w:hAnsi="Calibri" w:hint="cs"/>
          <w:b/>
          <w:bCs/>
          <w:rtl/>
        </w:rPr>
        <w:t xml:space="preserve"> מדינת ישראל נגד ברק אגוז</w:t>
      </w:r>
      <w:r>
        <w:rPr>
          <w:rFonts w:ascii="Calibri" w:hAnsi="Calibri" w:hint="cs"/>
          <w:rtl/>
        </w:rPr>
        <w:t xml:space="preserve"> </w:t>
      </w:r>
      <w:r>
        <w:rPr>
          <w:rFonts w:ascii="Calibri" w:hAnsi="Calibri" w:hint="cs"/>
          <w:b/>
          <w:bCs/>
          <w:rtl/>
        </w:rPr>
        <w:t>(06.04.14)</w:t>
      </w:r>
      <w:r>
        <w:rPr>
          <w:rFonts w:ascii="Calibri" w:hAnsi="Calibri" w:hint="cs"/>
          <w:rtl/>
        </w:rPr>
        <w:t xml:space="preserve">, הנאשם, נעדר עבר פלילי, הודה והורשע, במסגרת הסדר טיעון בגידול 22 שתילי קנבוס במשקל 963.3 גרם והחזיק כלים המשמשים להכנת סם שלא לצריכה עצמית. </w:t>
      </w:r>
      <w:r>
        <w:rPr>
          <w:rFonts w:ascii="Calibri" w:hAnsi="Calibri" w:hint="cs"/>
          <w:u w:val="single"/>
          <w:rtl/>
        </w:rPr>
        <w:t>בית המשפט גזר עליו 4 חודשי מאסר בעבודות שירות, מאסרים על תנאי, קנס, התחייבות וצו מבחן</w:t>
      </w:r>
      <w:r>
        <w:rPr>
          <w:rFonts w:ascii="Calibri" w:hAnsi="Calibri" w:hint="cs"/>
          <w:rtl/>
        </w:rPr>
        <w:t>.</w:t>
      </w:r>
    </w:p>
    <w:p w14:paraId="2C5E7C24" w14:textId="77777777" w:rsidR="006D0FE3" w:rsidRDefault="006D0FE3" w:rsidP="006D0FE3">
      <w:pPr>
        <w:spacing w:line="360" w:lineRule="auto"/>
        <w:jc w:val="both"/>
        <w:rPr>
          <w:rFonts w:ascii="Calibri" w:hAnsi="Calibri"/>
          <w:u w:val="single"/>
          <w:rtl/>
        </w:rPr>
      </w:pPr>
    </w:p>
    <w:p w14:paraId="3FCD394F" w14:textId="77777777" w:rsidR="006D0FE3" w:rsidRDefault="006D0FE3" w:rsidP="006D0FE3">
      <w:pPr>
        <w:spacing w:line="360" w:lineRule="auto"/>
        <w:ind w:left="1440" w:hanging="720"/>
        <w:jc w:val="both"/>
        <w:rPr>
          <w:rFonts w:ascii="Calibri" w:hAnsi="Calibri"/>
          <w:u w:val="single"/>
          <w:rtl/>
        </w:rPr>
      </w:pPr>
      <w:r>
        <w:rPr>
          <w:rFonts w:ascii="Calibri" w:hAnsi="Calibri" w:hint="cs"/>
          <w:rtl/>
        </w:rPr>
        <w:t>י.</w:t>
      </w:r>
      <w:r>
        <w:rPr>
          <w:rFonts w:ascii="Calibri" w:hAnsi="Calibri" w:hint="cs"/>
          <w:rtl/>
        </w:rPr>
        <w:tab/>
      </w:r>
      <w:hyperlink r:id="rId37" w:history="1">
        <w:r w:rsidR="004565F5" w:rsidRPr="004565F5">
          <w:rPr>
            <w:rFonts w:ascii="Calibri" w:hAnsi="Calibri" w:hint="eastAsia"/>
            <w:color w:val="0000FF"/>
            <w:u w:val="single"/>
            <w:rtl/>
          </w:rPr>
          <w:t>ת</w:t>
        </w:r>
        <w:r w:rsidR="004565F5" w:rsidRPr="004565F5">
          <w:rPr>
            <w:rFonts w:ascii="Calibri" w:hAnsi="Calibri"/>
            <w:color w:val="0000FF"/>
            <w:u w:val="single"/>
            <w:rtl/>
          </w:rPr>
          <w:t>"</w:t>
        </w:r>
        <w:r w:rsidR="004565F5" w:rsidRPr="004565F5">
          <w:rPr>
            <w:rFonts w:ascii="Calibri" w:hAnsi="Calibri" w:hint="eastAsia"/>
            <w:color w:val="0000FF"/>
            <w:u w:val="single"/>
            <w:rtl/>
          </w:rPr>
          <w:t>פ</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כפ</w:t>
        </w:r>
        <w:r w:rsidR="004565F5" w:rsidRPr="004565F5">
          <w:rPr>
            <w:rFonts w:ascii="Calibri" w:hAnsi="Calibri"/>
            <w:color w:val="0000FF"/>
            <w:u w:val="single"/>
            <w:rtl/>
          </w:rPr>
          <w:t>"</w:t>
        </w:r>
        <w:r w:rsidR="004565F5" w:rsidRPr="004565F5">
          <w:rPr>
            <w:rFonts w:ascii="Calibri" w:hAnsi="Calibri" w:hint="eastAsia"/>
            <w:color w:val="0000FF"/>
            <w:u w:val="single"/>
            <w:rtl/>
          </w:rPr>
          <w:t>ס</w:t>
        </w:r>
        <w:r w:rsidR="004565F5" w:rsidRPr="004565F5">
          <w:rPr>
            <w:rFonts w:ascii="Calibri" w:hAnsi="Calibri"/>
            <w:color w:val="0000FF"/>
            <w:u w:val="single"/>
            <w:rtl/>
          </w:rPr>
          <w:t>) 32330-10-10</w:t>
        </w:r>
      </w:hyperlink>
      <w:r>
        <w:rPr>
          <w:rFonts w:ascii="Calibri" w:hAnsi="Calibri" w:hint="cs"/>
          <w:rtl/>
        </w:rPr>
        <w:t xml:space="preserve"> </w:t>
      </w:r>
      <w:r>
        <w:rPr>
          <w:rFonts w:ascii="Calibri" w:hAnsi="Calibri" w:hint="cs"/>
          <w:b/>
          <w:bCs/>
          <w:rtl/>
        </w:rPr>
        <w:t>מדינת ישראל נגד לירן ענבר (08.01.12)</w:t>
      </w:r>
      <w:r>
        <w:rPr>
          <w:rFonts w:ascii="Calibri" w:hAnsi="Calibri" w:hint="cs"/>
          <w:rtl/>
        </w:rPr>
        <w:t xml:space="preserve">, הנאשם הודה והורשע בעבירות של גידול סמים והחזקת סמים שלא לצריכה עצמית. הנאשם נמצא מחזיק בחצר ביתו 5 שיחי סם מסוג קנבוס במשקל 4.650 קילוגרם נטו. </w:t>
      </w:r>
      <w:r>
        <w:rPr>
          <w:rFonts w:ascii="Calibri" w:hAnsi="Calibri" w:hint="cs"/>
          <w:u w:val="single"/>
          <w:rtl/>
        </w:rPr>
        <w:t>בית המשפט גזר עליו 6 חודשי מאסר בפועל לריצוי בדרך של עבודות שירות, מאסרים על תנאי, קנס, פסילה בפועל, פסילה על תנאי וצו מבחן</w:t>
      </w:r>
      <w:r>
        <w:rPr>
          <w:rFonts w:ascii="Calibri" w:hAnsi="Calibri" w:hint="cs"/>
          <w:rtl/>
        </w:rPr>
        <w:t>.</w:t>
      </w:r>
    </w:p>
    <w:p w14:paraId="3F1C696F" w14:textId="77777777" w:rsidR="006D0FE3" w:rsidRDefault="006D0FE3" w:rsidP="006D0FE3">
      <w:pPr>
        <w:spacing w:line="360" w:lineRule="auto"/>
        <w:ind w:left="1440" w:hanging="720"/>
        <w:jc w:val="both"/>
        <w:rPr>
          <w:rFonts w:ascii="Calibri" w:hAnsi="Calibri"/>
          <w:u w:val="single"/>
          <w:rtl/>
        </w:rPr>
      </w:pPr>
    </w:p>
    <w:p w14:paraId="4005AA14" w14:textId="77777777" w:rsidR="006D0FE3" w:rsidRDefault="006D0FE3" w:rsidP="006D0FE3">
      <w:pPr>
        <w:spacing w:line="360" w:lineRule="auto"/>
        <w:ind w:left="1440" w:hanging="720"/>
        <w:jc w:val="both"/>
        <w:rPr>
          <w:rtl/>
        </w:rPr>
      </w:pPr>
      <w:r>
        <w:rPr>
          <w:rFonts w:ascii="Calibri" w:hAnsi="Calibri" w:hint="cs"/>
          <w:rtl/>
        </w:rPr>
        <w:t xml:space="preserve">יא. </w:t>
      </w:r>
      <w:r>
        <w:rPr>
          <w:rFonts w:hint="cs"/>
          <w:rtl/>
        </w:rPr>
        <w:tab/>
        <w:t>ע"פ (חיפה)</w:t>
      </w:r>
      <w:r>
        <w:rPr>
          <w:rFonts w:hint="cs"/>
        </w:rPr>
        <w:t xml:space="preserve"> 28110-10-15 </w:t>
      </w:r>
      <w:r>
        <w:rPr>
          <w:rFonts w:hint="cs"/>
          <w:b/>
          <w:bCs/>
          <w:rtl/>
        </w:rPr>
        <w:t>מדינת</w:t>
      </w:r>
      <w:r>
        <w:rPr>
          <w:rFonts w:hint="cs"/>
          <w:b/>
          <w:bCs/>
        </w:rPr>
        <w:t xml:space="preserve"> </w:t>
      </w:r>
      <w:r>
        <w:rPr>
          <w:rFonts w:hint="cs"/>
          <w:b/>
          <w:bCs/>
          <w:rtl/>
        </w:rPr>
        <w:t>ישראל נ</w:t>
      </w:r>
      <w:r>
        <w:rPr>
          <w:rFonts w:hint="cs"/>
          <w:b/>
          <w:bCs/>
        </w:rPr>
        <w:t xml:space="preserve"> </w:t>
      </w:r>
      <w:r>
        <w:rPr>
          <w:rFonts w:hint="cs"/>
          <w:b/>
          <w:bCs/>
          <w:rtl/>
        </w:rPr>
        <w:t>עידן</w:t>
      </w:r>
      <w:r>
        <w:rPr>
          <w:rFonts w:hint="cs"/>
          <w:b/>
          <w:bCs/>
        </w:rPr>
        <w:t xml:space="preserve"> </w:t>
      </w:r>
      <w:r>
        <w:rPr>
          <w:rFonts w:hint="cs"/>
          <w:b/>
          <w:bCs/>
          <w:rtl/>
        </w:rPr>
        <w:t>דוד (17.12.15)</w:t>
      </w:r>
      <w:r>
        <w:rPr>
          <w:rFonts w:hint="cs"/>
          <w:rtl/>
        </w:rPr>
        <w:t xml:space="preserve"> – נדחה ערעור המדינה  על גזר דין ללא הרשעה, צו של"צ צו מבחן, ועונש כלכלי לנאשם שגידל כ3.5 ק"ג קנביס במעבדת סמים מאובזרת בביתו. בימ"ש שוכנע כי הרשעה עלולה לפגוע בפרנסתו של אותו נאשם כעובד נמל חיפה, ולכן דחה את ערעור המדינה לגבי אי ההרשעה.</w:t>
      </w:r>
    </w:p>
    <w:p w14:paraId="345AAA8A" w14:textId="77777777" w:rsidR="006D0FE3" w:rsidRDefault="006D0FE3" w:rsidP="006D0FE3">
      <w:pPr>
        <w:spacing w:line="360" w:lineRule="auto"/>
        <w:ind w:left="1440" w:hanging="720"/>
        <w:rPr>
          <w:rFonts w:ascii="David" w:hAnsi="David"/>
          <w:rtl/>
        </w:rPr>
      </w:pPr>
    </w:p>
    <w:p w14:paraId="154D51D8" w14:textId="77777777" w:rsidR="006D0FE3" w:rsidRDefault="006D0FE3" w:rsidP="006D0FE3">
      <w:pPr>
        <w:spacing w:line="360" w:lineRule="auto"/>
        <w:ind w:left="1440" w:hanging="720"/>
        <w:jc w:val="both"/>
        <w:rPr>
          <w:rFonts w:ascii="Arial" w:hAnsi="Arial"/>
          <w:rtl/>
        </w:rPr>
      </w:pPr>
      <w:r>
        <w:rPr>
          <w:rFonts w:hint="cs"/>
          <w:rtl/>
        </w:rPr>
        <w:t>יב.</w:t>
      </w:r>
      <w:r>
        <w:rPr>
          <w:rFonts w:ascii="Arial" w:hAnsi="Arial" w:hint="cs"/>
          <w:rtl/>
        </w:rPr>
        <w:tab/>
      </w:r>
      <w:hyperlink r:id="rId38" w:history="1">
        <w:r w:rsidR="004565F5" w:rsidRPr="004565F5">
          <w:rPr>
            <w:rFonts w:ascii="Arial" w:hAnsi="Arial"/>
            <w:color w:val="0000FF"/>
            <w:u w:val="single"/>
            <w:rtl/>
          </w:rPr>
          <w:t>רע"פ 4512/15</w:t>
        </w:r>
      </w:hyperlink>
      <w:r>
        <w:rPr>
          <w:rFonts w:ascii="Arial" w:hAnsi="Arial" w:hint="cs"/>
          <w:rtl/>
        </w:rPr>
        <w:t xml:space="preserve"> </w:t>
      </w:r>
      <w:r>
        <w:rPr>
          <w:rFonts w:ascii="Arial" w:hAnsi="Arial" w:hint="cs"/>
          <w:b/>
          <w:bCs/>
          <w:rtl/>
        </w:rPr>
        <w:t>אברהם הרוש נ' מ"י</w:t>
      </w:r>
      <w:r>
        <w:rPr>
          <w:rFonts w:ascii="Arial" w:hAnsi="Arial" w:hint="cs"/>
          <w:rtl/>
        </w:rPr>
        <w:t xml:space="preserve"> (מיום 6/7/15) נדחתה בקשת רשות הערעור של המבקש, גבר בשנות הארבעים לחייו, בעל משפחה עם עבר פלילי רחוק ובלתי מכביד, שגידל 378 שתילי מריחואנה שהגיעו לכדי  כ34 גרם, ב"מעבדת סמים", שהותקנה בבית פרטי. שרות המבחן המליץ להסתפק בצו מבחן. אותו מערער נשפט לשמונה חודשי מאסר, בית המשפט המחוזי קבל את ערעורו והפחית את עונש המאסר לשבעה חודשים, בקשת רשות הערעור נדחתה.</w:t>
      </w:r>
    </w:p>
    <w:p w14:paraId="5249798D" w14:textId="77777777" w:rsidR="006D0FE3" w:rsidRDefault="006D0FE3" w:rsidP="006D0FE3">
      <w:pPr>
        <w:spacing w:line="360" w:lineRule="auto"/>
        <w:jc w:val="both"/>
        <w:rPr>
          <w:rFonts w:ascii="Calibri" w:hAnsi="Calibri"/>
          <w:rtl/>
        </w:rPr>
      </w:pPr>
    </w:p>
    <w:p w14:paraId="67C8E4E5" w14:textId="77777777" w:rsidR="006D0FE3" w:rsidRDefault="006D0FE3" w:rsidP="006D0FE3">
      <w:pPr>
        <w:spacing w:line="360" w:lineRule="auto"/>
        <w:ind w:left="720" w:hanging="720"/>
        <w:jc w:val="both"/>
        <w:rPr>
          <w:rFonts w:ascii="Calibri" w:hAnsi="Calibri"/>
          <w:u w:val="single"/>
          <w:rtl/>
        </w:rPr>
      </w:pPr>
      <w:r>
        <w:rPr>
          <w:rFonts w:ascii="Calibri" w:hAnsi="Calibri" w:hint="cs"/>
          <w:rtl/>
        </w:rPr>
        <w:t>13.</w:t>
      </w:r>
      <w:r>
        <w:rPr>
          <w:rFonts w:ascii="Calibri" w:hAnsi="Calibri" w:hint="cs"/>
          <w:rtl/>
        </w:rPr>
        <w:tab/>
        <w:t xml:space="preserve">עיון בפסיקת בתי המשפט שהובאה לעיל, אשר כללה מקרה אחד חריג של ביטול הרשעה  (ראה סעיף יא' שלעיל) מביא למסקנה כי העונש ההולם מצוי במתחם שנע בין </w:t>
      </w:r>
      <w:r>
        <w:rPr>
          <w:rFonts w:ascii="Calibri" w:hAnsi="Calibri" w:hint="cs"/>
          <w:u w:val="single"/>
          <w:rtl/>
        </w:rPr>
        <w:t>מאסר בפועל לריצוי בדרך בעבודות שרות ועד 12 חודשי מאסר בפועל.</w:t>
      </w:r>
    </w:p>
    <w:p w14:paraId="21021AC2" w14:textId="77777777" w:rsidR="006D0FE3" w:rsidRDefault="006D0FE3" w:rsidP="006D0FE3">
      <w:pPr>
        <w:spacing w:line="360" w:lineRule="auto"/>
        <w:ind w:left="720" w:hanging="720"/>
        <w:jc w:val="both"/>
        <w:rPr>
          <w:rFonts w:ascii="Calibri" w:hAnsi="Calibri"/>
          <w:u w:val="single"/>
          <w:rtl/>
        </w:rPr>
      </w:pPr>
      <w:r>
        <w:rPr>
          <w:rFonts w:ascii="Calibri" w:hAnsi="Calibri" w:hint="cs"/>
          <w:rtl/>
        </w:rPr>
        <w:tab/>
      </w:r>
      <w:r>
        <w:rPr>
          <w:rFonts w:ascii="Calibri" w:hAnsi="Calibri" w:hint="cs"/>
          <w:rtl/>
        </w:rPr>
        <w:tab/>
      </w:r>
    </w:p>
    <w:p w14:paraId="68C937BA" w14:textId="77777777" w:rsidR="006D0FE3" w:rsidRDefault="006D0FE3" w:rsidP="006D0FE3">
      <w:pPr>
        <w:spacing w:line="360" w:lineRule="auto"/>
        <w:jc w:val="both"/>
        <w:rPr>
          <w:rFonts w:ascii="Calibri" w:hAnsi="Calibri"/>
          <w:b/>
          <w:bCs/>
          <w:u w:val="single"/>
          <w:rtl/>
        </w:rPr>
      </w:pPr>
      <w:r>
        <w:rPr>
          <w:rFonts w:ascii="Calibri" w:hAnsi="Calibri" w:hint="cs"/>
          <w:b/>
          <w:bCs/>
          <w:u w:val="single"/>
          <w:rtl/>
        </w:rPr>
        <w:t>חריגה ממתחם העונש ההולם וגזירת עונשו של הנאשם</w:t>
      </w:r>
    </w:p>
    <w:p w14:paraId="0A6BBDB4" w14:textId="77777777" w:rsidR="006D0FE3" w:rsidRDefault="006D0FE3" w:rsidP="006D0FE3">
      <w:pPr>
        <w:spacing w:line="360" w:lineRule="auto"/>
        <w:jc w:val="both"/>
        <w:rPr>
          <w:rFonts w:ascii="Calibri" w:hAnsi="Calibri"/>
          <w:b/>
          <w:bCs/>
          <w:u w:val="single"/>
          <w:rtl/>
        </w:rPr>
      </w:pPr>
    </w:p>
    <w:p w14:paraId="625961C7" w14:textId="77777777" w:rsidR="006D0FE3" w:rsidRDefault="006D0FE3" w:rsidP="006D0FE3">
      <w:pPr>
        <w:spacing w:line="360" w:lineRule="auto"/>
        <w:ind w:left="720" w:hanging="720"/>
        <w:jc w:val="both"/>
        <w:rPr>
          <w:rFonts w:ascii="Calibri" w:hAnsi="Calibri"/>
          <w:rtl/>
        </w:rPr>
      </w:pPr>
      <w:r>
        <w:rPr>
          <w:rFonts w:ascii="Calibri" w:hAnsi="Calibri" w:hint="cs"/>
          <w:rtl/>
        </w:rPr>
        <w:t>14.</w:t>
      </w:r>
      <w:r>
        <w:rPr>
          <w:rFonts w:ascii="Calibri" w:hAnsi="Calibri" w:hint="cs"/>
          <w:rtl/>
        </w:rPr>
        <w:tab/>
        <w:t xml:space="preserve">סמכותו של בית משפט לחרוג ממתחם ענישה מוסדרת בהוראותיו של </w:t>
      </w:r>
      <w:hyperlink r:id="rId39" w:history="1">
        <w:r w:rsidR="00EA6738" w:rsidRPr="00EA6738">
          <w:rPr>
            <w:rFonts w:ascii="Calibri" w:hAnsi="Calibri" w:hint="eastAsia"/>
            <w:color w:val="0000FF"/>
            <w:u w:val="single"/>
            <w:rtl/>
          </w:rPr>
          <w:t>סעיף</w:t>
        </w:r>
        <w:r w:rsidR="00EA6738" w:rsidRPr="00EA6738">
          <w:rPr>
            <w:rFonts w:ascii="Calibri" w:hAnsi="Calibri"/>
            <w:color w:val="0000FF"/>
            <w:u w:val="single"/>
            <w:rtl/>
          </w:rPr>
          <w:t xml:space="preserve"> 40</w:t>
        </w:r>
        <w:r w:rsidR="00EA6738" w:rsidRPr="00EA6738">
          <w:rPr>
            <w:rFonts w:ascii="Calibri" w:hAnsi="Calibri" w:hint="eastAsia"/>
            <w:color w:val="0000FF"/>
            <w:u w:val="single"/>
            <w:rtl/>
          </w:rPr>
          <w:t>ד</w:t>
        </w:r>
      </w:hyperlink>
      <w:r>
        <w:rPr>
          <w:rFonts w:ascii="Calibri" w:hAnsi="Calibri" w:hint="cs"/>
          <w:rtl/>
        </w:rPr>
        <w:t xml:space="preserve"> ל</w:t>
      </w:r>
      <w:hyperlink r:id="rId40" w:history="1">
        <w:r w:rsidR="004565F5" w:rsidRPr="004565F5">
          <w:rPr>
            <w:rFonts w:ascii="Calibri" w:hAnsi="Calibri" w:hint="eastAsia"/>
            <w:color w:val="0000FF"/>
            <w:u w:val="single"/>
            <w:rtl/>
          </w:rPr>
          <w:t>חוק</w:t>
        </w:r>
        <w:r w:rsidR="004565F5" w:rsidRPr="004565F5">
          <w:rPr>
            <w:rFonts w:ascii="Calibri" w:hAnsi="Calibri"/>
            <w:color w:val="0000FF"/>
            <w:u w:val="single"/>
            <w:rtl/>
          </w:rPr>
          <w:t xml:space="preserve"> </w:t>
        </w:r>
        <w:r w:rsidR="004565F5" w:rsidRPr="004565F5">
          <w:rPr>
            <w:rFonts w:ascii="Calibri" w:hAnsi="Calibri" w:hint="eastAsia"/>
            <w:color w:val="0000FF"/>
            <w:u w:val="single"/>
            <w:rtl/>
          </w:rPr>
          <w:t>העונשין</w:t>
        </w:r>
      </w:hyperlink>
      <w:r>
        <w:rPr>
          <w:rFonts w:ascii="Calibri" w:hAnsi="Calibri" w:hint="cs"/>
          <w:rtl/>
        </w:rPr>
        <w:t xml:space="preserve">  </w:t>
      </w:r>
      <w:r>
        <w:t xml:space="preserve"> </w:t>
      </w:r>
      <w:r>
        <w:rPr>
          <w:rFonts w:ascii="Calibri" w:hAnsi="Calibri" w:hint="cs"/>
          <w:rtl/>
        </w:rPr>
        <w:t xml:space="preserve">שעניינו שיקולי שיקום. </w:t>
      </w:r>
    </w:p>
    <w:p w14:paraId="1A0902C3" w14:textId="77777777" w:rsidR="006D0FE3" w:rsidRDefault="006D0FE3" w:rsidP="006D0FE3">
      <w:pPr>
        <w:spacing w:line="360" w:lineRule="auto"/>
        <w:ind w:left="720"/>
        <w:jc w:val="both"/>
        <w:rPr>
          <w:rFonts w:ascii="Calibri" w:hAnsi="Calibri"/>
          <w:rtl/>
        </w:rPr>
      </w:pPr>
      <w:r>
        <w:rPr>
          <w:rFonts w:ascii="Calibri" w:hAnsi="Calibri" w:hint="cs"/>
          <w:rtl/>
        </w:rPr>
        <w:t xml:space="preserve">לאחר ששמעתי את טענות הצדדים, ולמרות נסיבותיו האישיות המורכבות יחסית של הנאשם, הכוללות ילדות לא פשוטה בעבר והתמודדות עם החלמה מתאונת דרכים בהווה, לא השתכנעתי כי ניתן במקרה זה לסטות ממתחם העונש, עד כדי הימנעות מוחלטת ממאסר בפועל. </w:t>
      </w:r>
    </w:p>
    <w:p w14:paraId="66BBA2CB" w14:textId="77777777" w:rsidR="006D0FE3" w:rsidRDefault="006D0FE3" w:rsidP="006D0FE3">
      <w:pPr>
        <w:spacing w:line="360" w:lineRule="auto"/>
        <w:ind w:left="720"/>
        <w:jc w:val="both"/>
        <w:rPr>
          <w:rFonts w:ascii="Calibri" w:hAnsi="Calibri"/>
          <w:rtl/>
        </w:rPr>
      </w:pPr>
      <w:r>
        <w:rPr>
          <w:rFonts w:ascii="Calibri" w:hAnsi="Calibri" w:hint="cs"/>
          <w:rtl/>
        </w:rPr>
        <w:t xml:space="preserve">נתוניו החיוביים של הנאשם, הודאתו ולקיחת האחריות על מעשיו, הירתמותו לטיפול, כוונותיו הרציניות לגבי עתידו – כל אלה יילקחו בחשבון ויובילו לכך שעונשו יועמד בקצהו הנמוך של מתחם הענישה, ואולם כאמור, מצאתי כי הימנעות מהטלת מאסר בפועל, בעבודות שרות, לא תהלום את חומרת העבירה, ואת נסיבות ביצועה. </w:t>
      </w:r>
    </w:p>
    <w:p w14:paraId="4761292D" w14:textId="77777777" w:rsidR="006D0FE3" w:rsidRDefault="006D0FE3" w:rsidP="006D0FE3">
      <w:pPr>
        <w:spacing w:line="360" w:lineRule="auto"/>
        <w:jc w:val="both"/>
        <w:rPr>
          <w:rFonts w:ascii="Calibri" w:hAnsi="Calibri"/>
          <w:rtl/>
        </w:rPr>
      </w:pPr>
    </w:p>
    <w:p w14:paraId="75757E9B" w14:textId="77777777" w:rsidR="006D0FE3" w:rsidRDefault="006D0FE3" w:rsidP="006D0FE3">
      <w:pPr>
        <w:spacing w:line="360" w:lineRule="auto"/>
        <w:jc w:val="both"/>
        <w:rPr>
          <w:rFonts w:ascii="Calibri" w:hAnsi="Calibri"/>
          <w:rtl/>
        </w:rPr>
      </w:pPr>
      <w:r>
        <w:rPr>
          <w:rFonts w:ascii="Calibri" w:hAnsi="Calibri" w:hint="cs"/>
          <w:b/>
          <w:bCs/>
          <w:u w:val="single"/>
          <w:rtl/>
        </w:rPr>
        <w:t>גזירת עונשו של הנאשם בתחומי מתחם הענישה</w:t>
      </w:r>
      <w:r>
        <w:rPr>
          <w:rFonts w:ascii="Calibri" w:hAnsi="Calibri" w:hint="cs"/>
          <w:rtl/>
        </w:rPr>
        <w:t>.</w:t>
      </w:r>
    </w:p>
    <w:p w14:paraId="378709A7" w14:textId="77777777" w:rsidR="006D0FE3" w:rsidRDefault="006D0FE3" w:rsidP="006D0FE3">
      <w:pPr>
        <w:spacing w:line="360" w:lineRule="auto"/>
        <w:jc w:val="both"/>
        <w:rPr>
          <w:rFonts w:ascii="Calibri" w:hAnsi="Calibri"/>
          <w:rtl/>
        </w:rPr>
      </w:pPr>
    </w:p>
    <w:p w14:paraId="528A238F" w14:textId="77777777" w:rsidR="006D0FE3" w:rsidRDefault="006D0FE3" w:rsidP="006D0FE3">
      <w:pPr>
        <w:spacing w:line="360" w:lineRule="auto"/>
        <w:ind w:left="720" w:hanging="720"/>
        <w:jc w:val="both"/>
        <w:rPr>
          <w:rFonts w:ascii="Calibri" w:hAnsi="Calibri"/>
          <w:rtl/>
        </w:rPr>
      </w:pPr>
      <w:r>
        <w:rPr>
          <w:rFonts w:ascii="Calibri" w:hAnsi="Calibri" w:hint="cs"/>
          <w:rtl/>
        </w:rPr>
        <w:t>15.</w:t>
      </w:r>
      <w:r>
        <w:rPr>
          <w:rFonts w:ascii="Calibri" w:hAnsi="Calibri" w:hint="cs"/>
          <w:rtl/>
        </w:rPr>
        <w:tab/>
        <w:t xml:space="preserve">בחלק זה של גזירת הדין עומדים לנגד בית המשפט נתונים ונסיבות שאינם קשורים לביצוע העבירה. נתוני הנאשם נפרשו בהרחבה. מדובר בצעיר ללא עבר פלילי, מאורס להינשא, שהציג שגרת תעסוקה ממושכת בעבר, ובפניו אפיקי תעסוקה עתידיים. </w:t>
      </w:r>
    </w:p>
    <w:p w14:paraId="18830143" w14:textId="77777777" w:rsidR="006D0FE3" w:rsidRDefault="006D0FE3" w:rsidP="006D0FE3">
      <w:pPr>
        <w:spacing w:line="360" w:lineRule="auto"/>
        <w:ind w:left="720" w:hanging="720"/>
        <w:jc w:val="both"/>
        <w:rPr>
          <w:rFonts w:ascii="Calibri" w:hAnsi="Calibri"/>
          <w:rtl/>
        </w:rPr>
      </w:pPr>
      <w:r>
        <w:rPr>
          <w:rFonts w:ascii="Calibri" w:hAnsi="Calibri" w:hint="cs"/>
          <w:rtl/>
        </w:rPr>
        <w:tab/>
        <w:t xml:space="preserve">חייו נקטעו באחת, עקב מעצרו ואישומו, וניכר כי הסתבכותו עוררה זעזוע בקרב משפחתו, באופן שהובא בטיעונים לעונש מפיה של אחותו, אשת טיפול במקצועה, שהעידה על הירתמות המשפחה לסייע לנאשם. </w:t>
      </w:r>
    </w:p>
    <w:p w14:paraId="74D438C9" w14:textId="77777777" w:rsidR="006D0FE3" w:rsidRDefault="006D0FE3" w:rsidP="006D0FE3">
      <w:pPr>
        <w:spacing w:line="360" w:lineRule="auto"/>
        <w:ind w:left="720" w:hanging="720"/>
        <w:jc w:val="both"/>
        <w:rPr>
          <w:rFonts w:ascii="Calibri" w:hAnsi="Calibri"/>
          <w:rtl/>
        </w:rPr>
      </w:pPr>
    </w:p>
    <w:p w14:paraId="0C9361DF" w14:textId="77777777" w:rsidR="006D0FE3" w:rsidRDefault="006D0FE3" w:rsidP="006D0FE3">
      <w:pPr>
        <w:spacing w:line="360" w:lineRule="auto"/>
        <w:ind w:left="720" w:hanging="720"/>
        <w:jc w:val="both"/>
        <w:rPr>
          <w:rFonts w:ascii="Calibri" w:hAnsi="Calibri"/>
          <w:rtl/>
        </w:rPr>
      </w:pPr>
      <w:r>
        <w:rPr>
          <w:rFonts w:ascii="Calibri" w:hAnsi="Calibri" w:hint="cs"/>
          <w:rtl/>
        </w:rPr>
        <w:t>16.</w:t>
      </w:r>
      <w:r>
        <w:rPr>
          <w:rFonts w:ascii="Calibri" w:hAnsi="Calibri" w:hint="cs"/>
          <w:rtl/>
        </w:rPr>
        <w:tab/>
        <w:t xml:space="preserve">העובדה כי מדובר בסוהר שרות בתי הסוהר שבחר מדעת לבצע עבירות המאופיינות בפליליות כה מובהקת, מהווה במקרה זה נסיבה משמעותית לחומרא. להטלת העונש על איש מערכת אכיפת החוק יש בהכרח אלמנט הצהרתי הרתעתי מרכזי, אשר לא ניתן להתעלם ממנו. הנאשם, בבצעו עבירות סמים חמורות הנגועות בחשד מובנה שבוצעו לא לשימוש עצמי, תרם תרומה שלילית לארגון שבו שרת באותה תקופה, שרות בתי הסוהר, לשמו ומעמדו של שב"ס ושל סוהריו. </w:t>
      </w:r>
    </w:p>
    <w:p w14:paraId="0D1E5C64" w14:textId="77777777" w:rsidR="006D0FE3" w:rsidRDefault="006D0FE3" w:rsidP="006D0FE3">
      <w:pPr>
        <w:spacing w:line="360" w:lineRule="auto"/>
        <w:ind w:left="720" w:hanging="720"/>
        <w:jc w:val="both"/>
        <w:rPr>
          <w:rFonts w:ascii="Calibri" w:hAnsi="Calibri"/>
          <w:rtl/>
        </w:rPr>
      </w:pPr>
    </w:p>
    <w:p w14:paraId="60CB1A87" w14:textId="77777777" w:rsidR="006D0FE3" w:rsidRDefault="006D0FE3" w:rsidP="006D0FE3">
      <w:pPr>
        <w:spacing w:line="360" w:lineRule="auto"/>
        <w:ind w:left="720" w:hanging="720"/>
        <w:jc w:val="both"/>
        <w:rPr>
          <w:rFonts w:ascii="Calibri" w:hAnsi="Calibri"/>
          <w:rtl/>
        </w:rPr>
      </w:pPr>
      <w:r>
        <w:rPr>
          <w:rFonts w:ascii="Calibri" w:hAnsi="Calibri" w:hint="cs"/>
          <w:rtl/>
        </w:rPr>
        <w:tab/>
        <w:t xml:space="preserve">הסתבכות של סוהר, אשר מנהל בפועל חיים כפולים במהלך תקופה, שבמהלכה הוא אוכף את החוק בחלק משעות היום, ובחלקו האחר מבצע עבירות סמים משפיעה על סדר היום הצבורי, מטמאת את שורות הארגון ומחייבת גינוי בפה מלא ובתוצאה עונשית מכאיבה. התנהגותו של הנאשם מאופיינת בליקוי מוסרי מוחשי ומוגבר, דווקא בגלל השתייכותו לארגון ביטחוני נוקשה, שכן, בנוסף לעבירות פקודת הסמים, עבר הנאשם גם על קודים ראשונים במעלה בארגון אליו השתייך. </w:t>
      </w:r>
    </w:p>
    <w:p w14:paraId="6AC5A1B4" w14:textId="77777777" w:rsidR="006D0FE3" w:rsidRDefault="006D0FE3" w:rsidP="006D0FE3">
      <w:pPr>
        <w:spacing w:line="360" w:lineRule="auto"/>
        <w:ind w:left="720" w:hanging="720"/>
        <w:jc w:val="both"/>
        <w:rPr>
          <w:rFonts w:ascii="Calibri" w:hAnsi="Calibri"/>
          <w:rtl/>
        </w:rPr>
      </w:pPr>
      <w:r>
        <w:rPr>
          <w:rFonts w:ascii="Calibri" w:hAnsi="Calibri" w:hint="cs"/>
          <w:rtl/>
        </w:rPr>
        <w:tab/>
        <w:t xml:space="preserve">הפגיעה שפגע הנאשם בשב"ס הביאה לתוצאה ישירה של אובדן משרת הסוהר, ואולם הפגיעה באמון המערכת, הינה נסיבה רלוונטית גם בשאלת הטלת העונש. </w:t>
      </w:r>
    </w:p>
    <w:p w14:paraId="3AD96F7A" w14:textId="77777777" w:rsidR="006D0FE3" w:rsidRDefault="006D0FE3" w:rsidP="006D0FE3">
      <w:pPr>
        <w:spacing w:line="360" w:lineRule="auto"/>
        <w:ind w:left="720" w:hanging="720"/>
        <w:jc w:val="both"/>
        <w:rPr>
          <w:rFonts w:ascii="Calibri" w:hAnsi="Calibri"/>
          <w:rtl/>
        </w:rPr>
      </w:pPr>
      <w:r>
        <w:rPr>
          <w:rFonts w:ascii="Calibri" w:hAnsi="Calibri" w:hint="cs"/>
          <w:rtl/>
        </w:rPr>
        <w:tab/>
        <w:t>גידול סמים על ידי סוהר, ששגרתו היא התמודדות עם עוברי חוק, ולכן מודעותו לגבי מה מותר ומה אסור הנה מודעות מוגברת – מהווה תעוזה וחוצפה מיוחדים.</w:t>
      </w:r>
    </w:p>
    <w:p w14:paraId="4296632D" w14:textId="77777777" w:rsidR="006D0FE3" w:rsidRDefault="006D0FE3" w:rsidP="006D0FE3">
      <w:pPr>
        <w:spacing w:line="360" w:lineRule="auto"/>
        <w:ind w:left="720" w:hanging="720"/>
        <w:jc w:val="both"/>
        <w:rPr>
          <w:rFonts w:ascii="Calibri" w:hAnsi="Calibri"/>
          <w:rtl/>
        </w:rPr>
      </w:pPr>
    </w:p>
    <w:p w14:paraId="1E67969B" w14:textId="77777777" w:rsidR="006D0FE3" w:rsidRDefault="006D0FE3" w:rsidP="006D0FE3">
      <w:pPr>
        <w:spacing w:line="360" w:lineRule="auto"/>
        <w:ind w:left="720" w:hanging="720"/>
        <w:jc w:val="both"/>
        <w:rPr>
          <w:rFonts w:ascii="Calibri" w:hAnsi="Calibri"/>
          <w:rtl/>
        </w:rPr>
      </w:pPr>
      <w:r>
        <w:rPr>
          <w:rFonts w:ascii="Calibri" w:hAnsi="Calibri" w:hint="cs"/>
          <w:rtl/>
        </w:rPr>
        <w:t>17.</w:t>
      </w:r>
      <w:r>
        <w:rPr>
          <w:rFonts w:ascii="Calibri" w:hAnsi="Calibri" w:hint="cs"/>
          <w:rtl/>
        </w:rPr>
        <w:tab/>
        <w:t xml:space="preserve">מצאתי בסופו של דבר, כי יש להעמיד את עונש  המאסר על התקופה המקסימלית בעבודות שרות. שוכנעתי, כי נתוניו החיוביים של הנאשם מצדיקים הימנעות מהטלת מאסר ממש, וזאת בניגוד לענישה שהוטלה על צעירים רבים, שהקימו "מעבדות סמים" ושעניינם הוזכר בסקירת הפסיקה שלעיל. בנוסף, בדעתי להטיל על הנאשם תשלום קנס מידתי ותקופת פסילת רישיון לא ממושכת, אך בפועל. </w:t>
      </w:r>
    </w:p>
    <w:p w14:paraId="0709894F" w14:textId="77777777" w:rsidR="006D0FE3" w:rsidRDefault="006D0FE3" w:rsidP="006D0FE3">
      <w:pPr>
        <w:spacing w:line="360" w:lineRule="auto"/>
        <w:ind w:left="720" w:hanging="720"/>
        <w:jc w:val="both"/>
        <w:rPr>
          <w:rFonts w:ascii="Calibri" w:hAnsi="Calibri"/>
          <w:rtl/>
        </w:rPr>
      </w:pPr>
    </w:p>
    <w:p w14:paraId="13E55CBD" w14:textId="77777777" w:rsidR="006D0FE3" w:rsidRDefault="006D0FE3" w:rsidP="006D0FE3">
      <w:pPr>
        <w:spacing w:line="360" w:lineRule="auto"/>
        <w:ind w:left="720" w:hanging="720"/>
        <w:jc w:val="both"/>
        <w:rPr>
          <w:rFonts w:ascii="Calibri" w:hAnsi="Calibri"/>
          <w:rtl/>
        </w:rPr>
      </w:pPr>
      <w:r>
        <w:rPr>
          <w:rFonts w:ascii="Calibri" w:hAnsi="Calibri" w:hint="cs"/>
          <w:rtl/>
        </w:rPr>
        <w:t>18.</w:t>
      </w:r>
      <w:r>
        <w:rPr>
          <w:rFonts w:ascii="Calibri" w:hAnsi="Calibri" w:hint="cs"/>
          <w:rtl/>
        </w:rPr>
        <w:tab/>
      </w:r>
      <w:r>
        <w:rPr>
          <w:rFonts w:ascii="Calibri" w:hAnsi="Calibri" w:hint="cs"/>
          <w:u w:val="single"/>
          <w:rtl/>
        </w:rPr>
        <w:t>אני גוזרת לפיכך את עונשו של הנאשם כדלקמן</w:t>
      </w:r>
      <w:r>
        <w:rPr>
          <w:rFonts w:ascii="Calibri" w:hAnsi="Calibri" w:hint="cs"/>
          <w:rtl/>
        </w:rPr>
        <w:t>:</w:t>
      </w:r>
    </w:p>
    <w:p w14:paraId="61238B9C" w14:textId="77777777" w:rsidR="006D0FE3" w:rsidRDefault="006D0FE3" w:rsidP="006D0FE3">
      <w:pPr>
        <w:spacing w:line="360" w:lineRule="auto"/>
        <w:ind w:left="720" w:hanging="720"/>
        <w:jc w:val="both"/>
        <w:rPr>
          <w:rFonts w:ascii="Calibri" w:hAnsi="Calibri"/>
          <w:rtl/>
        </w:rPr>
      </w:pPr>
    </w:p>
    <w:p w14:paraId="2BAFCE6B" w14:textId="77777777" w:rsidR="006D0FE3" w:rsidRDefault="006D0FE3" w:rsidP="006D0FE3">
      <w:pPr>
        <w:spacing w:line="360" w:lineRule="auto"/>
        <w:ind w:left="1440" w:hanging="720"/>
        <w:jc w:val="both"/>
        <w:rPr>
          <w:rtl/>
        </w:rPr>
      </w:pPr>
      <w:r>
        <w:rPr>
          <w:rFonts w:hint="cs"/>
          <w:rtl/>
        </w:rPr>
        <w:t>א.</w:t>
      </w:r>
      <w:r>
        <w:rPr>
          <w:rFonts w:hint="cs"/>
          <w:rtl/>
        </w:rPr>
        <w:tab/>
        <w:t xml:space="preserve">מאסר בפועל לתקופה של 6 חודשים, אשר ירוצה בדרך של עבודות שרות במועצה הדתית בצפת מיום 25.9.17 (המועד נקבע בהסכמת הצדדים, ולאור בקשת הנאשם לעכב את תחילת ריצוי העונש). </w:t>
      </w:r>
    </w:p>
    <w:p w14:paraId="128EA42F" w14:textId="77777777" w:rsidR="006D0FE3" w:rsidRDefault="006D0FE3" w:rsidP="006D0FE3">
      <w:pPr>
        <w:pStyle w:val="2"/>
        <w:spacing w:line="360" w:lineRule="auto"/>
        <w:ind w:firstLine="720"/>
        <w:jc w:val="both"/>
        <w:rPr>
          <w:rtl/>
        </w:rPr>
      </w:pPr>
    </w:p>
    <w:p w14:paraId="053D533A" w14:textId="77777777" w:rsidR="006D0FE3" w:rsidRDefault="006D0FE3" w:rsidP="006D0FE3">
      <w:pPr>
        <w:spacing w:after="120" w:line="360" w:lineRule="auto"/>
        <w:ind w:left="1440"/>
        <w:jc w:val="both"/>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1CAE9BBC" w14:textId="77777777" w:rsidR="006D0FE3" w:rsidRDefault="006D0FE3" w:rsidP="006D0FE3">
      <w:pPr>
        <w:spacing w:line="360" w:lineRule="auto"/>
        <w:ind w:left="1440" w:hanging="720"/>
        <w:jc w:val="both"/>
        <w:rPr>
          <w:rtl/>
        </w:rPr>
      </w:pPr>
    </w:p>
    <w:p w14:paraId="71992F98" w14:textId="77777777" w:rsidR="006D0FE3" w:rsidRDefault="006D0FE3" w:rsidP="006D0FE3">
      <w:pPr>
        <w:spacing w:line="360" w:lineRule="auto"/>
        <w:ind w:left="1440" w:hanging="720"/>
        <w:jc w:val="both"/>
        <w:rPr>
          <w:rtl/>
        </w:rPr>
      </w:pPr>
      <w:r>
        <w:rPr>
          <w:rFonts w:hint="cs"/>
          <w:rtl/>
        </w:rPr>
        <w:t>ב.</w:t>
      </w:r>
      <w:r>
        <w:rPr>
          <w:rFonts w:hint="cs"/>
          <w:rtl/>
        </w:rPr>
        <w:tab/>
        <w:t xml:space="preserve">מאסר על תנאי לתקופה של 4 חודשים והתנאי הוא כי במשך 3 שנים החל מהיום, לא יעבור כל עבירה על פי </w:t>
      </w:r>
      <w:hyperlink r:id="rId41" w:history="1">
        <w:r w:rsidR="004565F5" w:rsidRPr="004565F5">
          <w:rPr>
            <w:color w:val="0000FF"/>
            <w:u w:val="single"/>
            <w:rtl/>
          </w:rPr>
          <w:t>פקודת הסמים המסוכנים</w:t>
        </w:r>
      </w:hyperlink>
      <w:r>
        <w:rPr>
          <w:rFonts w:hint="cs"/>
          <w:rtl/>
        </w:rPr>
        <w:t xml:space="preserve">. </w:t>
      </w:r>
    </w:p>
    <w:p w14:paraId="1CC3D22E" w14:textId="77777777" w:rsidR="006D0FE3" w:rsidRDefault="006D0FE3" w:rsidP="006D0FE3">
      <w:pPr>
        <w:spacing w:line="360" w:lineRule="auto"/>
        <w:ind w:left="720" w:hanging="720"/>
        <w:jc w:val="both"/>
        <w:rPr>
          <w:rtl/>
        </w:rPr>
      </w:pPr>
    </w:p>
    <w:p w14:paraId="1F630136" w14:textId="77777777" w:rsidR="006D0FE3" w:rsidRDefault="006D0FE3" w:rsidP="006D0FE3">
      <w:pPr>
        <w:spacing w:line="360" w:lineRule="auto"/>
        <w:ind w:left="1438" w:hanging="718"/>
        <w:jc w:val="both"/>
        <w:rPr>
          <w:rtl/>
        </w:rPr>
      </w:pPr>
      <w:r>
        <w:rPr>
          <w:rFonts w:hint="cs"/>
          <w:rtl/>
        </w:rPr>
        <w:t>ג.</w:t>
      </w:r>
      <w:r>
        <w:rPr>
          <w:rFonts w:hint="cs"/>
          <w:rtl/>
        </w:rPr>
        <w:tab/>
      </w:r>
      <w:r>
        <w:rPr>
          <w:rFonts w:hint="cs"/>
          <w:rtl/>
        </w:rPr>
        <w:tab/>
        <w:t xml:space="preserve">קנס בסך 3,000  ש"ח או 12 ימי מאסר תמורתו. הקנס ישולם ב-6 שיעורים חודשיים שווים ורצופים, תשלום  ראשון עד יום 10.6.17 ובכל 10 לחודש שלאחריו עד התשלום המלא בפועל. </w:t>
      </w:r>
    </w:p>
    <w:p w14:paraId="34322792" w14:textId="77777777" w:rsidR="006D0FE3" w:rsidRDefault="006D0FE3" w:rsidP="006D0FE3">
      <w:pPr>
        <w:pStyle w:val="a9"/>
        <w:spacing w:line="360" w:lineRule="auto"/>
        <w:ind w:left="1001" w:firstLine="437"/>
        <w:jc w:val="both"/>
        <w:rPr>
          <w:rtl/>
        </w:rPr>
      </w:pPr>
      <w:r>
        <w:rPr>
          <w:rFonts w:hint="cs"/>
          <w:b/>
          <w:bCs/>
          <w:rtl/>
        </w:rPr>
        <w:t>אי תשלום אחד מהשיעורים, יעמיד את היתרה לפירעון מיידי.</w:t>
      </w:r>
    </w:p>
    <w:p w14:paraId="0324D34D" w14:textId="77777777" w:rsidR="006D0FE3" w:rsidRDefault="006D0FE3" w:rsidP="006D0FE3">
      <w:pPr>
        <w:spacing w:line="360" w:lineRule="auto"/>
        <w:ind w:left="720" w:hanging="720"/>
        <w:jc w:val="both"/>
        <w:rPr>
          <w:rtl/>
        </w:rPr>
      </w:pPr>
    </w:p>
    <w:p w14:paraId="36CADA7C" w14:textId="77777777" w:rsidR="006D0FE3" w:rsidRDefault="006D0FE3" w:rsidP="006D0FE3">
      <w:pPr>
        <w:pStyle w:val="2"/>
        <w:spacing w:line="360" w:lineRule="auto"/>
        <w:ind w:left="1438" w:hanging="718"/>
        <w:jc w:val="both"/>
        <w:rPr>
          <w:rtl/>
        </w:rPr>
      </w:pPr>
      <w:r>
        <w:rPr>
          <w:rFonts w:hint="cs"/>
          <w:rtl/>
        </w:rPr>
        <w:t>ד.</w:t>
      </w:r>
      <w:r>
        <w:rPr>
          <w:rFonts w:hint="cs"/>
          <w:rtl/>
        </w:rPr>
        <w:tab/>
      </w:r>
      <w:r>
        <w:rPr>
          <w:rFonts w:hint="cs"/>
          <w:rtl/>
        </w:rPr>
        <w:tab/>
        <w:t xml:space="preserve">אני פוסלת את הנאשם מלנהוג ברכב מנועי ו/או להחזיק ברישיון נהיגה למשך 3 חודשים. הפסילה תיכנס לתוקפה ביום 15.7.17. הסברתי לנאשם כי עליו להפקיד ביום זה את רישיון הנהיגה במזכירות בית משפט השלום בצפת, וכי מרוץ הפסילה ימנה רק מרגע הפקדת רישיון הנהיגה. יחד עם זאת, חל עליו איסור לנהוג ברכב מנועי מהמועד הנ"ל. </w:t>
      </w:r>
    </w:p>
    <w:p w14:paraId="1F2C92A7" w14:textId="77777777" w:rsidR="006D0FE3" w:rsidRDefault="006D0FE3" w:rsidP="006D0FE3">
      <w:pPr>
        <w:spacing w:line="360" w:lineRule="auto"/>
        <w:ind w:left="1438" w:hanging="718"/>
        <w:jc w:val="both"/>
        <w:rPr>
          <w:rtl/>
        </w:rPr>
      </w:pPr>
      <w:r>
        <w:rPr>
          <w:rFonts w:hint="cs"/>
          <w:rtl/>
        </w:rPr>
        <w:t>ה.</w:t>
      </w:r>
      <w:r>
        <w:rPr>
          <w:rFonts w:hint="cs"/>
          <w:rtl/>
        </w:rPr>
        <w:tab/>
      </w:r>
      <w:r>
        <w:rPr>
          <w:rFonts w:hint="cs"/>
          <w:rtl/>
        </w:rPr>
        <w:tab/>
        <w:t xml:space="preserve">אני מטילה על הנאשם צו מבחן למשך שנה מהיום. בתקופה זו על הנאשם לעמוד בפיקוח שירות המבחן ולבצע את כל אשר יוטל עליו. </w:t>
      </w:r>
    </w:p>
    <w:p w14:paraId="0C02E5B7" w14:textId="77777777" w:rsidR="006D0FE3" w:rsidRDefault="006D0FE3" w:rsidP="006D0FE3">
      <w:pPr>
        <w:spacing w:line="360" w:lineRule="auto"/>
        <w:jc w:val="both"/>
        <w:rPr>
          <w:rtl/>
        </w:rPr>
      </w:pPr>
    </w:p>
    <w:p w14:paraId="6633572C" w14:textId="77777777" w:rsidR="006D0FE3" w:rsidRDefault="006D0FE3" w:rsidP="006D0FE3">
      <w:pPr>
        <w:spacing w:line="360" w:lineRule="auto"/>
        <w:ind w:left="1438"/>
        <w:jc w:val="both"/>
        <w:rPr>
          <w:rtl/>
        </w:rPr>
      </w:pPr>
      <w:r>
        <w:rPr>
          <w:rFonts w:hint="cs"/>
          <w:rtl/>
        </w:rPr>
        <w:t xml:space="preserve">בית המשפט מסביר בזאת לנאשם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5AA42DF1" w14:textId="77777777" w:rsidR="006D0FE3" w:rsidRDefault="006D0FE3" w:rsidP="006D0FE3">
      <w:pPr>
        <w:spacing w:line="360" w:lineRule="auto"/>
        <w:jc w:val="both"/>
        <w:rPr>
          <w:rtl/>
        </w:rPr>
      </w:pPr>
    </w:p>
    <w:p w14:paraId="67835329" w14:textId="77777777" w:rsidR="006D0FE3" w:rsidRDefault="006D0FE3" w:rsidP="006D0FE3">
      <w:pPr>
        <w:spacing w:line="360" w:lineRule="auto"/>
        <w:jc w:val="both"/>
        <w:rPr>
          <w:rtl/>
        </w:rPr>
      </w:pPr>
      <w:r>
        <w:rPr>
          <w:rFonts w:hint="cs"/>
          <w:u w:val="single"/>
          <w:rtl/>
        </w:rPr>
        <w:t>מוצגים סמים וכלים – להשמדה</w:t>
      </w:r>
      <w:r>
        <w:rPr>
          <w:rFonts w:hint="cs"/>
          <w:rtl/>
        </w:rPr>
        <w:t xml:space="preserve">. </w:t>
      </w:r>
    </w:p>
    <w:p w14:paraId="341A3937" w14:textId="77777777" w:rsidR="006D0FE3" w:rsidRDefault="006D0FE3" w:rsidP="006D0FE3">
      <w:pPr>
        <w:spacing w:line="360" w:lineRule="auto"/>
        <w:jc w:val="both"/>
        <w:rPr>
          <w:rtl/>
        </w:rPr>
      </w:pPr>
    </w:p>
    <w:p w14:paraId="6D11CD57" w14:textId="77777777" w:rsidR="006D0FE3" w:rsidRDefault="006D0FE3" w:rsidP="006D0FE3">
      <w:pPr>
        <w:pStyle w:val="2"/>
        <w:spacing w:line="360" w:lineRule="auto"/>
        <w:jc w:val="both"/>
        <w:rPr>
          <w:b/>
          <w:bCs/>
          <w:u w:val="single"/>
          <w:rtl/>
        </w:rPr>
      </w:pPr>
      <w:r>
        <w:rPr>
          <w:rFonts w:hint="cs"/>
          <w:b/>
          <w:bCs/>
          <w:u w:val="single"/>
          <w:rtl/>
        </w:rPr>
        <w:t>המזכירות תמציא העתק לממונה על עבודות שירות</w:t>
      </w:r>
      <w:r>
        <w:rPr>
          <w:rFonts w:hint="cs"/>
          <w:rtl/>
        </w:rPr>
        <w:t>.</w:t>
      </w:r>
    </w:p>
    <w:p w14:paraId="5EFF850E" w14:textId="77777777" w:rsidR="006D0FE3" w:rsidRDefault="006D0FE3" w:rsidP="006D0FE3">
      <w:pPr>
        <w:pStyle w:val="2"/>
        <w:spacing w:line="360" w:lineRule="auto"/>
        <w:jc w:val="both"/>
        <w:rPr>
          <w:b/>
          <w:bCs/>
          <w:rtl/>
        </w:rPr>
      </w:pPr>
      <w:r>
        <w:rPr>
          <w:rFonts w:hint="cs"/>
          <w:b/>
          <w:bCs/>
          <w:u w:val="single"/>
          <w:rtl/>
        </w:rPr>
        <w:t>זכות ערעור תוך 45 יום מהיום בבית משפט המחוזי בנצרת</w:t>
      </w:r>
      <w:r>
        <w:rPr>
          <w:rFonts w:hint="cs"/>
          <w:b/>
          <w:bCs/>
          <w:rtl/>
        </w:rPr>
        <w:t>.</w:t>
      </w:r>
    </w:p>
    <w:p w14:paraId="0BA04D12" w14:textId="77777777" w:rsidR="006D0FE3" w:rsidRPr="004565F5" w:rsidRDefault="004565F5" w:rsidP="006D0FE3">
      <w:pPr>
        <w:jc w:val="both"/>
        <w:rPr>
          <w:color w:val="FFFFFF"/>
          <w:sz w:val="2"/>
          <w:szCs w:val="2"/>
          <w:rtl/>
        </w:rPr>
      </w:pPr>
      <w:r w:rsidRPr="004565F5">
        <w:rPr>
          <w:color w:val="FFFFFF"/>
          <w:sz w:val="2"/>
          <w:szCs w:val="2"/>
          <w:rtl/>
        </w:rPr>
        <w:t>5129371</w:t>
      </w:r>
    </w:p>
    <w:p w14:paraId="1FB95CFE" w14:textId="77777777" w:rsidR="006D0FE3" w:rsidRPr="00575B70" w:rsidRDefault="004565F5" w:rsidP="006D0FE3">
      <w:pPr>
        <w:rPr>
          <w:rFonts w:cs="FrankRuehl"/>
          <w:b/>
          <w:bCs/>
          <w:sz w:val="28"/>
          <w:szCs w:val="28"/>
          <w:rtl/>
        </w:rPr>
      </w:pPr>
      <w:r w:rsidRPr="004565F5">
        <w:rPr>
          <w:rFonts w:ascii="Arial" w:hAnsi="Arial"/>
          <w:b/>
          <w:bCs/>
          <w:color w:val="FFFFFF"/>
          <w:sz w:val="2"/>
          <w:szCs w:val="2"/>
          <w:rtl/>
        </w:rPr>
        <w:t>54678313</w:t>
      </w:r>
      <w:r>
        <w:rPr>
          <w:rFonts w:ascii="Arial" w:hAnsi="Arial"/>
          <w:b/>
          <w:bCs/>
          <w:rtl/>
        </w:rPr>
        <w:t xml:space="preserve">ניתן היום,  כ"ז אייר תשע"ז, 23 מאי 2017, במעמד הנוכחים. </w:t>
      </w:r>
    </w:p>
    <w:p w14:paraId="2531519E" w14:textId="77777777" w:rsidR="006D0FE3" w:rsidRPr="00575B70" w:rsidRDefault="006D0FE3" w:rsidP="006D0FE3">
      <w:pPr>
        <w:jc w:val="center"/>
      </w:pPr>
      <w:r w:rsidRPr="00575B70">
        <w:rPr>
          <w:rFonts w:hint="cs"/>
          <w:b/>
          <w:bCs/>
          <w:rtl/>
        </w:rPr>
        <w:t xml:space="preserve">   </w:t>
      </w:r>
      <w:r w:rsidRPr="00575B70">
        <w:rPr>
          <w:rFonts w:hint="cs"/>
          <w:b/>
          <w:bCs/>
          <w:rtl/>
        </w:rPr>
        <w:tab/>
      </w:r>
      <w:r w:rsidRPr="00575B70">
        <w:rPr>
          <w:rFonts w:hint="cs"/>
          <w:b/>
          <w:bCs/>
          <w:rtl/>
        </w:rPr>
        <w:tab/>
      </w:r>
      <w:r w:rsidRPr="00575B70">
        <w:rPr>
          <w:rFonts w:hint="cs"/>
          <w:b/>
          <w:bCs/>
          <w:rtl/>
        </w:rPr>
        <w:tab/>
      </w:r>
      <w:r w:rsidRPr="00575B70">
        <w:rPr>
          <w:rFonts w:hint="cs"/>
          <w:b/>
          <w:bCs/>
          <w:rtl/>
        </w:rPr>
        <w:tab/>
      </w:r>
      <w:r w:rsidRPr="00575B70">
        <w:rPr>
          <w:rFonts w:hint="cs"/>
          <w:b/>
          <w:bCs/>
          <w:rtl/>
        </w:rPr>
        <w:tab/>
      </w:r>
      <w:r>
        <w:rPr>
          <w:rtl/>
        </w:rPr>
        <w:t xml:space="preserve">     </w:t>
      </w:r>
    </w:p>
    <w:p w14:paraId="7014EFF7" w14:textId="77777777" w:rsidR="006D0FE3" w:rsidRPr="00575B70" w:rsidRDefault="006D0FE3" w:rsidP="006D0FE3">
      <w:pPr>
        <w:jc w:val="center"/>
        <w:rPr>
          <w:rFonts w:ascii="Arial" w:hAnsi="Arial"/>
          <w:b/>
          <w:bCs/>
          <w:sz w:val="28"/>
          <w:szCs w:val="28"/>
          <w:rtl/>
        </w:rPr>
      </w:pPr>
    </w:p>
    <w:p w14:paraId="6E46C133" w14:textId="77777777" w:rsidR="006D0FE3" w:rsidRPr="00575B70" w:rsidRDefault="006D0FE3" w:rsidP="006D0FE3">
      <w:pPr>
        <w:rPr>
          <w:b/>
          <w:bCs/>
          <w:sz w:val="28"/>
          <w:szCs w:val="28"/>
          <w:rtl/>
        </w:rPr>
      </w:pPr>
    </w:p>
    <w:p w14:paraId="2B6EC614" w14:textId="77777777" w:rsidR="006D0FE3" w:rsidRPr="00575B70" w:rsidRDefault="006D0FE3" w:rsidP="006D0FE3">
      <w:pPr>
        <w:pStyle w:val="a3"/>
        <w:jc w:val="center"/>
        <w:rPr>
          <w:rtl/>
        </w:rPr>
      </w:pPr>
    </w:p>
    <w:p w14:paraId="53B1AD2E" w14:textId="77777777" w:rsidR="002D7B2F" w:rsidRPr="004565F5" w:rsidRDefault="002D7B2F" w:rsidP="004565F5">
      <w:pPr>
        <w:keepNext/>
        <w:rPr>
          <w:rFonts w:ascii="David" w:hAnsi="David"/>
          <w:color w:val="000000"/>
          <w:sz w:val="22"/>
          <w:szCs w:val="22"/>
          <w:rtl/>
        </w:rPr>
      </w:pPr>
    </w:p>
    <w:p w14:paraId="624D953A" w14:textId="77777777" w:rsidR="004565F5" w:rsidRPr="004565F5" w:rsidRDefault="004565F5" w:rsidP="004565F5">
      <w:pPr>
        <w:keepNext/>
        <w:rPr>
          <w:rFonts w:ascii="David" w:hAnsi="David"/>
          <w:color w:val="000000"/>
          <w:sz w:val="22"/>
          <w:szCs w:val="22"/>
          <w:rtl/>
        </w:rPr>
      </w:pPr>
      <w:r w:rsidRPr="004565F5">
        <w:rPr>
          <w:rFonts w:ascii="David" w:hAnsi="David"/>
          <w:color w:val="000000"/>
          <w:sz w:val="22"/>
          <w:szCs w:val="22"/>
          <w:rtl/>
        </w:rPr>
        <w:t>רות שפילברג כהן 54678313</w:t>
      </w:r>
    </w:p>
    <w:p w14:paraId="5562B1E7" w14:textId="77777777" w:rsidR="004565F5" w:rsidRDefault="004565F5" w:rsidP="004565F5">
      <w:r w:rsidRPr="004565F5">
        <w:rPr>
          <w:color w:val="000000"/>
          <w:rtl/>
        </w:rPr>
        <w:t>נוסח מסמך זה כפוף לשינויי ניסוח ועריכה</w:t>
      </w:r>
    </w:p>
    <w:p w14:paraId="464FD0F8" w14:textId="77777777" w:rsidR="004565F5" w:rsidRDefault="004565F5" w:rsidP="004565F5">
      <w:pPr>
        <w:rPr>
          <w:rtl/>
        </w:rPr>
      </w:pPr>
    </w:p>
    <w:p w14:paraId="7F10A311" w14:textId="77777777" w:rsidR="004565F5" w:rsidRDefault="004565F5" w:rsidP="004565F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C4CAF5F" w14:textId="77777777" w:rsidR="004565F5" w:rsidRPr="004565F5" w:rsidRDefault="004565F5" w:rsidP="004565F5">
      <w:pPr>
        <w:jc w:val="center"/>
        <w:rPr>
          <w:color w:val="0000FF"/>
          <w:u w:val="single"/>
        </w:rPr>
      </w:pPr>
    </w:p>
    <w:sectPr w:rsidR="004565F5" w:rsidRPr="004565F5" w:rsidSect="004565F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BFA0" w14:textId="77777777" w:rsidR="00410E4B" w:rsidRDefault="00410E4B" w:rsidP="00E42315">
      <w:r>
        <w:separator/>
      </w:r>
    </w:p>
  </w:endnote>
  <w:endnote w:type="continuationSeparator" w:id="0">
    <w:p w14:paraId="1C445778" w14:textId="77777777" w:rsidR="00410E4B" w:rsidRDefault="00410E4B" w:rsidP="00E4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D00F" w14:textId="77777777" w:rsidR="004565F5" w:rsidRDefault="004565F5" w:rsidP="004565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74A219" w14:textId="77777777" w:rsidR="000C1A72" w:rsidRPr="004565F5" w:rsidRDefault="004565F5" w:rsidP="004565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7647A" w14:textId="77777777" w:rsidR="004565F5" w:rsidRDefault="004565F5" w:rsidP="004565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261E">
      <w:rPr>
        <w:rFonts w:ascii="FrankRuehl" w:hAnsi="FrankRuehl" w:cs="FrankRuehl"/>
        <w:noProof/>
        <w:rtl/>
      </w:rPr>
      <w:t>1</w:t>
    </w:r>
    <w:r>
      <w:rPr>
        <w:rFonts w:ascii="FrankRuehl" w:hAnsi="FrankRuehl" w:cs="FrankRuehl"/>
        <w:rtl/>
      </w:rPr>
      <w:fldChar w:fldCharType="end"/>
    </w:r>
  </w:p>
  <w:p w14:paraId="67164694" w14:textId="77777777" w:rsidR="000C1A72" w:rsidRPr="004565F5" w:rsidRDefault="004565F5" w:rsidP="004565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6DA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7203B" w14:textId="77777777" w:rsidR="00410E4B" w:rsidRDefault="00410E4B" w:rsidP="00E42315">
      <w:r>
        <w:separator/>
      </w:r>
    </w:p>
  </w:footnote>
  <w:footnote w:type="continuationSeparator" w:id="0">
    <w:p w14:paraId="087B385F" w14:textId="77777777" w:rsidR="00410E4B" w:rsidRDefault="00410E4B" w:rsidP="00E42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F23A" w14:textId="77777777" w:rsidR="004565F5" w:rsidRPr="004565F5" w:rsidRDefault="004565F5" w:rsidP="004565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18216-09-16</w:t>
    </w:r>
    <w:r>
      <w:rPr>
        <w:rFonts w:ascii="David" w:hAnsi="David"/>
        <w:color w:val="000000"/>
        <w:sz w:val="22"/>
        <w:szCs w:val="22"/>
        <w:rtl/>
      </w:rPr>
      <w:tab/>
      <w:t xml:space="preserve"> תביעות מרום הגליל והגולן נ' קורל ינוביץ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4AF77" w14:textId="77777777" w:rsidR="004565F5" w:rsidRPr="004565F5" w:rsidRDefault="004565F5" w:rsidP="004565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18216-09-16</w:t>
    </w:r>
    <w:r>
      <w:rPr>
        <w:rFonts w:ascii="David" w:hAnsi="David"/>
        <w:color w:val="000000"/>
        <w:sz w:val="22"/>
        <w:szCs w:val="22"/>
        <w:rtl/>
      </w:rPr>
      <w:tab/>
      <w:t xml:space="preserve"> תביעות מרום הגליל והגולן נ' קורל ינוביץ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11A2C758"/>
    <w:lvl w:ilvl="0">
      <w:start w:val="1"/>
      <w:numFmt w:val="decimal"/>
      <w:lvlText w:val="%1."/>
      <w:lvlJc w:val="left"/>
      <w:pPr>
        <w:ind w:left="0" w:hanging="360"/>
      </w:pPr>
    </w:lvl>
    <w:lvl w:ilvl="1">
      <w:start w:val="1"/>
      <w:numFmt w:val="decimal"/>
      <w:lvlText w:val="%2."/>
      <w:lvlJc w:val="left"/>
      <w:pPr>
        <w:ind w:left="0" w:hanging="360"/>
      </w:pPr>
    </w:lvl>
    <w:lvl w:ilvl="2">
      <w:start w:val="1"/>
      <w:numFmt w:val="decimal"/>
      <w:lvlText w:val="%3."/>
      <w:lvlJc w:val="left"/>
      <w:pPr>
        <w:ind w:left="0" w:hanging="360"/>
      </w:pPr>
    </w:lvl>
    <w:lvl w:ilvl="3">
      <w:start w:val="1"/>
      <w:numFmt w:val="decimal"/>
      <w:lvlText w:val="%4."/>
      <w:lvlJc w:val="left"/>
      <w:pPr>
        <w:ind w:left="0" w:hanging="360"/>
      </w:pPr>
    </w:lvl>
    <w:lvl w:ilvl="4">
      <w:start w:val="1"/>
      <w:numFmt w:val="decimal"/>
      <w:lvlText w:val="%5."/>
      <w:lvlJc w:val="left"/>
      <w:pPr>
        <w:ind w:left="0" w:hanging="360"/>
      </w:pPr>
    </w:lvl>
    <w:lvl w:ilvl="5">
      <w:start w:val="1"/>
      <w:numFmt w:val="decimal"/>
      <w:lvlText w:val="%6."/>
      <w:lvlJc w:val="left"/>
      <w:pPr>
        <w:ind w:left="0" w:hanging="360"/>
      </w:pPr>
    </w:lvl>
    <w:lvl w:ilvl="6">
      <w:start w:val="1"/>
      <w:numFmt w:val="decimal"/>
      <w:lvlText w:val="%7."/>
      <w:lvlJc w:val="left"/>
      <w:pPr>
        <w:ind w:left="0" w:hanging="360"/>
      </w:pPr>
    </w:lvl>
    <w:lvl w:ilvl="7">
      <w:start w:val="1"/>
      <w:numFmt w:val="decimal"/>
      <w:lvlText w:val="%8."/>
      <w:lvlJc w:val="left"/>
      <w:pPr>
        <w:ind w:left="0" w:hanging="360"/>
      </w:pPr>
    </w:lvl>
    <w:lvl w:ilvl="8">
      <w:numFmt w:val="decimal"/>
      <w:lvlText w:val=""/>
      <w:lvlJc w:val="left"/>
      <w:pPr>
        <w:ind w:left="0" w:firstLine="0"/>
      </w:pPr>
    </w:lvl>
  </w:abstractNum>
  <w:num w:numId="1" w16cid:durableId="2129926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0FE3"/>
    <w:rsid w:val="000C1A72"/>
    <w:rsid w:val="002D7B2F"/>
    <w:rsid w:val="00410E4B"/>
    <w:rsid w:val="004565F5"/>
    <w:rsid w:val="004C261E"/>
    <w:rsid w:val="00573C33"/>
    <w:rsid w:val="006D0FE3"/>
    <w:rsid w:val="00BA16A0"/>
    <w:rsid w:val="00E42315"/>
    <w:rsid w:val="00EA67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237F5F"/>
  <w15:chartTrackingRefBased/>
  <w15:docId w15:val="{51D27A15-E439-458D-8ECC-42DF6D3F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0F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0FE3"/>
    <w:pPr>
      <w:tabs>
        <w:tab w:val="center" w:pos="4153"/>
        <w:tab w:val="right" w:pos="8306"/>
      </w:tabs>
    </w:pPr>
  </w:style>
  <w:style w:type="character" w:customStyle="1" w:styleId="a4">
    <w:name w:val="כותרת עליונה תו"/>
    <w:link w:val="a3"/>
    <w:rsid w:val="006D0FE3"/>
    <w:rPr>
      <w:rFonts w:ascii="Times New Roman" w:eastAsia="Times New Roman" w:hAnsi="Times New Roman" w:cs="David"/>
      <w:sz w:val="24"/>
      <w:szCs w:val="24"/>
    </w:rPr>
  </w:style>
  <w:style w:type="paragraph" w:styleId="a5">
    <w:name w:val="footer"/>
    <w:basedOn w:val="a"/>
    <w:link w:val="a6"/>
    <w:rsid w:val="006D0FE3"/>
    <w:pPr>
      <w:tabs>
        <w:tab w:val="center" w:pos="4153"/>
        <w:tab w:val="right" w:pos="8306"/>
      </w:tabs>
    </w:pPr>
  </w:style>
  <w:style w:type="character" w:customStyle="1" w:styleId="a6">
    <w:name w:val="כותרת תחתונה תו"/>
    <w:link w:val="a5"/>
    <w:rsid w:val="006D0FE3"/>
    <w:rPr>
      <w:rFonts w:ascii="Times New Roman" w:eastAsia="Times New Roman" w:hAnsi="Times New Roman" w:cs="David"/>
      <w:sz w:val="24"/>
      <w:szCs w:val="24"/>
    </w:rPr>
  </w:style>
  <w:style w:type="table" w:styleId="a7">
    <w:name w:val="Table Grid"/>
    <w:basedOn w:val="a1"/>
    <w:rsid w:val="006D0F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0FE3"/>
  </w:style>
  <w:style w:type="character" w:styleId="Hyperlink">
    <w:name w:val="Hyperlink"/>
    <w:rsid w:val="006D0FE3"/>
    <w:rPr>
      <w:color w:val="0563C1"/>
      <w:u w:val="single"/>
    </w:rPr>
  </w:style>
  <w:style w:type="paragraph" w:styleId="a9">
    <w:name w:val="Body Text Indent"/>
    <w:basedOn w:val="a"/>
    <w:link w:val="aa"/>
    <w:rsid w:val="006D0FE3"/>
    <w:pPr>
      <w:spacing w:after="120"/>
      <w:ind w:left="283"/>
    </w:pPr>
    <w:rPr>
      <w:rFonts w:ascii="David" w:eastAsia="David" w:hAnsi="David"/>
    </w:rPr>
  </w:style>
  <w:style w:type="character" w:customStyle="1" w:styleId="aa">
    <w:name w:val="כניסה בגוף טקסט תו"/>
    <w:link w:val="a9"/>
    <w:rsid w:val="006D0FE3"/>
    <w:rPr>
      <w:rFonts w:ascii="David" w:eastAsia="David" w:hAnsi="David" w:cs="David"/>
      <w:sz w:val="24"/>
      <w:szCs w:val="24"/>
    </w:rPr>
  </w:style>
  <w:style w:type="paragraph" w:styleId="2">
    <w:name w:val="Body Text 2"/>
    <w:basedOn w:val="a"/>
    <w:link w:val="20"/>
    <w:rsid w:val="006D0FE3"/>
    <w:pPr>
      <w:spacing w:after="120" w:line="480" w:lineRule="auto"/>
    </w:pPr>
    <w:rPr>
      <w:rFonts w:ascii="David" w:eastAsia="David" w:hAnsi="David"/>
    </w:rPr>
  </w:style>
  <w:style w:type="character" w:customStyle="1" w:styleId="20">
    <w:name w:val="גוף טקסט 2 תו"/>
    <w:link w:val="2"/>
    <w:rsid w:val="006D0FE3"/>
    <w:rPr>
      <w:rFonts w:ascii="David" w:eastAsia="David" w:hAnsi="David" w:cs="David"/>
      <w:sz w:val="24"/>
      <w:szCs w:val="24"/>
    </w:rPr>
  </w:style>
  <w:style w:type="character" w:styleId="ab">
    <w:name w:val="Mention"/>
    <w:rsid w:val="004565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1078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d" TargetMode="External"/><Relationship Id="rId21" Type="http://schemas.openxmlformats.org/officeDocument/2006/relationships/hyperlink" Target="http://www.nevo.co.il/case/6987521" TargetMode="External"/><Relationship Id="rId34" Type="http://schemas.openxmlformats.org/officeDocument/2006/relationships/hyperlink" Target="http://www.nevo.co.il/case/1878669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1075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991" TargetMode="External"/><Relationship Id="rId24" Type="http://schemas.openxmlformats.org/officeDocument/2006/relationships/hyperlink" Target="http://www.nevo.co.il/law/72991/5.a" TargetMode="External"/><Relationship Id="rId32" Type="http://schemas.openxmlformats.org/officeDocument/2006/relationships/hyperlink" Target="http://www.nevo.co.il/case/17084501" TargetMode="External"/><Relationship Id="rId37" Type="http://schemas.openxmlformats.org/officeDocument/2006/relationships/hyperlink" Target="http://www.nevo.co.il/case/4661373"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5611948" TargetMode="External"/><Relationship Id="rId28" Type="http://schemas.openxmlformats.org/officeDocument/2006/relationships/hyperlink" Target="http://www.nevo.co.il/case/20111708" TargetMode="External"/><Relationship Id="rId36" Type="http://schemas.openxmlformats.org/officeDocument/2006/relationships/hyperlink" Target="http://www.nevo.co.il/case/7988160"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6552365" TargetMode="External"/><Relationship Id="rId31" Type="http://schemas.openxmlformats.org/officeDocument/2006/relationships/hyperlink" Target="http://www.nevo.co.il/case/20881083"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6" TargetMode="External"/><Relationship Id="rId27" Type="http://schemas.openxmlformats.org/officeDocument/2006/relationships/hyperlink" Target="http://www.nevo.co.il/case/20705570" TargetMode="External"/><Relationship Id="rId30" Type="http://schemas.openxmlformats.org/officeDocument/2006/relationships/hyperlink" Target="http://www.nevo.co.il/case/20685141" TargetMode="External"/><Relationship Id="rId35" Type="http://schemas.openxmlformats.org/officeDocument/2006/relationships/hyperlink" Target="http://www.nevo.co.il/case/16938303"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2991/5.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2991" TargetMode="External"/><Relationship Id="rId33" Type="http://schemas.openxmlformats.org/officeDocument/2006/relationships/hyperlink" Target="http://www.nevo.co.il/case/20136722" TargetMode="External"/><Relationship Id="rId38" Type="http://schemas.openxmlformats.org/officeDocument/2006/relationships/hyperlink" Target="http://www.nevo.co.il/case/20402486" TargetMode="External"/><Relationship Id="rId46" Type="http://schemas.openxmlformats.org/officeDocument/2006/relationships/footer" Target="footer2.xml"/><Relationship Id="rId20" Type="http://schemas.openxmlformats.org/officeDocument/2006/relationships/hyperlink" Target="http://www.nevo.co.il/case/581078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4405</Words>
  <Characters>22027</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26380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3932272</vt:i4>
      </vt:variant>
      <vt:variant>
        <vt:i4>93</vt:i4>
      </vt:variant>
      <vt:variant>
        <vt:i4>0</vt:i4>
      </vt:variant>
      <vt:variant>
        <vt:i4>5</vt:i4>
      </vt:variant>
      <vt:variant>
        <vt:lpwstr>http://www.nevo.co.il/case/20402486</vt:lpwstr>
      </vt:variant>
      <vt:variant>
        <vt:lpwstr/>
      </vt:variant>
      <vt:variant>
        <vt:i4>3276916</vt:i4>
      </vt:variant>
      <vt:variant>
        <vt:i4>90</vt:i4>
      </vt:variant>
      <vt:variant>
        <vt:i4>0</vt:i4>
      </vt:variant>
      <vt:variant>
        <vt:i4>5</vt:i4>
      </vt:variant>
      <vt:variant>
        <vt:lpwstr>http://www.nevo.co.il/case/4661373</vt:lpwstr>
      </vt:variant>
      <vt:variant>
        <vt:lpwstr/>
      </vt:variant>
      <vt:variant>
        <vt:i4>4063347</vt:i4>
      </vt:variant>
      <vt:variant>
        <vt:i4>87</vt:i4>
      </vt:variant>
      <vt:variant>
        <vt:i4>0</vt:i4>
      </vt:variant>
      <vt:variant>
        <vt:i4>5</vt:i4>
      </vt:variant>
      <vt:variant>
        <vt:lpwstr>http://www.nevo.co.il/case/7988160</vt:lpwstr>
      </vt:variant>
      <vt:variant>
        <vt:lpwstr/>
      </vt:variant>
      <vt:variant>
        <vt:i4>3145842</vt:i4>
      </vt:variant>
      <vt:variant>
        <vt:i4>84</vt:i4>
      </vt:variant>
      <vt:variant>
        <vt:i4>0</vt:i4>
      </vt:variant>
      <vt:variant>
        <vt:i4>5</vt:i4>
      </vt:variant>
      <vt:variant>
        <vt:lpwstr>http://www.nevo.co.il/case/16938303</vt:lpwstr>
      </vt:variant>
      <vt:variant>
        <vt:lpwstr/>
      </vt:variant>
      <vt:variant>
        <vt:i4>3735666</vt:i4>
      </vt:variant>
      <vt:variant>
        <vt:i4>81</vt:i4>
      </vt:variant>
      <vt:variant>
        <vt:i4>0</vt:i4>
      </vt:variant>
      <vt:variant>
        <vt:i4>5</vt:i4>
      </vt:variant>
      <vt:variant>
        <vt:lpwstr>http://www.nevo.co.il/case/18786695</vt:lpwstr>
      </vt:variant>
      <vt:variant>
        <vt:lpwstr/>
      </vt:variant>
      <vt:variant>
        <vt:i4>3604592</vt:i4>
      </vt:variant>
      <vt:variant>
        <vt:i4>78</vt:i4>
      </vt:variant>
      <vt:variant>
        <vt:i4>0</vt:i4>
      </vt:variant>
      <vt:variant>
        <vt:i4>5</vt:i4>
      </vt:variant>
      <vt:variant>
        <vt:lpwstr>http://www.nevo.co.il/case/20136722</vt:lpwstr>
      </vt:variant>
      <vt:variant>
        <vt:lpwstr/>
      </vt:variant>
      <vt:variant>
        <vt:i4>3473534</vt:i4>
      </vt:variant>
      <vt:variant>
        <vt:i4>75</vt:i4>
      </vt:variant>
      <vt:variant>
        <vt:i4>0</vt:i4>
      </vt:variant>
      <vt:variant>
        <vt:i4>5</vt:i4>
      </vt:variant>
      <vt:variant>
        <vt:lpwstr>http://www.nevo.co.il/case/17084501</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3473533</vt:i4>
      </vt:variant>
      <vt:variant>
        <vt:i4>69</vt:i4>
      </vt:variant>
      <vt:variant>
        <vt:i4>0</vt:i4>
      </vt:variant>
      <vt:variant>
        <vt:i4>5</vt:i4>
      </vt:variant>
      <vt:variant>
        <vt:lpwstr>http://www.nevo.co.il/case/20685141</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3604593</vt:i4>
      </vt:variant>
      <vt:variant>
        <vt:i4>60</vt:i4>
      </vt:variant>
      <vt:variant>
        <vt:i4>0</vt:i4>
      </vt:variant>
      <vt:variant>
        <vt:i4>5</vt:i4>
      </vt:variant>
      <vt:variant>
        <vt:lpwstr>http://www.nevo.co.il/case/20705570</vt:lpwstr>
      </vt:variant>
      <vt:variant>
        <vt:lpwstr/>
      </vt:variant>
      <vt:variant>
        <vt:i4>7995492</vt:i4>
      </vt:variant>
      <vt:variant>
        <vt:i4>57</vt:i4>
      </vt:variant>
      <vt:variant>
        <vt:i4>0</vt:i4>
      </vt:variant>
      <vt:variant>
        <vt:i4>5</vt:i4>
      </vt:variant>
      <vt:variant>
        <vt:lpwstr>http://www.nevo.co.il/law/70301</vt:lpwstr>
      </vt:variant>
      <vt:variant>
        <vt:lpwstr/>
      </vt:variant>
      <vt:variant>
        <vt:i4>7405678</vt:i4>
      </vt:variant>
      <vt:variant>
        <vt:i4>54</vt:i4>
      </vt:variant>
      <vt:variant>
        <vt:i4>0</vt:i4>
      </vt:variant>
      <vt:variant>
        <vt:i4>5</vt:i4>
      </vt:variant>
      <vt:variant>
        <vt:lpwstr>http://www.nevo.co.il/law/72991</vt:lpwstr>
      </vt:variant>
      <vt:variant>
        <vt:lpwstr/>
      </vt:variant>
      <vt:variant>
        <vt:i4>7340138</vt:i4>
      </vt:variant>
      <vt:variant>
        <vt:i4>51</vt:i4>
      </vt:variant>
      <vt:variant>
        <vt:i4>0</vt:i4>
      </vt:variant>
      <vt:variant>
        <vt:i4>5</vt:i4>
      </vt:variant>
      <vt:variant>
        <vt:lpwstr>http://www.nevo.co.il/law/72991/5.a</vt:lpwstr>
      </vt:variant>
      <vt:variant>
        <vt:lpwstr/>
      </vt:variant>
      <vt:variant>
        <vt:i4>3473527</vt:i4>
      </vt:variant>
      <vt:variant>
        <vt:i4>48</vt:i4>
      </vt:variant>
      <vt:variant>
        <vt:i4>0</vt:i4>
      </vt:variant>
      <vt:variant>
        <vt:i4>5</vt:i4>
      </vt:variant>
      <vt:variant>
        <vt:lpwstr>http://www.nevo.co.il/case/5611948</vt:lpwstr>
      </vt:variant>
      <vt:variant>
        <vt:lpwstr/>
      </vt:variant>
      <vt:variant>
        <vt:i4>4718666</vt:i4>
      </vt:variant>
      <vt:variant>
        <vt:i4>45</vt:i4>
      </vt:variant>
      <vt:variant>
        <vt:i4>0</vt:i4>
      </vt:variant>
      <vt:variant>
        <vt:i4>5</vt:i4>
      </vt:variant>
      <vt:variant>
        <vt:lpwstr>http://www.nevo.co.il/law/4216/6</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3473525</vt:i4>
      </vt:variant>
      <vt:variant>
        <vt:i4>36</vt:i4>
      </vt:variant>
      <vt:variant>
        <vt:i4>0</vt:i4>
      </vt:variant>
      <vt:variant>
        <vt:i4>5</vt:i4>
      </vt:variant>
      <vt:variant>
        <vt:lpwstr>http://www.nevo.co.il/case/6552365</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7340138</vt:i4>
      </vt:variant>
      <vt:variant>
        <vt:i4>15</vt:i4>
      </vt:variant>
      <vt:variant>
        <vt:i4>0</vt:i4>
      </vt:variant>
      <vt:variant>
        <vt:i4>5</vt:i4>
      </vt:variant>
      <vt:variant>
        <vt:lpwstr>http://www.nevo.co.il/law/72991/5.a</vt:lpwstr>
      </vt:variant>
      <vt:variant>
        <vt:lpwstr/>
      </vt:variant>
      <vt:variant>
        <vt:i4>7405678</vt:i4>
      </vt:variant>
      <vt:variant>
        <vt:i4>12</vt:i4>
      </vt:variant>
      <vt:variant>
        <vt:i4>0</vt:i4>
      </vt:variant>
      <vt:variant>
        <vt:i4>5</vt:i4>
      </vt:variant>
      <vt:variant>
        <vt:lpwstr>http://www.nevo.co.il/law/72991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18216</vt:lpwstr>
  </property>
  <property fmtid="{D5CDD505-2E9C-101B-9397-08002B2CF9AE}" pid="6" name="NEWPARTB">
    <vt:lpwstr>09</vt:lpwstr>
  </property>
  <property fmtid="{D5CDD505-2E9C-101B-9397-08002B2CF9AE}" pid="7" name="NEWPARTC">
    <vt:lpwstr>16</vt:lpwstr>
  </property>
  <property fmtid="{D5CDD505-2E9C-101B-9397-08002B2CF9AE}" pid="8" name="APPELLANT">
    <vt:lpwstr>תביעות מרום הגליל והגולן</vt:lpwstr>
  </property>
  <property fmtid="{D5CDD505-2E9C-101B-9397-08002B2CF9AE}" pid="9" name="APPELLEE">
    <vt:lpwstr>קורל ינוביץ</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20170523</vt:lpwstr>
  </property>
  <property fmtid="{D5CDD505-2E9C-101B-9397-08002B2CF9AE}" pid="13" name="TYPE_N_DATE">
    <vt:lpwstr>38020170523</vt:lpwstr>
  </property>
  <property fmtid="{D5CDD505-2E9C-101B-9397-08002B2CF9AE}" pid="14" name="CASESLISTTMP1">
    <vt:lpwstr>5810781:2;6552365;6987521;5611948;20705570;20111708;18107527;20685141;20881083;17084501;20136722;18786695;16938303;7988160;4661373;20402486</vt:lpwstr>
  </property>
  <property fmtid="{D5CDD505-2E9C-101B-9397-08002B2CF9AE}" pid="15" name="CASENOTES1">
    <vt:lpwstr>ProcID=133;209&amp;PartA=28110&amp;PartB=10&amp;PartC=15</vt:lpwstr>
  </property>
  <property fmtid="{D5CDD505-2E9C-101B-9397-08002B2CF9AE}" pid="16" name="WORDNUMPAGES">
    <vt:lpwstr>14</vt:lpwstr>
  </property>
  <property fmtid="{D5CDD505-2E9C-101B-9397-08002B2CF9AE}" pid="17" name="TYPE_ABS_DATE">
    <vt:lpwstr>380020170523</vt:lpwstr>
  </property>
  <property fmtid="{D5CDD505-2E9C-101B-9397-08002B2CF9AE}" pid="18" name="ISABSTRACT">
    <vt:lpwstr>Y</vt:lpwstr>
  </property>
  <property fmtid="{D5CDD505-2E9C-101B-9397-08002B2CF9AE}" pid="19" name="LAWLISTTMP1">
    <vt:lpwstr>4216/006:2;007.a;007.c</vt:lpwstr>
  </property>
  <property fmtid="{D5CDD505-2E9C-101B-9397-08002B2CF9AE}" pid="20" name="LAWLISTTMP2">
    <vt:lpwstr>72991/005.a</vt:lpwstr>
  </property>
  <property fmtid="{D5CDD505-2E9C-101B-9397-08002B2CF9AE}" pid="21" name="LAWLISTTMP3">
    <vt:lpwstr>70301/040d</vt:lpwstr>
  </property>
</Properties>
</file>