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33D2D" w:rsidRPr="004C6D9B" w14:paraId="334B017B" w14:textId="77777777" w:rsidTr="007A7BF2">
        <w:trPr>
          <w:trHeight w:hRule="exact" w:val="418"/>
          <w:jc w:val="center"/>
        </w:trPr>
        <w:tc>
          <w:tcPr>
            <w:tcW w:w="8721" w:type="dxa"/>
            <w:gridSpan w:val="2"/>
          </w:tcPr>
          <w:p w14:paraId="20D555D8" w14:textId="77777777" w:rsidR="00033D2D" w:rsidRPr="004C6D9B" w:rsidRDefault="00033D2D" w:rsidP="007A43AE">
            <w:pPr>
              <w:pStyle w:val="a3"/>
              <w:jc w:val="center"/>
              <w:rPr>
                <w:rFonts w:ascii="Tahoma" w:hAnsi="Tahoma" w:cs="Tahoma"/>
                <w:color w:val="000080"/>
                <w:rtl/>
              </w:rPr>
            </w:pPr>
            <w:bookmarkStart w:id="0" w:name="LastJudge"/>
            <w:r w:rsidRPr="004C6D9B">
              <w:rPr>
                <w:rFonts w:ascii="Tahoma" w:hAnsi="Tahoma" w:cs="Tahoma"/>
                <w:b/>
                <w:bCs/>
                <w:color w:val="000080"/>
                <w:rtl/>
              </w:rPr>
              <w:t>בית משפט השלום בחיפה</w:t>
            </w:r>
          </w:p>
        </w:tc>
      </w:tr>
      <w:tr w:rsidR="00033D2D" w:rsidRPr="004C6D9B" w14:paraId="35673A01" w14:textId="77777777" w:rsidTr="007A7BF2">
        <w:trPr>
          <w:trHeight w:val="337"/>
          <w:jc w:val="center"/>
        </w:trPr>
        <w:tc>
          <w:tcPr>
            <w:tcW w:w="5055" w:type="dxa"/>
          </w:tcPr>
          <w:p w14:paraId="5F84A67F" w14:textId="77777777" w:rsidR="00033D2D" w:rsidRPr="004C6D9B" w:rsidRDefault="00033D2D" w:rsidP="007A43AE">
            <w:pPr>
              <w:rPr>
                <w:rFonts w:cs="FrankRuehl"/>
                <w:sz w:val="28"/>
                <w:szCs w:val="28"/>
                <w:rtl/>
              </w:rPr>
            </w:pPr>
            <w:r w:rsidRPr="004C6D9B">
              <w:rPr>
                <w:rFonts w:cs="FrankRuehl"/>
                <w:sz w:val="28"/>
                <w:szCs w:val="28"/>
                <w:rtl/>
              </w:rPr>
              <w:t>ת"פ</w:t>
            </w:r>
            <w:r w:rsidRPr="004C6D9B">
              <w:rPr>
                <w:rFonts w:cs="FrankRuehl" w:hint="cs"/>
                <w:sz w:val="28"/>
                <w:szCs w:val="28"/>
                <w:rtl/>
              </w:rPr>
              <w:t xml:space="preserve"> </w:t>
            </w:r>
            <w:r w:rsidRPr="004C6D9B">
              <w:rPr>
                <w:rFonts w:cs="FrankRuehl"/>
                <w:sz w:val="28"/>
                <w:szCs w:val="28"/>
                <w:rtl/>
              </w:rPr>
              <w:t>20933-09-16</w:t>
            </w:r>
            <w:r w:rsidRPr="004C6D9B">
              <w:rPr>
                <w:rFonts w:cs="FrankRuehl" w:hint="cs"/>
                <w:sz w:val="28"/>
                <w:szCs w:val="28"/>
                <w:rtl/>
              </w:rPr>
              <w:t xml:space="preserve"> </w:t>
            </w:r>
            <w:r w:rsidRPr="004C6D9B">
              <w:rPr>
                <w:rFonts w:cs="FrankRuehl"/>
                <w:sz w:val="28"/>
                <w:szCs w:val="28"/>
                <w:rtl/>
              </w:rPr>
              <w:t>מדינת ישראל נ' יעקובוב</w:t>
            </w:r>
          </w:p>
          <w:p w14:paraId="7EF435AB" w14:textId="77777777" w:rsidR="00033D2D" w:rsidRPr="004C6D9B" w:rsidRDefault="00033D2D" w:rsidP="007A43AE">
            <w:pPr>
              <w:pStyle w:val="a3"/>
              <w:rPr>
                <w:rFonts w:cs="FrankRuehl"/>
                <w:sz w:val="28"/>
                <w:szCs w:val="28"/>
                <w:rtl/>
              </w:rPr>
            </w:pPr>
          </w:p>
        </w:tc>
        <w:tc>
          <w:tcPr>
            <w:tcW w:w="3666" w:type="dxa"/>
          </w:tcPr>
          <w:p w14:paraId="79BBD1A9" w14:textId="77777777" w:rsidR="00033D2D" w:rsidRPr="004C6D9B" w:rsidRDefault="00033D2D" w:rsidP="007A43AE">
            <w:pPr>
              <w:pStyle w:val="a3"/>
              <w:jc w:val="right"/>
              <w:rPr>
                <w:rFonts w:cs="FrankRuehl"/>
                <w:sz w:val="28"/>
                <w:szCs w:val="28"/>
                <w:rtl/>
              </w:rPr>
            </w:pPr>
          </w:p>
        </w:tc>
      </w:tr>
    </w:tbl>
    <w:p w14:paraId="54290AB5" w14:textId="77777777" w:rsidR="00033D2D" w:rsidRPr="004C6D9B" w:rsidRDefault="00033D2D" w:rsidP="00033D2D">
      <w:pPr>
        <w:pStyle w:val="a3"/>
        <w:rPr>
          <w:rtl/>
        </w:rPr>
      </w:pPr>
      <w:r w:rsidRPr="004C6D9B">
        <w:rPr>
          <w:rFonts w:hint="cs"/>
          <w:rtl/>
        </w:rPr>
        <w:t xml:space="preserve"> </w:t>
      </w:r>
    </w:p>
    <w:p w14:paraId="458CB37F" w14:textId="77777777" w:rsidR="00033D2D" w:rsidRPr="004C6D9B" w:rsidRDefault="00033D2D" w:rsidP="00033D2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3D2D" w:rsidRPr="004C6D9B" w14:paraId="1388FFE2" w14:textId="77777777" w:rsidTr="00033D2D">
        <w:trPr>
          <w:trHeight w:val="295"/>
          <w:jc w:val="center"/>
        </w:trPr>
        <w:tc>
          <w:tcPr>
            <w:tcW w:w="923" w:type="dxa"/>
            <w:tcBorders>
              <w:top w:val="nil"/>
              <w:left w:val="nil"/>
              <w:bottom w:val="nil"/>
              <w:right w:val="nil"/>
            </w:tcBorders>
            <w:shd w:val="clear" w:color="auto" w:fill="auto"/>
          </w:tcPr>
          <w:p w14:paraId="41CEDEA3" w14:textId="77777777" w:rsidR="00033D2D" w:rsidRPr="004C6D9B" w:rsidRDefault="00033D2D" w:rsidP="00033D2D">
            <w:pPr>
              <w:jc w:val="both"/>
              <w:rPr>
                <w:rFonts w:ascii="Arial" w:hAnsi="Arial" w:cs="FrankRuehl"/>
                <w:sz w:val="28"/>
                <w:szCs w:val="28"/>
              </w:rPr>
            </w:pPr>
            <w:r w:rsidRPr="004C6D9B">
              <w:rPr>
                <w:rFonts w:ascii="Arial" w:hAnsi="Arial" w:cs="FrankRuehl" w:hint="cs"/>
                <w:sz w:val="28"/>
                <w:szCs w:val="28"/>
                <w:rtl/>
              </w:rPr>
              <w:t>ב</w:t>
            </w:r>
            <w:r w:rsidRPr="004C6D9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83FE257" w14:textId="77777777" w:rsidR="00033D2D" w:rsidRPr="004C6D9B" w:rsidRDefault="00033D2D" w:rsidP="007A43AE">
            <w:pPr>
              <w:rPr>
                <w:rFonts w:ascii="Arial" w:hAnsi="Arial"/>
                <w:b/>
                <w:bCs/>
                <w:rtl/>
              </w:rPr>
            </w:pPr>
            <w:r w:rsidRPr="004C6D9B">
              <w:rPr>
                <w:rFonts w:ascii="Arial" w:hAnsi="Arial" w:hint="cs"/>
                <w:b/>
                <w:bCs/>
                <w:rtl/>
              </w:rPr>
              <w:t>ה</w:t>
            </w:r>
            <w:r w:rsidRPr="004C6D9B">
              <w:rPr>
                <w:rFonts w:ascii="Arial" w:hAnsi="Arial"/>
                <w:b/>
                <w:bCs/>
                <w:rtl/>
              </w:rPr>
              <w:t>שופט</w:t>
            </w:r>
            <w:r w:rsidRPr="004C6D9B">
              <w:rPr>
                <w:rFonts w:ascii="Arial" w:hAnsi="Arial" w:hint="cs"/>
                <w:b/>
                <w:bCs/>
                <w:rtl/>
              </w:rPr>
              <w:t xml:space="preserve">  </w:t>
            </w:r>
            <w:r w:rsidRPr="004C6D9B">
              <w:rPr>
                <w:rFonts w:ascii="Arial" w:hAnsi="Arial"/>
                <w:b/>
                <w:bCs/>
                <w:rtl/>
              </w:rPr>
              <w:t>אבישי קאופמן</w:t>
            </w:r>
          </w:p>
          <w:p w14:paraId="05DAF641" w14:textId="77777777" w:rsidR="00033D2D" w:rsidRPr="004C6D9B" w:rsidRDefault="00033D2D" w:rsidP="007A43AE">
            <w:pPr>
              <w:rPr>
                <w:rtl/>
              </w:rPr>
            </w:pPr>
          </w:p>
          <w:p w14:paraId="3C25DC80" w14:textId="77777777" w:rsidR="00033D2D" w:rsidRPr="004C6D9B" w:rsidRDefault="00033D2D" w:rsidP="00033D2D">
            <w:pPr>
              <w:jc w:val="both"/>
              <w:rPr>
                <w:rFonts w:ascii="Arial" w:hAnsi="Arial" w:cs="FrankRuehl"/>
                <w:sz w:val="28"/>
                <w:szCs w:val="28"/>
              </w:rPr>
            </w:pPr>
          </w:p>
        </w:tc>
      </w:tr>
      <w:tr w:rsidR="00033D2D" w:rsidRPr="004C6D9B" w14:paraId="0894598E" w14:textId="77777777" w:rsidTr="00033D2D">
        <w:trPr>
          <w:trHeight w:val="355"/>
          <w:jc w:val="center"/>
        </w:trPr>
        <w:tc>
          <w:tcPr>
            <w:tcW w:w="923" w:type="dxa"/>
            <w:tcBorders>
              <w:top w:val="nil"/>
              <w:left w:val="nil"/>
              <w:bottom w:val="nil"/>
              <w:right w:val="nil"/>
            </w:tcBorders>
            <w:shd w:val="clear" w:color="auto" w:fill="auto"/>
          </w:tcPr>
          <w:p w14:paraId="09CD2B5D" w14:textId="77777777" w:rsidR="00033D2D" w:rsidRPr="004C6D9B" w:rsidRDefault="00033D2D" w:rsidP="00033D2D">
            <w:pPr>
              <w:jc w:val="both"/>
              <w:rPr>
                <w:rFonts w:ascii="Arial" w:hAnsi="Arial" w:cs="FrankRuehl"/>
                <w:sz w:val="28"/>
                <w:szCs w:val="28"/>
              </w:rPr>
            </w:pPr>
            <w:bookmarkStart w:id="1" w:name="FirstAppellant"/>
            <w:r w:rsidRPr="004C6D9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F055359" w14:textId="77777777" w:rsidR="00033D2D" w:rsidRPr="004C6D9B" w:rsidRDefault="00033D2D" w:rsidP="007A43AE">
            <w:r w:rsidRPr="004C6D9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A5B3887" w14:textId="77777777" w:rsidR="00033D2D" w:rsidRPr="004C6D9B" w:rsidRDefault="00033D2D" w:rsidP="00033D2D">
            <w:pPr>
              <w:jc w:val="both"/>
              <w:rPr>
                <w:rFonts w:ascii="Arial" w:hAnsi="Arial" w:cs="FrankRuehl"/>
                <w:sz w:val="28"/>
                <w:szCs w:val="28"/>
              </w:rPr>
            </w:pPr>
          </w:p>
        </w:tc>
      </w:tr>
      <w:bookmarkEnd w:id="1"/>
      <w:tr w:rsidR="00033D2D" w:rsidRPr="004C6D9B" w14:paraId="68771401" w14:textId="77777777" w:rsidTr="00033D2D">
        <w:trPr>
          <w:trHeight w:val="355"/>
          <w:jc w:val="center"/>
        </w:trPr>
        <w:tc>
          <w:tcPr>
            <w:tcW w:w="923" w:type="dxa"/>
            <w:tcBorders>
              <w:top w:val="nil"/>
              <w:left w:val="nil"/>
              <w:bottom w:val="nil"/>
              <w:right w:val="nil"/>
            </w:tcBorders>
            <w:shd w:val="clear" w:color="auto" w:fill="auto"/>
          </w:tcPr>
          <w:p w14:paraId="3E3C4D24" w14:textId="77777777" w:rsidR="00033D2D" w:rsidRPr="004C6D9B" w:rsidRDefault="00033D2D" w:rsidP="00033D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A682C88" w14:textId="77777777" w:rsidR="00033D2D" w:rsidRPr="004C6D9B" w:rsidRDefault="00033D2D" w:rsidP="00033D2D">
            <w:pPr>
              <w:jc w:val="both"/>
              <w:rPr>
                <w:rtl/>
              </w:rPr>
            </w:pPr>
          </w:p>
        </w:tc>
        <w:tc>
          <w:tcPr>
            <w:tcW w:w="3771" w:type="dxa"/>
            <w:tcBorders>
              <w:top w:val="nil"/>
              <w:left w:val="nil"/>
              <w:bottom w:val="nil"/>
              <w:right w:val="nil"/>
            </w:tcBorders>
            <w:shd w:val="clear" w:color="auto" w:fill="auto"/>
          </w:tcPr>
          <w:p w14:paraId="798117B3" w14:textId="77777777" w:rsidR="00033D2D" w:rsidRPr="004C6D9B" w:rsidRDefault="00033D2D" w:rsidP="00033D2D">
            <w:pPr>
              <w:jc w:val="right"/>
              <w:rPr>
                <w:rFonts w:ascii="Arial" w:hAnsi="Arial" w:cs="FrankRuehl"/>
                <w:sz w:val="28"/>
                <w:szCs w:val="28"/>
                <w:rtl/>
              </w:rPr>
            </w:pPr>
            <w:r w:rsidRPr="004C6D9B">
              <w:rPr>
                <w:rFonts w:ascii="Arial" w:hAnsi="Arial" w:cs="FrankRuehl" w:hint="cs"/>
                <w:sz w:val="28"/>
                <w:szCs w:val="28"/>
                <w:rtl/>
              </w:rPr>
              <w:t>ה</w:t>
            </w:r>
            <w:r w:rsidRPr="004C6D9B">
              <w:rPr>
                <w:rFonts w:ascii="Arial" w:hAnsi="Arial" w:cs="FrankRuehl"/>
                <w:sz w:val="28"/>
                <w:szCs w:val="28"/>
                <w:rtl/>
              </w:rPr>
              <w:t>מאשימה</w:t>
            </w:r>
          </w:p>
        </w:tc>
      </w:tr>
      <w:tr w:rsidR="00033D2D" w:rsidRPr="004C6D9B" w14:paraId="0B9073BE" w14:textId="77777777" w:rsidTr="00033D2D">
        <w:trPr>
          <w:trHeight w:val="355"/>
          <w:jc w:val="center"/>
        </w:trPr>
        <w:tc>
          <w:tcPr>
            <w:tcW w:w="923" w:type="dxa"/>
            <w:tcBorders>
              <w:top w:val="nil"/>
              <w:left w:val="nil"/>
              <w:bottom w:val="nil"/>
              <w:right w:val="nil"/>
            </w:tcBorders>
            <w:shd w:val="clear" w:color="auto" w:fill="auto"/>
          </w:tcPr>
          <w:p w14:paraId="3B474C72" w14:textId="77777777" w:rsidR="00033D2D" w:rsidRPr="004C6D9B" w:rsidRDefault="00033D2D" w:rsidP="00033D2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94C8256" w14:textId="77777777" w:rsidR="00033D2D" w:rsidRPr="004C6D9B" w:rsidRDefault="00033D2D" w:rsidP="00033D2D">
            <w:pPr>
              <w:jc w:val="center"/>
              <w:rPr>
                <w:rFonts w:ascii="Arial" w:hAnsi="Arial" w:cs="FrankRuehl"/>
                <w:b/>
                <w:bCs/>
                <w:sz w:val="28"/>
                <w:szCs w:val="28"/>
                <w:rtl/>
              </w:rPr>
            </w:pPr>
          </w:p>
          <w:p w14:paraId="4730FDAD" w14:textId="77777777" w:rsidR="00033D2D" w:rsidRPr="004C6D9B" w:rsidRDefault="00033D2D" w:rsidP="00033D2D">
            <w:pPr>
              <w:jc w:val="center"/>
              <w:rPr>
                <w:rFonts w:ascii="Arial" w:hAnsi="Arial" w:cs="FrankRuehl"/>
                <w:b/>
                <w:bCs/>
                <w:sz w:val="28"/>
                <w:szCs w:val="28"/>
                <w:rtl/>
              </w:rPr>
            </w:pPr>
            <w:r w:rsidRPr="004C6D9B">
              <w:rPr>
                <w:rFonts w:ascii="Arial" w:hAnsi="Arial" w:cs="FrankRuehl"/>
                <w:b/>
                <w:bCs/>
                <w:sz w:val="28"/>
                <w:szCs w:val="28"/>
                <w:rtl/>
              </w:rPr>
              <w:t>נגד</w:t>
            </w:r>
          </w:p>
          <w:p w14:paraId="3D80A6EC" w14:textId="77777777" w:rsidR="00033D2D" w:rsidRPr="004C6D9B" w:rsidRDefault="00033D2D" w:rsidP="00033D2D">
            <w:pPr>
              <w:jc w:val="both"/>
              <w:rPr>
                <w:rFonts w:ascii="Arial" w:hAnsi="Arial" w:cs="FrankRuehl"/>
                <w:sz w:val="28"/>
                <w:szCs w:val="28"/>
              </w:rPr>
            </w:pPr>
          </w:p>
        </w:tc>
      </w:tr>
      <w:tr w:rsidR="00033D2D" w:rsidRPr="004C6D9B" w14:paraId="516746E3" w14:textId="77777777" w:rsidTr="00033D2D">
        <w:trPr>
          <w:trHeight w:val="355"/>
          <w:jc w:val="center"/>
        </w:trPr>
        <w:tc>
          <w:tcPr>
            <w:tcW w:w="923" w:type="dxa"/>
            <w:tcBorders>
              <w:top w:val="nil"/>
              <w:left w:val="nil"/>
              <w:bottom w:val="nil"/>
              <w:right w:val="nil"/>
            </w:tcBorders>
            <w:shd w:val="clear" w:color="auto" w:fill="auto"/>
          </w:tcPr>
          <w:p w14:paraId="3FB508DB" w14:textId="77777777" w:rsidR="00033D2D" w:rsidRPr="004C6D9B" w:rsidRDefault="00033D2D" w:rsidP="007A43AE">
            <w:pPr>
              <w:rPr>
                <w:rFonts w:ascii="Arial" w:hAnsi="Arial" w:cs="FrankRuehl"/>
                <w:sz w:val="28"/>
                <w:szCs w:val="28"/>
                <w:rtl/>
              </w:rPr>
            </w:pPr>
          </w:p>
        </w:tc>
        <w:tc>
          <w:tcPr>
            <w:tcW w:w="4126" w:type="dxa"/>
            <w:tcBorders>
              <w:top w:val="nil"/>
              <w:left w:val="nil"/>
              <w:bottom w:val="nil"/>
              <w:right w:val="nil"/>
            </w:tcBorders>
            <w:shd w:val="clear" w:color="auto" w:fill="auto"/>
          </w:tcPr>
          <w:p w14:paraId="1F218251" w14:textId="77777777" w:rsidR="00033D2D" w:rsidRPr="004C6D9B" w:rsidRDefault="00033D2D" w:rsidP="007A43AE">
            <w:pPr>
              <w:rPr>
                <w:rtl/>
              </w:rPr>
            </w:pPr>
            <w:r w:rsidRPr="004C6D9B">
              <w:rPr>
                <w:rFonts w:ascii="Arial" w:hAnsi="Arial" w:cs="FrankRuehl"/>
                <w:sz w:val="28"/>
                <w:szCs w:val="28"/>
                <w:rtl/>
              </w:rPr>
              <w:t>ארנולד יעקובוב</w:t>
            </w:r>
          </w:p>
        </w:tc>
        <w:tc>
          <w:tcPr>
            <w:tcW w:w="3771" w:type="dxa"/>
            <w:tcBorders>
              <w:top w:val="nil"/>
              <w:left w:val="nil"/>
              <w:bottom w:val="nil"/>
              <w:right w:val="nil"/>
            </w:tcBorders>
            <w:shd w:val="clear" w:color="auto" w:fill="auto"/>
          </w:tcPr>
          <w:p w14:paraId="63911F36" w14:textId="77777777" w:rsidR="00033D2D" w:rsidRPr="004C6D9B" w:rsidRDefault="00033D2D" w:rsidP="00033D2D">
            <w:pPr>
              <w:jc w:val="right"/>
              <w:rPr>
                <w:rFonts w:ascii="Arial" w:hAnsi="Arial" w:cs="FrankRuehl"/>
                <w:sz w:val="28"/>
                <w:szCs w:val="28"/>
              </w:rPr>
            </w:pPr>
          </w:p>
        </w:tc>
      </w:tr>
      <w:tr w:rsidR="00033D2D" w:rsidRPr="004C6D9B" w14:paraId="3B6040FE" w14:textId="77777777" w:rsidTr="00033D2D">
        <w:trPr>
          <w:trHeight w:val="355"/>
          <w:jc w:val="center"/>
        </w:trPr>
        <w:tc>
          <w:tcPr>
            <w:tcW w:w="923" w:type="dxa"/>
            <w:tcBorders>
              <w:top w:val="nil"/>
              <w:left w:val="nil"/>
              <w:bottom w:val="nil"/>
              <w:right w:val="nil"/>
            </w:tcBorders>
            <w:shd w:val="clear" w:color="auto" w:fill="auto"/>
          </w:tcPr>
          <w:p w14:paraId="02175E5E" w14:textId="77777777" w:rsidR="00033D2D" w:rsidRPr="004C6D9B" w:rsidRDefault="00033D2D" w:rsidP="00033D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8BDED7" w14:textId="77777777" w:rsidR="00033D2D" w:rsidRPr="004C6D9B" w:rsidRDefault="00033D2D" w:rsidP="00033D2D">
            <w:pPr>
              <w:jc w:val="both"/>
              <w:rPr>
                <w:rtl/>
              </w:rPr>
            </w:pPr>
          </w:p>
        </w:tc>
        <w:tc>
          <w:tcPr>
            <w:tcW w:w="3771" w:type="dxa"/>
            <w:tcBorders>
              <w:top w:val="nil"/>
              <w:left w:val="nil"/>
              <w:bottom w:val="nil"/>
              <w:right w:val="nil"/>
            </w:tcBorders>
            <w:shd w:val="clear" w:color="auto" w:fill="auto"/>
          </w:tcPr>
          <w:p w14:paraId="71F0BBC4" w14:textId="77777777" w:rsidR="00033D2D" w:rsidRPr="004C6D9B" w:rsidRDefault="00033D2D" w:rsidP="00033D2D">
            <w:pPr>
              <w:jc w:val="right"/>
              <w:rPr>
                <w:rFonts w:ascii="Arial" w:hAnsi="Arial" w:cs="FrankRuehl"/>
                <w:sz w:val="28"/>
                <w:szCs w:val="28"/>
              </w:rPr>
            </w:pPr>
            <w:r w:rsidRPr="004C6D9B">
              <w:rPr>
                <w:rFonts w:ascii="Arial" w:hAnsi="Arial" w:cs="FrankRuehl" w:hint="cs"/>
                <w:sz w:val="28"/>
                <w:szCs w:val="28"/>
                <w:rtl/>
              </w:rPr>
              <w:t>ה</w:t>
            </w:r>
            <w:r w:rsidRPr="004C6D9B">
              <w:rPr>
                <w:rFonts w:ascii="Arial" w:hAnsi="Arial" w:cs="FrankRuehl"/>
                <w:sz w:val="28"/>
                <w:szCs w:val="28"/>
                <w:rtl/>
              </w:rPr>
              <w:t>נאשמים</w:t>
            </w:r>
          </w:p>
        </w:tc>
      </w:tr>
    </w:tbl>
    <w:p w14:paraId="76AA3499" w14:textId="77777777" w:rsidR="007A7BF2" w:rsidRDefault="007A7BF2" w:rsidP="00033D2D">
      <w:pPr>
        <w:rPr>
          <w:rtl/>
        </w:rPr>
      </w:pPr>
      <w:bookmarkStart w:id="2" w:name="LawTable"/>
      <w:bookmarkEnd w:id="2"/>
    </w:p>
    <w:p w14:paraId="7AB0DA19" w14:textId="77777777" w:rsidR="007A7BF2" w:rsidRPr="007A7BF2" w:rsidRDefault="007A7BF2" w:rsidP="007A7BF2">
      <w:pPr>
        <w:spacing w:after="120" w:line="240" w:lineRule="exact"/>
        <w:ind w:left="283" w:hanging="283"/>
        <w:jc w:val="both"/>
        <w:rPr>
          <w:rFonts w:ascii="FrankRuehl" w:hAnsi="FrankRuehl" w:cs="FrankRuehl"/>
          <w:rtl/>
        </w:rPr>
      </w:pPr>
    </w:p>
    <w:p w14:paraId="6DABEF7C" w14:textId="77777777" w:rsidR="007A7BF2" w:rsidRPr="007A7BF2" w:rsidRDefault="007A7BF2" w:rsidP="007A7BF2">
      <w:pPr>
        <w:spacing w:after="120" w:line="240" w:lineRule="exact"/>
        <w:ind w:left="283" w:hanging="283"/>
        <w:jc w:val="both"/>
        <w:rPr>
          <w:rFonts w:ascii="FrankRuehl" w:hAnsi="FrankRuehl" w:cs="FrankRuehl"/>
          <w:rtl/>
        </w:rPr>
      </w:pPr>
      <w:r w:rsidRPr="007A7BF2">
        <w:rPr>
          <w:rFonts w:ascii="FrankRuehl" w:hAnsi="FrankRuehl" w:cs="FrankRuehl"/>
          <w:rtl/>
        </w:rPr>
        <w:t xml:space="preserve">חקיקה שאוזכרה: </w:t>
      </w:r>
    </w:p>
    <w:p w14:paraId="780F525E" w14:textId="77777777" w:rsidR="007A7BF2" w:rsidRPr="007A7BF2" w:rsidRDefault="007A7BF2" w:rsidP="007A7BF2">
      <w:pPr>
        <w:spacing w:after="120" w:line="240" w:lineRule="exact"/>
        <w:ind w:left="283" w:hanging="283"/>
        <w:jc w:val="both"/>
        <w:rPr>
          <w:rFonts w:ascii="FrankRuehl" w:hAnsi="FrankRuehl" w:cs="FrankRuehl"/>
          <w:rtl/>
        </w:rPr>
      </w:pPr>
      <w:hyperlink r:id="rId6" w:history="1">
        <w:r w:rsidRPr="007A7BF2">
          <w:rPr>
            <w:rFonts w:ascii="FrankRuehl" w:hAnsi="FrankRuehl" w:cs="FrankRuehl"/>
            <w:color w:val="0000FF"/>
            <w:u w:val="single"/>
            <w:rtl/>
          </w:rPr>
          <w:t>פקודת הסמים המסוכנים [נוסח חדש], תשל"ג-1973</w:t>
        </w:r>
      </w:hyperlink>
      <w:r w:rsidRPr="007A7BF2">
        <w:rPr>
          <w:rFonts w:ascii="FrankRuehl" w:hAnsi="FrankRuehl" w:cs="FrankRuehl"/>
          <w:rtl/>
        </w:rPr>
        <w:t xml:space="preserve">: סע'  </w:t>
      </w:r>
      <w:hyperlink r:id="rId7" w:history="1">
        <w:r w:rsidRPr="007A7BF2">
          <w:rPr>
            <w:rFonts w:ascii="FrankRuehl" w:hAnsi="FrankRuehl" w:cs="FrankRuehl"/>
            <w:color w:val="0000FF"/>
            <w:u w:val="single"/>
            <w:rtl/>
          </w:rPr>
          <w:t>13</w:t>
        </w:r>
      </w:hyperlink>
    </w:p>
    <w:p w14:paraId="7ED7D6C2" w14:textId="77777777" w:rsidR="007A7BF2" w:rsidRPr="007A7BF2" w:rsidRDefault="007A7BF2" w:rsidP="007A7BF2">
      <w:pPr>
        <w:spacing w:after="120" w:line="240" w:lineRule="exact"/>
        <w:ind w:left="283" w:hanging="283"/>
        <w:jc w:val="both"/>
        <w:rPr>
          <w:rFonts w:ascii="FrankRuehl" w:hAnsi="FrankRuehl" w:cs="FrankRuehl"/>
          <w:rtl/>
        </w:rPr>
      </w:pPr>
    </w:p>
    <w:p w14:paraId="3956BEFF" w14:textId="77777777" w:rsidR="007A7BF2" w:rsidRPr="007A7BF2" w:rsidRDefault="007A7BF2" w:rsidP="00033D2D">
      <w:pPr>
        <w:rPr>
          <w:rtl/>
        </w:rPr>
      </w:pPr>
      <w:bookmarkStart w:id="3" w:name="LawTable_End"/>
      <w:bookmarkEnd w:id="3"/>
    </w:p>
    <w:p w14:paraId="4FEA137A" w14:textId="77777777" w:rsidR="007A7BF2" w:rsidRPr="007A7BF2" w:rsidRDefault="007A7BF2" w:rsidP="00033D2D">
      <w:pPr>
        <w:rPr>
          <w:rtl/>
        </w:rPr>
      </w:pPr>
    </w:p>
    <w:p w14:paraId="61FA1D2A" w14:textId="77777777" w:rsidR="00033D2D" w:rsidRPr="007A7BF2" w:rsidRDefault="00033D2D" w:rsidP="00033D2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3D2D" w14:paraId="009A178B" w14:textId="77777777" w:rsidTr="00033D2D">
        <w:trPr>
          <w:trHeight w:val="355"/>
          <w:jc w:val="center"/>
        </w:trPr>
        <w:tc>
          <w:tcPr>
            <w:tcW w:w="8820" w:type="dxa"/>
            <w:tcBorders>
              <w:top w:val="nil"/>
              <w:left w:val="nil"/>
              <w:bottom w:val="nil"/>
              <w:right w:val="nil"/>
            </w:tcBorders>
            <w:shd w:val="clear" w:color="auto" w:fill="auto"/>
          </w:tcPr>
          <w:p w14:paraId="533DB909" w14:textId="77777777" w:rsidR="004C6D9B" w:rsidRPr="004C6D9B" w:rsidRDefault="004C6D9B" w:rsidP="004C6D9B">
            <w:pPr>
              <w:jc w:val="center"/>
              <w:rPr>
                <w:rFonts w:ascii="Arial" w:hAnsi="Arial" w:cs="FrankRuehl"/>
                <w:b/>
                <w:bCs/>
                <w:sz w:val="32"/>
                <w:szCs w:val="32"/>
                <w:u w:val="single"/>
                <w:rtl/>
              </w:rPr>
            </w:pPr>
            <w:bookmarkStart w:id="4" w:name="PsakDin" w:colFirst="0" w:colLast="0"/>
            <w:bookmarkEnd w:id="0"/>
            <w:r w:rsidRPr="004C6D9B">
              <w:rPr>
                <w:rFonts w:ascii="Arial" w:hAnsi="Arial" w:cs="FrankRuehl"/>
                <w:b/>
                <w:bCs/>
                <w:sz w:val="32"/>
                <w:szCs w:val="32"/>
                <w:u w:val="single"/>
                <w:rtl/>
              </w:rPr>
              <w:t>גזר דין</w:t>
            </w:r>
          </w:p>
          <w:p w14:paraId="01F073E0" w14:textId="77777777" w:rsidR="00033D2D" w:rsidRPr="004C6D9B" w:rsidRDefault="00033D2D" w:rsidP="004C6D9B">
            <w:pPr>
              <w:jc w:val="center"/>
              <w:rPr>
                <w:rFonts w:ascii="Arial" w:hAnsi="Arial" w:cs="FrankRuehl"/>
                <w:bCs/>
                <w:sz w:val="32"/>
                <w:szCs w:val="32"/>
                <w:u w:val="single"/>
                <w:rtl/>
              </w:rPr>
            </w:pPr>
          </w:p>
        </w:tc>
      </w:tr>
      <w:bookmarkEnd w:id="4"/>
    </w:tbl>
    <w:p w14:paraId="3285E7B2" w14:textId="77777777" w:rsidR="00033D2D" w:rsidRPr="00B05847" w:rsidRDefault="00033D2D" w:rsidP="00033D2D">
      <w:pPr>
        <w:rPr>
          <w:rFonts w:ascii="Arial" w:hAnsi="Arial"/>
          <w:rtl/>
        </w:rPr>
      </w:pPr>
    </w:p>
    <w:p w14:paraId="56166AFA" w14:textId="77777777" w:rsidR="00033D2D" w:rsidRPr="00B05847" w:rsidRDefault="00033D2D" w:rsidP="00033D2D">
      <w:pPr>
        <w:rPr>
          <w:rFonts w:ascii="Arial" w:hAnsi="Arial"/>
          <w:rtl/>
        </w:rPr>
      </w:pPr>
      <w:bookmarkStart w:id="5" w:name="ABSTRACT_START"/>
      <w:bookmarkEnd w:id="5"/>
    </w:p>
    <w:p w14:paraId="3512E548" w14:textId="77777777" w:rsidR="00033D2D" w:rsidRDefault="00033D2D" w:rsidP="00033D2D">
      <w:pPr>
        <w:spacing w:line="360" w:lineRule="auto"/>
        <w:jc w:val="both"/>
      </w:pPr>
      <w:r>
        <w:rPr>
          <w:rFonts w:hint="cs"/>
          <w:rtl/>
        </w:rPr>
        <w:t xml:space="preserve">במקרה שבפניי הורשע הנאשם, בהתאם להודאתו, במסגרת הסדר בו תוקן כתב האישום, בעבירה של </w:t>
      </w:r>
      <w:r>
        <w:rPr>
          <w:rFonts w:hint="cs"/>
          <w:b/>
          <w:bCs/>
          <w:rtl/>
        </w:rPr>
        <w:t xml:space="preserve">יבוא סם מסוכן </w:t>
      </w:r>
      <w:r>
        <w:rPr>
          <w:rFonts w:hint="cs"/>
          <w:rtl/>
        </w:rPr>
        <w:t xml:space="preserve"> (</w:t>
      </w:r>
      <w:hyperlink r:id="rId8" w:history="1">
        <w:r w:rsidR="007A7BF2" w:rsidRPr="007A7BF2">
          <w:rPr>
            <w:color w:val="0000FF"/>
            <w:u w:val="single"/>
            <w:rtl/>
          </w:rPr>
          <w:t>סעיף 13</w:t>
        </w:r>
      </w:hyperlink>
      <w:r>
        <w:rPr>
          <w:rFonts w:hint="cs"/>
          <w:rtl/>
        </w:rPr>
        <w:t xml:space="preserve"> </w:t>
      </w:r>
      <w:hyperlink r:id="rId9" w:history="1">
        <w:r w:rsidR="007A7BF2" w:rsidRPr="007A7BF2">
          <w:rPr>
            <w:color w:val="0000FF"/>
            <w:u w:val="single"/>
            <w:rtl/>
          </w:rPr>
          <w:t>לפק' הסמים המסוכנים).</w:t>
        </w:r>
      </w:hyperlink>
      <w:r>
        <w:rPr>
          <w:rFonts w:hint="cs"/>
          <w:rtl/>
        </w:rPr>
        <w:t xml:space="preserve"> </w:t>
      </w:r>
    </w:p>
    <w:p w14:paraId="30F2BEE5" w14:textId="77777777" w:rsidR="00033D2D" w:rsidRPr="003F1119" w:rsidRDefault="00033D2D" w:rsidP="00033D2D">
      <w:pPr>
        <w:spacing w:line="360" w:lineRule="auto"/>
        <w:jc w:val="both"/>
        <w:rPr>
          <w:rtl/>
        </w:rPr>
      </w:pPr>
      <w:r>
        <w:rPr>
          <w:rFonts w:hint="cs"/>
          <w:rtl/>
        </w:rPr>
        <w:t xml:space="preserve">כמפורט בכתב האישום, המדובר למעשה </w:t>
      </w:r>
      <w:r w:rsidRPr="00194908">
        <w:rPr>
          <w:rFonts w:hint="cs"/>
          <w:b/>
          <w:bCs/>
          <w:rtl/>
        </w:rPr>
        <w:t>בחמישה איר</w:t>
      </w:r>
      <w:r>
        <w:rPr>
          <w:rFonts w:hint="cs"/>
          <w:b/>
          <w:bCs/>
          <w:rtl/>
        </w:rPr>
        <w:t>ו</w:t>
      </w:r>
      <w:r w:rsidRPr="00194908">
        <w:rPr>
          <w:rFonts w:hint="cs"/>
          <w:b/>
          <w:bCs/>
          <w:rtl/>
        </w:rPr>
        <w:t>עים</w:t>
      </w:r>
      <w:r>
        <w:rPr>
          <w:rFonts w:hint="cs"/>
          <w:rtl/>
        </w:rPr>
        <w:t xml:space="preserve"> לאורך שנת 2014 ועד חודש מרץ 2015, בהם ייבא הנאשם סמים מסוג קנאביס מחו"ל באמצעות הדואר, בכמויות שבין 5 ל </w:t>
      </w:r>
      <w:r>
        <w:rPr>
          <w:rtl/>
        </w:rPr>
        <w:t>–</w:t>
      </w:r>
      <w:r>
        <w:rPr>
          <w:rFonts w:hint="cs"/>
          <w:rtl/>
        </w:rPr>
        <w:t xml:space="preserve"> 30 גרם בכל פעם. </w:t>
      </w:r>
    </w:p>
    <w:p w14:paraId="6B921275" w14:textId="77777777" w:rsidR="00033D2D" w:rsidRDefault="00033D2D" w:rsidP="00033D2D">
      <w:pPr>
        <w:spacing w:line="360" w:lineRule="auto"/>
        <w:jc w:val="both"/>
        <w:rPr>
          <w:rtl/>
        </w:rPr>
      </w:pPr>
      <w:r>
        <w:rPr>
          <w:rFonts w:hint="cs"/>
          <w:rtl/>
        </w:rPr>
        <w:t xml:space="preserve">הנאשם הודה בעבירות בדיון הראשון בתיק זה, ובהתאם להסדר בין הצדדים נשלח לשירות המבחן לעריכת תסקיר. </w:t>
      </w:r>
    </w:p>
    <w:p w14:paraId="5DDB0657" w14:textId="77777777" w:rsidR="00033D2D" w:rsidRDefault="00033D2D" w:rsidP="00033D2D">
      <w:pPr>
        <w:spacing w:line="360" w:lineRule="auto"/>
        <w:jc w:val="both"/>
        <w:rPr>
          <w:rtl/>
        </w:rPr>
      </w:pPr>
      <w:r>
        <w:rPr>
          <w:rFonts w:hint="cs"/>
          <w:rtl/>
        </w:rPr>
        <w:t xml:space="preserve">שירות המבחן מצא כי מדובר בצעיר ממשפחה נורמטיבית, מחוסר עבר פלילי, אשר מהבדיקות שנערכו לו נמצא נקי מסמים. שירות המבחן מצא כי אישיותו של הנאשם טרם הבשילה, והעבירה עצמה בוצעה על סף הקטינות, ונמצא כי לנאשם פוטנציאל טוב לשיקום. </w:t>
      </w:r>
    </w:p>
    <w:p w14:paraId="368F30EA" w14:textId="77777777" w:rsidR="00033D2D" w:rsidRDefault="00033D2D" w:rsidP="00033D2D">
      <w:pPr>
        <w:spacing w:line="360" w:lineRule="auto"/>
        <w:jc w:val="both"/>
        <w:rPr>
          <w:rtl/>
        </w:rPr>
      </w:pPr>
      <w:r>
        <w:rPr>
          <w:rFonts w:hint="cs"/>
          <w:rtl/>
        </w:rPr>
        <w:t xml:space="preserve"> </w:t>
      </w:r>
    </w:p>
    <w:p w14:paraId="2E545DC5" w14:textId="77777777" w:rsidR="00033D2D" w:rsidRDefault="00033D2D" w:rsidP="00033D2D">
      <w:pPr>
        <w:spacing w:line="360" w:lineRule="auto"/>
        <w:jc w:val="both"/>
        <w:rPr>
          <w:rtl/>
        </w:rPr>
      </w:pPr>
      <w:r w:rsidRPr="00171A7A">
        <w:rPr>
          <w:rFonts w:hint="cs"/>
          <w:b/>
          <w:bCs/>
          <w:rtl/>
        </w:rPr>
        <w:t xml:space="preserve">שירות המבחן המליץ, אפוא, על שילובו </w:t>
      </w:r>
      <w:bookmarkStart w:id="6" w:name="ABSTRACT_END"/>
      <w:bookmarkEnd w:id="6"/>
      <w:r w:rsidRPr="00171A7A">
        <w:rPr>
          <w:rFonts w:hint="cs"/>
          <w:b/>
          <w:bCs/>
          <w:rtl/>
        </w:rPr>
        <w:t xml:space="preserve">של הנאשם בהליך טיפולי </w:t>
      </w:r>
      <w:r>
        <w:rPr>
          <w:rFonts w:hint="cs"/>
          <w:b/>
          <w:bCs/>
          <w:rtl/>
        </w:rPr>
        <w:t xml:space="preserve">תוך </w:t>
      </w:r>
      <w:r w:rsidRPr="00171A7A">
        <w:rPr>
          <w:rFonts w:hint="cs"/>
          <w:b/>
          <w:bCs/>
          <w:rtl/>
        </w:rPr>
        <w:t xml:space="preserve">ביטול הרשעתו והטלת עונש </w:t>
      </w:r>
      <w:r>
        <w:rPr>
          <w:rFonts w:hint="cs"/>
          <w:b/>
          <w:bCs/>
          <w:rtl/>
        </w:rPr>
        <w:t xml:space="preserve">של </w:t>
      </w:r>
      <w:r w:rsidRPr="00171A7A">
        <w:rPr>
          <w:rFonts w:hint="cs"/>
          <w:b/>
          <w:bCs/>
          <w:rtl/>
        </w:rPr>
        <w:t>של"צ</w:t>
      </w:r>
      <w:r>
        <w:rPr>
          <w:rFonts w:hint="cs"/>
          <w:rtl/>
        </w:rPr>
        <w:t>.</w:t>
      </w:r>
    </w:p>
    <w:p w14:paraId="759E2375" w14:textId="77777777" w:rsidR="00033D2D" w:rsidRDefault="00033D2D" w:rsidP="00033D2D">
      <w:pPr>
        <w:spacing w:line="360" w:lineRule="auto"/>
        <w:jc w:val="both"/>
        <w:rPr>
          <w:rtl/>
        </w:rPr>
      </w:pPr>
    </w:p>
    <w:p w14:paraId="4EC337FD" w14:textId="77777777" w:rsidR="00033D2D" w:rsidRDefault="00033D2D" w:rsidP="00033D2D">
      <w:pPr>
        <w:spacing w:line="360" w:lineRule="auto"/>
        <w:jc w:val="both"/>
        <w:rPr>
          <w:rtl/>
        </w:rPr>
      </w:pPr>
      <w:r>
        <w:rPr>
          <w:rFonts w:hint="cs"/>
          <w:rtl/>
        </w:rPr>
        <w:t xml:space="preserve">המאשימה אינה מסכימה לקבלת המלצות התסקיר ועומדת על עונש מאסר שירוצה בעבודות שירות אשר לדעתה הולם את הנסיבות. המאשימה אישרה כי אין בידה ראייה שהנאשם התכוון להפיץ לאחרים את החומר שייבא, אולם טוענת כי יש להחמיר עם הנאשם אשר תפקד כשוטר בתקופה הרלוונטית. לדעת המאשימה אין לסטות במקרה דנן מהכלל של הרשעה בהליך פלילי, וזאת גם מאחר והנאשם לא הצביע על פגיעה קונקרטית כתוצאה מההרשעה. </w:t>
      </w:r>
    </w:p>
    <w:p w14:paraId="3247C1BF" w14:textId="77777777" w:rsidR="00033D2D" w:rsidRDefault="00033D2D" w:rsidP="00033D2D">
      <w:pPr>
        <w:spacing w:line="360" w:lineRule="auto"/>
        <w:jc w:val="both"/>
        <w:rPr>
          <w:rtl/>
        </w:rPr>
      </w:pPr>
    </w:p>
    <w:p w14:paraId="05E09841" w14:textId="77777777" w:rsidR="00033D2D" w:rsidRDefault="00033D2D" w:rsidP="00033D2D">
      <w:pPr>
        <w:spacing w:line="360" w:lineRule="auto"/>
        <w:jc w:val="both"/>
        <w:rPr>
          <w:rtl/>
        </w:rPr>
      </w:pPr>
      <w:r>
        <w:rPr>
          <w:rFonts w:hint="cs"/>
          <w:rtl/>
        </w:rPr>
        <w:t xml:space="preserve">ב"כ הנאשם ביקש לקבל את המלצת התסקיר, הרחיב ופירט בעניין נסיבותיו האישיות של הנאשם והדגיש כי </w:t>
      </w:r>
      <w:r w:rsidRPr="003115FF">
        <w:rPr>
          <w:rFonts w:hint="cs"/>
          <w:b/>
          <w:bCs/>
          <w:rtl/>
        </w:rPr>
        <w:t>אין המדובר</w:t>
      </w:r>
      <w:r>
        <w:rPr>
          <w:rFonts w:hint="cs"/>
          <w:rtl/>
        </w:rPr>
        <w:t xml:space="preserve"> ב"סוחר סמים", אלא ב"ילד" אשר ביצע טעות. הסנגור הבהיר כי הנאשם אכן נחשב כשוטר בעת העבירה, אולם למעשה היה חייל בשירות סדיר במג"ב. לאחר המקרים יכול היה להשתחרר משירותו, אך ביקש להמנע מכך והועבר להמשך שירות ביחידת קרקל, שם תפקד באורח מוצלח. הסנגור סבור כי יש לבטל את הרשעת הנאשם בכדי למנוע פגיעה בעתידו, כאשר בשלב זה עדיין אין לו תכנית מגובשת לגביו.  </w:t>
      </w:r>
    </w:p>
    <w:p w14:paraId="143D9D41" w14:textId="77777777" w:rsidR="00033D2D" w:rsidRDefault="00033D2D" w:rsidP="00033D2D">
      <w:pPr>
        <w:spacing w:line="360" w:lineRule="auto"/>
        <w:jc w:val="both"/>
        <w:rPr>
          <w:rtl/>
        </w:rPr>
      </w:pPr>
    </w:p>
    <w:p w14:paraId="1AC67D77" w14:textId="77777777" w:rsidR="00033D2D" w:rsidRDefault="00033D2D" w:rsidP="00033D2D">
      <w:pPr>
        <w:spacing w:line="360" w:lineRule="auto"/>
        <w:jc w:val="both"/>
        <w:rPr>
          <w:rtl/>
        </w:rPr>
      </w:pPr>
      <w:r>
        <w:rPr>
          <w:rFonts w:hint="cs"/>
          <w:b/>
          <w:bCs/>
          <w:u w:val="single"/>
          <w:rtl/>
        </w:rPr>
        <w:t>מתחם הענישה הראוי לעבירה</w:t>
      </w:r>
      <w:r>
        <w:rPr>
          <w:rFonts w:hint="cs"/>
          <w:rtl/>
        </w:rPr>
        <w:t xml:space="preserve">: </w:t>
      </w:r>
    </w:p>
    <w:p w14:paraId="4BC7F035" w14:textId="77777777" w:rsidR="00033D2D" w:rsidRDefault="00033D2D" w:rsidP="00033D2D">
      <w:pPr>
        <w:spacing w:line="360" w:lineRule="auto"/>
        <w:jc w:val="both"/>
        <w:rPr>
          <w:rtl/>
        </w:rPr>
      </w:pPr>
    </w:p>
    <w:p w14:paraId="50570103" w14:textId="77777777" w:rsidR="00033D2D" w:rsidRDefault="00033D2D" w:rsidP="00033D2D">
      <w:pPr>
        <w:spacing w:line="360" w:lineRule="auto"/>
        <w:jc w:val="both"/>
        <w:rPr>
          <w:rtl/>
        </w:rPr>
      </w:pPr>
      <w:r>
        <w:rPr>
          <w:rFonts w:hint="cs"/>
          <w:rtl/>
        </w:rPr>
        <w:t xml:space="preserve">כידוע, לפי הוראות החוק בטרם קביעת עונשו האינדיבידואלי של הנאשם בתיק הספציפי, יש לקבוע את מתחם הענישה הראוי לעבירה וזאת על פי הערך החברתי שנפגע מהעבירה, מידת הפגיעה בערך זה, מדיניות הענישה הנוהגת והנסיבות הקשורות בביצוע העבירה. </w:t>
      </w:r>
    </w:p>
    <w:p w14:paraId="34CEAF2D" w14:textId="77777777" w:rsidR="00033D2D" w:rsidRDefault="00033D2D" w:rsidP="00033D2D">
      <w:pPr>
        <w:spacing w:line="360" w:lineRule="auto"/>
        <w:jc w:val="both"/>
        <w:rPr>
          <w:rtl/>
        </w:rPr>
      </w:pPr>
    </w:p>
    <w:p w14:paraId="78231814" w14:textId="77777777" w:rsidR="00033D2D" w:rsidRDefault="00033D2D" w:rsidP="00033D2D">
      <w:pPr>
        <w:spacing w:line="360" w:lineRule="auto"/>
        <w:jc w:val="both"/>
        <w:rPr>
          <w:rFonts w:ascii="Arial" w:hAnsi="Arial" w:cs="David Transparent"/>
          <w:rtl/>
        </w:rPr>
      </w:pPr>
      <w:r>
        <w:rPr>
          <w:rFonts w:ascii="Arial" w:hAnsi="Arial" w:cs="David Transparent" w:hint="cs"/>
          <w:rtl/>
        </w:rPr>
        <w:t xml:space="preserve">הנאשם עבר עבירה </w:t>
      </w:r>
      <w:r w:rsidRPr="009E4217">
        <w:rPr>
          <w:rFonts w:ascii="Arial" w:hAnsi="Arial" w:cs="David Transparent" w:hint="cs"/>
          <w:rtl/>
        </w:rPr>
        <w:t>של יבוא סם מסוכן</w:t>
      </w:r>
      <w:r>
        <w:rPr>
          <w:rFonts w:ascii="Arial" w:hAnsi="Arial" w:cs="David Transparent" w:hint="cs"/>
          <w:rtl/>
        </w:rPr>
        <w:t xml:space="preserve">, אשר אין חולק על חומרתה. עם זאת, המדובר בכמויות קטנות בהרבה מאלה שבהן דובר בפסקי הדין אליהן הפנתה המאשימה </w:t>
      </w:r>
      <w:r>
        <w:rPr>
          <w:rFonts w:ascii="Arial" w:hAnsi="Arial" w:cs="David Transparent"/>
          <w:rtl/>
        </w:rPr>
        <w:t>–</w:t>
      </w:r>
      <w:r>
        <w:rPr>
          <w:rFonts w:ascii="Arial" w:hAnsi="Arial" w:cs="David Transparent" w:hint="cs"/>
          <w:rtl/>
        </w:rPr>
        <w:t xml:space="preserve"> מספר גרמים לעומת כמויות של קילוגרמים (2 ק"ג בעניין </w:t>
      </w:r>
      <w:r w:rsidRPr="003115FF">
        <w:rPr>
          <w:rFonts w:ascii="Arial" w:hAnsi="Arial" w:cs="David Transparent" w:hint="cs"/>
          <w:b/>
          <w:bCs/>
          <w:rtl/>
        </w:rPr>
        <w:t>בר חיים</w:t>
      </w:r>
      <w:r>
        <w:rPr>
          <w:rFonts w:ascii="Arial" w:hAnsi="Arial" w:cs="David Transparent" w:hint="cs"/>
          <w:rtl/>
        </w:rPr>
        <w:t xml:space="preserve">), ואין כל ראייה או טענה כי הנאשם ביקש להפיץ את הסמים, וכי אין מדובר בשימוש עצמי. </w:t>
      </w:r>
    </w:p>
    <w:p w14:paraId="755FA316" w14:textId="77777777" w:rsidR="00033D2D" w:rsidRDefault="00033D2D" w:rsidP="00033D2D">
      <w:pPr>
        <w:spacing w:line="360" w:lineRule="auto"/>
        <w:jc w:val="both"/>
        <w:rPr>
          <w:rFonts w:ascii="Arial" w:hAnsi="Arial" w:cs="David Transparent"/>
          <w:rtl/>
        </w:rPr>
      </w:pPr>
    </w:p>
    <w:p w14:paraId="71006B84" w14:textId="77777777" w:rsidR="00033D2D" w:rsidRDefault="00033D2D" w:rsidP="00033D2D">
      <w:pPr>
        <w:spacing w:line="360" w:lineRule="auto"/>
        <w:jc w:val="both"/>
        <w:rPr>
          <w:rFonts w:ascii="Arial" w:hAnsi="Arial" w:cs="David Transparent"/>
          <w:rtl/>
        </w:rPr>
      </w:pPr>
      <w:r>
        <w:rPr>
          <w:rFonts w:ascii="Arial" w:hAnsi="Arial" w:cs="David Transparent" w:hint="cs"/>
          <w:rtl/>
        </w:rPr>
        <w:t xml:space="preserve">הנסיבות הקשורות בביצוע עבירת התקיפה הן הנזק שהיה צפוי להיגרם מביצוע העבירה; הנזק שנגרם מביצוע העבירה; הניצול לרעה של כוחו ומעמדו של הנאשם ויכולת הנאשם להימנע ממעשהו. במקרה זה, אף כי מדובר כאמור במי שנחשב כשוטר בעת העבירות, אין כאן ניצול לרעה של כוחו של שוטר, ואין לתפקידו כשוטר כל קשר לעבירה. כמו כן, אין להתעלם מכך שלמעשה מדובר כאמור בחייל בשירות חובה, ולא בשוטר מקצועי אשר אמור להקדיש חייו להגנה על החברה ושמירת החוק. </w:t>
      </w:r>
    </w:p>
    <w:p w14:paraId="38298FC7" w14:textId="77777777" w:rsidR="00033D2D" w:rsidRDefault="00033D2D" w:rsidP="00033D2D">
      <w:pPr>
        <w:spacing w:line="360" w:lineRule="auto"/>
        <w:ind w:left="720" w:hanging="720"/>
        <w:jc w:val="both"/>
        <w:rPr>
          <w:rFonts w:ascii="Arial" w:hAnsi="Arial" w:cs="David Transparent"/>
          <w:rtl/>
        </w:rPr>
      </w:pPr>
    </w:p>
    <w:p w14:paraId="2D7DA3A1" w14:textId="77777777" w:rsidR="00033D2D" w:rsidRPr="00C24C41" w:rsidRDefault="00033D2D" w:rsidP="00033D2D">
      <w:pPr>
        <w:spacing w:line="360" w:lineRule="auto"/>
        <w:jc w:val="both"/>
        <w:rPr>
          <w:b/>
          <w:bCs/>
          <w:rtl/>
        </w:rPr>
      </w:pPr>
      <w:r>
        <w:rPr>
          <w:rFonts w:hint="cs"/>
          <w:rtl/>
        </w:rPr>
        <w:t xml:space="preserve">סקירת הפסיקה, לרבות זו אליה הפנו הצדדים, מגלה כי במקרים בהם לא יוחסה לנאשם עבירה של מסחר והפצת הסם הענישה במקרים אלה נעה בין של"צ, דרך מאסר מותנה ועד עונש בעבודות שירות במקרים החמורים ביותר. אף במקרים בהם הוכחה מכירה חד פעמית של סמים ניתן למצוא </w:t>
      </w:r>
      <w:r>
        <w:rPr>
          <w:rFonts w:hint="cs"/>
          <w:rtl/>
        </w:rPr>
        <w:lastRenderedPageBreak/>
        <w:t xml:space="preserve">תיקים שהסתיימו בלא הרשעה </w:t>
      </w:r>
      <w:r>
        <w:rPr>
          <w:rtl/>
        </w:rPr>
        <w:t>–</w:t>
      </w:r>
      <w:r>
        <w:rPr>
          <w:rFonts w:hint="cs"/>
          <w:rtl/>
        </w:rPr>
        <w:t xml:space="preserve"> לדוגמא 48199-07-15 </w:t>
      </w:r>
      <w:r>
        <w:rPr>
          <w:rFonts w:hint="cs"/>
          <w:b/>
          <w:bCs/>
          <w:rtl/>
        </w:rPr>
        <w:t xml:space="preserve">זוארץ, </w:t>
      </w:r>
      <w:r w:rsidRPr="008E6076">
        <w:rPr>
          <w:rFonts w:hint="cs"/>
          <w:rtl/>
        </w:rPr>
        <w:t xml:space="preserve">ומספר פסקי דין </w:t>
      </w:r>
      <w:r>
        <w:rPr>
          <w:rFonts w:hint="cs"/>
          <w:rtl/>
        </w:rPr>
        <w:t xml:space="preserve">נוספים </w:t>
      </w:r>
      <w:r w:rsidRPr="008E6076">
        <w:rPr>
          <w:rFonts w:hint="cs"/>
          <w:rtl/>
        </w:rPr>
        <w:t>אליהם הפנה הסנגור</w:t>
      </w:r>
      <w:r>
        <w:rPr>
          <w:rFonts w:hint="cs"/>
          <w:b/>
          <w:bCs/>
          <w:rtl/>
        </w:rPr>
        <w:t xml:space="preserve">. </w:t>
      </w:r>
    </w:p>
    <w:p w14:paraId="47FB2544" w14:textId="77777777" w:rsidR="00033D2D" w:rsidRDefault="00033D2D" w:rsidP="00033D2D">
      <w:pPr>
        <w:bidi w:val="0"/>
      </w:pPr>
    </w:p>
    <w:p w14:paraId="08D16A03" w14:textId="77777777" w:rsidR="00033D2D" w:rsidRDefault="00033D2D" w:rsidP="00033D2D">
      <w:pPr>
        <w:spacing w:line="360" w:lineRule="auto"/>
        <w:jc w:val="both"/>
        <w:rPr>
          <w:rtl/>
        </w:rPr>
      </w:pPr>
    </w:p>
    <w:p w14:paraId="64DCB36E" w14:textId="77777777" w:rsidR="00033D2D" w:rsidRDefault="00033D2D" w:rsidP="00033D2D">
      <w:pPr>
        <w:spacing w:line="360" w:lineRule="auto"/>
        <w:jc w:val="both"/>
        <w:rPr>
          <w:rtl/>
        </w:rPr>
      </w:pPr>
      <w:r w:rsidRPr="00AE06BB">
        <w:rPr>
          <w:rFonts w:hint="cs"/>
          <w:b/>
          <w:bCs/>
          <w:u w:val="single"/>
          <w:rtl/>
        </w:rPr>
        <w:t>הענישה בנסיבותיו של התיק דנן</w:t>
      </w:r>
      <w:r>
        <w:rPr>
          <w:rFonts w:hint="cs"/>
          <w:rtl/>
        </w:rPr>
        <w:t xml:space="preserve">: </w:t>
      </w:r>
    </w:p>
    <w:p w14:paraId="01DC6199" w14:textId="77777777" w:rsidR="00033D2D" w:rsidRDefault="00033D2D" w:rsidP="00033D2D">
      <w:pPr>
        <w:spacing w:line="360" w:lineRule="auto"/>
        <w:jc w:val="both"/>
        <w:rPr>
          <w:rtl/>
        </w:rPr>
      </w:pPr>
    </w:p>
    <w:p w14:paraId="7E98EDDD" w14:textId="77777777" w:rsidR="00033D2D" w:rsidRDefault="00033D2D" w:rsidP="00033D2D">
      <w:pPr>
        <w:spacing w:line="360" w:lineRule="auto"/>
        <w:jc w:val="both"/>
        <w:rPr>
          <w:rFonts w:ascii="Arial" w:hAnsi="Arial" w:cs="David Transparent"/>
          <w:rtl/>
        </w:rPr>
      </w:pPr>
      <w:r>
        <w:rPr>
          <w:rFonts w:ascii="Arial" w:hAnsi="Arial" w:cs="David Transparent" w:hint="cs"/>
          <w:rtl/>
        </w:rPr>
        <w:t xml:space="preserve">לקביעת הענישה הראויה בתיק הספציפי יש להביא בחשבון נסיבות שאינן קשורות לביצוע העבירה, ובמקרה זה בעיקר את נסיבותיו של הנאשם, גילו הצעיר הן בעת העבירה והן כיום, חרטתו </w:t>
      </w:r>
      <w:r w:rsidRPr="00AD239F">
        <w:rPr>
          <w:rFonts w:ascii="Arial" w:hAnsi="Arial" w:cs="David Transparent" w:hint="cs"/>
          <w:b/>
          <w:bCs/>
          <w:rtl/>
        </w:rPr>
        <w:t>וכיוון השיקום</w:t>
      </w:r>
      <w:r>
        <w:rPr>
          <w:rFonts w:ascii="Arial" w:hAnsi="Arial" w:cs="David Transparent" w:hint="cs"/>
          <w:rtl/>
        </w:rPr>
        <w:t xml:space="preserve"> אליו פניו בעת שביקש להמשיך בשירות בצבא, ועשה זאת בהצלחה. </w:t>
      </w:r>
    </w:p>
    <w:p w14:paraId="4BEA3BD6" w14:textId="77777777" w:rsidR="00033D2D" w:rsidRDefault="00033D2D" w:rsidP="00033D2D">
      <w:pPr>
        <w:spacing w:line="360" w:lineRule="auto"/>
        <w:jc w:val="both"/>
        <w:rPr>
          <w:rFonts w:ascii="Arial" w:hAnsi="Arial"/>
          <w:rtl/>
        </w:rPr>
      </w:pPr>
    </w:p>
    <w:p w14:paraId="74065795" w14:textId="77777777" w:rsidR="00033D2D" w:rsidRDefault="00033D2D" w:rsidP="00033D2D">
      <w:pPr>
        <w:spacing w:line="360" w:lineRule="auto"/>
        <w:jc w:val="both"/>
        <w:rPr>
          <w:rFonts w:ascii="Arial" w:hAnsi="Arial"/>
          <w:rtl/>
        </w:rPr>
      </w:pPr>
      <w:r>
        <w:rPr>
          <w:rFonts w:ascii="Arial" w:hAnsi="Arial" w:hint="cs"/>
          <w:rtl/>
        </w:rPr>
        <w:t xml:space="preserve">כשאני שוקל את כל נסיבותיו של התיק, סבורני כי זה המקרה המתאים לקבלת המלצת שירות המבחן, ביטול הרשעתו של הנאשם והטלת עונש של עבודות שירות. </w:t>
      </w:r>
    </w:p>
    <w:p w14:paraId="325ADCFA" w14:textId="77777777" w:rsidR="00033D2D" w:rsidRDefault="00033D2D" w:rsidP="00033D2D">
      <w:pPr>
        <w:spacing w:line="360" w:lineRule="auto"/>
        <w:jc w:val="both"/>
        <w:rPr>
          <w:rFonts w:ascii="Arial" w:hAnsi="Arial"/>
          <w:rtl/>
        </w:rPr>
      </w:pPr>
    </w:p>
    <w:p w14:paraId="62DC2162" w14:textId="77777777" w:rsidR="00033D2D" w:rsidRDefault="00033D2D" w:rsidP="00033D2D">
      <w:pPr>
        <w:spacing w:line="360" w:lineRule="auto"/>
        <w:jc w:val="both"/>
        <w:rPr>
          <w:rFonts w:ascii="Arial" w:hAnsi="Arial"/>
          <w:rtl/>
        </w:rPr>
      </w:pPr>
      <w:r>
        <w:rPr>
          <w:rFonts w:ascii="Arial" w:hAnsi="Arial" w:hint="cs"/>
          <w:rtl/>
        </w:rPr>
        <w:t xml:space="preserve">סבורני כי ככל שמדובר בעבירה של צעיר, אף על סף הקטינות, ובמיוחד כאשר מדובר בעבירה יחידה, שלאחריה כבר החל הנאשם בהליכי שיקום, </w:t>
      </w:r>
      <w:r w:rsidRPr="00AD239F">
        <w:rPr>
          <w:rFonts w:ascii="Arial" w:hAnsi="Arial" w:hint="cs"/>
          <w:b/>
          <w:bCs/>
          <w:rtl/>
        </w:rPr>
        <w:t>יש לתת לאינטרס זה משקל מיוחד</w:t>
      </w:r>
      <w:r>
        <w:rPr>
          <w:rFonts w:ascii="Arial" w:hAnsi="Arial" w:hint="cs"/>
          <w:rtl/>
        </w:rPr>
        <w:t xml:space="preserve">, ולהעדיף ענישה אשר תתמוך בשיקומו של הנאשם על פני ענישה שעשויה להניב דווקא תוצאות הפוכות. </w:t>
      </w:r>
    </w:p>
    <w:p w14:paraId="31F9A024" w14:textId="77777777" w:rsidR="00033D2D" w:rsidRDefault="00033D2D" w:rsidP="00033D2D">
      <w:pPr>
        <w:spacing w:line="360" w:lineRule="auto"/>
        <w:jc w:val="both"/>
        <w:rPr>
          <w:rFonts w:ascii="Arial" w:hAnsi="Arial"/>
          <w:rtl/>
        </w:rPr>
      </w:pPr>
    </w:p>
    <w:p w14:paraId="5081625D" w14:textId="77777777" w:rsidR="00033D2D" w:rsidRDefault="00033D2D" w:rsidP="00033D2D">
      <w:pPr>
        <w:spacing w:line="360" w:lineRule="auto"/>
        <w:jc w:val="both"/>
        <w:rPr>
          <w:rFonts w:ascii="Arial" w:hAnsi="Arial"/>
          <w:rtl/>
        </w:rPr>
      </w:pPr>
      <w:r>
        <w:rPr>
          <w:rFonts w:ascii="Arial" w:hAnsi="Arial" w:hint="cs"/>
          <w:rtl/>
        </w:rPr>
        <w:t xml:space="preserve">אין חולק כי הכלל בפלילים הוא שלאחר שנקבע כי נאשם ביצע את העבירה, בין על פי הודאתו ובין לאחר שמיעת ראיות </w:t>
      </w:r>
      <w:r>
        <w:rPr>
          <w:rFonts w:ascii="Arial" w:hAnsi="Arial"/>
          <w:rtl/>
        </w:rPr>
        <w:t>–</w:t>
      </w:r>
      <w:r>
        <w:rPr>
          <w:rFonts w:ascii="Arial" w:hAnsi="Arial" w:hint="cs"/>
          <w:rtl/>
        </w:rPr>
        <w:t xml:space="preserve"> יש להרשיעו. הימנעות מן ההרשעה, או ביטולה, היא החריג (ב</w:t>
      </w:r>
      <w:hyperlink r:id="rId10" w:history="1">
        <w:r w:rsidR="004C6D9B" w:rsidRPr="004C6D9B">
          <w:rPr>
            <w:rFonts w:ascii="Arial" w:hAnsi="Arial"/>
            <w:color w:val="0000FF"/>
            <w:u w:val="single"/>
            <w:rtl/>
          </w:rPr>
          <w:t>ר"ע 432/85</w:t>
        </w:r>
      </w:hyperlink>
      <w:r>
        <w:rPr>
          <w:rFonts w:ascii="Arial" w:hAnsi="Arial" w:hint="cs"/>
          <w:rtl/>
        </w:rPr>
        <w:t xml:space="preserve"> </w:t>
      </w:r>
      <w:r>
        <w:rPr>
          <w:rFonts w:ascii="Arial" w:hAnsi="Arial" w:hint="cs"/>
          <w:b/>
          <w:bCs/>
          <w:rtl/>
        </w:rPr>
        <w:t>רומנו נ' מדינת ישראל</w:t>
      </w:r>
      <w:r>
        <w:rPr>
          <w:rFonts w:ascii="Arial" w:hAnsi="Arial" w:hint="cs"/>
          <w:rtl/>
        </w:rPr>
        <w:t>). ההלכה המרכזית בסוגייה זו נקבעה ב</w:t>
      </w:r>
      <w:hyperlink r:id="rId11" w:history="1">
        <w:r w:rsidR="004C6D9B" w:rsidRPr="004C6D9B">
          <w:rPr>
            <w:rFonts w:ascii="Arial" w:hAnsi="Arial"/>
            <w:color w:val="0000FF"/>
            <w:u w:val="single"/>
            <w:rtl/>
          </w:rPr>
          <w:t>ע"פ 2083/96</w:t>
        </w:r>
      </w:hyperlink>
      <w:r>
        <w:rPr>
          <w:rFonts w:ascii="Arial" w:hAnsi="Arial" w:hint="cs"/>
          <w:rtl/>
        </w:rPr>
        <w:t xml:space="preserve"> </w:t>
      </w:r>
      <w:r>
        <w:rPr>
          <w:rFonts w:ascii="Arial" w:hAnsi="Arial" w:hint="cs"/>
          <w:b/>
          <w:bCs/>
          <w:rtl/>
        </w:rPr>
        <w:t>תמר כתב נ' מ"י,</w:t>
      </w:r>
      <w:r>
        <w:rPr>
          <w:rFonts w:ascii="Arial" w:hAnsi="Arial" w:hint="cs"/>
          <w:rtl/>
        </w:rPr>
        <w:t xml:space="preserve"> ולפיה יש להביא בחשבון את חומרת העבירה הרלוונטית ומידת הנזק לנאשם אם יורשע בדין. </w:t>
      </w:r>
    </w:p>
    <w:p w14:paraId="0EA76919" w14:textId="77777777" w:rsidR="00033D2D" w:rsidRDefault="00033D2D" w:rsidP="00033D2D">
      <w:pPr>
        <w:spacing w:line="360" w:lineRule="auto"/>
        <w:jc w:val="both"/>
        <w:rPr>
          <w:rFonts w:ascii="Arial" w:hAnsi="Arial"/>
          <w:rtl/>
        </w:rPr>
      </w:pPr>
    </w:p>
    <w:p w14:paraId="4777995B" w14:textId="77777777" w:rsidR="00033D2D" w:rsidRDefault="00033D2D" w:rsidP="00033D2D">
      <w:pPr>
        <w:spacing w:line="360" w:lineRule="auto"/>
        <w:jc w:val="both"/>
        <w:rPr>
          <w:rFonts w:ascii="Arial" w:hAnsi="Arial"/>
          <w:rtl/>
        </w:rPr>
      </w:pPr>
      <w:r>
        <w:rPr>
          <w:rFonts w:ascii="Arial" w:hAnsi="Arial" w:hint="cs"/>
          <w:rtl/>
        </w:rPr>
        <w:t xml:space="preserve">לדעתי, כאמור לעיל, המקרה דנן הוא מקרה מתאים, הן מבחינת חומרת העבירה והן מבחינת הנזק לנאשם. </w:t>
      </w:r>
    </w:p>
    <w:p w14:paraId="52431784" w14:textId="77777777" w:rsidR="00033D2D" w:rsidRDefault="00033D2D" w:rsidP="00033D2D">
      <w:pPr>
        <w:spacing w:line="360" w:lineRule="auto"/>
        <w:jc w:val="both"/>
        <w:rPr>
          <w:rFonts w:ascii="Arial" w:hAnsi="Arial"/>
          <w:rtl/>
        </w:rPr>
      </w:pPr>
    </w:p>
    <w:p w14:paraId="72EA0C86" w14:textId="77777777" w:rsidR="00033D2D" w:rsidRDefault="00033D2D" w:rsidP="00033D2D">
      <w:pPr>
        <w:spacing w:line="360" w:lineRule="auto"/>
        <w:jc w:val="both"/>
        <w:rPr>
          <w:rFonts w:ascii="Arial" w:hAnsi="Arial"/>
          <w:rtl/>
        </w:rPr>
      </w:pPr>
      <w:r>
        <w:rPr>
          <w:rFonts w:ascii="Arial" w:hAnsi="Arial" w:hint="cs"/>
          <w:rtl/>
        </w:rPr>
        <w:t xml:space="preserve">כמויות הסם הקטנות, המתאימות בדרך כלל לצריכה עצמית, היעדר ראייה להפצת הסם וגילו הצעיר של הנאשם בעת העבירה כולן נסיבות לקולא אשר מאפשרות לדעתי ביטול ההרשעה מבלי לפגוע באינטרס הציבורי של הענשת עבריינים. לגבי המבחן של פגיעה בנאשם עקב הרשעתו, יש לתת את הדעת כי מדובר בצעיר אשר השתחרר משירות צבאי בימים אלה ממש. אך טבעי הוא כי צעיר כזה טרם גיבש תכניותיו לעתיד, בין במסלול לימודי או תעסוקתי, ולא יוכל להצביע על נזק קונקרטי כתוצאה מההרשעה. לפיכך, הרף בהקשר של דרישה זו צריך להיות נמוך, ובמקרה זה די בבחינת רקעו של הנאשם כצעיר מחוסר עבר פלילי ממשפחה נורמטיבית, על מנת להסיק כי הרשעתו בפלילים עלולה לגרום לו נזק ממשי בהמשך חייו. </w:t>
      </w:r>
    </w:p>
    <w:p w14:paraId="17EF6E43" w14:textId="77777777" w:rsidR="00033D2D" w:rsidRDefault="00033D2D" w:rsidP="00033D2D">
      <w:pPr>
        <w:spacing w:line="360" w:lineRule="auto"/>
        <w:jc w:val="both"/>
        <w:rPr>
          <w:rFonts w:ascii="Arial" w:hAnsi="Arial"/>
          <w:rtl/>
        </w:rPr>
      </w:pPr>
    </w:p>
    <w:p w14:paraId="5765C44C" w14:textId="77777777" w:rsidR="00033D2D" w:rsidRDefault="00033D2D" w:rsidP="00033D2D">
      <w:pPr>
        <w:spacing w:line="360" w:lineRule="auto"/>
        <w:jc w:val="both"/>
        <w:rPr>
          <w:rFonts w:ascii="Arial" w:hAnsi="Arial"/>
          <w:rtl/>
        </w:rPr>
      </w:pPr>
      <w:r>
        <w:rPr>
          <w:rFonts w:ascii="Arial" w:hAnsi="Arial" w:hint="cs"/>
          <w:rtl/>
        </w:rPr>
        <w:t xml:space="preserve">שירות המבחן המליץ על העמדת הנאשם בצו מבחן והטלת עונש של"צ משמעותי. סבורני כי מדובר בענישה ראויה, אשר מחד גיסא יש בה ענישה שתעמיד את הנאשם על חומרת התנהגותו ומאידך גיסא יש בה כדי להבטיח ליוויו בתחילת דרכו האזרחית ותרומה לשיקומו. </w:t>
      </w:r>
    </w:p>
    <w:p w14:paraId="76288E25" w14:textId="77777777" w:rsidR="00033D2D" w:rsidRDefault="00033D2D" w:rsidP="00033D2D">
      <w:pPr>
        <w:spacing w:line="360" w:lineRule="auto"/>
        <w:jc w:val="both"/>
        <w:rPr>
          <w:rFonts w:ascii="Arial" w:hAnsi="Arial"/>
          <w:rtl/>
        </w:rPr>
      </w:pPr>
    </w:p>
    <w:p w14:paraId="0CE208EC" w14:textId="77777777" w:rsidR="00033D2D" w:rsidRDefault="00033D2D" w:rsidP="00033D2D">
      <w:pPr>
        <w:spacing w:line="360" w:lineRule="auto"/>
        <w:jc w:val="both"/>
        <w:rPr>
          <w:rtl/>
        </w:rPr>
      </w:pPr>
      <w:r>
        <w:rPr>
          <w:rFonts w:ascii="Arial" w:hAnsi="Arial" w:hint="cs"/>
          <w:rtl/>
        </w:rPr>
        <w:t xml:space="preserve">לאור כל האמור לעיל, </w:t>
      </w:r>
      <w:r w:rsidRPr="0058325B">
        <w:rPr>
          <w:rFonts w:ascii="Arial" w:hAnsi="Arial" w:hint="cs"/>
          <w:b/>
          <w:bCs/>
          <w:u w:val="single"/>
          <w:rtl/>
        </w:rPr>
        <w:t>אני מבטל את הרשעתו של הנאשם בתיק זה</w:t>
      </w:r>
      <w:r>
        <w:rPr>
          <w:rFonts w:ascii="Arial" w:hAnsi="Arial" w:hint="cs"/>
          <w:rtl/>
        </w:rPr>
        <w:t xml:space="preserve">, </w:t>
      </w:r>
      <w:r w:rsidRPr="0058325B">
        <w:rPr>
          <w:rFonts w:ascii="Arial" w:hAnsi="Arial" w:hint="cs"/>
          <w:b/>
          <w:bCs/>
          <w:u w:val="single"/>
          <w:rtl/>
        </w:rPr>
        <w:t>ו</w:t>
      </w:r>
      <w:r w:rsidRPr="0038161B">
        <w:rPr>
          <w:rFonts w:hint="cs"/>
          <w:b/>
          <w:bCs/>
          <w:u w:val="single"/>
          <w:rtl/>
        </w:rPr>
        <w:t>גוזר על</w:t>
      </w:r>
      <w:r>
        <w:rPr>
          <w:rFonts w:hint="cs"/>
          <w:b/>
          <w:bCs/>
          <w:u w:val="single"/>
          <w:rtl/>
        </w:rPr>
        <w:t xml:space="preserve">יו </w:t>
      </w:r>
      <w:r w:rsidRPr="0038161B">
        <w:rPr>
          <w:rFonts w:hint="cs"/>
          <w:b/>
          <w:bCs/>
          <w:u w:val="single"/>
          <w:rtl/>
        </w:rPr>
        <w:t xml:space="preserve"> את העונשים הבאים</w:t>
      </w:r>
      <w:r>
        <w:rPr>
          <w:rFonts w:hint="cs"/>
          <w:rtl/>
        </w:rPr>
        <w:t xml:space="preserve">: </w:t>
      </w:r>
    </w:p>
    <w:p w14:paraId="567CF35D" w14:textId="77777777" w:rsidR="00033D2D" w:rsidRDefault="00033D2D" w:rsidP="00033D2D">
      <w:pPr>
        <w:spacing w:line="360" w:lineRule="auto"/>
        <w:jc w:val="both"/>
        <w:rPr>
          <w:rtl/>
        </w:rPr>
      </w:pPr>
    </w:p>
    <w:p w14:paraId="12912861" w14:textId="77777777" w:rsidR="00033D2D" w:rsidRDefault="00033D2D" w:rsidP="00033D2D">
      <w:pPr>
        <w:spacing w:line="360" w:lineRule="auto"/>
        <w:jc w:val="both"/>
        <w:rPr>
          <w:rtl/>
        </w:rPr>
      </w:pPr>
      <w:r>
        <w:rPr>
          <w:rFonts w:hint="cs"/>
          <w:rtl/>
        </w:rPr>
        <w:t xml:space="preserve">אני מטיל על הנאשם </w:t>
      </w:r>
      <w:r w:rsidRPr="00AD239F">
        <w:rPr>
          <w:rFonts w:hint="cs"/>
          <w:b/>
          <w:bCs/>
          <w:u w:val="single"/>
          <w:rtl/>
        </w:rPr>
        <w:t>צו מבחן למשך 18 חודשים</w:t>
      </w:r>
      <w:r>
        <w:rPr>
          <w:rFonts w:hint="cs"/>
          <w:rtl/>
        </w:rPr>
        <w:t xml:space="preserve">, במהלכה ישתלב בטיפול רלוונטי באמצעות שירות המבחן. </w:t>
      </w:r>
    </w:p>
    <w:p w14:paraId="65C6D2CC" w14:textId="77777777" w:rsidR="00033D2D" w:rsidRDefault="00033D2D" w:rsidP="00033D2D">
      <w:pPr>
        <w:spacing w:line="360" w:lineRule="auto"/>
        <w:jc w:val="both"/>
        <w:rPr>
          <w:rtl/>
        </w:rPr>
      </w:pPr>
    </w:p>
    <w:p w14:paraId="1791D9D8" w14:textId="77777777" w:rsidR="00033D2D" w:rsidRDefault="00033D2D" w:rsidP="00033D2D">
      <w:pPr>
        <w:spacing w:line="360" w:lineRule="auto"/>
        <w:jc w:val="both"/>
        <w:rPr>
          <w:rtl/>
        </w:rPr>
      </w:pPr>
      <w:r>
        <w:rPr>
          <w:rFonts w:hint="cs"/>
          <w:rtl/>
        </w:rPr>
        <w:t xml:space="preserve">אני מטיל על הנאשם </w:t>
      </w:r>
      <w:r w:rsidRPr="00AD239F">
        <w:rPr>
          <w:rFonts w:hint="cs"/>
          <w:b/>
          <w:bCs/>
          <w:rtl/>
        </w:rPr>
        <w:t>צו של"צ בהיקף של 300 שעות</w:t>
      </w:r>
      <w:r>
        <w:rPr>
          <w:rFonts w:hint="cs"/>
          <w:rtl/>
        </w:rPr>
        <w:t xml:space="preserve">, אשר יבוצע במשך שנה מיום אישורו. </w:t>
      </w:r>
    </w:p>
    <w:p w14:paraId="515EDF00" w14:textId="77777777" w:rsidR="00033D2D" w:rsidRDefault="00033D2D" w:rsidP="00033D2D">
      <w:pPr>
        <w:spacing w:line="360" w:lineRule="auto"/>
        <w:jc w:val="both"/>
        <w:rPr>
          <w:rtl/>
        </w:rPr>
      </w:pPr>
    </w:p>
    <w:p w14:paraId="3F9DF14B" w14:textId="77777777" w:rsidR="00033D2D" w:rsidRDefault="00033D2D" w:rsidP="00033D2D">
      <w:pPr>
        <w:spacing w:line="360" w:lineRule="auto"/>
        <w:jc w:val="both"/>
        <w:rPr>
          <w:rtl/>
        </w:rPr>
      </w:pPr>
      <w:r>
        <w:rPr>
          <w:rFonts w:hint="cs"/>
          <w:rtl/>
        </w:rPr>
        <w:t xml:space="preserve">מובהר לנאשם כי אי עמידה בצו המבחן או צו השירות עלולים להביא להפקעתם, ביטולם וגזירת עונש ראוי אחר בבית המשפט. </w:t>
      </w:r>
    </w:p>
    <w:p w14:paraId="293EB279" w14:textId="77777777" w:rsidR="00033D2D" w:rsidRDefault="00033D2D" w:rsidP="00033D2D">
      <w:pPr>
        <w:spacing w:line="360" w:lineRule="auto"/>
        <w:jc w:val="both"/>
        <w:rPr>
          <w:rtl/>
        </w:rPr>
      </w:pPr>
    </w:p>
    <w:p w14:paraId="655198D5" w14:textId="77777777" w:rsidR="00033D2D" w:rsidRDefault="00033D2D" w:rsidP="00033D2D">
      <w:pPr>
        <w:spacing w:line="360" w:lineRule="auto"/>
        <w:jc w:val="both"/>
        <w:rPr>
          <w:rtl/>
        </w:rPr>
      </w:pPr>
      <w:r>
        <w:rPr>
          <w:rFonts w:hint="cs"/>
          <w:rtl/>
        </w:rPr>
        <w:t xml:space="preserve">יש להמציא את פסק הדין לשירות המבחן אשר יערוך תכנית של"צ בהתאם לאמור לעיל ויגישה לאישורי עד יום 15.12. הסנגור יעמוד בקשר עם שירות המבחן להבטיח כי תכנית השל"צ תושלם במועד. </w:t>
      </w:r>
    </w:p>
    <w:p w14:paraId="06610B29" w14:textId="77777777" w:rsidR="00033D2D" w:rsidRDefault="00033D2D" w:rsidP="00033D2D">
      <w:pPr>
        <w:spacing w:line="360" w:lineRule="auto"/>
        <w:jc w:val="both"/>
        <w:rPr>
          <w:rtl/>
        </w:rPr>
      </w:pPr>
    </w:p>
    <w:p w14:paraId="53F5C6F6" w14:textId="77777777" w:rsidR="00033D2D" w:rsidRPr="008E6076" w:rsidRDefault="00033D2D" w:rsidP="00033D2D">
      <w:pPr>
        <w:spacing w:line="360" w:lineRule="auto"/>
        <w:jc w:val="both"/>
        <w:rPr>
          <w:rtl/>
        </w:rPr>
      </w:pPr>
      <w:r>
        <w:rPr>
          <w:rFonts w:hint="cs"/>
          <w:rtl/>
        </w:rPr>
        <w:t xml:space="preserve">בשלב זה נקבע התיק למעקב ליום 22.12. </w:t>
      </w:r>
    </w:p>
    <w:p w14:paraId="16DEA582" w14:textId="77777777" w:rsidR="00033D2D" w:rsidRDefault="00033D2D" w:rsidP="00033D2D">
      <w:pPr>
        <w:overflowPunct w:val="0"/>
        <w:autoSpaceDE w:val="0"/>
        <w:autoSpaceDN w:val="0"/>
        <w:adjustRightInd w:val="0"/>
        <w:spacing w:line="360" w:lineRule="auto"/>
        <w:jc w:val="both"/>
        <w:rPr>
          <w:rtl/>
        </w:rPr>
      </w:pPr>
    </w:p>
    <w:p w14:paraId="76803368" w14:textId="77777777" w:rsidR="00033D2D" w:rsidRDefault="00033D2D" w:rsidP="00033D2D">
      <w:pPr>
        <w:overflowPunct w:val="0"/>
        <w:autoSpaceDE w:val="0"/>
        <w:autoSpaceDN w:val="0"/>
        <w:adjustRightInd w:val="0"/>
        <w:spacing w:line="360" w:lineRule="auto"/>
        <w:jc w:val="both"/>
        <w:rPr>
          <w:rtl/>
        </w:rPr>
      </w:pPr>
      <w:r>
        <w:rPr>
          <w:rFonts w:hint="cs"/>
          <w:rtl/>
        </w:rPr>
        <w:t xml:space="preserve">זכות ערעור תוך 45 יום לבית המשפט המחוזי בחיפה. </w:t>
      </w:r>
    </w:p>
    <w:p w14:paraId="2F410C0D" w14:textId="77777777" w:rsidR="00033D2D" w:rsidRPr="00B05847" w:rsidRDefault="00033D2D" w:rsidP="00033D2D">
      <w:pPr>
        <w:rPr>
          <w:rtl/>
        </w:rPr>
      </w:pPr>
    </w:p>
    <w:p w14:paraId="6D781E85" w14:textId="77777777" w:rsidR="00033D2D" w:rsidRDefault="004C6D9B" w:rsidP="00033D2D">
      <w:pPr>
        <w:spacing w:line="360" w:lineRule="auto"/>
        <w:jc w:val="both"/>
        <w:rPr>
          <w:rFonts w:ascii="Arial" w:hAnsi="Arial"/>
          <w:rtl/>
        </w:rPr>
      </w:pPr>
      <w:r>
        <w:rPr>
          <w:rFonts w:ascii="Arial" w:hAnsi="Arial"/>
          <w:rtl/>
        </w:rPr>
        <w:t xml:space="preserve">ניתן היום,  9 בנובמבר 09 נובמבר 2017, במעמד הנאשם, בא-כוחו עו"ד אורן וב"כ המאשימה גב' </w:t>
      </w:r>
      <w:r w:rsidR="00033D2D">
        <w:rPr>
          <w:rFonts w:ascii="Arial" w:hAnsi="Arial" w:hint="cs"/>
          <w:rtl/>
        </w:rPr>
        <w:t xml:space="preserve">קליין, מתמחה. </w:t>
      </w:r>
    </w:p>
    <w:p w14:paraId="3437BF51" w14:textId="77777777" w:rsidR="00033D2D" w:rsidRPr="004C6D9B" w:rsidRDefault="004C6D9B" w:rsidP="00033D2D">
      <w:pPr>
        <w:spacing w:line="360" w:lineRule="auto"/>
        <w:jc w:val="both"/>
        <w:rPr>
          <w:rFonts w:ascii="Arial" w:hAnsi="Arial"/>
          <w:color w:val="FFFFFF"/>
          <w:sz w:val="2"/>
          <w:szCs w:val="2"/>
        </w:rPr>
      </w:pPr>
      <w:r w:rsidRPr="004C6D9B">
        <w:rPr>
          <w:rFonts w:ascii="Arial" w:hAnsi="Arial"/>
          <w:color w:val="FFFFFF"/>
          <w:sz w:val="2"/>
          <w:szCs w:val="2"/>
          <w:rtl/>
        </w:rPr>
        <w:t>5129371</w:t>
      </w:r>
    </w:p>
    <w:p w14:paraId="59B34896" w14:textId="77777777" w:rsidR="00033D2D" w:rsidRPr="004C6D9B" w:rsidRDefault="004C6D9B" w:rsidP="00033D2D">
      <w:pPr>
        <w:rPr>
          <w:rFonts w:cs="FrankRuehl"/>
          <w:color w:val="FFFFFF"/>
          <w:sz w:val="2"/>
          <w:szCs w:val="2"/>
          <w:rtl/>
        </w:rPr>
      </w:pPr>
      <w:r w:rsidRPr="004C6D9B">
        <w:rPr>
          <w:rFonts w:cs="FrankRuehl"/>
          <w:color w:val="FFFFFF"/>
          <w:sz w:val="2"/>
          <w:szCs w:val="2"/>
          <w:rtl/>
        </w:rPr>
        <w:t>54678313</w:t>
      </w:r>
    </w:p>
    <w:p w14:paraId="4DF48B3E" w14:textId="77777777" w:rsidR="00033D2D" w:rsidRDefault="00033D2D" w:rsidP="00033D2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98EA0D1" w14:textId="77777777" w:rsidR="00033D2D" w:rsidRDefault="00033D2D" w:rsidP="00033D2D">
      <w:pPr>
        <w:rPr>
          <w:rFonts w:cs="FrankRuehl" w:hint="cs"/>
          <w:sz w:val="28"/>
          <w:szCs w:val="28"/>
          <w:rtl/>
        </w:rPr>
      </w:pPr>
    </w:p>
    <w:p w14:paraId="2FBC3CDB" w14:textId="77777777" w:rsidR="00033D2D" w:rsidRDefault="00033D2D" w:rsidP="00033D2D">
      <w:pPr>
        <w:pStyle w:val="a3"/>
        <w:jc w:val="center"/>
        <w:rPr>
          <w:rtl/>
        </w:rPr>
      </w:pPr>
    </w:p>
    <w:p w14:paraId="6377699C" w14:textId="77777777" w:rsidR="002D7B2F" w:rsidRPr="004C6D9B" w:rsidRDefault="002D7B2F" w:rsidP="004C6D9B">
      <w:pPr>
        <w:keepNext/>
        <w:rPr>
          <w:rFonts w:ascii="David" w:hAnsi="David"/>
          <w:color w:val="000000"/>
          <w:sz w:val="22"/>
          <w:szCs w:val="22"/>
          <w:rtl/>
        </w:rPr>
      </w:pPr>
    </w:p>
    <w:p w14:paraId="771B6D85" w14:textId="77777777" w:rsidR="004C6D9B" w:rsidRPr="004C6D9B" w:rsidRDefault="004C6D9B" w:rsidP="004C6D9B">
      <w:pPr>
        <w:keepNext/>
        <w:rPr>
          <w:rFonts w:ascii="David" w:hAnsi="David"/>
          <w:color w:val="000000"/>
          <w:sz w:val="22"/>
          <w:szCs w:val="22"/>
          <w:rtl/>
        </w:rPr>
      </w:pPr>
      <w:r w:rsidRPr="004C6D9B">
        <w:rPr>
          <w:rFonts w:ascii="David" w:hAnsi="David"/>
          <w:color w:val="000000"/>
          <w:sz w:val="22"/>
          <w:szCs w:val="22"/>
          <w:rtl/>
        </w:rPr>
        <w:t>אבישי קאופמן 54678313</w:t>
      </w:r>
    </w:p>
    <w:p w14:paraId="72457E13" w14:textId="77777777" w:rsidR="004C6D9B" w:rsidRDefault="004C6D9B" w:rsidP="004C6D9B">
      <w:r w:rsidRPr="004C6D9B">
        <w:rPr>
          <w:color w:val="000000"/>
          <w:rtl/>
        </w:rPr>
        <w:t>נוסח מסמך זה כפוף לשינויי ניסוח ועריכה</w:t>
      </w:r>
    </w:p>
    <w:p w14:paraId="6F029B5B" w14:textId="77777777" w:rsidR="004C6D9B" w:rsidRDefault="004C6D9B" w:rsidP="004C6D9B">
      <w:pPr>
        <w:rPr>
          <w:rtl/>
        </w:rPr>
      </w:pPr>
    </w:p>
    <w:p w14:paraId="520EE705" w14:textId="77777777" w:rsidR="004C6D9B" w:rsidRDefault="004C6D9B" w:rsidP="004C6D9B">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20C1997D" w14:textId="77777777" w:rsidR="004C6D9B" w:rsidRPr="004C6D9B" w:rsidRDefault="004C6D9B" w:rsidP="004C6D9B">
      <w:pPr>
        <w:jc w:val="center"/>
        <w:rPr>
          <w:color w:val="0000FF"/>
          <w:u w:val="single"/>
        </w:rPr>
      </w:pPr>
    </w:p>
    <w:sectPr w:rsidR="004C6D9B" w:rsidRPr="004C6D9B" w:rsidSect="004C6D9B">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1DB3E" w14:textId="77777777" w:rsidR="00AE2001" w:rsidRDefault="00AE2001" w:rsidP="00357610">
      <w:r>
        <w:separator/>
      </w:r>
    </w:p>
  </w:endnote>
  <w:endnote w:type="continuationSeparator" w:id="0">
    <w:p w14:paraId="4B847CE4" w14:textId="77777777" w:rsidR="00AE2001" w:rsidRDefault="00AE2001" w:rsidP="0035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vid Transparent">
    <w:panose1 w:val="020E0502060401010101"/>
    <w:charset w:val="B1"/>
    <w:family w:val="swiss"/>
    <w:pitch w:val="variable"/>
    <w:sig w:usb0="00001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A652E" w14:textId="77777777" w:rsidR="00AE2001" w:rsidRDefault="00AE2001" w:rsidP="004C6D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571840CB" w14:textId="77777777" w:rsidR="00AE2001" w:rsidRPr="004C6D9B" w:rsidRDefault="00AE2001" w:rsidP="004C6D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01FCE" w14:textId="77777777" w:rsidR="00AE2001" w:rsidRDefault="00AE2001" w:rsidP="004C6D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2987">
      <w:rPr>
        <w:rFonts w:ascii="FrankRuehl" w:hAnsi="FrankRuehl" w:cs="FrankRuehl"/>
        <w:noProof/>
        <w:rtl/>
      </w:rPr>
      <w:t>1</w:t>
    </w:r>
    <w:r>
      <w:rPr>
        <w:rFonts w:ascii="FrankRuehl" w:hAnsi="FrankRuehl" w:cs="FrankRuehl"/>
        <w:rtl/>
      </w:rPr>
      <w:fldChar w:fldCharType="end"/>
    </w:r>
  </w:p>
  <w:p w14:paraId="240112D4" w14:textId="77777777" w:rsidR="00AE2001" w:rsidRPr="004C6D9B" w:rsidRDefault="00AE2001" w:rsidP="004C6D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851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4BA62" w14:textId="77777777" w:rsidR="00AE2001" w:rsidRDefault="00AE2001" w:rsidP="00357610">
      <w:r>
        <w:separator/>
      </w:r>
    </w:p>
  </w:footnote>
  <w:footnote w:type="continuationSeparator" w:id="0">
    <w:p w14:paraId="165B1496" w14:textId="77777777" w:rsidR="00AE2001" w:rsidRDefault="00AE2001" w:rsidP="00357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9E06E" w14:textId="77777777" w:rsidR="00AE2001" w:rsidRPr="004C6D9B" w:rsidRDefault="00AE2001" w:rsidP="004C6D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20933-09-16</w:t>
    </w:r>
    <w:r>
      <w:rPr>
        <w:rFonts w:ascii="David" w:hAnsi="David"/>
        <w:color w:val="000000"/>
        <w:sz w:val="22"/>
        <w:szCs w:val="22"/>
        <w:rtl/>
      </w:rPr>
      <w:tab/>
      <w:t xml:space="preserve"> מדינת ישראל נ' ארנולד יעקובוב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4FB41" w14:textId="77777777" w:rsidR="00AE2001" w:rsidRPr="004C6D9B" w:rsidRDefault="00AE2001" w:rsidP="004C6D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20933-09-16</w:t>
    </w:r>
    <w:r>
      <w:rPr>
        <w:rFonts w:ascii="David" w:hAnsi="David"/>
        <w:color w:val="000000"/>
        <w:sz w:val="22"/>
        <w:szCs w:val="22"/>
        <w:rtl/>
      </w:rPr>
      <w:tab/>
      <w:t xml:space="preserve"> מדינת ישראל נ' ארנולד יעקובוב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3D2D"/>
    <w:rsid w:val="00033D2D"/>
    <w:rsid w:val="002D7B2F"/>
    <w:rsid w:val="00357610"/>
    <w:rsid w:val="004C6D9B"/>
    <w:rsid w:val="006A4DDC"/>
    <w:rsid w:val="007A43AE"/>
    <w:rsid w:val="007A7BF2"/>
    <w:rsid w:val="0084566F"/>
    <w:rsid w:val="00A92987"/>
    <w:rsid w:val="00AE2001"/>
    <w:rsid w:val="00BA16A0"/>
    <w:rsid w:val="00CD4109"/>
    <w:rsid w:val="00F46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B1CC241"/>
  <w15:chartTrackingRefBased/>
  <w15:docId w15:val="{DC3DBE36-84EF-42C4-A5FD-FB4A2EB3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3D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3D2D"/>
    <w:pPr>
      <w:tabs>
        <w:tab w:val="center" w:pos="4153"/>
        <w:tab w:val="right" w:pos="8306"/>
      </w:tabs>
    </w:pPr>
  </w:style>
  <w:style w:type="character" w:customStyle="1" w:styleId="a4">
    <w:name w:val="כותרת עליונה תו"/>
    <w:link w:val="a3"/>
    <w:rsid w:val="00033D2D"/>
    <w:rPr>
      <w:rFonts w:ascii="Times New Roman" w:eastAsia="Times New Roman" w:hAnsi="Times New Roman" w:cs="David"/>
      <w:sz w:val="24"/>
      <w:szCs w:val="24"/>
    </w:rPr>
  </w:style>
  <w:style w:type="paragraph" w:styleId="a5">
    <w:name w:val="footer"/>
    <w:basedOn w:val="a"/>
    <w:link w:val="a6"/>
    <w:rsid w:val="00033D2D"/>
    <w:pPr>
      <w:tabs>
        <w:tab w:val="center" w:pos="4153"/>
        <w:tab w:val="right" w:pos="8306"/>
      </w:tabs>
    </w:pPr>
  </w:style>
  <w:style w:type="character" w:customStyle="1" w:styleId="a6">
    <w:name w:val="כותרת תחתונה תו"/>
    <w:link w:val="a5"/>
    <w:rsid w:val="00033D2D"/>
    <w:rPr>
      <w:rFonts w:ascii="Times New Roman" w:eastAsia="Times New Roman" w:hAnsi="Times New Roman" w:cs="David"/>
      <w:sz w:val="24"/>
      <w:szCs w:val="24"/>
    </w:rPr>
  </w:style>
  <w:style w:type="table" w:styleId="a7">
    <w:name w:val="Table Grid"/>
    <w:basedOn w:val="a1"/>
    <w:rsid w:val="00033D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3D2D"/>
  </w:style>
  <w:style w:type="character" w:styleId="Hyperlink">
    <w:name w:val="Hyperlink"/>
    <w:rsid w:val="004C6D9B"/>
    <w:rPr>
      <w:color w:val="0563C1"/>
      <w:u w:val="single"/>
    </w:rPr>
  </w:style>
  <w:style w:type="character" w:styleId="a9">
    <w:name w:val="Unresolved Mention"/>
    <w:rsid w:val="004C6D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13"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81078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17943750"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6288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3276916</vt:i4>
      </vt:variant>
      <vt:variant>
        <vt:i4>15</vt:i4>
      </vt:variant>
      <vt:variant>
        <vt:i4>0</vt:i4>
      </vt:variant>
      <vt:variant>
        <vt:i4>5</vt:i4>
      </vt:variant>
      <vt:variant>
        <vt:lpwstr>http://www.nevo.co.il/case/5810781</vt:lpwstr>
      </vt:variant>
      <vt:variant>
        <vt:lpwstr/>
      </vt:variant>
      <vt:variant>
        <vt:i4>4063344</vt:i4>
      </vt:variant>
      <vt:variant>
        <vt:i4>12</vt:i4>
      </vt:variant>
      <vt:variant>
        <vt:i4>0</vt:i4>
      </vt:variant>
      <vt:variant>
        <vt:i4>5</vt:i4>
      </vt:variant>
      <vt:variant>
        <vt:lpwstr>http://www.nevo.co.il/case/17943750</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20933</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ארנולד יעקובוב</vt:lpwstr>
  </property>
  <property fmtid="{D5CDD505-2E9C-101B-9397-08002B2CF9AE}" pid="10" name="JUDGE">
    <vt:lpwstr>אבישי קאופמן</vt:lpwstr>
  </property>
  <property fmtid="{D5CDD505-2E9C-101B-9397-08002B2CF9AE}" pid="11" name="CITY">
    <vt:lpwstr>חי'</vt:lpwstr>
  </property>
  <property fmtid="{D5CDD505-2E9C-101B-9397-08002B2CF9AE}" pid="12" name="DATE">
    <vt:lpwstr>20171109</vt:lpwstr>
  </property>
  <property fmtid="{D5CDD505-2E9C-101B-9397-08002B2CF9AE}" pid="13" name="TYPE_N_DATE">
    <vt:lpwstr>38020171109</vt:lpwstr>
  </property>
  <property fmtid="{D5CDD505-2E9C-101B-9397-08002B2CF9AE}" pid="14" name="CASESLISTTMP1">
    <vt:lpwstr>17943750;5810781</vt:lpwstr>
  </property>
  <property fmtid="{D5CDD505-2E9C-101B-9397-08002B2CF9AE}" pid="15" name="CASENOTES1">
    <vt:lpwstr>ProcID=23&amp;PartA=432&amp;PartC=85</vt:lpwstr>
  </property>
  <property fmtid="{D5CDD505-2E9C-101B-9397-08002B2CF9AE}" pid="16" name="CASENOTES2">
    <vt:lpwstr>ProcID=70;184&amp;PartA=48199&amp;PartB=07&amp;PartC=15</vt:lpwstr>
  </property>
  <property fmtid="{D5CDD505-2E9C-101B-9397-08002B2CF9AE}" pid="17" name="WORDNUMPAGES">
    <vt:lpwstr>4</vt:lpwstr>
  </property>
  <property fmtid="{D5CDD505-2E9C-101B-9397-08002B2CF9AE}" pid="18" name="TYPE_ABS_DATE">
    <vt:lpwstr>380020171109</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vt:lpwstr>
  </property>
</Properties>
</file>