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82788" w:rsidRPr="00343316" w14:paraId="792B3F85" w14:textId="77777777" w:rsidTr="0020279B">
        <w:trPr>
          <w:trHeight w:hRule="exact" w:val="418"/>
          <w:jc w:val="center"/>
        </w:trPr>
        <w:tc>
          <w:tcPr>
            <w:tcW w:w="8721" w:type="dxa"/>
            <w:gridSpan w:val="2"/>
          </w:tcPr>
          <w:p w14:paraId="1ADF0764" w14:textId="77777777" w:rsidR="00182788" w:rsidRPr="00343316" w:rsidRDefault="00182788" w:rsidP="005214AB">
            <w:pPr>
              <w:pStyle w:val="a3"/>
              <w:jc w:val="center"/>
              <w:rPr>
                <w:rFonts w:ascii="Tahoma" w:hAnsi="Tahoma"/>
                <w:color w:val="000080"/>
                <w:sz w:val="32"/>
                <w:szCs w:val="32"/>
                <w:rtl/>
              </w:rPr>
            </w:pPr>
            <w:bookmarkStart w:id="0" w:name="LastJudge"/>
            <w:r w:rsidRPr="00343316">
              <w:rPr>
                <w:rFonts w:ascii="Tahoma" w:hAnsi="Tahoma"/>
                <w:b/>
                <w:bCs/>
                <w:color w:val="000080"/>
                <w:sz w:val="32"/>
                <w:szCs w:val="32"/>
                <w:rtl/>
              </w:rPr>
              <w:t>בית משפט השלום בתל אביב - יפו</w:t>
            </w:r>
          </w:p>
        </w:tc>
      </w:tr>
      <w:tr w:rsidR="00182788" w:rsidRPr="00343316" w14:paraId="698AEE44" w14:textId="77777777" w:rsidTr="0020279B">
        <w:trPr>
          <w:trHeight w:val="337"/>
          <w:jc w:val="center"/>
        </w:trPr>
        <w:tc>
          <w:tcPr>
            <w:tcW w:w="5054" w:type="dxa"/>
          </w:tcPr>
          <w:p w14:paraId="0B30DA5D" w14:textId="77777777" w:rsidR="00182788" w:rsidRPr="00343316" w:rsidRDefault="00182788" w:rsidP="005214AB">
            <w:pPr>
              <w:rPr>
                <w:sz w:val="26"/>
                <w:szCs w:val="26"/>
                <w:rtl/>
              </w:rPr>
            </w:pPr>
            <w:r w:rsidRPr="00343316">
              <w:rPr>
                <w:sz w:val="26"/>
                <w:szCs w:val="26"/>
                <w:rtl/>
              </w:rPr>
              <w:t>ת"פ</w:t>
            </w:r>
            <w:r w:rsidRPr="00343316">
              <w:rPr>
                <w:rFonts w:hint="cs"/>
                <w:sz w:val="26"/>
                <w:szCs w:val="26"/>
                <w:rtl/>
              </w:rPr>
              <w:t xml:space="preserve"> </w:t>
            </w:r>
            <w:r w:rsidRPr="00343316">
              <w:rPr>
                <w:sz w:val="26"/>
                <w:szCs w:val="26"/>
                <w:rtl/>
              </w:rPr>
              <w:t>30169-09-16</w:t>
            </w:r>
            <w:r w:rsidRPr="00343316">
              <w:rPr>
                <w:rFonts w:hint="cs"/>
                <w:sz w:val="26"/>
                <w:szCs w:val="26"/>
                <w:rtl/>
              </w:rPr>
              <w:t xml:space="preserve"> </w:t>
            </w:r>
            <w:r w:rsidRPr="00343316">
              <w:rPr>
                <w:sz w:val="26"/>
                <w:szCs w:val="26"/>
                <w:rtl/>
              </w:rPr>
              <w:t>מדינת ישראל נ' מזרחי</w:t>
            </w:r>
          </w:p>
        </w:tc>
        <w:tc>
          <w:tcPr>
            <w:tcW w:w="3667" w:type="dxa"/>
          </w:tcPr>
          <w:p w14:paraId="6C35DDCD" w14:textId="77777777" w:rsidR="00182788" w:rsidRPr="00343316" w:rsidRDefault="00182788" w:rsidP="005214AB">
            <w:pPr>
              <w:pStyle w:val="a3"/>
              <w:jc w:val="right"/>
              <w:rPr>
                <w:rFonts w:cs="FrankRuehl"/>
                <w:sz w:val="28"/>
                <w:szCs w:val="28"/>
                <w:rtl/>
              </w:rPr>
            </w:pPr>
          </w:p>
        </w:tc>
      </w:tr>
    </w:tbl>
    <w:p w14:paraId="11E39D05" w14:textId="77777777" w:rsidR="00182788" w:rsidRPr="00343316" w:rsidRDefault="00182788" w:rsidP="00182788">
      <w:pPr>
        <w:pStyle w:val="a3"/>
        <w:rPr>
          <w:rtl/>
        </w:rPr>
      </w:pPr>
      <w:r w:rsidRPr="00343316">
        <w:rPr>
          <w:rFonts w:hint="cs"/>
          <w:rtl/>
        </w:rPr>
        <w:t xml:space="preserve"> </w:t>
      </w:r>
    </w:p>
    <w:p w14:paraId="640B7506" w14:textId="77777777" w:rsidR="00182788" w:rsidRPr="00343316" w:rsidRDefault="00182788" w:rsidP="0018278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16"/>
        <w:gridCol w:w="3373"/>
      </w:tblGrid>
      <w:tr w:rsidR="00182788" w:rsidRPr="00343316" w14:paraId="7967DD65" w14:textId="77777777" w:rsidTr="00182788">
        <w:trPr>
          <w:trHeight w:val="295"/>
          <w:jc w:val="center"/>
        </w:trPr>
        <w:tc>
          <w:tcPr>
            <w:tcW w:w="8820" w:type="dxa"/>
            <w:gridSpan w:val="3"/>
            <w:tcBorders>
              <w:top w:val="nil"/>
              <w:left w:val="nil"/>
              <w:bottom w:val="nil"/>
              <w:right w:val="nil"/>
            </w:tcBorders>
            <w:shd w:val="clear" w:color="auto" w:fill="auto"/>
          </w:tcPr>
          <w:p w14:paraId="26954777" w14:textId="77777777" w:rsidR="00182788" w:rsidRPr="00343316" w:rsidRDefault="00182788" w:rsidP="00182788">
            <w:pPr>
              <w:jc w:val="both"/>
              <w:rPr>
                <w:sz w:val="26"/>
                <w:szCs w:val="26"/>
                <w:rtl/>
              </w:rPr>
            </w:pPr>
            <w:r w:rsidRPr="00343316">
              <w:rPr>
                <w:rFonts w:ascii="Arial" w:hAnsi="Arial" w:hint="cs"/>
                <w:b/>
                <w:bCs/>
                <w:sz w:val="26"/>
                <w:szCs w:val="26"/>
                <w:rtl/>
              </w:rPr>
              <w:t>ל</w:t>
            </w:r>
            <w:r w:rsidRPr="00343316">
              <w:rPr>
                <w:rFonts w:ascii="Arial" w:hAnsi="Arial"/>
                <w:b/>
                <w:bCs/>
                <w:sz w:val="26"/>
                <w:szCs w:val="26"/>
                <w:rtl/>
              </w:rPr>
              <w:t xml:space="preserve">פני </w:t>
            </w:r>
            <w:r w:rsidRPr="00343316">
              <w:rPr>
                <w:rFonts w:ascii="Arial" w:hAnsi="Arial" w:hint="cs"/>
                <w:b/>
                <w:bCs/>
                <w:sz w:val="26"/>
                <w:szCs w:val="26"/>
                <w:rtl/>
              </w:rPr>
              <w:t>כבוד ה</w:t>
            </w:r>
            <w:r w:rsidRPr="00343316">
              <w:rPr>
                <w:rFonts w:ascii="Arial" w:hAnsi="Arial"/>
                <w:b/>
                <w:bCs/>
                <w:sz w:val="26"/>
                <w:szCs w:val="26"/>
                <w:rtl/>
              </w:rPr>
              <w:t>שופט</w:t>
            </w:r>
            <w:r w:rsidRPr="00343316">
              <w:rPr>
                <w:rFonts w:ascii="Arial" w:hAnsi="Arial" w:hint="cs"/>
                <w:b/>
                <w:bCs/>
                <w:sz w:val="26"/>
                <w:szCs w:val="26"/>
                <w:rtl/>
              </w:rPr>
              <w:t xml:space="preserve">  </w:t>
            </w:r>
            <w:r w:rsidRPr="00343316">
              <w:rPr>
                <w:rFonts w:ascii="Arial" w:hAnsi="Arial"/>
                <w:b/>
                <w:bCs/>
                <w:sz w:val="26"/>
                <w:szCs w:val="26"/>
                <w:rtl/>
              </w:rPr>
              <w:t>עידו דרויאן-גמליאל</w:t>
            </w:r>
          </w:p>
          <w:p w14:paraId="47E3635E" w14:textId="77777777" w:rsidR="00182788" w:rsidRPr="00343316" w:rsidRDefault="00182788" w:rsidP="00182788">
            <w:pPr>
              <w:jc w:val="both"/>
              <w:rPr>
                <w:rFonts w:ascii="Arial" w:hAnsi="Arial"/>
                <w:b/>
                <w:bCs/>
                <w:sz w:val="26"/>
                <w:szCs w:val="26"/>
              </w:rPr>
            </w:pPr>
          </w:p>
        </w:tc>
      </w:tr>
      <w:tr w:rsidR="00182788" w:rsidRPr="00343316" w14:paraId="209BDC9D" w14:textId="77777777" w:rsidTr="00182788">
        <w:trPr>
          <w:trHeight w:val="355"/>
          <w:jc w:val="center"/>
        </w:trPr>
        <w:tc>
          <w:tcPr>
            <w:tcW w:w="885" w:type="dxa"/>
            <w:tcBorders>
              <w:top w:val="nil"/>
              <w:left w:val="nil"/>
              <w:bottom w:val="nil"/>
              <w:right w:val="nil"/>
            </w:tcBorders>
            <w:shd w:val="clear" w:color="auto" w:fill="auto"/>
          </w:tcPr>
          <w:p w14:paraId="20A55A23" w14:textId="77777777" w:rsidR="00182788" w:rsidRPr="00343316" w:rsidRDefault="00182788" w:rsidP="00182788">
            <w:pPr>
              <w:jc w:val="both"/>
              <w:rPr>
                <w:rFonts w:ascii="Arial" w:hAnsi="Arial"/>
                <w:b/>
                <w:bCs/>
                <w:sz w:val="26"/>
                <w:szCs w:val="26"/>
              </w:rPr>
            </w:pPr>
            <w:bookmarkStart w:id="1" w:name="FirstAppellant"/>
            <w:bookmarkStart w:id="2" w:name="FirstLawyer"/>
            <w:r w:rsidRPr="00343316">
              <w:rPr>
                <w:rFonts w:ascii="Arial" w:hAnsi="Arial" w:hint="cs"/>
                <w:b/>
                <w:bCs/>
                <w:sz w:val="26"/>
                <w:szCs w:val="26"/>
                <w:rtl/>
              </w:rPr>
              <w:t>ה</w:t>
            </w:r>
            <w:r w:rsidRPr="00343316">
              <w:rPr>
                <w:rFonts w:ascii="Arial" w:hAnsi="Arial"/>
                <w:b/>
                <w:bCs/>
                <w:sz w:val="26"/>
                <w:szCs w:val="26"/>
                <w:rtl/>
              </w:rPr>
              <w:t>מאשימה</w:t>
            </w:r>
          </w:p>
        </w:tc>
        <w:tc>
          <w:tcPr>
            <w:tcW w:w="4384" w:type="dxa"/>
            <w:tcBorders>
              <w:top w:val="nil"/>
              <w:left w:val="nil"/>
              <w:bottom w:val="nil"/>
              <w:right w:val="nil"/>
            </w:tcBorders>
            <w:shd w:val="clear" w:color="auto" w:fill="auto"/>
          </w:tcPr>
          <w:p w14:paraId="027FC0AB" w14:textId="77777777" w:rsidR="00182788" w:rsidRPr="00343316" w:rsidRDefault="00182788" w:rsidP="005214AB">
            <w:pPr>
              <w:rPr>
                <w:b/>
                <w:bCs/>
                <w:sz w:val="26"/>
                <w:szCs w:val="26"/>
                <w:rtl/>
              </w:rPr>
            </w:pPr>
            <w:r w:rsidRPr="00343316">
              <w:rPr>
                <w:rFonts w:ascii="Arial" w:hAnsi="Arial"/>
                <w:b/>
                <w:bCs/>
                <w:sz w:val="26"/>
                <w:szCs w:val="26"/>
                <w:rtl/>
              </w:rPr>
              <w:t>מדינת ישראל</w:t>
            </w:r>
          </w:p>
          <w:p w14:paraId="7A0F0C53" w14:textId="77777777" w:rsidR="00182788" w:rsidRPr="00343316" w:rsidRDefault="00182788" w:rsidP="005214AB">
            <w:pPr>
              <w:rPr>
                <w:sz w:val="26"/>
                <w:szCs w:val="26"/>
              </w:rPr>
            </w:pPr>
            <w:r w:rsidRPr="00343316">
              <w:rPr>
                <w:rFonts w:hint="cs"/>
                <w:sz w:val="26"/>
                <w:szCs w:val="26"/>
                <w:rtl/>
              </w:rPr>
              <w:t>ע"י ב"כ עו"ד זוסמן</w:t>
            </w:r>
          </w:p>
        </w:tc>
        <w:tc>
          <w:tcPr>
            <w:tcW w:w="3551" w:type="dxa"/>
            <w:tcBorders>
              <w:top w:val="nil"/>
              <w:left w:val="nil"/>
              <w:bottom w:val="nil"/>
              <w:right w:val="nil"/>
            </w:tcBorders>
            <w:shd w:val="clear" w:color="auto" w:fill="auto"/>
          </w:tcPr>
          <w:p w14:paraId="2E58D2CD" w14:textId="77777777" w:rsidR="00182788" w:rsidRPr="00343316" w:rsidRDefault="00182788" w:rsidP="00182788">
            <w:pPr>
              <w:jc w:val="both"/>
              <w:rPr>
                <w:rFonts w:ascii="Arial" w:hAnsi="Arial"/>
                <w:sz w:val="26"/>
                <w:szCs w:val="26"/>
              </w:rPr>
            </w:pPr>
          </w:p>
        </w:tc>
      </w:tr>
      <w:bookmarkEnd w:id="1"/>
      <w:bookmarkEnd w:id="2"/>
      <w:tr w:rsidR="00182788" w:rsidRPr="00343316" w14:paraId="336AB6B2" w14:textId="77777777" w:rsidTr="00182788">
        <w:trPr>
          <w:trHeight w:val="373"/>
          <w:jc w:val="center"/>
        </w:trPr>
        <w:tc>
          <w:tcPr>
            <w:tcW w:w="885" w:type="dxa"/>
            <w:tcBorders>
              <w:top w:val="nil"/>
              <w:left w:val="nil"/>
              <w:bottom w:val="nil"/>
              <w:right w:val="nil"/>
            </w:tcBorders>
            <w:shd w:val="clear" w:color="auto" w:fill="auto"/>
          </w:tcPr>
          <w:p w14:paraId="166B3A38" w14:textId="77777777" w:rsidR="00182788" w:rsidRPr="00343316" w:rsidRDefault="00182788" w:rsidP="00182788">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2AA53F40" w14:textId="77777777" w:rsidR="00182788" w:rsidRPr="00343316" w:rsidRDefault="00182788" w:rsidP="00182788">
            <w:pPr>
              <w:jc w:val="center"/>
              <w:rPr>
                <w:rFonts w:ascii="Arial" w:hAnsi="Arial"/>
                <w:b/>
                <w:bCs/>
                <w:sz w:val="26"/>
                <w:szCs w:val="26"/>
                <w:rtl/>
              </w:rPr>
            </w:pPr>
          </w:p>
          <w:p w14:paraId="207849FA" w14:textId="77777777" w:rsidR="00182788" w:rsidRPr="00343316" w:rsidRDefault="00182788" w:rsidP="00182788">
            <w:pPr>
              <w:jc w:val="center"/>
              <w:rPr>
                <w:rFonts w:ascii="Arial" w:hAnsi="Arial"/>
                <w:b/>
                <w:bCs/>
                <w:sz w:val="26"/>
                <w:szCs w:val="26"/>
                <w:rtl/>
              </w:rPr>
            </w:pPr>
            <w:r w:rsidRPr="00343316">
              <w:rPr>
                <w:rFonts w:ascii="Arial" w:hAnsi="Arial"/>
                <w:b/>
                <w:bCs/>
                <w:sz w:val="26"/>
                <w:szCs w:val="26"/>
                <w:rtl/>
              </w:rPr>
              <w:t>נגד</w:t>
            </w:r>
          </w:p>
          <w:p w14:paraId="41BAB97D" w14:textId="77777777" w:rsidR="00182788" w:rsidRPr="00343316" w:rsidRDefault="00182788" w:rsidP="00182788">
            <w:pPr>
              <w:jc w:val="both"/>
              <w:rPr>
                <w:rFonts w:ascii="Arial" w:hAnsi="Arial"/>
                <w:sz w:val="26"/>
                <w:szCs w:val="26"/>
              </w:rPr>
            </w:pPr>
          </w:p>
        </w:tc>
      </w:tr>
      <w:tr w:rsidR="00182788" w:rsidRPr="00343316" w14:paraId="4AFDFBAC" w14:textId="77777777" w:rsidTr="00182788">
        <w:trPr>
          <w:trHeight w:val="355"/>
          <w:jc w:val="center"/>
        </w:trPr>
        <w:tc>
          <w:tcPr>
            <w:tcW w:w="885" w:type="dxa"/>
            <w:tcBorders>
              <w:top w:val="nil"/>
              <w:left w:val="nil"/>
              <w:bottom w:val="nil"/>
              <w:right w:val="nil"/>
            </w:tcBorders>
            <w:shd w:val="clear" w:color="auto" w:fill="auto"/>
          </w:tcPr>
          <w:p w14:paraId="1FEF8CAE" w14:textId="77777777" w:rsidR="00182788" w:rsidRPr="00343316" w:rsidRDefault="00182788" w:rsidP="005214AB">
            <w:pPr>
              <w:rPr>
                <w:rFonts w:ascii="Arial" w:hAnsi="Arial"/>
                <w:sz w:val="26"/>
                <w:szCs w:val="26"/>
                <w:rtl/>
              </w:rPr>
            </w:pPr>
            <w:r w:rsidRPr="00343316">
              <w:rPr>
                <w:rFonts w:ascii="Arial" w:hAnsi="Arial" w:hint="cs"/>
                <w:b/>
                <w:bCs/>
                <w:sz w:val="26"/>
                <w:szCs w:val="26"/>
                <w:rtl/>
              </w:rPr>
              <w:t>ה</w:t>
            </w:r>
            <w:r w:rsidRPr="00343316">
              <w:rPr>
                <w:rFonts w:ascii="Arial" w:hAnsi="Arial"/>
                <w:b/>
                <w:bCs/>
                <w:sz w:val="26"/>
                <w:szCs w:val="26"/>
                <w:rtl/>
              </w:rPr>
              <w:t>נאשם</w:t>
            </w:r>
          </w:p>
        </w:tc>
        <w:tc>
          <w:tcPr>
            <w:tcW w:w="4384" w:type="dxa"/>
            <w:tcBorders>
              <w:top w:val="nil"/>
              <w:left w:val="nil"/>
              <w:bottom w:val="nil"/>
              <w:right w:val="nil"/>
            </w:tcBorders>
            <w:shd w:val="clear" w:color="auto" w:fill="auto"/>
          </w:tcPr>
          <w:p w14:paraId="43F4A3A9" w14:textId="77777777" w:rsidR="00182788" w:rsidRPr="00343316" w:rsidRDefault="00182788" w:rsidP="005214AB">
            <w:pPr>
              <w:rPr>
                <w:b/>
                <w:bCs/>
                <w:sz w:val="26"/>
                <w:szCs w:val="26"/>
                <w:rtl/>
              </w:rPr>
            </w:pPr>
            <w:r w:rsidRPr="00343316">
              <w:rPr>
                <w:rFonts w:ascii="Arial" w:hAnsi="Arial"/>
                <w:b/>
                <w:bCs/>
                <w:sz w:val="26"/>
                <w:szCs w:val="26"/>
                <w:rtl/>
              </w:rPr>
              <w:t>דרור מזרחי</w:t>
            </w:r>
          </w:p>
          <w:p w14:paraId="1B3769EE" w14:textId="77777777" w:rsidR="00182788" w:rsidRPr="00343316" w:rsidRDefault="00182788" w:rsidP="005214AB">
            <w:pPr>
              <w:rPr>
                <w:sz w:val="26"/>
                <w:szCs w:val="26"/>
                <w:rtl/>
              </w:rPr>
            </w:pPr>
            <w:r w:rsidRPr="00343316">
              <w:rPr>
                <w:rFonts w:hint="cs"/>
                <w:sz w:val="26"/>
                <w:szCs w:val="26"/>
                <w:rtl/>
              </w:rPr>
              <w:t xml:space="preserve">ע"י ב"כ עו"ד מיכל רובינשטיין </w:t>
            </w:r>
          </w:p>
        </w:tc>
        <w:tc>
          <w:tcPr>
            <w:tcW w:w="3551" w:type="dxa"/>
            <w:tcBorders>
              <w:top w:val="nil"/>
              <w:left w:val="nil"/>
              <w:bottom w:val="nil"/>
              <w:right w:val="nil"/>
            </w:tcBorders>
            <w:shd w:val="clear" w:color="auto" w:fill="auto"/>
          </w:tcPr>
          <w:p w14:paraId="37E799A4" w14:textId="77777777" w:rsidR="00182788" w:rsidRPr="00343316" w:rsidRDefault="00182788" w:rsidP="00182788">
            <w:pPr>
              <w:jc w:val="right"/>
              <w:rPr>
                <w:rFonts w:ascii="Arial" w:hAnsi="Arial"/>
                <w:sz w:val="26"/>
                <w:szCs w:val="26"/>
              </w:rPr>
            </w:pPr>
          </w:p>
        </w:tc>
      </w:tr>
    </w:tbl>
    <w:p w14:paraId="0CACE030" w14:textId="77777777" w:rsidR="0020279B" w:rsidRDefault="0020279B" w:rsidP="00182788">
      <w:pPr>
        <w:rPr>
          <w:rtl/>
        </w:rPr>
      </w:pPr>
      <w:bookmarkStart w:id="3" w:name="LawTable"/>
      <w:bookmarkEnd w:id="3"/>
    </w:p>
    <w:p w14:paraId="5F2137B9" w14:textId="77777777" w:rsidR="0020279B" w:rsidRPr="0020279B" w:rsidRDefault="0020279B" w:rsidP="0020279B">
      <w:pPr>
        <w:spacing w:after="120" w:line="240" w:lineRule="exact"/>
        <w:ind w:left="283" w:hanging="283"/>
        <w:jc w:val="both"/>
        <w:rPr>
          <w:rFonts w:ascii="FrankRuehl" w:hAnsi="FrankRuehl" w:cs="FrankRuehl"/>
          <w:rtl/>
        </w:rPr>
      </w:pPr>
      <w:r w:rsidRPr="0020279B">
        <w:rPr>
          <w:rFonts w:ascii="FrankRuehl" w:hAnsi="FrankRuehl" w:cs="FrankRuehl"/>
          <w:rtl/>
        </w:rPr>
        <w:t xml:space="preserve">חקיקה שאוזכרה: </w:t>
      </w:r>
    </w:p>
    <w:p w14:paraId="1863AD72" w14:textId="77777777" w:rsidR="0020279B" w:rsidRPr="0020279B" w:rsidRDefault="0020279B" w:rsidP="0020279B">
      <w:pPr>
        <w:spacing w:after="120" w:line="240" w:lineRule="exact"/>
        <w:ind w:left="283" w:hanging="283"/>
        <w:jc w:val="both"/>
        <w:rPr>
          <w:rFonts w:ascii="FrankRuehl" w:hAnsi="FrankRuehl" w:cs="FrankRuehl"/>
          <w:rtl/>
        </w:rPr>
      </w:pPr>
      <w:hyperlink r:id="rId7" w:history="1">
        <w:r w:rsidRPr="0020279B">
          <w:rPr>
            <w:rFonts w:ascii="FrankRuehl" w:hAnsi="FrankRuehl" w:cs="FrankRuehl"/>
            <w:color w:val="0000FF"/>
            <w:u w:val="single"/>
            <w:rtl/>
          </w:rPr>
          <w:t>פקודת הסמים המסוכנים [נוסח חדש], תשל"ג-1973</w:t>
        </w:r>
      </w:hyperlink>
      <w:r w:rsidRPr="0020279B">
        <w:rPr>
          <w:rFonts w:ascii="FrankRuehl" w:hAnsi="FrankRuehl" w:cs="FrankRuehl"/>
          <w:rtl/>
        </w:rPr>
        <w:t xml:space="preserve">: סע'  </w:t>
      </w:r>
      <w:hyperlink r:id="rId8" w:history="1">
        <w:r w:rsidRPr="0020279B">
          <w:rPr>
            <w:rFonts w:ascii="FrankRuehl" w:hAnsi="FrankRuehl" w:cs="FrankRuehl"/>
            <w:color w:val="0000FF"/>
            <w:u w:val="single"/>
            <w:rtl/>
          </w:rPr>
          <w:t>7 (א)</w:t>
        </w:r>
      </w:hyperlink>
      <w:r w:rsidRPr="0020279B">
        <w:rPr>
          <w:rFonts w:ascii="FrankRuehl" w:hAnsi="FrankRuehl" w:cs="FrankRuehl"/>
          <w:rtl/>
        </w:rPr>
        <w:t xml:space="preserve">, </w:t>
      </w:r>
      <w:hyperlink r:id="rId9" w:history="1">
        <w:r w:rsidRPr="0020279B">
          <w:rPr>
            <w:rFonts w:ascii="FrankRuehl" w:hAnsi="FrankRuehl" w:cs="FrankRuehl"/>
            <w:color w:val="0000FF"/>
            <w:u w:val="single"/>
            <w:rtl/>
          </w:rPr>
          <w:t>7 (ג)</w:t>
        </w:r>
      </w:hyperlink>
    </w:p>
    <w:p w14:paraId="43019DD8" w14:textId="77777777" w:rsidR="0020279B" w:rsidRPr="0020279B" w:rsidRDefault="0020279B" w:rsidP="0020279B">
      <w:pPr>
        <w:spacing w:after="120" w:line="240" w:lineRule="exact"/>
        <w:ind w:left="283" w:hanging="283"/>
        <w:jc w:val="both"/>
        <w:rPr>
          <w:rFonts w:ascii="FrankRuehl" w:hAnsi="FrankRuehl" w:cs="FrankRuehl"/>
          <w:rtl/>
        </w:rPr>
      </w:pPr>
      <w:hyperlink r:id="rId10" w:history="1">
        <w:r w:rsidRPr="0020279B">
          <w:rPr>
            <w:rFonts w:ascii="FrankRuehl" w:hAnsi="FrankRuehl" w:cs="FrankRuehl"/>
            <w:color w:val="0000FF"/>
            <w:u w:val="single"/>
            <w:rtl/>
          </w:rPr>
          <w:t>חוק המאבק בתופעת השימוש בחומרים מסכנים, תשע"ג-2013</w:t>
        </w:r>
      </w:hyperlink>
    </w:p>
    <w:p w14:paraId="3011407C" w14:textId="77777777" w:rsidR="0020279B" w:rsidRPr="0020279B" w:rsidRDefault="0020279B" w:rsidP="0020279B">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82788" w14:paraId="255EC7EA" w14:textId="77777777" w:rsidTr="00182788">
        <w:trPr>
          <w:trHeight w:val="355"/>
          <w:jc w:val="center"/>
        </w:trPr>
        <w:tc>
          <w:tcPr>
            <w:tcW w:w="8820" w:type="dxa"/>
            <w:tcBorders>
              <w:top w:val="nil"/>
              <w:left w:val="nil"/>
              <w:bottom w:val="nil"/>
              <w:right w:val="nil"/>
            </w:tcBorders>
            <w:shd w:val="clear" w:color="auto" w:fill="auto"/>
          </w:tcPr>
          <w:p w14:paraId="20E3A6CC" w14:textId="77777777" w:rsidR="00343316" w:rsidRPr="00343316" w:rsidRDefault="00343316" w:rsidP="00343316">
            <w:pPr>
              <w:jc w:val="center"/>
              <w:rPr>
                <w:rFonts w:ascii="Arial" w:hAnsi="Arial"/>
                <w:b/>
                <w:bCs/>
                <w:sz w:val="28"/>
                <w:szCs w:val="28"/>
                <w:u w:val="single"/>
                <w:rtl/>
              </w:rPr>
            </w:pPr>
            <w:bookmarkStart w:id="4" w:name="LawTable_End"/>
            <w:bookmarkStart w:id="5" w:name="PsakDin" w:colFirst="0" w:colLast="0"/>
            <w:bookmarkEnd w:id="0"/>
            <w:bookmarkEnd w:id="4"/>
            <w:r w:rsidRPr="00343316">
              <w:rPr>
                <w:rFonts w:ascii="Arial" w:hAnsi="Arial"/>
                <w:b/>
                <w:bCs/>
                <w:sz w:val="28"/>
                <w:szCs w:val="28"/>
                <w:u w:val="single"/>
                <w:rtl/>
              </w:rPr>
              <w:t>גזר דין</w:t>
            </w:r>
          </w:p>
          <w:p w14:paraId="58829A1A" w14:textId="77777777" w:rsidR="00182788" w:rsidRPr="00343316" w:rsidRDefault="00182788" w:rsidP="00343316">
            <w:pPr>
              <w:jc w:val="center"/>
              <w:rPr>
                <w:rFonts w:ascii="Arial" w:hAnsi="Arial"/>
                <w:bCs/>
                <w:sz w:val="28"/>
                <w:szCs w:val="28"/>
                <w:u w:val="single"/>
                <w:rtl/>
              </w:rPr>
            </w:pPr>
          </w:p>
        </w:tc>
      </w:tr>
      <w:bookmarkEnd w:id="5"/>
    </w:tbl>
    <w:p w14:paraId="40282823" w14:textId="77777777" w:rsidR="00182788" w:rsidRPr="00B05847" w:rsidRDefault="00182788" w:rsidP="00182788">
      <w:pPr>
        <w:rPr>
          <w:rFonts w:ascii="Arial" w:hAnsi="Arial"/>
          <w:rtl/>
        </w:rPr>
      </w:pPr>
    </w:p>
    <w:p w14:paraId="5F988F2B" w14:textId="77777777" w:rsidR="00182788" w:rsidRDefault="00182788" w:rsidP="00182788">
      <w:pPr>
        <w:spacing w:line="360" w:lineRule="auto"/>
        <w:rPr>
          <w:rFonts w:ascii="Arial" w:hAnsi="Arial"/>
          <w:b/>
          <w:bCs/>
          <w:rtl/>
        </w:rPr>
      </w:pPr>
      <w:r w:rsidRPr="0001419E">
        <w:rPr>
          <w:rFonts w:ascii="Arial" w:hAnsi="Arial" w:hint="cs"/>
          <w:b/>
          <w:bCs/>
          <w:u w:val="single"/>
          <w:rtl/>
        </w:rPr>
        <w:t>השתלשלות ההליך</w:t>
      </w:r>
      <w:r w:rsidRPr="0001419E">
        <w:rPr>
          <w:rFonts w:ascii="Arial" w:hAnsi="Arial" w:hint="cs"/>
          <w:b/>
          <w:bCs/>
          <w:rtl/>
        </w:rPr>
        <w:t>:</w:t>
      </w:r>
    </w:p>
    <w:p w14:paraId="7AB95742" w14:textId="77777777" w:rsidR="00182788" w:rsidRDefault="00182788" w:rsidP="00182788">
      <w:pPr>
        <w:pStyle w:val="ListParagraph1"/>
        <w:numPr>
          <w:ilvl w:val="0"/>
          <w:numId w:val="1"/>
        </w:numPr>
        <w:spacing w:line="360" w:lineRule="auto"/>
        <w:ind w:left="360"/>
        <w:jc w:val="both"/>
        <w:rPr>
          <w:rFonts w:ascii="Arial" w:hAnsi="Arial"/>
        </w:rPr>
      </w:pPr>
      <w:bookmarkStart w:id="6" w:name="ABSTRACT_START"/>
      <w:bookmarkEnd w:id="6"/>
      <w:r w:rsidRPr="0001419E">
        <w:rPr>
          <w:rFonts w:ascii="Arial" w:hAnsi="Arial" w:hint="cs"/>
          <w:rtl/>
        </w:rPr>
        <w:t xml:space="preserve">ביום 11.6.17 הודה הנאשם </w:t>
      </w:r>
      <w:r>
        <w:rPr>
          <w:rFonts w:ascii="Arial" w:hAnsi="Arial" w:hint="cs"/>
          <w:rtl/>
        </w:rPr>
        <w:t xml:space="preserve">בכתב האישום והורשע </w:t>
      </w:r>
      <w:r>
        <w:rPr>
          <w:rFonts w:hint="cs"/>
          <w:rtl/>
        </w:rPr>
        <w:t xml:space="preserve">בעבירה של החזקת סם מסוכן שלא לצריכה עצמית לפי </w:t>
      </w:r>
      <w:hyperlink r:id="rId11" w:history="1">
        <w:r w:rsidR="0020279B" w:rsidRPr="0020279B">
          <w:rPr>
            <w:color w:val="0000FF"/>
            <w:u w:val="single"/>
            <w:rtl/>
          </w:rPr>
          <w:t>סעיף 7 (א)</w:t>
        </w:r>
      </w:hyperlink>
      <w:r>
        <w:rPr>
          <w:rFonts w:hint="cs"/>
          <w:rtl/>
        </w:rPr>
        <w:t xml:space="preserve"> בצירוף </w:t>
      </w:r>
      <w:hyperlink r:id="rId12" w:history="1">
        <w:r w:rsidR="0020279B" w:rsidRPr="0020279B">
          <w:rPr>
            <w:rStyle w:val="Hyperlink"/>
            <w:rFonts w:hint="eastAsia"/>
            <w:color w:val="0000FF"/>
            <w:rtl/>
          </w:rPr>
          <w:t>סעיף</w:t>
        </w:r>
        <w:r w:rsidR="0020279B" w:rsidRPr="0020279B">
          <w:rPr>
            <w:rStyle w:val="Hyperlink"/>
            <w:color w:val="0000FF"/>
            <w:rtl/>
          </w:rPr>
          <w:t xml:space="preserve"> 7 (ג)</w:t>
        </w:r>
      </w:hyperlink>
      <w:r>
        <w:rPr>
          <w:rFonts w:hint="cs"/>
          <w:rtl/>
        </w:rPr>
        <w:t xml:space="preserve"> רישא ל</w:t>
      </w:r>
      <w:hyperlink r:id="rId13" w:history="1">
        <w:r w:rsidR="00343316" w:rsidRPr="00343316">
          <w:rPr>
            <w:color w:val="0000FF"/>
            <w:u w:val="single"/>
            <w:rtl/>
          </w:rPr>
          <w:t>פקודת הסמים המסוכנים</w:t>
        </w:r>
      </w:hyperlink>
      <w:r>
        <w:rPr>
          <w:rFonts w:hint="cs"/>
          <w:rtl/>
        </w:rPr>
        <w:t>.</w:t>
      </w:r>
    </w:p>
    <w:p w14:paraId="33557BBC" w14:textId="77777777" w:rsidR="00182788" w:rsidRDefault="00182788" w:rsidP="00182788">
      <w:pPr>
        <w:pStyle w:val="ListParagraph1"/>
        <w:numPr>
          <w:ilvl w:val="0"/>
          <w:numId w:val="1"/>
        </w:numPr>
        <w:spacing w:line="360" w:lineRule="auto"/>
        <w:ind w:left="360"/>
        <w:jc w:val="both"/>
        <w:rPr>
          <w:rFonts w:ascii="Arial" w:hAnsi="Arial"/>
        </w:rPr>
      </w:pPr>
      <w:bookmarkStart w:id="7" w:name="ABSTRACT_END"/>
      <w:bookmarkEnd w:id="7"/>
      <w:r>
        <w:rPr>
          <w:rFonts w:ascii="Arial" w:hAnsi="Arial" w:hint="cs"/>
          <w:rtl/>
        </w:rPr>
        <w:t>הנאשם הופנה לבקשתו לשירות המבחן למבוגרים ונערכו בעניינו בדיקת התאמה לבית המשפט הקהילתי מיום 1.5.17 ושני תסקירים, שהאחרון שבהם מיום 10.7.18: שירות המבחן המליץ לאמץ אפיק שיקומי ולחייב את הנאשם בצווי מבחן ושל"צ.</w:t>
      </w:r>
    </w:p>
    <w:p w14:paraId="71789F67" w14:textId="77777777" w:rsidR="00182788" w:rsidRDefault="00182788" w:rsidP="00182788">
      <w:pPr>
        <w:pStyle w:val="ListParagraph1"/>
        <w:numPr>
          <w:ilvl w:val="0"/>
          <w:numId w:val="1"/>
        </w:numPr>
        <w:spacing w:line="360" w:lineRule="auto"/>
        <w:ind w:left="360"/>
        <w:jc w:val="both"/>
        <w:rPr>
          <w:rFonts w:ascii="Arial" w:hAnsi="Arial"/>
        </w:rPr>
      </w:pPr>
      <w:r>
        <w:rPr>
          <w:rFonts w:ascii="Arial" w:hAnsi="Arial" w:hint="cs"/>
          <w:rtl/>
        </w:rPr>
        <w:t xml:space="preserve">היום, 16.7.18, טענו ב"כ הצדדים לעונש: </w:t>
      </w:r>
    </w:p>
    <w:p w14:paraId="3B8836E4" w14:textId="77777777" w:rsidR="00182788" w:rsidRDefault="00182788" w:rsidP="00182788">
      <w:pPr>
        <w:pStyle w:val="ListParagraph1"/>
        <w:spacing w:line="360" w:lineRule="auto"/>
        <w:ind w:left="360"/>
        <w:jc w:val="both"/>
        <w:rPr>
          <w:rFonts w:ascii="Arial" w:hAnsi="Arial"/>
          <w:rtl/>
        </w:rPr>
      </w:pPr>
      <w:r>
        <w:rPr>
          <w:rFonts w:ascii="Arial" w:hAnsi="Arial" w:hint="cs"/>
          <w:rtl/>
        </w:rPr>
        <w:t>התביעה עתרה לעונש מאסר לריצוי בעבודות שירות, שלא יפחת משישה חודשים, ולצדו מאסר מותנה, קנס ופסילת רישיון נהיגה. התביעה עמדה על הליך השיקום המרשים של הנאשם, והמליצה לחרוג ממתחם העונש ההולם שלטענתה משתרע משמונה ועד ל-18 חודשי מאסר בפועל.;</w:t>
      </w:r>
    </w:p>
    <w:p w14:paraId="73AEA80F" w14:textId="77777777" w:rsidR="00182788" w:rsidRDefault="00182788" w:rsidP="00182788">
      <w:pPr>
        <w:pStyle w:val="ListParagraph1"/>
        <w:spacing w:line="360" w:lineRule="auto"/>
        <w:ind w:left="360"/>
        <w:jc w:val="both"/>
        <w:rPr>
          <w:rFonts w:ascii="Arial" w:hAnsi="Arial"/>
          <w:rtl/>
        </w:rPr>
      </w:pPr>
      <w:r>
        <w:rPr>
          <w:rFonts w:ascii="Arial" w:hAnsi="Arial" w:hint="cs"/>
          <w:rtl/>
        </w:rPr>
        <w:t>ההגנה עתרה לאמץ את המלצת שירות המבחן במלואה;</w:t>
      </w:r>
    </w:p>
    <w:p w14:paraId="0E72427C" w14:textId="77777777" w:rsidR="00182788" w:rsidRDefault="00182788" w:rsidP="00182788">
      <w:pPr>
        <w:spacing w:line="360" w:lineRule="auto"/>
        <w:jc w:val="both"/>
        <w:rPr>
          <w:rFonts w:ascii="Arial" w:hAnsi="Arial"/>
          <w:rtl/>
        </w:rPr>
      </w:pPr>
    </w:p>
    <w:p w14:paraId="506D4C6A" w14:textId="77777777" w:rsidR="00182788" w:rsidRDefault="00182788" w:rsidP="00182788">
      <w:pPr>
        <w:spacing w:line="360" w:lineRule="auto"/>
        <w:jc w:val="both"/>
        <w:rPr>
          <w:rFonts w:ascii="Arial" w:hAnsi="Arial"/>
          <w:b/>
          <w:bCs/>
          <w:rtl/>
        </w:rPr>
      </w:pPr>
      <w:r w:rsidRPr="000B6C2C">
        <w:rPr>
          <w:rFonts w:ascii="Arial" w:hAnsi="Arial" w:hint="cs"/>
          <w:b/>
          <w:bCs/>
          <w:u w:val="single"/>
          <w:rtl/>
        </w:rPr>
        <w:t>מעשי הנאשם</w:t>
      </w:r>
      <w:r w:rsidRPr="000B6C2C">
        <w:rPr>
          <w:rFonts w:ascii="Arial" w:hAnsi="Arial" w:hint="cs"/>
          <w:b/>
          <w:bCs/>
          <w:rtl/>
        </w:rPr>
        <w:t xml:space="preserve">: </w:t>
      </w:r>
    </w:p>
    <w:p w14:paraId="0C194F49" w14:textId="77777777" w:rsidR="00182788" w:rsidRPr="005632CB" w:rsidRDefault="00182788" w:rsidP="00182788">
      <w:pPr>
        <w:numPr>
          <w:ilvl w:val="0"/>
          <w:numId w:val="3"/>
        </w:numPr>
        <w:spacing w:line="360" w:lineRule="auto"/>
        <w:contextualSpacing/>
        <w:jc w:val="both"/>
        <w:rPr>
          <w:rtl/>
        </w:rPr>
      </w:pPr>
      <w:r w:rsidRPr="005632CB">
        <w:rPr>
          <w:rtl/>
        </w:rPr>
        <w:t>איי בי צ'מינקה (</w:t>
      </w:r>
      <w:r w:rsidRPr="005632CB">
        <w:t>AB-CHMINACA</w:t>
      </w:r>
      <w:r w:rsidRPr="005632CB">
        <w:rPr>
          <w:rtl/>
        </w:rPr>
        <w:t xml:space="preserve"> – להלן "צ'מינקה"</w:t>
      </w:r>
      <w:r>
        <w:rPr>
          <w:rtl/>
        </w:rPr>
        <w:t>)</w:t>
      </w:r>
      <w:r>
        <w:rPr>
          <w:rFonts w:hint="cs"/>
          <w:rtl/>
        </w:rPr>
        <w:t xml:space="preserve"> הוא קנבואיד סינטטי</w:t>
      </w:r>
      <w:r>
        <w:rPr>
          <w:rtl/>
        </w:rPr>
        <w:t xml:space="preserve"> ו</w:t>
      </w:r>
      <w:r>
        <w:rPr>
          <w:rFonts w:hint="cs"/>
          <w:rtl/>
        </w:rPr>
        <w:t>-</w:t>
      </w:r>
      <w:r>
        <w:t>Alpha-PVP</w:t>
      </w:r>
      <w:r w:rsidRPr="005632CB">
        <w:rPr>
          <w:rtl/>
        </w:rPr>
        <w:t xml:space="preserve"> </w:t>
      </w:r>
      <w:r>
        <w:rPr>
          <w:rFonts w:hint="cs"/>
          <w:rtl/>
        </w:rPr>
        <w:t xml:space="preserve">(להלן </w:t>
      </w:r>
      <w:r>
        <w:rPr>
          <w:rtl/>
        </w:rPr>
        <w:t>–</w:t>
      </w:r>
      <w:r>
        <w:rPr>
          <w:rFonts w:hint="cs"/>
          <w:rtl/>
        </w:rPr>
        <w:t xml:space="preserve"> "פלאקה") הוא קתינון סינטטי, שניים מבין "סמי הפיצוציות" שעירנו שטופה בהם.</w:t>
      </w:r>
    </w:p>
    <w:p w14:paraId="42034FA7" w14:textId="77777777" w:rsidR="00182788" w:rsidRDefault="00182788" w:rsidP="00182788">
      <w:pPr>
        <w:numPr>
          <w:ilvl w:val="0"/>
          <w:numId w:val="3"/>
        </w:numPr>
        <w:spacing w:line="360" w:lineRule="auto"/>
        <w:contextualSpacing/>
        <w:jc w:val="both"/>
      </w:pPr>
      <w:r w:rsidRPr="005632CB">
        <w:rPr>
          <w:rtl/>
        </w:rPr>
        <w:lastRenderedPageBreak/>
        <w:t xml:space="preserve">ביום </w:t>
      </w:r>
      <w:r>
        <w:rPr>
          <w:rFonts w:hint="cs"/>
          <w:rtl/>
        </w:rPr>
        <w:t>21.1.16 בשעה 01:23</w:t>
      </w:r>
      <w:r w:rsidRPr="005632CB">
        <w:rPr>
          <w:rtl/>
        </w:rPr>
        <w:t xml:space="preserve">, בקיוסק </w:t>
      </w:r>
      <w:r>
        <w:rPr>
          <w:rFonts w:hint="cs"/>
          <w:rtl/>
        </w:rPr>
        <w:t xml:space="preserve">בו עבד </w:t>
      </w:r>
      <w:r w:rsidRPr="005632CB">
        <w:rPr>
          <w:rtl/>
        </w:rPr>
        <w:t xml:space="preserve">בתל-אביב, החזיק </w:t>
      </w:r>
      <w:r>
        <w:rPr>
          <w:rFonts w:hint="cs"/>
          <w:rtl/>
        </w:rPr>
        <w:t>הנאשם שלא לצריכתו העצמית 101 יחידות צ'מינקה ו-100 יחידות פלאקה.</w:t>
      </w:r>
    </w:p>
    <w:p w14:paraId="141392FC" w14:textId="77777777" w:rsidR="00182788" w:rsidRPr="00E52589" w:rsidRDefault="00182788" w:rsidP="00182788">
      <w:pPr>
        <w:pStyle w:val="ListParagraph1"/>
        <w:spacing w:line="360" w:lineRule="auto"/>
        <w:jc w:val="both"/>
        <w:rPr>
          <w:rFonts w:ascii="Arial" w:hAnsi="Arial"/>
        </w:rPr>
      </w:pPr>
    </w:p>
    <w:p w14:paraId="4DFA94CE" w14:textId="77777777" w:rsidR="00182788" w:rsidRPr="0034220D" w:rsidRDefault="00182788" w:rsidP="00182788">
      <w:pPr>
        <w:spacing w:line="360" w:lineRule="auto"/>
        <w:jc w:val="both"/>
        <w:rPr>
          <w:rFonts w:ascii="Arial" w:hAnsi="Arial"/>
          <w:b/>
          <w:bCs/>
          <w:rtl/>
        </w:rPr>
      </w:pPr>
      <w:r w:rsidRPr="0034220D">
        <w:rPr>
          <w:rFonts w:ascii="Arial" w:hAnsi="Arial" w:hint="cs"/>
          <w:b/>
          <w:bCs/>
          <w:u w:val="single"/>
          <w:rtl/>
        </w:rPr>
        <w:t>מתחם העונש ההולם- נסיבות הקשורות בעבירה</w:t>
      </w:r>
      <w:r w:rsidRPr="0034220D">
        <w:rPr>
          <w:rFonts w:ascii="Arial" w:hAnsi="Arial" w:hint="cs"/>
          <w:b/>
          <w:bCs/>
          <w:rtl/>
        </w:rPr>
        <w:t xml:space="preserve">: </w:t>
      </w:r>
    </w:p>
    <w:p w14:paraId="212B72B6" w14:textId="77777777" w:rsidR="00182788" w:rsidRDefault="00182788" w:rsidP="00182788">
      <w:pPr>
        <w:numPr>
          <w:ilvl w:val="0"/>
          <w:numId w:val="4"/>
        </w:numPr>
        <w:spacing w:line="360" w:lineRule="auto"/>
        <w:contextualSpacing/>
        <w:jc w:val="both"/>
      </w:pPr>
      <w:r>
        <w:rPr>
          <w:rFonts w:hint="cs"/>
          <w:rtl/>
        </w:rPr>
        <w:t xml:space="preserve">כידוע, </w:t>
      </w:r>
      <w:r>
        <w:rPr>
          <w:rtl/>
        </w:rPr>
        <w:t>פגיעתם של הסמים בחברה אינה נקודתית, אלא משתרעת על מרחבים וזמנים עצומים, החל מהפגיעה ב</w:t>
      </w:r>
      <w:r>
        <w:rPr>
          <w:rFonts w:hint="cs"/>
          <w:rtl/>
        </w:rPr>
        <w:t>בריאותו הפיזית והנפשית של ה</w:t>
      </w:r>
      <w:r>
        <w:rPr>
          <w:rtl/>
        </w:rPr>
        <w:t>משתמש</w:t>
      </w:r>
      <w:r>
        <w:rPr>
          <w:rFonts w:hint="cs"/>
          <w:rtl/>
        </w:rPr>
        <w:t>,</w:t>
      </w:r>
      <w:r>
        <w:rPr>
          <w:rtl/>
        </w:rPr>
        <w:t xml:space="preserve"> </w:t>
      </w:r>
      <w:r>
        <w:rPr>
          <w:rFonts w:hint="cs"/>
          <w:rtl/>
        </w:rPr>
        <w:t xml:space="preserve">דרך הפגיעה </w:t>
      </w:r>
      <w:r>
        <w:rPr>
          <w:rtl/>
        </w:rPr>
        <w:t xml:space="preserve">במשפחתו, וכלה באזרחים התמימים הנפגעים מצרכני הסם המבצעים עבירות רכוש ואלימות. זאת אף טרם שנזכיר את מימונם של ארגוני פשיעה וטרור על ידי העיסוק בסם. </w:t>
      </w:r>
    </w:p>
    <w:p w14:paraId="1ADC7BB9" w14:textId="77777777" w:rsidR="00182788" w:rsidRPr="00B141BC" w:rsidRDefault="00182788" w:rsidP="00182788">
      <w:pPr>
        <w:numPr>
          <w:ilvl w:val="0"/>
          <w:numId w:val="4"/>
        </w:numPr>
        <w:spacing w:line="360" w:lineRule="auto"/>
        <w:contextualSpacing/>
        <w:jc w:val="both"/>
      </w:pPr>
      <w:r>
        <w:rPr>
          <w:rFonts w:hint="cs"/>
          <w:rtl/>
        </w:rPr>
        <w:t xml:space="preserve">כפי שהדגיש התובע המלומד בטיעוניו </w:t>
      </w:r>
      <w:r>
        <w:rPr>
          <w:rtl/>
        </w:rPr>
        <w:t>–</w:t>
      </w:r>
      <w:r>
        <w:rPr>
          <w:rFonts w:hint="cs"/>
          <w:rtl/>
        </w:rPr>
        <w:t xml:space="preserve"> סמים סינטטיים, המיוצרים ב"מעבדות" שהינן לרוב מפעלים קטנים ומחתרתיים, עלולים לפגוע בבריאות גופו ונפשו של משתמש באופן חמור יותר מסמים "הקלאסיים", לנוכח טיב הייצור </w:t>
      </w:r>
      <w:r>
        <w:rPr>
          <w:rtl/>
        </w:rPr>
        <w:t>–</w:t>
      </w:r>
      <w:r>
        <w:rPr>
          <w:rFonts w:hint="cs"/>
          <w:rtl/>
        </w:rPr>
        <w:t xml:space="preserve"> אין לדעת אילו חומרים הוכנסו ליחידות הסם המופצות, מהם מזהמים ומהם רעילים, ריכוז החומר הפעיל אינו אחיד, ועוד. קלות הייצור וההפצה מצטרפת לחומרת הנזקים הפוטנציאליים. ואכן, בתי המשפט החמירו בענישה בגין עבירות הנוגעות לסמים סינטטיים עוד טרם כלילתם בפקודת הסמים, ובהיותם עדיין אורחים חדשים תחת כנפיו של </w:t>
      </w:r>
      <w:hyperlink r:id="rId14" w:history="1">
        <w:r w:rsidR="00343316" w:rsidRPr="00343316">
          <w:rPr>
            <w:color w:val="0000FF"/>
            <w:u w:val="single"/>
            <w:rtl/>
          </w:rPr>
          <w:t>חוק המאבק בתופעת השימוש בחומרים מסכנים</w:t>
        </w:r>
      </w:hyperlink>
      <w:r w:rsidRPr="00A40977">
        <w:rPr>
          <w:rtl/>
        </w:rPr>
        <w:t>, תשע"ג-2013</w:t>
      </w:r>
      <w:r>
        <w:rPr>
          <w:rFonts w:hint="cs"/>
          <w:rtl/>
        </w:rPr>
        <w:t xml:space="preserve">. כך ראו </w:t>
      </w:r>
      <w:hyperlink r:id="rId15" w:history="1">
        <w:r w:rsidR="00343316" w:rsidRPr="00343316">
          <w:rPr>
            <w:color w:val="0000FF"/>
            <w:u w:val="single"/>
            <w:rtl/>
          </w:rPr>
          <w:t>ע"פ 4915/15</w:t>
        </w:r>
      </w:hyperlink>
      <w:r w:rsidRPr="000B37D1">
        <w:rPr>
          <w:rtl/>
        </w:rPr>
        <w:t xml:space="preserve"> </w:t>
      </w:r>
      <w:r w:rsidRPr="003C56C1">
        <w:rPr>
          <w:b/>
          <w:bCs/>
          <w:rtl/>
        </w:rPr>
        <w:t xml:space="preserve">ותד </w:t>
      </w:r>
      <w:r w:rsidRPr="003C56C1">
        <w:rPr>
          <w:rFonts w:hint="cs"/>
          <w:b/>
          <w:bCs/>
          <w:rtl/>
        </w:rPr>
        <w:t>נ' מ.י.</w:t>
      </w:r>
      <w:r>
        <w:rPr>
          <w:rFonts w:hint="cs"/>
          <w:rtl/>
        </w:rPr>
        <w:t xml:space="preserve"> (2015), </w:t>
      </w:r>
      <w:hyperlink r:id="rId16" w:history="1">
        <w:r w:rsidR="00343316" w:rsidRPr="00343316">
          <w:rPr>
            <w:color w:val="0000FF"/>
            <w:u w:val="single"/>
            <w:rtl/>
          </w:rPr>
          <w:t>ת"פ 5581-02-17</w:t>
        </w:r>
      </w:hyperlink>
      <w:r w:rsidRPr="00A40977">
        <w:rPr>
          <w:rtl/>
        </w:rPr>
        <w:t xml:space="preserve"> </w:t>
      </w:r>
      <w:r w:rsidRPr="003C56C1">
        <w:rPr>
          <w:rFonts w:hint="cs"/>
          <w:b/>
          <w:bCs/>
          <w:rtl/>
        </w:rPr>
        <w:t xml:space="preserve">מ.י. </w:t>
      </w:r>
      <w:r w:rsidRPr="003C56C1">
        <w:rPr>
          <w:b/>
          <w:bCs/>
          <w:rtl/>
        </w:rPr>
        <w:t>נ' מלכה</w:t>
      </w:r>
      <w:r>
        <w:rPr>
          <w:rFonts w:hint="cs"/>
          <w:rtl/>
        </w:rPr>
        <w:t xml:space="preserve"> (2017) וסקירות מקיפות ב</w:t>
      </w:r>
      <w:hyperlink r:id="rId17" w:history="1">
        <w:r w:rsidR="00343316" w:rsidRPr="00343316">
          <w:rPr>
            <w:color w:val="0000FF"/>
            <w:u w:val="single"/>
            <w:rtl/>
          </w:rPr>
          <w:t>ת"פ 13793-08-15</w:t>
        </w:r>
      </w:hyperlink>
      <w:r>
        <w:rPr>
          <w:rFonts w:hint="cs"/>
          <w:rtl/>
        </w:rPr>
        <w:t xml:space="preserve"> </w:t>
      </w:r>
      <w:r w:rsidRPr="003C56C1">
        <w:rPr>
          <w:rFonts w:hint="cs"/>
          <w:b/>
          <w:bCs/>
          <w:rtl/>
        </w:rPr>
        <w:t>מ.י. נ' מלול</w:t>
      </w:r>
      <w:r>
        <w:rPr>
          <w:rFonts w:hint="cs"/>
          <w:rtl/>
        </w:rPr>
        <w:t xml:space="preserve"> (2017) וב</w:t>
      </w:r>
      <w:hyperlink r:id="rId18" w:history="1">
        <w:r w:rsidR="00343316" w:rsidRPr="00343316">
          <w:rPr>
            <w:color w:val="0000FF"/>
            <w:u w:val="single"/>
            <w:rtl/>
          </w:rPr>
          <w:t>ת"פ 20825-08-14</w:t>
        </w:r>
      </w:hyperlink>
      <w:r>
        <w:rPr>
          <w:rtl/>
        </w:rPr>
        <w:t xml:space="preserve"> </w:t>
      </w:r>
      <w:r w:rsidRPr="003C56C1">
        <w:rPr>
          <w:rFonts w:hint="cs"/>
          <w:b/>
          <w:bCs/>
          <w:rtl/>
        </w:rPr>
        <w:t>מ.י.</w:t>
      </w:r>
      <w:r w:rsidRPr="003C56C1">
        <w:rPr>
          <w:b/>
          <w:bCs/>
          <w:rtl/>
        </w:rPr>
        <w:t xml:space="preserve"> נ' יהודה</w:t>
      </w:r>
      <w:r>
        <w:rPr>
          <w:rFonts w:hint="cs"/>
          <w:rtl/>
        </w:rPr>
        <w:t xml:space="preserve"> (2014); </w:t>
      </w:r>
    </w:p>
    <w:p w14:paraId="17832640" w14:textId="77777777" w:rsidR="00182788" w:rsidRDefault="00182788" w:rsidP="00182788">
      <w:pPr>
        <w:numPr>
          <w:ilvl w:val="0"/>
          <w:numId w:val="4"/>
        </w:numPr>
        <w:spacing w:line="360" w:lineRule="auto"/>
        <w:contextualSpacing/>
        <w:jc w:val="both"/>
      </w:pPr>
      <w:r w:rsidRPr="00B141BC">
        <w:rPr>
          <w:rtl/>
        </w:rPr>
        <w:t xml:space="preserve">פגיעת הנאשם בערכים המוגנים היתה קשה וחמורה: בקיוסק בעיבורה של עיר החזיק הנאשם במלאי של </w:t>
      </w:r>
      <w:r>
        <w:rPr>
          <w:rFonts w:hint="cs"/>
          <w:rtl/>
        </w:rPr>
        <w:t>סמים</w:t>
      </w:r>
      <w:r w:rsidRPr="00B141BC">
        <w:rPr>
          <w:rtl/>
        </w:rPr>
        <w:t>, משל היו ממתקים או חטיפים, מזומנים להפצה לכל דורש. העביר</w:t>
      </w:r>
      <w:r>
        <w:rPr>
          <w:rFonts w:hint="cs"/>
          <w:rtl/>
        </w:rPr>
        <w:t>ה היתה מתוכננת</w:t>
      </w:r>
      <w:r w:rsidRPr="00B141BC">
        <w:rPr>
          <w:rtl/>
        </w:rPr>
        <w:t>, מטרת</w:t>
      </w:r>
      <w:r>
        <w:rPr>
          <w:rFonts w:hint="cs"/>
          <w:rtl/>
        </w:rPr>
        <w:t>ה</w:t>
      </w:r>
      <w:r w:rsidRPr="00B141BC">
        <w:rPr>
          <w:rtl/>
        </w:rPr>
        <w:t xml:space="preserve"> – בצע כסף, ולולא נלכד הנאשם היה </w:t>
      </w:r>
      <w:r>
        <w:rPr>
          <w:rFonts w:hint="cs"/>
          <w:rtl/>
        </w:rPr>
        <w:t>מתממש</w:t>
      </w:r>
      <w:r w:rsidRPr="00B141BC">
        <w:rPr>
          <w:rtl/>
        </w:rPr>
        <w:t xml:space="preserve"> הנזק הפוטנציאל</w:t>
      </w:r>
      <w:r>
        <w:rPr>
          <w:rtl/>
        </w:rPr>
        <w:t>י</w:t>
      </w:r>
      <w:r>
        <w:rPr>
          <w:rFonts w:hint="cs"/>
          <w:rtl/>
        </w:rPr>
        <w:t xml:space="preserve"> החמור</w:t>
      </w:r>
      <w:r>
        <w:rPr>
          <w:rtl/>
        </w:rPr>
        <w:t xml:space="preserve"> שבהפצת החומרים</w:t>
      </w:r>
      <w:r w:rsidRPr="00B141BC">
        <w:rPr>
          <w:rtl/>
        </w:rPr>
        <w:t>.</w:t>
      </w:r>
      <w:r>
        <w:rPr>
          <w:rFonts w:hint="cs"/>
          <w:rtl/>
        </w:rPr>
        <w:t xml:space="preserve"> נסיבות הביצוע מעידות על קרבתה של עבירה זו של החזקה לעבירה של הספקה, מכירה או עסקה אחרת, עד-כדי היותה "עבירה אחות". אבהיר, מעל לנחוץ, כי אני דוחה בשתי ידיים את טענותיו של הנאשם כביכול "רק עזר לחבר" ובנשימה אחת "שהחזיק לשימושו העצמי" [תסקיר 1.5.17].</w:t>
      </w:r>
    </w:p>
    <w:p w14:paraId="1D5F2803" w14:textId="77777777" w:rsidR="00182788" w:rsidRPr="00693EF5" w:rsidRDefault="00182788" w:rsidP="00182788">
      <w:pPr>
        <w:numPr>
          <w:ilvl w:val="0"/>
          <w:numId w:val="4"/>
        </w:numPr>
        <w:spacing w:line="360" w:lineRule="auto"/>
        <w:contextualSpacing/>
        <w:jc w:val="both"/>
      </w:pPr>
      <w:r w:rsidRPr="00B141BC">
        <w:rPr>
          <w:rtl/>
        </w:rPr>
        <w:t>מדיניות הענישה מבטאת את חומרת המעשים בענישה מחמירה של מאסר, שבמקרים קלים מרוצה בעבודות שירות</w:t>
      </w:r>
      <w:r>
        <w:rPr>
          <w:rFonts w:hint="cs"/>
          <w:rtl/>
        </w:rPr>
        <w:t>: כך ראו מתחמים שנקבעו וסקירות פסיקה ב</w:t>
      </w:r>
      <w:hyperlink r:id="rId19" w:history="1">
        <w:r w:rsidR="00343316" w:rsidRPr="00343316">
          <w:rPr>
            <w:color w:val="0000FF"/>
            <w:u w:val="single"/>
            <w:rtl/>
          </w:rPr>
          <w:t>ת"פ 37002-02-16</w:t>
        </w:r>
      </w:hyperlink>
      <w:r w:rsidRPr="007A5E16">
        <w:rPr>
          <w:rtl/>
        </w:rPr>
        <w:t xml:space="preserve"> </w:t>
      </w:r>
      <w:r w:rsidRPr="007A5E16">
        <w:rPr>
          <w:rFonts w:hint="cs"/>
          <w:b/>
          <w:bCs/>
          <w:rtl/>
        </w:rPr>
        <w:t xml:space="preserve">מ.י. </w:t>
      </w:r>
      <w:r w:rsidRPr="007A5E16">
        <w:rPr>
          <w:b/>
          <w:bCs/>
          <w:rtl/>
        </w:rPr>
        <w:t>נ' טרטיאקוב</w:t>
      </w:r>
      <w:r>
        <w:rPr>
          <w:rtl/>
        </w:rPr>
        <w:t xml:space="preserve"> (</w:t>
      </w:r>
      <w:r>
        <w:rPr>
          <w:rFonts w:hint="cs"/>
          <w:rtl/>
        </w:rPr>
        <w:t xml:space="preserve">2016), </w:t>
      </w:r>
      <w:hyperlink r:id="rId20" w:history="1">
        <w:r w:rsidR="00343316" w:rsidRPr="00343316">
          <w:rPr>
            <w:color w:val="0000FF"/>
            <w:u w:val="single"/>
            <w:rtl/>
          </w:rPr>
          <w:t>ת"פ 37825-05-15</w:t>
        </w:r>
      </w:hyperlink>
      <w:r w:rsidRPr="00693EF5">
        <w:rPr>
          <w:rtl/>
        </w:rPr>
        <w:t xml:space="preserve"> </w:t>
      </w:r>
      <w:r w:rsidRPr="00693EF5">
        <w:rPr>
          <w:rFonts w:hint="cs"/>
          <w:b/>
          <w:bCs/>
          <w:rtl/>
        </w:rPr>
        <w:t xml:space="preserve">מ.י. </w:t>
      </w:r>
      <w:r w:rsidRPr="00693EF5">
        <w:rPr>
          <w:b/>
          <w:bCs/>
          <w:rtl/>
        </w:rPr>
        <w:t>נ' קרבצ'נקו</w:t>
      </w:r>
      <w:r>
        <w:rPr>
          <w:rFonts w:hint="cs"/>
          <w:rtl/>
        </w:rPr>
        <w:t xml:space="preserve"> (2016) וב</w:t>
      </w:r>
      <w:hyperlink r:id="rId21" w:history="1">
        <w:r w:rsidR="00343316" w:rsidRPr="00343316">
          <w:rPr>
            <w:color w:val="0000FF"/>
            <w:u w:val="single"/>
            <w:rtl/>
          </w:rPr>
          <w:t>ת"פ 19408-11-14</w:t>
        </w:r>
      </w:hyperlink>
      <w:r w:rsidRPr="006B2892">
        <w:rPr>
          <w:rtl/>
        </w:rPr>
        <w:t xml:space="preserve"> </w:t>
      </w:r>
      <w:r w:rsidRPr="006B2892">
        <w:rPr>
          <w:rFonts w:hint="cs"/>
          <w:b/>
          <w:bCs/>
          <w:rtl/>
        </w:rPr>
        <w:t>מ.י.</w:t>
      </w:r>
      <w:r w:rsidRPr="006B2892">
        <w:rPr>
          <w:b/>
          <w:bCs/>
          <w:rtl/>
        </w:rPr>
        <w:t xml:space="preserve"> נ' ישמח משה</w:t>
      </w:r>
      <w:r>
        <w:rPr>
          <w:rFonts w:hint="cs"/>
          <w:rtl/>
        </w:rPr>
        <w:t xml:space="preserve"> (2015).</w:t>
      </w:r>
    </w:p>
    <w:p w14:paraId="668ECEDC" w14:textId="77777777" w:rsidR="00182788" w:rsidRPr="00B141BC" w:rsidRDefault="00182788" w:rsidP="00182788">
      <w:pPr>
        <w:numPr>
          <w:ilvl w:val="0"/>
          <w:numId w:val="4"/>
        </w:numPr>
        <w:spacing w:line="360" w:lineRule="auto"/>
        <w:contextualSpacing/>
        <w:jc w:val="both"/>
      </w:pPr>
      <w:r w:rsidRPr="00B141BC">
        <w:rPr>
          <w:rtl/>
        </w:rPr>
        <w:t>בנסיבות העניין ייקבע מתחם עונשי הולם שכל-כולו במאסר</w:t>
      </w:r>
      <w:r>
        <w:rPr>
          <w:rFonts w:hint="cs"/>
          <w:rtl/>
        </w:rPr>
        <w:t xml:space="preserve"> לריצוי בכליאה</w:t>
      </w:r>
      <w:r w:rsidRPr="00B141BC">
        <w:rPr>
          <w:rtl/>
        </w:rPr>
        <w:t xml:space="preserve"> – תחתיתו </w:t>
      </w:r>
      <w:r>
        <w:rPr>
          <w:rFonts w:hint="cs"/>
          <w:rtl/>
        </w:rPr>
        <w:t xml:space="preserve">בשמונה חודשי מאסר </w:t>
      </w:r>
      <w:r w:rsidRPr="00B141BC">
        <w:rPr>
          <w:rtl/>
        </w:rPr>
        <w:t xml:space="preserve">וסופו </w:t>
      </w:r>
      <w:r>
        <w:rPr>
          <w:rFonts w:hint="cs"/>
          <w:rtl/>
        </w:rPr>
        <w:t>ב-24</w:t>
      </w:r>
      <w:r>
        <w:rPr>
          <w:rtl/>
        </w:rPr>
        <w:t xml:space="preserve"> חודשי כליאה, כעונש עיקרי</w:t>
      </w:r>
      <w:r>
        <w:rPr>
          <w:rFonts w:hint="cs"/>
          <w:rtl/>
        </w:rPr>
        <w:t xml:space="preserve"> (על-אף טיעון התביעה למתחם שבחלקו העליון עומד על 18 חודשי מאסר)</w:t>
      </w:r>
      <w:r w:rsidRPr="00B141BC">
        <w:rPr>
          <w:rtl/>
        </w:rPr>
        <w:t>.</w:t>
      </w:r>
    </w:p>
    <w:p w14:paraId="0FA2AA9D" w14:textId="77777777" w:rsidR="00182788" w:rsidRDefault="00182788" w:rsidP="00182788">
      <w:pPr>
        <w:spacing w:line="360" w:lineRule="auto"/>
        <w:rPr>
          <w:rtl/>
        </w:rPr>
      </w:pPr>
    </w:p>
    <w:p w14:paraId="6E77F098" w14:textId="77777777" w:rsidR="00182788" w:rsidRPr="00B3735B" w:rsidRDefault="00182788" w:rsidP="00182788">
      <w:pPr>
        <w:spacing w:line="360" w:lineRule="auto"/>
        <w:rPr>
          <w:rtl/>
        </w:rPr>
      </w:pPr>
      <w:r w:rsidRPr="00B3735B">
        <w:rPr>
          <w:rFonts w:hint="cs"/>
          <w:b/>
          <w:bCs/>
          <w:u w:val="single"/>
          <w:rtl/>
        </w:rPr>
        <w:t>העונש יחרוג ממתחם העונש שנקבע, מטעמי שיקום</w:t>
      </w:r>
      <w:r>
        <w:rPr>
          <w:rFonts w:hint="cs"/>
          <w:rtl/>
        </w:rPr>
        <w:t>:</w:t>
      </w:r>
    </w:p>
    <w:p w14:paraId="0A55F3D4" w14:textId="77777777" w:rsidR="00182788" w:rsidRPr="007A2B08" w:rsidRDefault="00182788" w:rsidP="00182788">
      <w:pPr>
        <w:pStyle w:val="ListParagraph1"/>
        <w:numPr>
          <w:ilvl w:val="0"/>
          <w:numId w:val="2"/>
        </w:numPr>
        <w:spacing w:line="360" w:lineRule="auto"/>
        <w:jc w:val="both"/>
      </w:pPr>
      <w:r w:rsidRPr="007A2B08">
        <w:rPr>
          <w:rFonts w:hint="cs"/>
          <w:rtl/>
        </w:rPr>
        <w:lastRenderedPageBreak/>
        <w:t xml:space="preserve">הנאשם יליד 1966, </w:t>
      </w:r>
      <w:r>
        <w:rPr>
          <w:rFonts w:hint="cs"/>
          <w:rtl/>
        </w:rPr>
        <w:t>כבן 52 כיום, אלמן</w:t>
      </w:r>
      <w:r w:rsidRPr="007A2B08">
        <w:rPr>
          <w:rFonts w:hint="cs"/>
          <w:rtl/>
        </w:rPr>
        <w:t xml:space="preserve"> </w:t>
      </w:r>
      <w:r>
        <w:rPr>
          <w:rFonts w:hint="cs"/>
          <w:rtl/>
        </w:rPr>
        <w:t>ה</w:t>
      </w:r>
      <w:r w:rsidRPr="007A2B08">
        <w:rPr>
          <w:rFonts w:hint="cs"/>
          <w:rtl/>
        </w:rPr>
        <w:t xml:space="preserve">מתגורר עם בתו </w:t>
      </w:r>
      <w:r>
        <w:rPr>
          <w:rFonts w:hint="cs"/>
          <w:rtl/>
        </w:rPr>
        <w:t xml:space="preserve">בת השלושים הסובלת מבעיה נפשית </w:t>
      </w:r>
      <w:r w:rsidRPr="007A2B08">
        <w:rPr>
          <w:rFonts w:hint="cs"/>
          <w:rtl/>
        </w:rPr>
        <w:t>ו</w:t>
      </w:r>
      <w:r>
        <w:rPr>
          <w:rFonts w:hint="cs"/>
          <w:rtl/>
        </w:rPr>
        <w:t xml:space="preserve">עם </w:t>
      </w:r>
      <w:r w:rsidRPr="007A2B08">
        <w:rPr>
          <w:rFonts w:hint="cs"/>
          <w:rtl/>
        </w:rPr>
        <w:t>נכדתו</w:t>
      </w:r>
      <w:r>
        <w:rPr>
          <w:rFonts w:hint="cs"/>
          <w:rtl/>
        </w:rPr>
        <w:t xml:space="preserve"> בת התשע</w:t>
      </w:r>
      <w:r w:rsidRPr="007A2B08">
        <w:rPr>
          <w:rFonts w:hint="cs"/>
          <w:rtl/>
        </w:rPr>
        <w:t>, אינו עובד ומתקיים מ</w:t>
      </w:r>
      <w:r>
        <w:rPr>
          <w:rFonts w:hint="cs"/>
          <w:rtl/>
        </w:rPr>
        <w:t xml:space="preserve">קצבת בטוח לאומי. מוצא הנאשם במשפחה שהתמודדה עם קשיים רבים וביניהם התמכרותו של האב לסמים. הנאשם </w:t>
      </w:r>
      <w:r w:rsidRPr="007A2B08">
        <w:rPr>
          <w:rFonts w:hint="cs"/>
          <w:rtl/>
        </w:rPr>
        <w:t>סיים</w:t>
      </w:r>
      <w:r>
        <w:rPr>
          <w:rFonts w:hint="cs"/>
          <w:rtl/>
        </w:rPr>
        <w:t xml:space="preserve"> שמונה</w:t>
      </w:r>
      <w:r w:rsidRPr="007A2B08">
        <w:rPr>
          <w:rFonts w:hint="cs"/>
          <w:rtl/>
        </w:rPr>
        <w:t xml:space="preserve"> שנות לימוד</w:t>
      </w:r>
      <w:r>
        <w:rPr>
          <w:rFonts w:hint="cs"/>
          <w:rtl/>
        </w:rPr>
        <w:t xml:space="preserve"> בלבד, </w:t>
      </w:r>
      <w:r w:rsidRPr="007A2B08">
        <w:rPr>
          <w:rFonts w:hint="cs"/>
          <w:rtl/>
        </w:rPr>
        <w:t xml:space="preserve"> </w:t>
      </w:r>
      <w:r>
        <w:rPr>
          <w:rFonts w:hint="cs"/>
          <w:rtl/>
        </w:rPr>
        <w:t>החל להשתמש ב</w:t>
      </w:r>
      <w:r w:rsidRPr="007A2B08">
        <w:rPr>
          <w:rFonts w:hint="cs"/>
          <w:rtl/>
        </w:rPr>
        <w:t xml:space="preserve">הרואין בגיל </w:t>
      </w:r>
      <w:r>
        <w:rPr>
          <w:rFonts w:hint="cs"/>
          <w:rtl/>
        </w:rPr>
        <w:t>עשר</w:t>
      </w:r>
      <w:r w:rsidRPr="007A2B08">
        <w:rPr>
          <w:rFonts w:hint="cs"/>
          <w:rtl/>
        </w:rPr>
        <w:t xml:space="preserve">, </w:t>
      </w:r>
      <w:r>
        <w:rPr>
          <w:rFonts w:hint="cs"/>
          <w:rtl/>
        </w:rPr>
        <w:t>ולאורך חייו השתמש בסמים מסוגים שונים, לרבות ב"סמי פיצוציות"</w:t>
      </w:r>
      <w:r w:rsidRPr="007A2B08">
        <w:rPr>
          <w:rFonts w:hint="cs"/>
          <w:rtl/>
        </w:rPr>
        <w:t>.</w:t>
      </w:r>
    </w:p>
    <w:p w14:paraId="1E77C231" w14:textId="77777777" w:rsidR="00182788" w:rsidRDefault="00182788" w:rsidP="00182788">
      <w:pPr>
        <w:pStyle w:val="ListParagraph1"/>
        <w:numPr>
          <w:ilvl w:val="0"/>
          <w:numId w:val="2"/>
        </w:numPr>
        <w:spacing w:line="360" w:lineRule="auto"/>
        <w:jc w:val="both"/>
      </w:pPr>
      <w:r>
        <w:rPr>
          <w:rFonts w:hint="cs"/>
          <w:rtl/>
        </w:rPr>
        <w:t>הנאשם עבר עבירה אחרונה שבגינה נשפט בשנת 2003, ולנוכח התיישנות, אין לחובתו עבר פלילי.</w:t>
      </w:r>
    </w:p>
    <w:p w14:paraId="736191C9" w14:textId="77777777" w:rsidR="00182788" w:rsidRDefault="00182788" w:rsidP="00182788">
      <w:pPr>
        <w:pStyle w:val="ListParagraph1"/>
        <w:numPr>
          <w:ilvl w:val="0"/>
          <w:numId w:val="2"/>
        </w:numPr>
        <w:spacing w:line="360" w:lineRule="auto"/>
        <w:jc w:val="both"/>
      </w:pPr>
      <w:r>
        <w:rPr>
          <w:rFonts w:hint="cs"/>
          <w:rtl/>
        </w:rPr>
        <w:t>ניסיונות טיפול וגמילה שעבר הנאשם לאורך השנים כשלו כולם, עד לאחרונה: מסוף שנת 2016 מצוי הנאשם בטיפול היחידה העירונית לטיפול בנפגעי התמכרויות, כשהוא מתמיד בטיפול, משקיע בו ונתרם ממנו בעליל. בנוסף, הנאשם הופנה לטיפול פסיכיאטרי ונוטל תרופות המסייעות לו להתמודד עם תחושות חרדה ודיכאון. מהלך חייו של הנאשם הקשה עליו לתת אמון בגורמי סמכות, אך בסוף שנת 2017 נאות להשתלב בטיפול אינטנסיבי במרכז יום.</w:t>
      </w:r>
    </w:p>
    <w:p w14:paraId="0122D0DF" w14:textId="77777777" w:rsidR="00182788" w:rsidRDefault="00182788" w:rsidP="00182788">
      <w:pPr>
        <w:pStyle w:val="ListParagraph1"/>
        <w:numPr>
          <w:ilvl w:val="0"/>
          <w:numId w:val="2"/>
        </w:numPr>
        <w:spacing w:line="360" w:lineRule="auto"/>
        <w:jc w:val="both"/>
      </w:pPr>
      <w:r>
        <w:rPr>
          <w:rFonts w:hint="cs"/>
          <w:rtl/>
        </w:rPr>
        <w:t xml:space="preserve">מחודש נובמבר 2017 מצוי הנאשם בטיפולו של מרכז יום, אליו הוא מגיע שלוש פעמים בשבוע כדי להשתתף בקבוצות ובסדנאות טיפוליות, בנוסף לטיפול פרטני ביחידה העירונית. גורמי הטיפול מדווחים על השתתפותו הפעילה של הנאשם בטיפולים ועל שינויים בתפיסותיו </w:t>
      </w:r>
      <w:r>
        <w:rPr>
          <w:rtl/>
        </w:rPr>
        <w:t>–</w:t>
      </w:r>
      <w:r>
        <w:rPr>
          <w:rFonts w:hint="cs"/>
          <w:rtl/>
        </w:rPr>
        <w:t xml:space="preserve"> בעיקר לקיחת אחריות על חייו ועל בחירותיו. הנאשם נרתם אפוא לתהליך שינוי עמוק ומהותי, ואף אם ארוכה היא הדרך </w:t>
      </w:r>
      <w:r>
        <w:rPr>
          <w:rtl/>
        </w:rPr>
        <w:t>–</w:t>
      </w:r>
      <w:r>
        <w:rPr>
          <w:rFonts w:hint="cs"/>
          <w:rtl/>
        </w:rPr>
        <w:t xml:space="preserve"> הנאשם כבר פוסע בה בביטחון-יחסי.</w:t>
      </w:r>
    </w:p>
    <w:p w14:paraId="2FB3B070" w14:textId="77777777" w:rsidR="00182788" w:rsidRDefault="00182788" w:rsidP="00182788">
      <w:pPr>
        <w:pStyle w:val="ListParagraph1"/>
        <w:numPr>
          <w:ilvl w:val="0"/>
          <w:numId w:val="2"/>
        </w:numPr>
        <w:spacing w:line="360" w:lineRule="auto"/>
        <w:jc w:val="both"/>
      </w:pPr>
      <w:r>
        <w:rPr>
          <w:rFonts w:hint="cs"/>
          <w:rtl/>
        </w:rPr>
        <w:t>במהלכה של תקופה זו, עם התקדמות הטיפול, ניתק הנאשם את קשריו עם גורמי שוליים, שיקם את הקשר עם בתו ואף החל לעבוד באופן חלקי.</w:t>
      </w:r>
    </w:p>
    <w:p w14:paraId="1B847FB9" w14:textId="77777777" w:rsidR="00182788" w:rsidRPr="007A2B08" w:rsidRDefault="00182788" w:rsidP="00182788">
      <w:pPr>
        <w:pStyle w:val="ListParagraph1"/>
        <w:numPr>
          <w:ilvl w:val="0"/>
          <w:numId w:val="2"/>
        </w:numPr>
        <w:spacing w:line="360" w:lineRule="auto"/>
        <w:jc w:val="both"/>
      </w:pPr>
      <w:r>
        <w:rPr>
          <w:rFonts w:hint="cs"/>
          <w:rtl/>
        </w:rPr>
        <w:t>לאורך תרופת הטיפול מסר הנאשם דגימות שתן שהעידו על ניקיונו מסמים, ואף לא נפתחו לו תיקי משטרה נוספים משום סוג.</w:t>
      </w:r>
    </w:p>
    <w:p w14:paraId="4524A2AD" w14:textId="77777777" w:rsidR="00182788" w:rsidRDefault="00182788" w:rsidP="00182788">
      <w:pPr>
        <w:pStyle w:val="ListParagraph1"/>
        <w:numPr>
          <w:ilvl w:val="0"/>
          <w:numId w:val="2"/>
        </w:numPr>
        <w:spacing w:line="360" w:lineRule="auto"/>
        <w:jc w:val="both"/>
      </w:pPr>
      <w:r>
        <w:rPr>
          <w:rFonts w:hint="cs"/>
          <w:rtl/>
        </w:rPr>
        <w:t>המלצתו של שירות המבחן, לנקוט באפיק הטיפולי גם בסיומו של הליך זה בגזר הדין, מבוססת אפוא היטב: יש לתת את מלוא המשקל להצלחתו של הנאשם לשמור עצמו נקי מסמים, להירתם לטיפול ולהיתרם ממנו, לשנות דפוסי מחשבה והתנהגות שהתקבעו לפני שנים, ועד למצב של ניקיון מתמיד ושיקום קשרי משפחה ועבודה.</w:t>
      </w:r>
    </w:p>
    <w:p w14:paraId="2981AD77" w14:textId="77777777" w:rsidR="00182788" w:rsidRDefault="00182788" w:rsidP="00182788">
      <w:pPr>
        <w:pStyle w:val="ListParagraph1"/>
        <w:numPr>
          <w:ilvl w:val="0"/>
          <w:numId w:val="2"/>
        </w:numPr>
        <w:spacing w:line="360" w:lineRule="auto"/>
        <w:jc w:val="both"/>
      </w:pPr>
      <w:r>
        <w:rPr>
          <w:rFonts w:hint="cs"/>
          <w:rtl/>
        </w:rPr>
        <w:t xml:space="preserve">ענייננו אפוא במצב בו עבירת הסמים החמורה שעבר הנאשם קשורה הדוקות לאורח חייו דאז, השולי והמכור, שהנאשם חילץ עצמו ממנו. הפוטנציאל השיקומי ברור ומשמעותי, בעיקר בהסתמך על-כך שלמעשה השיקום כבר יוצא מהכוח אל הפועל. כיון שכך מוצדק לחרוג ממתחם העונש ההולם, בהסתמך על שיקולי שיקום, שבמקרה זה יכריעו את הכף ויגברו על עקרון ההלימה המגולם במתחם העונש [ראו </w:t>
      </w:r>
      <w:hyperlink r:id="rId22" w:history="1">
        <w:r w:rsidR="00343316" w:rsidRPr="00343316">
          <w:rPr>
            <w:color w:val="0000FF"/>
            <w:u w:val="single"/>
            <w:rtl/>
          </w:rPr>
          <w:t>ע"פ 779/15</w:t>
        </w:r>
      </w:hyperlink>
      <w:r w:rsidRPr="00426151">
        <w:rPr>
          <w:rtl/>
        </w:rPr>
        <w:t xml:space="preserve"> </w:t>
      </w:r>
      <w:r w:rsidRPr="00051F90">
        <w:rPr>
          <w:b/>
          <w:bCs/>
          <w:rtl/>
        </w:rPr>
        <w:t>פלוני נ' מ.י.</w:t>
      </w:r>
      <w:r w:rsidRPr="00426151">
        <w:rPr>
          <w:rtl/>
        </w:rPr>
        <w:t xml:space="preserve"> (2015)</w:t>
      </w:r>
      <w:r>
        <w:rPr>
          <w:rFonts w:hint="cs"/>
          <w:rtl/>
        </w:rPr>
        <w:t xml:space="preserve"> ו</w:t>
      </w:r>
      <w:hyperlink r:id="rId23" w:history="1">
        <w:r w:rsidR="00343316" w:rsidRPr="00343316">
          <w:rPr>
            <w:color w:val="0000FF"/>
            <w:u w:val="single"/>
            <w:rtl/>
          </w:rPr>
          <w:t>ע"פ 6637/17</w:t>
        </w:r>
      </w:hyperlink>
      <w:r w:rsidRPr="00465E04">
        <w:rPr>
          <w:rtl/>
        </w:rPr>
        <w:t xml:space="preserve"> </w:t>
      </w:r>
      <w:r w:rsidRPr="00465E04">
        <w:rPr>
          <w:b/>
          <w:bCs/>
          <w:rtl/>
        </w:rPr>
        <w:t xml:space="preserve">קרנדל נ' </w:t>
      </w:r>
      <w:r w:rsidRPr="00465E04">
        <w:rPr>
          <w:rFonts w:hint="cs"/>
          <w:b/>
          <w:bCs/>
          <w:rtl/>
        </w:rPr>
        <w:t>מ.י.</w:t>
      </w:r>
      <w:r>
        <w:rPr>
          <w:rFonts w:hint="cs"/>
          <w:rtl/>
        </w:rPr>
        <w:t xml:space="preserve"> (2018), והשוו </w:t>
      </w:r>
      <w:hyperlink r:id="rId24" w:history="1">
        <w:r w:rsidR="00343316" w:rsidRPr="00343316">
          <w:rPr>
            <w:color w:val="0000FF"/>
            <w:u w:val="single"/>
            <w:rtl/>
          </w:rPr>
          <w:t>ת"פ 6788-06-16</w:t>
        </w:r>
      </w:hyperlink>
      <w:r w:rsidRPr="00051F90">
        <w:rPr>
          <w:rtl/>
        </w:rPr>
        <w:t xml:space="preserve"> </w:t>
      </w:r>
      <w:r w:rsidRPr="00465E04">
        <w:rPr>
          <w:rFonts w:hint="cs"/>
          <w:b/>
          <w:bCs/>
          <w:rtl/>
        </w:rPr>
        <w:t xml:space="preserve">מ.י. </w:t>
      </w:r>
      <w:r w:rsidRPr="00465E04">
        <w:rPr>
          <w:b/>
          <w:bCs/>
          <w:rtl/>
        </w:rPr>
        <w:t>נ' בנעטייה</w:t>
      </w:r>
      <w:r>
        <w:rPr>
          <w:rFonts w:hint="cs"/>
          <w:rtl/>
        </w:rPr>
        <w:t xml:space="preserve"> (2018), </w:t>
      </w:r>
      <w:hyperlink r:id="rId25" w:history="1">
        <w:r w:rsidR="00343316" w:rsidRPr="00343316">
          <w:rPr>
            <w:color w:val="0000FF"/>
            <w:u w:val="single"/>
            <w:rtl/>
          </w:rPr>
          <w:t>ת"פ 34829-07-15</w:t>
        </w:r>
      </w:hyperlink>
      <w:r>
        <w:rPr>
          <w:rFonts w:hint="cs"/>
          <w:rtl/>
        </w:rPr>
        <w:t xml:space="preserve"> </w:t>
      </w:r>
      <w:r w:rsidRPr="00465E04">
        <w:rPr>
          <w:rFonts w:hint="cs"/>
          <w:b/>
          <w:bCs/>
          <w:rtl/>
        </w:rPr>
        <w:t>מ.י. נ' בן בסט</w:t>
      </w:r>
      <w:r>
        <w:rPr>
          <w:rFonts w:hint="cs"/>
          <w:rtl/>
        </w:rPr>
        <w:t xml:space="preserve"> (2018) ו</w:t>
      </w:r>
      <w:hyperlink r:id="rId26" w:history="1">
        <w:r w:rsidR="00343316" w:rsidRPr="00343316">
          <w:rPr>
            <w:color w:val="0000FF"/>
            <w:u w:val="single"/>
            <w:rtl/>
          </w:rPr>
          <w:t>עפ"ג 50759-03-17</w:t>
        </w:r>
      </w:hyperlink>
      <w:r w:rsidRPr="00B21EBF">
        <w:rPr>
          <w:rtl/>
        </w:rPr>
        <w:t xml:space="preserve"> </w:t>
      </w:r>
      <w:r w:rsidRPr="00B21EBF">
        <w:rPr>
          <w:b/>
          <w:bCs/>
          <w:rtl/>
        </w:rPr>
        <w:t>מדאר נ'</w:t>
      </w:r>
      <w:r>
        <w:rPr>
          <w:rFonts w:hint="cs"/>
          <w:b/>
          <w:bCs/>
          <w:rtl/>
        </w:rPr>
        <w:t xml:space="preserve"> מ.י.</w:t>
      </w:r>
      <w:r>
        <w:rPr>
          <w:rFonts w:hint="cs"/>
          <w:rtl/>
        </w:rPr>
        <w:t xml:space="preserve"> (2018) </w:t>
      </w:r>
      <w:r>
        <w:rPr>
          <w:rtl/>
        </w:rPr>
        <w:t>–</w:t>
      </w:r>
      <w:r>
        <w:rPr>
          <w:rFonts w:hint="cs"/>
          <w:rtl/>
        </w:rPr>
        <w:t xml:space="preserve"> בכל אלו דוגמאות לחריגה ממתחם העונש ההולם מטעמי שיקום, בעבירות סמים חמורות).</w:t>
      </w:r>
    </w:p>
    <w:p w14:paraId="6EE86B85" w14:textId="77777777" w:rsidR="00182788" w:rsidRPr="00745ACB" w:rsidRDefault="00182788" w:rsidP="00182788">
      <w:pPr>
        <w:pStyle w:val="ListParagraph1"/>
        <w:numPr>
          <w:ilvl w:val="0"/>
          <w:numId w:val="2"/>
        </w:numPr>
        <w:spacing w:line="360" w:lineRule="auto"/>
        <w:jc w:val="both"/>
      </w:pPr>
      <w:r w:rsidRPr="00745ACB">
        <w:rPr>
          <w:rFonts w:hint="cs"/>
          <w:rtl/>
        </w:rPr>
        <w:t>ענישת הנאשם במאסר בעבודות שירות עלולה להכשיל את שיקומו, שכן תמנע ממנו להשתתף במפגשים טיפוליים ותגזול זמן ומשאבים שעליו להשקיע בשיקומו. לפיכך אאמץ את המלצת שירות המבחן במלואה: ענישה קונקרטית תמצא ביטויה בחיוב ביצוע של"צ; שיקולי השיקום יובילו להעמדת הנאשם בפיקוח שירות המבחן ולהימנעות מקנס ומפסילה בפועל; תוספת הרתעה תימצא במאסר מותנה, בהתחייבות כספית ובפסילה מותנית.</w:t>
      </w:r>
    </w:p>
    <w:p w14:paraId="6571BD7B" w14:textId="77777777" w:rsidR="00182788" w:rsidRDefault="00182788" w:rsidP="00182788">
      <w:pPr>
        <w:spacing w:line="360" w:lineRule="auto"/>
        <w:jc w:val="both"/>
        <w:rPr>
          <w:i/>
          <w:iCs/>
          <w:rtl/>
        </w:rPr>
      </w:pPr>
    </w:p>
    <w:p w14:paraId="577F14BD" w14:textId="77777777" w:rsidR="00182788" w:rsidRPr="00B3735B" w:rsidRDefault="00182788" w:rsidP="00182788">
      <w:pPr>
        <w:spacing w:line="360" w:lineRule="auto"/>
        <w:jc w:val="both"/>
        <w:rPr>
          <w:i/>
          <w:iCs/>
          <w:rtl/>
        </w:rPr>
      </w:pPr>
    </w:p>
    <w:p w14:paraId="414B7692" w14:textId="77777777" w:rsidR="00182788" w:rsidRPr="002A7A21" w:rsidRDefault="00182788" w:rsidP="00182788">
      <w:pPr>
        <w:spacing w:line="360" w:lineRule="auto"/>
        <w:jc w:val="both"/>
        <w:rPr>
          <w:rtl/>
        </w:rPr>
      </w:pPr>
      <w:r w:rsidRPr="002A7A21">
        <w:rPr>
          <w:rFonts w:hint="cs"/>
          <w:b/>
          <w:bCs/>
          <w:u w:val="single"/>
          <w:rtl/>
        </w:rPr>
        <w:t>סוף-דבר, אני גוזר על הנאשם את העונשים הבאים</w:t>
      </w:r>
      <w:r w:rsidRPr="002A7A21">
        <w:rPr>
          <w:rFonts w:hint="cs"/>
          <w:rtl/>
        </w:rPr>
        <w:t>:</w:t>
      </w:r>
    </w:p>
    <w:p w14:paraId="071085B3" w14:textId="77777777" w:rsidR="00182788" w:rsidRPr="00745ACB" w:rsidRDefault="00182788" w:rsidP="00182788">
      <w:pPr>
        <w:pStyle w:val="ListParagraph1"/>
        <w:numPr>
          <w:ilvl w:val="0"/>
          <w:numId w:val="5"/>
        </w:numPr>
        <w:spacing w:line="360" w:lineRule="auto"/>
        <w:jc w:val="both"/>
      </w:pPr>
      <w:r w:rsidRPr="00745ACB">
        <w:rPr>
          <w:rFonts w:hint="cs"/>
          <w:rtl/>
        </w:rPr>
        <w:t>שישה חודשי מאסר על-תנאי למשך שנתיים מהיום, שלא יעבור עבירת סם שהיא פשע;</w:t>
      </w:r>
    </w:p>
    <w:p w14:paraId="1FE5E285" w14:textId="77777777" w:rsidR="00182788" w:rsidRPr="00745ACB" w:rsidRDefault="00182788" w:rsidP="00182788">
      <w:pPr>
        <w:pStyle w:val="ListParagraph1"/>
        <w:numPr>
          <w:ilvl w:val="0"/>
          <w:numId w:val="5"/>
        </w:numPr>
        <w:spacing w:line="360" w:lineRule="auto"/>
        <w:jc w:val="both"/>
      </w:pPr>
      <w:r w:rsidRPr="00745ACB">
        <w:rPr>
          <w:rFonts w:hint="cs"/>
          <w:rtl/>
        </w:rPr>
        <w:t>התחייבות בסך 2,000 ₪ למשך שנתיים מהיום, שלא יעבור עבירת סם שהיא פשע. לא תיחתם ההתחייבות, ייאסר הנאשם למשך חודש ימים;</w:t>
      </w:r>
    </w:p>
    <w:p w14:paraId="512FCE86" w14:textId="77777777" w:rsidR="00182788" w:rsidRPr="00745ACB" w:rsidRDefault="00182788" w:rsidP="00182788">
      <w:pPr>
        <w:pStyle w:val="ListParagraph1"/>
        <w:numPr>
          <w:ilvl w:val="0"/>
          <w:numId w:val="5"/>
        </w:numPr>
        <w:spacing w:line="360" w:lineRule="auto"/>
        <w:jc w:val="both"/>
      </w:pPr>
      <w:r w:rsidRPr="00745ACB">
        <w:rPr>
          <w:rFonts w:hint="cs"/>
          <w:rtl/>
        </w:rPr>
        <w:t>שישה חודשי פסילה על-תנאי מלנהוג או לקבל רישיון נהיגה, למשך שנתיים מהיום;</w:t>
      </w:r>
    </w:p>
    <w:p w14:paraId="3212CC16" w14:textId="77777777" w:rsidR="00182788" w:rsidRPr="00745ACB" w:rsidRDefault="00182788" w:rsidP="00182788">
      <w:pPr>
        <w:pStyle w:val="ListParagraph1"/>
        <w:numPr>
          <w:ilvl w:val="0"/>
          <w:numId w:val="5"/>
        </w:numPr>
        <w:spacing w:line="360" w:lineRule="auto"/>
        <w:jc w:val="both"/>
      </w:pPr>
      <w:r w:rsidRPr="00745ACB">
        <w:rPr>
          <w:rFonts w:hint="cs"/>
          <w:rtl/>
        </w:rPr>
        <w:t>פיקוח שירות המבחן למשך שנה מהיום. הנאשם כבר הוזהר כי הימנעות משיתוף פעולה עם השירות ועם גורמי הטיפול האחרים, תוביל להשבת התיק לבית המשפט ולגזירת עונש חלופי נוסף, שקרוב לוודאי יהא מאסר;</w:t>
      </w:r>
    </w:p>
    <w:p w14:paraId="162C46EE" w14:textId="77777777" w:rsidR="00182788" w:rsidRPr="00745ACB" w:rsidRDefault="00182788" w:rsidP="00182788">
      <w:pPr>
        <w:pStyle w:val="ListParagraph1"/>
        <w:numPr>
          <w:ilvl w:val="0"/>
          <w:numId w:val="5"/>
        </w:numPr>
        <w:spacing w:line="360" w:lineRule="auto"/>
        <w:jc w:val="both"/>
      </w:pPr>
      <w:r w:rsidRPr="00745ACB">
        <w:rPr>
          <w:rFonts w:hint="cs"/>
          <w:rtl/>
        </w:rPr>
        <w:t>180 שעות של"צ בעמותת מט"ב בתל-אביב, לפי תכנית שירות המבחן המאושרת עתה. הנאשם כבר הוזהר כי אי-ציות להוראות שירות המבחן או הממונים במקום השל"צ, יוביל להשבת התיק לבית המשפט ולגזירת עונש חלופי נוסף, שקרוב לוודאי יהא מאסר;</w:t>
      </w:r>
    </w:p>
    <w:p w14:paraId="3BA9D142" w14:textId="77777777" w:rsidR="00182788" w:rsidRDefault="00182788" w:rsidP="00182788">
      <w:pPr>
        <w:spacing w:line="360" w:lineRule="auto"/>
        <w:jc w:val="both"/>
        <w:rPr>
          <w:rtl/>
        </w:rPr>
      </w:pPr>
    </w:p>
    <w:p w14:paraId="7CCD9EAC" w14:textId="77777777" w:rsidR="00182788" w:rsidRDefault="00182788" w:rsidP="00182788">
      <w:pPr>
        <w:spacing w:line="360" w:lineRule="auto"/>
        <w:jc w:val="both"/>
        <w:rPr>
          <w:rtl/>
        </w:rPr>
      </w:pPr>
      <w:r>
        <w:rPr>
          <w:rFonts w:hint="cs"/>
          <w:b/>
          <w:bCs/>
          <w:u w:val="single"/>
          <w:rtl/>
        </w:rPr>
        <w:t>הוראות נלוות</w:t>
      </w:r>
      <w:r>
        <w:rPr>
          <w:rFonts w:hint="cs"/>
          <w:rtl/>
        </w:rPr>
        <w:t>:</w:t>
      </w:r>
    </w:p>
    <w:p w14:paraId="774D3A8C" w14:textId="77777777" w:rsidR="00182788" w:rsidRDefault="00182788" w:rsidP="00182788">
      <w:pPr>
        <w:spacing w:line="360" w:lineRule="auto"/>
        <w:ind w:left="720" w:hanging="720"/>
        <w:jc w:val="both"/>
        <w:rPr>
          <w:rtl/>
        </w:rPr>
      </w:pPr>
      <w:r>
        <w:rPr>
          <w:rFonts w:hint="cs"/>
          <w:rtl/>
        </w:rPr>
        <w:t>א.</w:t>
      </w:r>
      <w:r>
        <w:rPr>
          <w:rFonts w:hint="cs"/>
          <w:rtl/>
        </w:rPr>
        <w:tab/>
        <w:t>עותק גזר הדין יישלח לשירות המבחן;</w:t>
      </w:r>
    </w:p>
    <w:p w14:paraId="68CBF5AF" w14:textId="77777777" w:rsidR="00182788" w:rsidRDefault="00182788" w:rsidP="00182788">
      <w:pPr>
        <w:spacing w:line="360" w:lineRule="auto"/>
        <w:ind w:left="720" w:hanging="720"/>
        <w:jc w:val="both"/>
        <w:rPr>
          <w:rtl/>
        </w:rPr>
      </w:pPr>
      <w:r>
        <w:rPr>
          <w:rFonts w:hint="cs"/>
          <w:rtl/>
        </w:rPr>
        <w:t>ב.</w:t>
      </w:r>
      <w:r>
        <w:rPr>
          <w:rFonts w:hint="cs"/>
          <w:rtl/>
        </w:rPr>
        <w:tab/>
        <w:t>ככל שהפקיד הנאשם פיקדון בתיק בית המשפט או תיק המשטרה, יושב לו;</w:t>
      </w:r>
    </w:p>
    <w:p w14:paraId="739D18E8" w14:textId="77777777" w:rsidR="00182788" w:rsidRPr="00122A55" w:rsidRDefault="00182788" w:rsidP="00182788">
      <w:pPr>
        <w:spacing w:line="360" w:lineRule="auto"/>
        <w:ind w:left="720" w:hanging="720"/>
        <w:jc w:val="both"/>
        <w:rPr>
          <w:rtl/>
        </w:rPr>
      </w:pPr>
      <w:r>
        <w:rPr>
          <w:rFonts w:hint="cs"/>
          <w:rtl/>
        </w:rPr>
        <w:t>ג.</w:t>
      </w:r>
      <w:r>
        <w:rPr>
          <w:rFonts w:hint="cs"/>
          <w:rtl/>
        </w:rPr>
        <w:tab/>
        <w:t>מוצגים: סמים יושמדו. כל מוצג אחר פרט לכסף, יועבר להכרעה פרטנית של קצין משטרה;</w:t>
      </w:r>
    </w:p>
    <w:p w14:paraId="6CD1706B" w14:textId="77777777" w:rsidR="00182788" w:rsidRPr="00B05847" w:rsidRDefault="00182788" w:rsidP="00182788">
      <w:pPr>
        <w:spacing w:line="360" w:lineRule="auto"/>
        <w:jc w:val="both"/>
        <w:rPr>
          <w:rtl/>
        </w:rPr>
      </w:pPr>
    </w:p>
    <w:p w14:paraId="39D2A7B1" w14:textId="77777777" w:rsidR="00182788" w:rsidRDefault="00182788" w:rsidP="00182788">
      <w:pPr>
        <w:spacing w:line="360" w:lineRule="auto"/>
        <w:jc w:val="both"/>
        <w:rPr>
          <w:rFonts w:ascii="Arial" w:hAnsi="Arial"/>
          <w:rtl/>
        </w:rPr>
      </w:pPr>
      <w:r>
        <w:rPr>
          <w:rFonts w:ascii="Arial" w:hAnsi="Arial" w:hint="cs"/>
          <w:rtl/>
        </w:rPr>
        <w:t>זכות ערעור תוך 45 יום מהיום לבית המשפט המחוזי.</w:t>
      </w:r>
    </w:p>
    <w:p w14:paraId="6177FDA7" w14:textId="77777777" w:rsidR="00182788" w:rsidRPr="00343316" w:rsidRDefault="00343316" w:rsidP="00182788">
      <w:pPr>
        <w:spacing w:line="360" w:lineRule="auto"/>
        <w:jc w:val="both"/>
        <w:rPr>
          <w:rFonts w:ascii="Arial" w:hAnsi="Arial"/>
          <w:color w:val="FFFFFF"/>
          <w:sz w:val="2"/>
          <w:szCs w:val="2"/>
          <w:rtl/>
        </w:rPr>
      </w:pPr>
      <w:r w:rsidRPr="00343316">
        <w:rPr>
          <w:rFonts w:ascii="Arial" w:hAnsi="Arial"/>
          <w:color w:val="FFFFFF"/>
          <w:sz w:val="2"/>
          <w:szCs w:val="2"/>
          <w:rtl/>
        </w:rPr>
        <w:t>5129371</w:t>
      </w:r>
    </w:p>
    <w:p w14:paraId="534ACD07" w14:textId="77777777" w:rsidR="00182788" w:rsidRPr="00250B83" w:rsidRDefault="00343316" w:rsidP="00182788">
      <w:pPr>
        <w:rPr>
          <w:rtl/>
        </w:rPr>
      </w:pPr>
      <w:r w:rsidRPr="00343316">
        <w:rPr>
          <w:rFonts w:ascii="Arial" w:hAnsi="Arial"/>
          <w:color w:val="FFFFFF"/>
          <w:sz w:val="2"/>
          <w:szCs w:val="2"/>
          <w:rtl/>
        </w:rPr>
        <w:t>54678313</w:t>
      </w:r>
      <w:r>
        <w:rPr>
          <w:rFonts w:ascii="Arial" w:hAnsi="Arial"/>
          <w:rtl/>
        </w:rPr>
        <w:t xml:space="preserve">ניתן היום,  ד' אב תשע"ח, 16 יולי 2018, במעמד הצדדים. </w:t>
      </w:r>
    </w:p>
    <w:p w14:paraId="77A86BD1" w14:textId="77777777" w:rsidR="00182788" w:rsidRPr="00250B83" w:rsidRDefault="00182788" w:rsidP="00182788">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133D2ECF" w14:textId="77777777" w:rsidR="00182788" w:rsidRPr="00250B83" w:rsidRDefault="00182788" w:rsidP="00182788">
      <w:pPr>
        <w:jc w:val="center"/>
        <w:rPr>
          <w:rFonts w:ascii="Arial" w:hAnsi="Arial"/>
          <w:rtl/>
        </w:rPr>
      </w:pPr>
    </w:p>
    <w:p w14:paraId="2D3974AC" w14:textId="77777777" w:rsidR="00182788" w:rsidRPr="00250B83" w:rsidRDefault="00182788" w:rsidP="00182788">
      <w:pPr>
        <w:rPr>
          <w:rtl/>
        </w:rPr>
      </w:pPr>
    </w:p>
    <w:p w14:paraId="103DAA2D" w14:textId="77777777" w:rsidR="00182788" w:rsidRPr="0020279B" w:rsidRDefault="0020279B" w:rsidP="00182788">
      <w:pPr>
        <w:pStyle w:val="a3"/>
        <w:jc w:val="center"/>
        <w:rPr>
          <w:color w:val="FFFFFF"/>
          <w:sz w:val="2"/>
          <w:szCs w:val="2"/>
          <w:rtl/>
        </w:rPr>
      </w:pPr>
      <w:r w:rsidRPr="0020279B">
        <w:rPr>
          <w:color w:val="FFFFFF"/>
          <w:sz w:val="2"/>
          <w:szCs w:val="2"/>
          <w:rtl/>
        </w:rPr>
        <w:t>5129371</w:t>
      </w:r>
    </w:p>
    <w:p w14:paraId="28B642F6" w14:textId="77777777" w:rsidR="00626BE4" w:rsidRPr="0020279B" w:rsidRDefault="0020279B" w:rsidP="00343316">
      <w:pPr>
        <w:keepNext/>
        <w:rPr>
          <w:rFonts w:ascii="David" w:hAnsi="David"/>
          <w:color w:val="FFFFFF"/>
          <w:sz w:val="2"/>
          <w:szCs w:val="2"/>
          <w:rtl/>
        </w:rPr>
      </w:pPr>
      <w:r w:rsidRPr="0020279B">
        <w:rPr>
          <w:rFonts w:ascii="David" w:hAnsi="David"/>
          <w:color w:val="FFFFFF"/>
          <w:sz w:val="2"/>
          <w:szCs w:val="2"/>
          <w:rtl/>
        </w:rPr>
        <w:t>54678313</w:t>
      </w:r>
    </w:p>
    <w:p w14:paraId="73339D33" w14:textId="77777777" w:rsidR="00343316" w:rsidRPr="00343316" w:rsidRDefault="00343316" w:rsidP="00343316">
      <w:pPr>
        <w:keepNext/>
        <w:rPr>
          <w:rFonts w:ascii="David" w:hAnsi="David"/>
          <w:color w:val="000000"/>
          <w:sz w:val="22"/>
          <w:szCs w:val="22"/>
          <w:rtl/>
        </w:rPr>
      </w:pPr>
      <w:r w:rsidRPr="00343316">
        <w:rPr>
          <w:rFonts w:ascii="David" w:hAnsi="David"/>
          <w:color w:val="000000"/>
          <w:sz w:val="22"/>
          <w:szCs w:val="22"/>
          <w:rtl/>
        </w:rPr>
        <w:t>עידו דרויאן גמליאל 54678313</w:t>
      </w:r>
    </w:p>
    <w:p w14:paraId="1E229275" w14:textId="77777777" w:rsidR="00343316" w:rsidRDefault="00343316" w:rsidP="00343316">
      <w:r w:rsidRPr="00343316">
        <w:rPr>
          <w:color w:val="000000"/>
          <w:rtl/>
        </w:rPr>
        <w:t>נוסח מסמך זה כפוף לשינויי ניסוח ועריכה</w:t>
      </w:r>
    </w:p>
    <w:p w14:paraId="2F595FC2" w14:textId="77777777" w:rsidR="00343316" w:rsidRDefault="00343316" w:rsidP="00343316">
      <w:pPr>
        <w:rPr>
          <w:rtl/>
        </w:rPr>
      </w:pPr>
    </w:p>
    <w:p w14:paraId="12BB535F" w14:textId="77777777" w:rsidR="00343316" w:rsidRDefault="00343316" w:rsidP="00343316">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r w:rsidR="00380A7F">
        <w:rPr>
          <w:rFonts w:hint="cs"/>
          <w:color w:val="0000FF"/>
          <w:u w:val="single"/>
          <w:rtl/>
        </w:rPr>
        <w:t xml:space="preserve"> </w:t>
      </w:r>
    </w:p>
    <w:p w14:paraId="377A1856" w14:textId="77777777" w:rsidR="0020279B" w:rsidRPr="0020279B" w:rsidRDefault="0020279B" w:rsidP="0020279B">
      <w:pPr>
        <w:keepNext/>
        <w:rPr>
          <w:rFonts w:ascii="David" w:hAnsi="David"/>
          <w:color w:val="000000"/>
          <w:sz w:val="22"/>
          <w:szCs w:val="22"/>
          <w:rtl/>
        </w:rPr>
      </w:pPr>
    </w:p>
    <w:sectPr w:rsidR="0020279B" w:rsidRPr="0020279B" w:rsidSect="0020279B">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359BB" w14:textId="77777777" w:rsidR="00EE3DB5" w:rsidRDefault="00EE3DB5" w:rsidP="00B96A7E">
      <w:r>
        <w:separator/>
      </w:r>
    </w:p>
  </w:endnote>
  <w:endnote w:type="continuationSeparator" w:id="0">
    <w:p w14:paraId="2CB5DA0D" w14:textId="77777777" w:rsidR="00EE3DB5" w:rsidRDefault="00EE3DB5" w:rsidP="00B96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17B59" w14:textId="77777777" w:rsidR="0020279B" w:rsidRDefault="0020279B" w:rsidP="0020279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175F2BA" w14:textId="77777777" w:rsidR="005214AB" w:rsidRPr="0020279B" w:rsidRDefault="0020279B" w:rsidP="0020279B">
    <w:pPr>
      <w:pStyle w:val="a5"/>
      <w:pBdr>
        <w:top w:val="single" w:sz="4" w:space="1" w:color="auto"/>
        <w:between w:val="single" w:sz="4" w:space="0" w:color="auto"/>
      </w:pBdr>
      <w:spacing w:after="60"/>
      <w:jc w:val="center"/>
      <w:rPr>
        <w:rFonts w:ascii="FrankRuehl" w:hAnsi="FrankRuehl" w:cs="FrankRuehl"/>
        <w:color w:val="000000"/>
      </w:rPr>
    </w:pPr>
    <w:r w:rsidRPr="0020279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237E3" w14:textId="77777777" w:rsidR="0020279B" w:rsidRDefault="0020279B" w:rsidP="0020279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B044B">
      <w:rPr>
        <w:rFonts w:ascii="FrankRuehl" w:hAnsi="FrankRuehl" w:cs="FrankRuehl"/>
        <w:noProof/>
        <w:rtl/>
      </w:rPr>
      <w:t>2</w:t>
    </w:r>
    <w:r>
      <w:rPr>
        <w:rFonts w:ascii="FrankRuehl" w:hAnsi="FrankRuehl" w:cs="FrankRuehl"/>
        <w:rtl/>
      </w:rPr>
      <w:fldChar w:fldCharType="end"/>
    </w:r>
  </w:p>
  <w:p w14:paraId="61E6BC61" w14:textId="77777777" w:rsidR="005214AB" w:rsidRPr="0020279B" w:rsidRDefault="0020279B" w:rsidP="0020279B">
    <w:pPr>
      <w:pStyle w:val="a5"/>
      <w:pBdr>
        <w:top w:val="single" w:sz="4" w:space="1" w:color="auto"/>
        <w:between w:val="single" w:sz="4" w:space="0" w:color="auto"/>
      </w:pBdr>
      <w:spacing w:after="60"/>
      <w:jc w:val="center"/>
      <w:rPr>
        <w:rFonts w:ascii="FrankRuehl" w:hAnsi="FrankRuehl" w:cs="FrankRuehl"/>
        <w:color w:val="000000"/>
      </w:rPr>
    </w:pPr>
    <w:r w:rsidRPr="0020279B">
      <w:rPr>
        <w:rFonts w:ascii="FrankRuehl" w:hAnsi="FrankRuehl" w:cs="FrankRuehl"/>
        <w:color w:val="000000"/>
      </w:rPr>
      <w:pict w14:anchorId="63AD7B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FD48C" w14:textId="77777777" w:rsidR="00EE3DB5" w:rsidRDefault="00EE3DB5" w:rsidP="00B96A7E">
      <w:r>
        <w:separator/>
      </w:r>
    </w:p>
  </w:footnote>
  <w:footnote w:type="continuationSeparator" w:id="0">
    <w:p w14:paraId="17B002E5" w14:textId="77777777" w:rsidR="00EE3DB5" w:rsidRDefault="00EE3DB5" w:rsidP="00B96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9F580" w14:textId="77777777" w:rsidR="00343316" w:rsidRPr="0020279B" w:rsidRDefault="0020279B" w:rsidP="0020279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30169-09-16</w:t>
    </w:r>
    <w:r>
      <w:rPr>
        <w:rFonts w:ascii="David" w:hAnsi="David"/>
        <w:color w:val="000000"/>
        <w:sz w:val="22"/>
        <w:szCs w:val="22"/>
        <w:rtl/>
      </w:rPr>
      <w:tab/>
      <w:t xml:space="preserve"> מדינת ישראל נ' דרור מזרחי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42354" w14:textId="77777777" w:rsidR="00343316" w:rsidRPr="0020279B" w:rsidRDefault="0020279B" w:rsidP="0020279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30169-09-16</w:t>
    </w:r>
    <w:r>
      <w:rPr>
        <w:rFonts w:ascii="David" w:hAnsi="David"/>
        <w:color w:val="000000"/>
        <w:sz w:val="22"/>
        <w:szCs w:val="22"/>
        <w:rtl/>
      </w:rPr>
      <w:tab/>
      <w:t xml:space="preserve"> מדינת ישראל נ' דרור מזרחי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4236D"/>
    <w:multiLevelType w:val="hybridMultilevel"/>
    <w:tmpl w:val="A7BA0EA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2D5964C4"/>
    <w:multiLevelType w:val="hybridMultilevel"/>
    <w:tmpl w:val="506A5CB4"/>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3A1207FD"/>
    <w:multiLevelType w:val="hybridMultilevel"/>
    <w:tmpl w:val="256AA224"/>
    <w:lvl w:ilvl="0" w:tplc="04090013">
      <w:start w:val="1"/>
      <w:numFmt w:val="hebrew1"/>
      <w:lvlText w:val="%1."/>
      <w:lvlJc w:val="center"/>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5C35FDB"/>
    <w:multiLevelType w:val="hybridMultilevel"/>
    <w:tmpl w:val="2F262858"/>
    <w:lvl w:ilvl="0" w:tplc="33D6E3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72A46E3"/>
    <w:multiLevelType w:val="hybridMultilevel"/>
    <w:tmpl w:val="51A6B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5521407">
    <w:abstractNumId w:val="4"/>
  </w:num>
  <w:num w:numId="2" w16cid:durableId="1675839788">
    <w:abstractNumId w:val="3"/>
  </w:num>
  <w:num w:numId="3" w16cid:durableId="1372266634">
    <w:abstractNumId w:val="1"/>
  </w:num>
  <w:num w:numId="4" w16cid:durableId="107430394">
    <w:abstractNumId w:val="0"/>
  </w:num>
  <w:num w:numId="5" w16cid:durableId="1343049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82788"/>
    <w:rsid w:val="00182788"/>
    <w:rsid w:val="0020279B"/>
    <w:rsid w:val="00343316"/>
    <w:rsid w:val="00380A7F"/>
    <w:rsid w:val="00440745"/>
    <w:rsid w:val="00454C7B"/>
    <w:rsid w:val="005214AB"/>
    <w:rsid w:val="00525721"/>
    <w:rsid w:val="005B044B"/>
    <w:rsid w:val="00626BE4"/>
    <w:rsid w:val="006D2144"/>
    <w:rsid w:val="00B96A7E"/>
    <w:rsid w:val="00C2154B"/>
    <w:rsid w:val="00E955F8"/>
    <w:rsid w:val="00EE3D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CC1F238"/>
  <w15:chartTrackingRefBased/>
  <w15:docId w15:val="{72AA704E-1C74-4394-AACA-A80373AAD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278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82788"/>
    <w:pPr>
      <w:tabs>
        <w:tab w:val="center" w:pos="4153"/>
        <w:tab w:val="right" w:pos="8306"/>
      </w:tabs>
    </w:pPr>
  </w:style>
  <w:style w:type="character" w:customStyle="1" w:styleId="a4">
    <w:name w:val="כותרת עליונה תו"/>
    <w:link w:val="a3"/>
    <w:rsid w:val="00182788"/>
    <w:rPr>
      <w:rFonts w:ascii="Times New Roman" w:eastAsia="Times New Roman" w:hAnsi="Times New Roman" w:cs="David"/>
      <w:sz w:val="24"/>
      <w:szCs w:val="24"/>
    </w:rPr>
  </w:style>
  <w:style w:type="paragraph" w:styleId="a5">
    <w:name w:val="footer"/>
    <w:basedOn w:val="a"/>
    <w:link w:val="a6"/>
    <w:rsid w:val="00182788"/>
    <w:pPr>
      <w:tabs>
        <w:tab w:val="center" w:pos="4153"/>
        <w:tab w:val="right" w:pos="8306"/>
      </w:tabs>
    </w:pPr>
  </w:style>
  <w:style w:type="character" w:customStyle="1" w:styleId="a6">
    <w:name w:val="כותרת תחתונה תו"/>
    <w:link w:val="a5"/>
    <w:rsid w:val="00182788"/>
    <w:rPr>
      <w:rFonts w:ascii="Times New Roman" w:eastAsia="Times New Roman" w:hAnsi="Times New Roman" w:cs="David"/>
      <w:sz w:val="24"/>
      <w:szCs w:val="24"/>
    </w:rPr>
  </w:style>
  <w:style w:type="table" w:styleId="a7">
    <w:name w:val="Table Grid"/>
    <w:basedOn w:val="a1"/>
    <w:rsid w:val="0018278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82788"/>
  </w:style>
  <w:style w:type="paragraph" w:customStyle="1" w:styleId="ListParagraph1">
    <w:name w:val="List Paragraph1"/>
    <w:basedOn w:val="a"/>
    <w:qFormat/>
    <w:rsid w:val="00182788"/>
    <w:pPr>
      <w:ind w:left="720"/>
      <w:contextualSpacing/>
    </w:pPr>
  </w:style>
  <w:style w:type="character" w:styleId="Hyperlink">
    <w:name w:val="Hyperlink"/>
    <w:rsid w:val="0034331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17968252" TargetMode="External"/><Relationship Id="rId26" Type="http://schemas.openxmlformats.org/officeDocument/2006/relationships/hyperlink" Target="http://www.nevo.co.il/case/22350044" TargetMode="External"/><Relationship Id="rId3" Type="http://schemas.openxmlformats.org/officeDocument/2006/relationships/settings" Target="settings.xml"/><Relationship Id="rId21" Type="http://schemas.openxmlformats.org/officeDocument/2006/relationships/hyperlink" Target="http://www.nevo.co.il/case/18143552"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20491201" TargetMode="External"/><Relationship Id="rId25" Type="http://schemas.openxmlformats.org/officeDocument/2006/relationships/hyperlink" Target="http://www.nevo.co.il/case/2044595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2215998" TargetMode="External"/><Relationship Id="rId20" Type="http://schemas.openxmlformats.org/officeDocument/2006/relationships/hyperlink" Target="http://www.nevo.co.il/case/20297988"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case/21480285"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0443128" TargetMode="External"/><Relationship Id="rId23" Type="http://schemas.openxmlformats.org/officeDocument/2006/relationships/hyperlink" Target="http://www.nevo.co.il/case/22938500" TargetMode="External"/><Relationship Id="rId28" Type="http://schemas.openxmlformats.org/officeDocument/2006/relationships/header" Target="header1.xml"/><Relationship Id="rId10" Type="http://schemas.openxmlformats.org/officeDocument/2006/relationships/hyperlink" Target="http://www.nevo.co.il/law/127622" TargetMode="External"/><Relationship Id="rId19" Type="http://schemas.openxmlformats.org/officeDocument/2006/relationships/hyperlink" Target="http://www.nevo.co.il/case/20971268"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127622" TargetMode="External"/><Relationship Id="rId22" Type="http://schemas.openxmlformats.org/officeDocument/2006/relationships/hyperlink" Target="http://www.nevo.co.il/case/20009419"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1388</Words>
  <Characters>6945</Characters>
  <Application>Microsoft Office Word</Application>
  <DocSecurity>0</DocSecurity>
  <Lines>57</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8317</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3473523</vt:i4>
      </vt:variant>
      <vt:variant>
        <vt:i4>57</vt:i4>
      </vt:variant>
      <vt:variant>
        <vt:i4>0</vt:i4>
      </vt:variant>
      <vt:variant>
        <vt:i4>5</vt:i4>
      </vt:variant>
      <vt:variant>
        <vt:lpwstr>http://www.nevo.co.il/case/22350044</vt:lpwstr>
      </vt:variant>
      <vt:variant>
        <vt:lpwstr/>
      </vt:variant>
      <vt:variant>
        <vt:i4>3539065</vt:i4>
      </vt:variant>
      <vt:variant>
        <vt:i4>54</vt:i4>
      </vt:variant>
      <vt:variant>
        <vt:i4>0</vt:i4>
      </vt:variant>
      <vt:variant>
        <vt:i4>5</vt:i4>
      </vt:variant>
      <vt:variant>
        <vt:lpwstr>http://www.nevo.co.il/case/20445954</vt:lpwstr>
      </vt:variant>
      <vt:variant>
        <vt:lpwstr/>
      </vt:variant>
      <vt:variant>
        <vt:i4>4063359</vt:i4>
      </vt:variant>
      <vt:variant>
        <vt:i4>51</vt:i4>
      </vt:variant>
      <vt:variant>
        <vt:i4>0</vt:i4>
      </vt:variant>
      <vt:variant>
        <vt:i4>5</vt:i4>
      </vt:variant>
      <vt:variant>
        <vt:lpwstr>http://www.nevo.co.il/case/21480285</vt:lpwstr>
      </vt:variant>
      <vt:variant>
        <vt:lpwstr/>
      </vt:variant>
      <vt:variant>
        <vt:i4>3342448</vt:i4>
      </vt:variant>
      <vt:variant>
        <vt:i4>48</vt:i4>
      </vt:variant>
      <vt:variant>
        <vt:i4>0</vt:i4>
      </vt:variant>
      <vt:variant>
        <vt:i4>5</vt:i4>
      </vt:variant>
      <vt:variant>
        <vt:lpwstr>http://www.nevo.co.il/case/22938500</vt:lpwstr>
      </vt:variant>
      <vt:variant>
        <vt:lpwstr/>
      </vt:variant>
      <vt:variant>
        <vt:i4>3801200</vt:i4>
      </vt:variant>
      <vt:variant>
        <vt:i4>45</vt:i4>
      </vt:variant>
      <vt:variant>
        <vt:i4>0</vt:i4>
      </vt:variant>
      <vt:variant>
        <vt:i4>5</vt:i4>
      </vt:variant>
      <vt:variant>
        <vt:lpwstr>http://www.nevo.co.il/case/20009419</vt:lpwstr>
      </vt:variant>
      <vt:variant>
        <vt:lpwstr/>
      </vt:variant>
      <vt:variant>
        <vt:i4>3539069</vt:i4>
      </vt:variant>
      <vt:variant>
        <vt:i4>42</vt:i4>
      </vt:variant>
      <vt:variant>
        <vt:i4>0</vt:i4>
      </vt:variant>
      <vt:variant>
        <vt:i4>5</vt:i4>
      </vt:variant>
      <vt:variant>
        <vt:lpwstr>http://www.nevo.co.il/case/18143552</vt:lpwstr>
      </vt:variant>
      <vt:variant>
        <vt:lpwstr/>
      </vt:variant>
      <vt:variant>
        <vt:i4>4128884</vt:i4>
      </vt:variant>
      <vt:variant>
        <vt:i4>39</vt:i4>
      </vt:variant>
      <vt:variant>
        <vt:i4>0</vt:i4>
      </vt:variant>
      <vt:variant>
        <vt:i4>5</vt:i4>
      </vt:variant>
      <vt:variant>
        <vt:lpwstr>http://www.nevo.co.il/case/20297988</vt:lpwstr>
      </vt:variant>
      <vt:variant>
        <vt:lpwstr/>
      </vt:variant>
      <vt:variant>
        <vt:i4>3932273</vt:i4>
      </vt:variant>
      <vt:variant>
        <vt:i4>36</vt:i4>
      </vt:variant>
      <vt:variant>
        <vt:i4>0</vt:i4>
      </vt:variant>
      <vt:variant>
        <vt:i4>5</vt:i4>
      </vt:variant>
      <vt:variant>
        <vt:lpwstr>http://www.nevo.co.il/case/20971268</vt:lpwstr>
      </vt:variant>
      <vt:variant>
        <vt:lpwstr/>
      </vt:variant>
      <vt:variant>
        <vt:i4>3473527</vt:i4>
      </vt:variant>
      <vt:variant>
        <vt:i4>33</vt:i4>
      </vt:variant>
      <vt:variant>
        <vt:i4>0</vt:i4>
      </vt:variant>
      <vt:variant>
        <vt:i4>5</vt:i4>
      </vt:variant>
      <vt:variant>
        <vt:lpwstr>http://www.nevo.co.il/case/17968252</vt:lpwstr>
      </vt:variant>
      <vt:variant>
        <vt:lpwstr/>
      </vt:variant>
      <vt:variant>
        <vt:i4>3604607</vt:i4>
      </vt:variant>
      <vt:variant>
        <vt:i4>30</vt:i4>
      </vt:variant>
      <vt:variant>
        <vt:i4>0</vt:i4>
      </vt:variant>
      <vt:variant>
        <vt:i4>5</vt:i4>
      </vt:variant>
      <vt:variant>
        <vt:lpwstr>http://www.nevo.co.il/case/20491201</vt:lpwstr>
      </vt:variant>
      <vt:variant>
        <vt:lpwstr/>
      </vt:variant>
      <vt:variant>
        <vt:i4>3932286</vt:i4>
      </vt:variant>
      <vt:variant>
        <vt:i4>27</vt:i4>
      </vt:variant>
      <vt:variant>
        <vt:i4>0</vt:i4>
      </vt:variant>
      <vt:variant>
        <vt:i4>5</vt:i4>
      </vt:variant>
      <vt:variant>
        <vt:lpwstr>http://www.nevo.co.il/case/22215998</vt:lpwstr>
      </vt:variant>
      <vt:variant>
        <vt:lpwstr/>
      </vt:variant>
      <vt:variant>
        <vt:i4>3604593</vt:i4>
      </vt:variant>
      <vt:variant>
        <vt:i4>24</vt:i4>
      </vt:variant>
      <vt:variant>
        <vt:i4>0</vt:i4>
      </vt:variant>
      <vt:variant>
        <vt:i4>5</vt:i4>
      </vt:variant>
      <vt:variant>
        <vt:lpwstr>http://www.nevo.co.il/case/20443128</vt:lpwstr>
      </vt:variant>
      <vt:variant>
        <vt:lpwstr/>
      </vt:variant>
      <vt:variant>
        <vt:i4>4980820</vt:i4>
      </vt:variant>
      <vt:variant>
        <vt:i4>21</vt:i4>
      </vt:variant>
      <vt:variant>
        <vt:i4>0</vt:i4>
      </vt:variant>
      <vt:variant>
        <vt:i4>5</vt:i4>
      </vt:variant>
      <vt:variant>
        <vt:lpwstr>http://www.nevo.co.il/law/127622</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4980820</vt:i4>
      </vt:variant>
      <vt:variant>
        <vt:i4>9</vt:i4>
      </vt:variant>
      <vt:variant>
        <vt:i4>0</vt:i4>
      </vt:variant>
      <vt:variant>
        <vt:i4>5</vt:i4>
      </vt:variant>
      <vt:variant>
        <vt:lpwstr>http://www.nevo.co.il/law/127622</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2025-04-22T23:11:00Z</dcterms:created>
  <dcterms:modified xsi:type="dcterms:W3CDTF">2025-04-22T23:11:00Z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30169</vt:lpwstr>
  </property>
  <property fmtid="{D5CDD505-2E9C-101B-9397-08002B2CF9AE}" pid="6" name="NEWPARTB">
    <vt:lpwstr>09</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דרור מזרחי</vt:lpwstr>
  </property>
  <property fmtid="{D5CDD505-2E9C-101B-9397-08002B2CF9AE}" pid="10" name="LAWYER">
    <vt:lpwstr>זוסמן;מיכל רובינשטיין</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20180716</vt:lpwstr>
  </property>
  <property fmtid="{D5CDD505-2E9C-101B-9397-08002B2CF9AE}" pid="14" name="TYPE_N_DATE">
    <vt:lpwstr>38020180716</vt:lpwstr>
  </property>
  <property fmtid="{D5CDD505-2E9C-101B-9397-08002B2CF9AE}" pid="15" name="CASESLISTTMP1">
    <vt:lpwstr>20443128;22215998;20491201;17968252;20971268;20297988;18143552;20009419;22938500;21480285;20445954;22350044</vt:lpwstr>
  </property>
  <property fmtid="{D5CDD505-2E9C-101B-9397-08002B2CF9AE}" pid="16" name="WORDNUMPAGES">
    <vt:lpwstr>4</vt:lpwstr>
  </property>
  <property fmtid="{D5CDD505-2E9C-101B-9397-08002B2CF9AE}" pid="17" name="TYPE_ABS_DATE">
    <vt:lpwstr>380020180716</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vt:lpwstr>
  </property>
  <property fmtid="{D5CDD505-2E9C-101B-9397-08002B2CF9AE}" pid="37" name="LAWLISTTMP2">
    <vt:lpwstr>127622</vt:lpwstr>
  </property>
</Properties>
</file>