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33307" w:rsidRPr="00E97283" w14:paraId="2398AC7C" w14:textId="77777777" w:rsidTr="00C30594">
        <w:trPr>
          <w:trHeight w:hRule="exact" w:val="418"/>
          <w:jc w:val="center"/>
        </w:trPr>
        <w:tc>
          <w:tcPr>
            <w:tcW w:w="8720" w:type="dxa"/>
            <w:gridSpan w:val="3"/>
          </w:tcPr>
          <w:p w14:paraId="1707DC3C" w14:textId="77777777" w:rsidR="00833307" w:rsidRPr="00E97283" w:rsidRDefault="00833307" w:rsidP="00C30594">
            <w:pPr>
              <w:pStyle w:val="a3"/>
              <w:tabs>
                <w:tab w:val="clear" w:pos="8306"/>
              </w:tabs>
              <w:jc w:val="center"/>
              <w:rPr>
                <w:rFonts w:ascii="Tahoma" w:hAnsi="Tahoma" w:cs="Tahoma"/>
                <w:b/>
                <w:bCs/>
                <w:color w:val="000080"/>
                <w:sz w:val="20"/>
                <w:szCs w:val="20"/>
                <w:rtl/>
              </w:rPr>
            </w:pPr>
            <w:bookmarkStart w:id="0" w:name="LastJudge"/>
            <w:r w:rsidRPr="00E97283">
              <w:rPr>
                <w:rFonts w:ascii="Tahoma" w:hAnsi="Tahoma" w:cs="Tahoma"/>
                <w:b/>
                <w:bCs/>
                <w:color w:val="000080"/>
                <w:sz w:val="20"/>
                <w:szCs w:val="20"/>
                <w:rtl/>
              </w:rPr>
              <w:t>בית משפט השלום בנתניה</w:t>
            </w:r>
          </w:p>
        </w:tc>
      </w:tr>
      <w:tr w:rsidR="00833307" w:rsidRPr="00E97283" w14:paraId="79D004D0" w14:textId="77777777" w:rsidTr="00C30594">
        <w:trPr>
          <w:trHeight w:val="337"/>
          <w:jc w:val="center"/>
        </w:trPr>
        <w:tc>
          <w:tcPr>
            <w:tcW w:w="6396" w:type="dxa"/>
          </w:tcPr>
          <w:p w14:paraId="331DDDD9" w14:textId="77777777" w:rsidR="00833307" w:rsidRPr="00E97283" w:rsidRDefault="00833307" w:rsidP="00C30594">
            <w:pPr>
              <w:rPr>
                <w:b/>
                <w:bCs/>
                <w:sz w:val="26"/>
                <w:szCs w:val="26"/>
                <w:rtl/>
              </w:rPr>
            </w:pPr>
            <w:r w:rsidRPr="00E97283">
              <w:rPr>
                <w:b/>
                <w:bCs/>
                <w:sz w:val="26"/>
                <w:szCs w:val="26"/>
                <w:rtl/>
              </w:rPr>
              <w:t>ת"פ</w:t>
            </w:r>
            <w:r w:rsidRPr="00E97283">
              <w:rPr>
                <w:rFonts w:hint="cs"/>
                <w:b/>
                <w:bCs/>
                <w:sz w:val="26"/>
                <w:szCs w:val="26"/>
                <w:rtl/>
              </w:rPr>
              <w:t xml:space="preserve"> </w:t>
            </w:r>
            <w:r w:rsidRPr="00E97283">
              <w:rPr>
                <w:b/>
                <w:bCs/>
                <w:sz w:val="26"/>
                <w:szCs w:val="26"/>
                <w:rtl/>
              </w:rPr>
              <w:t>15619-10-16</w:t>
            </w:r>
            <w:r w:rsidRPr="00E97283">
              <w:rPr>
                <w:rFonts w:hint="cs"/>
                <w:b/>
                <w:bCs/>
                <w:sz w:val="26"/>
                <w:szCs w:val="26"/>
                <w:rtl/>
              </w:rPr>
              <w:t xml:space="preserve"> </w:t>
            </w:r>
            <w:r w:rsidRPr="00E97283">
              <w:rPr>
                <w:b/>
                <w:bCs/>
                <w:sz w:val="26"/>
                <w:szCs w:val="26"/>
                <w:rtl/>
              </w:rPr>
              <w:t>מדינת ישראל נ' יפרח</w:t>
            </w:r>
          </w:p>
          <w:p w14:paraId="1BD4AEA4" w14:textId="77777777" w:rsidR="00833307" w:rsidRPr="00E97283" w:rsidRDefault="00833307" w:rsidP="00C30594">
            <w:pPr>
              <w:rPr>
                <w:b/>
                <w:bCs/>
                <w:sz w:val="26"/>
                <w:szCs w:val="26"/>
                <w:rtl/>
              </w:rPr>
            </w:pPr>
          </w:p>
        </w:tc>
        <w:tc>
          <w:tcPr>
            <w:tcW w:w="236" w:type="dxa"/>
          </w:tcPr>
          <w:p w14:paraId="493C9721" w14:textId="77777777" w:rsidR="00833307" w:rsidRPr="00E97283" w:rsidRDefault="00833307" w:rsidP="00C30594">
            <w:pPr>
              <w:pStyle w:val="a3"/>
              <w:jc w:val="right"/>
              <w:rPr>
                <w:b/>
                <w:bCs/>
                <w:sz w:val="26"/>
                <w:szCs w:val="26"/>
                <w:rtl/>
              </w:rPr>
            </w:pPr>
          </w:p>
        </w:tc>
        <w:tc>
          <w:tcPr>
            <w:tcW w:w="2088" w:type="dxa"/>
          </w:tcPr>
          <w:p w14:paraId="347EA6C1" w14:textId="77777777" w:rsidR="00833307" w:rsidRPr="00E97283" w:rsidRDefault="00833307" w:rsidP="00C30594">
            <w:pPr>
              <w:pStyle w:val="a3"/>
              <w:tabs>
                <w:tab w:val="clear" w:pos="4153"/>
              </w:tabs>
              <w:jc w:val="right"/>
              <w:rPr>
                <w:b/>
                <w:bCs/>
                <w:sz w:val="26"/>
                <w:szCs w:val="26"/>
                <w:rtl/>
              </w:rPr>
            </w:pPr>
            <w:r w:rsidRPr="00E97283">
              <w:rPr>
                <w:b/>
                <w:bCs/>
                <w:sz w:val="26"/>
                <w:szCs w:val="26"/>
                <w:rtl/>
              </w:rPr>
              <w:t>02 ינואר 2018</w:t>
            </w:r>
          </w:p>
        </w:tc>
      </w:tr>
    </w:tbl>
    <w:p w14:paraId="3C55A370" w14:textId="77777777" w:rsidR="00833307" w:rsidRPr="00E97283" w:rsidRDefault="00833307" w:rsidP="00833307">
      <w:pPr>
        <w:pStyle w:val="a3"/>
        <w:jc w:val="center"/>
        <w:rPr>
          <w:rFonts w:ascii="Tahoma" w:hAnsi="Tahoma" w:cs="Tahoma"/>
          <w:b/>
          <w:bCs/>
          <w:color w:val="000080"/>
          <w:sz w:val="20"/>
          <w:szCs w:val="20"/>
          <w:rtl/>
        </w:rPr>
      </w:pPr>
    </w:p>
    <w:p w14:paraId="3C6BCD8A" w14:textId="77777777" w:rsidR="00833307" w:rsidRPr="00E97283" w:rsidRDefault="00833307" w:rsidP="0083330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C30594" w:rsidRPr="00E97283" w14:paraId="68D1D45D" w14:textId="77777777" w:rsidTr="00833307">
        <w:trPr>
          <w:gridAfter w:val="1"/>
          <w:wAfter w:w="56" w:type="dxa"/>
        </w:trPr>
        <w:tc>
          <w:tcPr>
            <w:tcW w:w="8718" w:type="dxa"/>
            <w:gridSpan w:val="2"/>
            <w:shd w:val="clear" w:color="auto" w:fill="auto"/>
          </w:tcPr>
          <w:p w14:paraId="0EB8F669" w14:textId="77777777" w:rsidR="00833307" w:rsidRPr="00E97283" w:rsidRDefault="00833307" w:rsidP="00C30594">
            <w:pPr>
              <w:rPr>
                <w:b/>
                <w:bCs/>
                <w:sz w:val="26"/>
                <w:szCs w:val="26"/>
                <w:rtl/>
              </w:rPr>
            </w:pPr>
            <w:r w:rsidRPr="00E97283">
              <w:rPr>
                <w:rFonts w:hint="cs"/>
                <w:b/>
                <w:bCs/>
                <w:sz w:val="26"/>
                <w:szCs w:val="26"/>
                <w:rtl/>
              </w:rPr>
              <w:t>לפני כבוד ה</w:t>
            </w:r>
            <w:r w:rsidRPr="00E97283">
              <w:rPr>
                <w:b/>
                <w:bCs/>
                <w:sz w:val="26"/>
                <w:szCs w:val="26"/>
                <w:rtl/>
              </w:rPr>
              <w:t>שופט עמית פרייז</w:t>
            </w:r>
            <w:r w:rsidRPr="00E97283">
              <w:rPr>
                <w:rStyle w:val="TimesNewRomanTimesNewRoman"/>
                <w:rtl/>
              </w:rPr>
              <w:t xml:space="preserve"> </w:t>
            </w:r>
          </w:p>
        </w:tc>
      </w:tr>
      <w:tr w:rsidR="00C30594" w:rsidRPr="00E97283" w14:paraId="2C47DAAD" w14:textId="77777777" w:rsidTr="00833307">
        <w:trPr>
          <w:cantSplit/>
          <w:trHeight w:val="724"/>
        </w:trPr>
        <w:tc>
          <w:tcPr>
            <w:tcW w:w="2880" w:type="dxa"/>
            <w:shd w:val="clear" w:color="auto" w:fill="auto"/>
          </w:tcPr>
          <w:p w14:paraId="54CCD2CB" w14:textId="77777777" w:rsidR="00833307" w:rsidRPr="00E97283" w:rsidRDefault="00833307" w:rsidP="00833307">
            <w:pPr>
              <w:ind w:left="26"/>
              <w:rPr>
                <w:b/>
                <w:bCs/>
                <w:sz w:val="26"/>
                <w:szCs w:val="26"/>
                <w:rtl/>
              </w:rPr>
            </w:pPr>
            <w:bookmarkStart w:id="1" w:name="FirstAppellant"/>
          </w:p>
          <w:p w14:paraId="50BF9BDF" w14:textId="77777777" w:rsidR="00833307" w:rsidRPr="00E97283" w:rsidRDefault="00833307" w:rsidP="00833307">
            <w:pPr>
              <w:ind w:left="26"/>
              <w:rPr>
                <w:b/>
                <w:bCs/>
                <w:sz w:val="26"/>
                <w:szCs w:val="26"/>
                <w:rtl/>
              </w:rPr>
            </w:pPr>
            <w:r w:rsidRPr="00E97283">
              <w:rPr>
                <w:rFonts w:hint="cs"/>
                <w:b/>
                <w:bCs/>
                <w:sz w:val="26"/>
                <w:szCs w:val="26"/>
                <w:rtl/>
              </w:rPr>
              <w:t>ה</w:t>
            </w:r>
            <w:r w:rsidRPr="00E97283">
              <w:rPr>
                <w:b/>
                <w:bCs/>
                <w:sz w:val="26"/>
                <w:szCs w:val="26"/>
                <w:rtl/>
              </w:rPr>
              <w:t>מאשימה</w:t>
            </w:r>
          </w:p>
        </w:tc>
        <w:tc>
          <w:tcPr>
            <w:tcW w:w="5922" w:type="dxa"/>
            <w:gridSpan w:val="2"/>
            <w:shd w:val="clear" w:color="auto" w:fill="auto"/>
          </w:tcPr>
          <w:p w14:paraId="61CBA9F4" w14:textId="77777777" w:rsidR="00833307" w:rsidRPr="00E97283" w:rsidRDefault="00833307" w:rsidP="00C30594">
            <w:pPr>
              <w:rPr>
                <w:rtl/>
              </w:rPr>
            </w:pPr>
          </w:p>
          <w:p w14:paraId="5D43DDB7" w14:textId="77777777" w:rsidR="00833307" w:rsidRPr="00E97283" w:rsidRDefault="00833307" w:rsidP="00C30594">
            <w:pPr>
              <w:rPr>
                <w:b/>
                <w:bCs/>
                <w:sz w:val="26"/>
                <w:szCs w:val="26"/>
                <w:rtl/>
              </w:rPr>
            </w:pPr>
            <w:r w:rsidRPr="00E97283">
              <w:rPr>
                <w:rFonts w:hint="cs"/>
                <w:rtl/>
              </w:rPr>
              <w:t xml:space="preserve"> </w:t>
            </w:r>
            <w:r w:rsidRPr="00E97283">
              <w:rPr>
                <w:b/>
                <w:bCs/>
                <w:sz w:val="26"/>
                <w:szCs w:val="26"/>
                <w:rtl/>
              </w:rPr>
              <w:t>מדינת ישראל</w:t>
            </w:r>
          </w:p>
          <w:p w14:paraId="0F9D9AC9" w14:textId="77777777" w:rsidR="00833307" w:rsidRPr="00E97283" w:rsidRDefault="00833307" w:rsidP="00C30594">
            <w:pPr>
              <w:rPr>
                <w:b/>
                <w:bCs/>
                <w:sz w:val="26"/>
                <w:szCs w:val="26"/>
                <w:rtl/>
              </w:rPr>
            </w:pPr>
          </w:p>
        </w:tc>
      </w:tr>
      <w:bookmarkEnd w:id="1"/>
      <w:tr w:rsidR="00C30594" w:rsidRPr="00E97283" w14:paraId="7E010619" w14:textId="77777777" w:rsidTr="00833307">
        <w:tc>
          <w:tcPr>
            <w:tcW w:w="8802" w:type="dxa"/>
            <w:gridSpan w:val="3"/>
            <w:shd w:val="clear" w:color="auto" w:fill="auto"/>
            <w:vAlign w:val="center"/>
          </w:tcPr>
          <w:p w14:paraId="5B9CE787" w14:textId="77777777" w:rsidR="00833307" w:rsidRPr="00E97283" w:rsidRDefault="00833307" w:rsidP="00833307">
            <w:pPr>
              <w:jc w:val="center"/>
              <w:rPr>
                <w:rFonts w:ascii="Arial" w:hAnsi="Arial"/>
                <w:b/>
                <w:bCs/>
                <w:sz w:val="26"/>
                <w:szCs w:val="26"/>
                <w:rtl/>
              </w:rPr>
            </w:pPr>
            <w:r w:rsidRPr="00E97283">
              <w:rPr>
                <w:rFonts w:ascii="Arial" w:hAnsi="Arial"/>
                <w:b/>
                <w:bCs/>
                <w:sz w:val="26"/>
                <w:szCs w:val="26"/>
                <w:rtl/>
              </w:rPr>
              <w:t>נגד</w:t>
            </w:r>
          </w:p>
          <w:p w14:paraId="2D6B073A" w14:textId="77777777" w:rsidR="00833307" w:rsidRPr="00E97283" w:rsidRDefault="00833307" w:rsidP="00C30594">
            <w:pPr>
              <w:rPr>
                <w:rFonts w:ascii="Arial" w:hAnsi="Arial"/>
                <w:b/>
                <w:bCs/>
                <w:sz w:val="26"/>
                <w:szCs w:val="26"/>
              </w:rPr>
            </w:pPr>
          </w:p>
        </w:tc>
      </w:tr>
      <w:tr w:rsidR="00C30594" w:rsidRPr="00E97283" w14:paraId="705CD7F3" w14:textId="77777777" w:rsidTr="00833307">
        <w:tc>
          <w:tcPr>
            <w:tcW w:w="2880" w:type="dxa"/>
            <w:shd w:val="clear" w:color="auto" w:fill="auto"/>
          </w:tcPr>
          <w:p w14:paraId="0853D89C" w14:textId="77777777" w:rsidR="00833307" w:rsidRPr="00E97283" w:rsidRDefault="00833307" w:rsidP="00833307">
            <w:pPr>
              <w:ind w:left="26"/>
              <w:rPr>
                <w:b/>
                <w:bCs/>
                <w:sz w:val="26"/>
                <w:szCs w:val="26"/>
                <w:rtl/>
              </w:rPr>
            </w:pPr>
            <w:r w:rsidRPr="00E97283">
              <w:rPr>
                <w:rFonts w:hint="cs"/>
                <w:b/>
                <w:bCs/>
                <w:sz w:val="26"/>
                <w:szCs w:val="26"/>
                <w:rtl/>
              </w:rPr>
              <w:t>ה</w:t>
            </w:r>
            <w:r w:rsidRPr="00E97283">
              <w:rPr>
                <w:b/>
                <w:bCs/>
                <w:sz w:val="26"/>
                <w:szCs w:val="26"/>
                <w:rtl/>
              </w:rPr>
              <w:t>נאשם</w:t>
            </w:r>
          </w:p>
        </w:tc>
        <w:tc>
          <w:tcPr>
            <w:tcW w:w="5922" w:type="dxa"/>
            <w:gridSpan w:val="2"/>
            <w:shd w:val="clear" w:color="auto" w:fill="auto"/>
          </w:tcPr>
          <w:p w14:paraId="13A97EF7" w14:textId="77777777" w:rsidR="00833307" w:rsidRPr="00E97283" w:rsidRDefault="00833307" w:rsidP="00C30594">
            <w:pPr>
              <w:rPr>
                <w:b/>
                <w:bCs/>
                <w:sz w:val="26"/>
                <w:szCs w:val="26"/>
                <w:rtl/>
              </w:rPr>
            </w:pPr>
            <w:r w:rsidRPr="00E97283">
              <w:rPr>
                <w:rFonts w:hint="cs"/>
                <w:rtl/>
              </w:rPr>
              <w:t xml:space="preserve"> </w:t>
            </w:r>
            <w:r w:rsidRPr="00E97283">
              <w:rPr>
                <w:b/>
                <w:bCs/>
                <w:sz w:val="26"/>
                <w:szCs w:val="26"/>
                <w:rtl/>
              </w:rPr>
              <w:t>שקד יפרח</w:t>
            </w:r>
            <w:r w:rsidRPr="00E97283">
              <w:rPr>
                <w:rFonts w:hint="cs"/>
                <w:rtl/>
              </w:rPr>
              <w:t xml:space="preserve"> </w:t>
            </w:r>
            <w:r w:rsidRPr="00E97283">
              <w:rPr>
                <w:rFonts w:hint="eastAsia"/>
                <w:b/>
                <w:bCs/>
                <w:sz w:val="26"/>
                <w:szCs w:val="26"/>
                <w:rtl/>
              </w:rPr>
              <w:t>ת.ז.</w:t>
            </w:r>
            <w:r w:rsidRPr="00E97283">
              <w:rPr>
                <w:b/>
                <w:bCs/>
                <w:sz w:val="26"/>
                <w:szCs w:val="26"/>
                <w:rtl/>
              </w:rPr>
              <w:t xml:space="preserve"> </w:t>
            </w:r>
            <w:r w:rsidRPr="00E97283">
              <w:rPr>
                <w:rFonts w:hint="cs"/>
                <w:b/>
                <w:bCs/>
                <w:sz w:val="26"/>
                <w:szCs w:val="26"/>
                <w:rtl/>
              </w:rPr>
              <w:t xml:space="preserve"> </w:t>
            </w:r>
            <w:r w:rsidR="00E97283">
              <w:rPr>
                <w:b/>
                <w:bCs/>
                <w:sz w:val="26"/>
                <w:szCs w:val="26"/>
              </w:rPr>
              <w:t>xxxxxxxxxx</w:t>
            </w:r>
          </w:p>
          <w:p w14:paraId="6878763C" w14:textId="77777777" w:rsidR="00833307" w:rsidRPr="00E97283" w:rsidRDefault="00833307" w:rsidP="00C30594">
            <w:pPr>
              <w:rPr>
                <w:b/>
                <w:bCs/>
                <w:sz w:val="26"/>
                <w:szCs w:val="26"/>
                <w:rtl/>
              </w:rPr>
            </w:pPr>
          </w:p>
        </w:tc>
      </w:tr>
    </w:tbl>
    <w:p w14:paraId="34D584A8" w14:textId="77777777" w:rsidR="00833307" w:rsidRPr="00E97283" w:rsidRDefault="00833307" w:rsidP="00833307">
      <w:pPr>
        <w:spacing w:line="360" w:lineRule="auto"/>
        <w:jc w:val="both"/>
        <w:rPr>
          <w:sz w:val="6"/>
          <w:szCs w:val="6"/>
          <w:rtl/>
        </w:rPr>
      </w:pPr>
      <w:r w:rsidRPr="00E97283">
        <w:rPr>
          <w:sz w:val="6"/>
          <w:szCs w:val="6"/>
          <w:rtl/>
        </w:rPr>
        <w:t>&lt;#2#&gt;</w:t>
      </w:r>
    </w:p>
    <w:p w14:paraId="7E4EF2C6" w14:textId="77777777" w:rsidR="00833307" w:rsidRPr="00E97283" w:rsidRDefault="00833307" w:rsidP="00833307">
      <w:pPr>
        <w:pStyle w:val="12"/>
        <w:rPr>
          <w:u w:val="none"/>
          <w:rtl/>
        </w:rPr>
      </w:pPr>
      <w:r w:rsidRPr="00E97283">
        <w:rPr>
          <w:rFonts w:hint="cs"/>
          <w:u w:val="none"/>
          <w:rtl/>
        </w:rPr>
        <w:t>נוכחים:</w:t>
      </w:r>
    </w:p>
    <w:p w14:paraId="35C49CA7" w14:textId="77777777" w:rsidR="00833307" w:rsidRPr="00E97283" w:rsidRDefault="00833307" w:rsidP="00833307">
      <w:pPr>
        <w:pStyle w:val="12"/>
        <w:rPr>
          <w:b w:val="0"/>
          <w:bCs w:val="0"/>
          <w:u w:val="none"/>
        </w:rPr>
      </w:pPr>
      <w:bookmarkStart w:id="2" w:name="FirstLawyer"/>
      <w:r w:rsidRPr="00E97283">
        <w:rPr>
          <w:rFonts w:hint="cs"/>
          <w:b w:val="0"/>
          <w:bCs w:val="0"/>
          <w:u w:val="none"/>
          <w:rtl/>
        </w:rPr>
        <w:t>ב"כ</w:t>
      </w:r>
      <w:bookmarkEnd w:id="2"/>
      <w:r w:rsidRPr="00E97283">
        <w:rPr>
          <w:rFonts w:hint="cs"/>
          <w:b w:val="0"/>
          <w:bCs w:val="0"/>
          <w:u w:val="none"/>
          <w:rtl/>
        </w:rPr>
        <w:t xml:space="preserve"> המאשימה עו"ד חן שפירא</w:t>
      </w:r>
    </w:p>
    <w:p w14:paraId="52BA7CEC" w14:textId="77777777" w:rsidR="00833307" w:rsidRPr="00E97283" w:rsidRDefault="00833307" w:rsidP="00833307">
      <w:pPr>
        <w:pStyle w:val="12"/>
        <w:rPr>
          <w:b w:val="0"/>
          <w:bCs w:val="0"/>
          <w:u w:val="none"/>
          <w:rtl/>
        </w:rPr>
      </w:pPr>
      <w:r w:rsidRPr="00E97283">
        <w:rPr>
          <w:rFonts w:hint="cs"/>
          <w:b w:val="0"/>
          <w:bCs w:val="0"/>
          <w:u w:val="none"/>
          <w:rtl/>
        </w:rPr>
        <w:t xml:space="preserve">הנאשם וב"כ עו"ד  טלי רזניק מטעם הסניגוריה הציבורית </w:t>
      </w:r>
    </w:p>
    <w:p w14:paraId="575743CC" w14:textId="77777777" w:rsidR="00833307" w:rsidRPr="00E97283" w:rsidRDefault="00833307" w:rsidP="00833307">
      <w:pPr>
        <w:pStyle w:val="12"/>
        <w:rPr>
          <w:b w:val="0"/>
          <w:bCs w:val="0"/>
          <w:u w:val="none"/>
          <w:rtl/>
        </w:rPr>
      </w:pPr>
    </w:p>
    <w:p w14:paraId="49D0CFB0" w14:textId="77777777" w:rsidR="00833307" w:rsidRPr="00E97283" w:rsidRDefault="00833307" w:rsidP="00833307">
      <w:pPr>
        <w:tabs>
          <w:tab w:val="left" w:pos="566"/>
        </w:tabs>
        <w:spacing w:line="360" w:lineRule="auto"/>
        <w:jc w:val="center"/>
        <w:rPr>
          <w:rFonts w:ascii="Arial" w:hAnsi="Arial"/>
          <w:b/>
          <w:bCs/>
          <w:sz w:val="28"/>
          <w:szCs w:val="28"/>
          <w:rtl/>
        </w:rPr>
      </w:pPr>
      <w:r w:rsidRPr="00E97283">
        <w:rPr>
          <w:rFonts w:ascii="Arial" w:hAnsi="Arial"/>
          <w:b/>
          <w:color w:val="FF0000"/>
          <w:sz w:val="28"/>
          <w:rtl/>
        </w:rPr>
        <w:t>במסמך זה הושמטו פרוטוקולים</w:t>
      </w:r>
    </w:p>
    <w:p w14:paraId="6ABC5FF6" w14:textId="77777777" w:rsidR="00E97283" w:rsidRDefault="00E97283" w:rsidP="00833307">
      <w:pPr>
        <w:tabs>
          <w:tab w:val="left" w:pos="566"/>
        </w:tabs>
        <w:spacing w:line="360" w:lineRule="auto"/>
        <w:jc w:val="center"/>
        <w:rPr>
          <w:rFonts w:ascii="Arial" w:hAnsi="Arial"/>
          <w:sz w:val="28"/>
          <w:szCs w:val="28"/>
          <w:rtl/>
        </w:rPr>
      </w:pPr>
      <w:bookmarkStart w:id="3" w:name="LawTable"/>
      <w:bookmarkEnd w:id="3"/>
    </w:p>
    <w:p w14:paraId="57BA5614" w14:textId="77777777" w:rsidR="00E97283" w:rsidRPr="00E97283" w:rsidRDefault="00E97283" w:rsidP="00E97283">
      <w:pPr>
        <w:tabs>
          <w:tab w:val="left" w:pos="566"/>
        </w:tabs>
        <w:spacing w:after="120" w:line="240" w:lineRule="exact"/>
        <w:ind w:left="283" w:hanging="283"/>
        <w:jc w:val="both"/>
        <w:rPr>
          <w:rFonts w:ascii="FrankRuehl" w:hAnsi="FrankRuehl" w:cs="FrankRuehl"/>
          <w:rtl/>
        </w:rPr>
      </w:pPr>
    </w:p>
    <w:p w14:paraId="228524D2" w14:textId="77777777" w:rsidR="00E97283" w:rsidRPr="00E97283" w:rsidRDefault="00E97283" w:rsidP="00E97283">
      <w:pPr>
        <w:tabs>
          <w:tab w:val="left" w:pos="566"/>
        </w:tabs>
        <w:spacing w:after="120" w:line="240" w:lineRule="exact"/>
        <w:ind w:left="283" w:hanging="283"/>
        <w:jc w:val="both"/>
        <w:rPr>
          <w:rFonts w:ascii="FrankRuehl" w:hAnsi="FrankRuehl" w:cs="FrankRuehl"/>
          <w:rtl/>
        </w:rPr>
      </w:pPr>
      <w:r w:rsidRPr="00E97283">
        <w:rPr>
          <w:rFonts w:ascii="FrankRuehl" w:hAnsi="FrankRuehl" w:cs="FrankRuehl"/>
          <w:rtl/>
        </w:rPr>
        <w:t xml:space="preserve">חקיקה שאוזכרה: </w:t>
      </w:r>
    </w:p>
    <w:p w14:paraId="68E240D0" w14:textId="77777777" w:rsidR="00E97283" w:rsidRPr="00E97283" w:rsidRDefault="00E97283" w:rsidP="00E97283">
      <w:pPr>
        <w:tabs>
          <w:tab w:val="left" w:pos="566"/>
        </w:tabs>
        <w:spacing w:after="120" w:line="240" w:lineRule="exact"/>
        <w:ind w:left="283" w:hanging="283"/>
        <w:jc w:val="both"/>
        <w:rPr>
          <w:rFonts w:ascii="FrankRuehl" w:hAnsi="FrankRuehl" w:cs="FrankRuehl"/>
          <w:rtl/>
        </w:rPr>
      </w:pPr>
      <w:hyperlink r:id="rId7" w:history="1">
        <w:r w:rsidRPr="00E97283">
          <w:rPr>
            <w:rFonts w:ascii="FrankRuehl" w:hAnsi="FrankRuehl" w:cs="FrankRuehl"/>
            <w:color w:val="0000FF"/>
            <w:u w:val="single"/>
            <w:rtl/>
          </w:rPr>
          <w:t>פקודת הסמים המסוכנים [נוסח חדש], תשל"ג-1973</w:t>
        </w:r>
      </w:hyperlink>
    </w:p>
    <w:p w14:paraId="4ADD5210" w14:textId="77777777" w:rsidR="00E97283" w:rsidRPr="00E97283" w:rsidRDefault="00E97283" w:rsidP="00E97283">
      <w:pPr>
        <w:tabs>
          <w:tab w:val="left" w:pos="566"/>
        </w:tabs>
        <w:spacing w:after="120" w:line="240" w:lineRule="exact"/>
        <w:ind w:left="283" w:hanging="283"/>
        <w:jc w:val="both"/>
        <w:rPr>
          <w:rFonts w:ascii="FrankRuehl" w:hAnsi="FrankRuehl" w:cs="FrankRuehl"/>
          <w:rtl/>
        </w:rPr>
      </w:pPr>
    </w:p>
    <w:p w14:paraId="27A21C3C" w14:textId="77777777" w:rsidR="00E97283" w:rsidRPr="00E97283" w:rsidRDefault="00E97283" w:rsidP="00833307">
      <w:pPr>
        <w:tabs>
          <w:tab w:val="left" w:pos="566"/>
        </w:tabs>
        <w:spacing w:line="360" w:lineRule="auto"/>
        <w:jc w:val="center"/>
        <w:rPr>
          <w:rFonts w:ascii="Arial" w:hAnsi="Arial"/>
          <w:sz w:val="28"/>
          <w:szCs w:val="28"/>
          <w:rtl/>
        </w:rPr>
      </w:pPr>
      <w:bookmarkStart w:id="4" w:name="LawTable_End"/>
      <w:bookmarkEnd w:id="4"/>
    </w:p>
    <w:p w14:paraId="1121FD45" w14:textId="77777777" w:rsidR="00E97283" w:rsidRPr="00E97283" w:rsidRDefault="00E97283" w:rsidP="00833307">
      <w:pPr>
        <w:tabs>
          <w:tab w:val="left" w:pos="566"/>
        </w:tabs>
        <w:spacing w:line="360" w:lineRule="auto"/>
        <w:jc w:val="center"/>
        <w:rPr>
          <w:rFonts w:ascii="Arial" w:hAnsi="Arial"/>
          <w:b/>
          <w:bCs/>
          <w:sz w:val="28"/>
          <w:szCs w:val="28"/>
          <w:rtl/>
        </w:rPr>
      </w:pPr>
    </w:p>
    <w:p w14:paraId="5FFE00E1" w14:textId="77777777" w:rsidR="00E97283" w:rsidRPr="00E97283" w:rsidRDefault="00E97283" w:rsidP="00833307">
      <w:pPr>
        <w:tabs>
          <w:tab w:val="left" w:pos="566"/>
        </w:tabs>
        <w:spacing w:line="360" w:lineRule="auto"/>
        <w:jc w:val="center"/>
        <w:rPr>
          <w:rFonts w:ascii="Arial" w:hAnsi="Arial"/>
          <w:b/>
          <w:bCs/>
          <w:sz w:val="28"/>
          <w:szCs w:val="28"/>
          <w:rtl/>
        </w:rPr>
      </w:pPr>
    </w:p>
    <w:p w14:paraId="2E749626" w14:textId="77777777" w:rsidR="00E97283" w:rsidRPr="00E97283" w:rsidRDefault="00E97283" w:rsidP="00E97283">
      <w:pPr>
        <w:tabs>
          <w:tab w:val="left" w:pos="566"/>
        </w:tabs>
        <w:spacing w:line="360" w:lineRule="auto"/>
        <w:jc w:val="center"/>
        <w:rPr>
          <w:rFonts w:ascii="Arial" w:hAnsi="Arial"/>
          <w:b/>
          <w:bCs/>
          <w:sz w:val="28"/>
          <w:szCs w:val="28"/>
          <w:u w:val="single"/>
          <w:rtl/>
        </w:rPr>
      </w:pPr>
      <w:bookmarkStart w:id="5" w:name="PsakDin"/>
      <w:bookmarkEnd w:id="0"/>
      <w:r w:rsidRPr="00E97283">
        <w:rPr>
          <w:rFonts w:ascii="Arial" w:hAnsi="Arial"/>
          <w:b/>
          <w:bCs/>
          <w:sz w:val="28"/>
          <w:szCs w:val="28"/>
          <w:u w:val="single"/>
          <w:rtl/>
        </w:rPr>
        <w:t>גזר דין</w:t>
      </w:r>
    </w:p>
    <w:bookmarkEnd w:id="5"/>
    <w:p w14:paraId="49B1048C" w14:textId="77777777" w:rsidR="00833307" w:rsidRPr="00300654" w:rsidRDefault="00833307" w:rsidP="00833307">
      <w:pPr>
        <w:tabs>
          <w:tab w:val="left" w:pos="566"/>
        </w:tabs>
        <w:spacing w:line="360" w:lineRule="auto"/>
        <w:jc w:val="both"/>
        <w:rPr>
          <w:b/>
          <w:bCs/>
          <w:rtl/>
        </w:rPr>
      </w:pPr>
    </w:p>
    <w:p w14:paraId="27085969" w14:textId="77777777" w:rsidR="00833307" w:rsidRDefault="00833307" w:rsidP="00833307">
      <w:pPr>
        <w:tabs>
          <w:tab w:val="left" w:pos="566"/>
        </w:tabs>
        <w:spacing w:line="360" w:lineRule="auto"/>
        <w:jc w:val="both"/>
        <w:rPr>
          <w:rtl/>
        </w:rPr>
      </w:pPr>
      <w:bookmarkStart w:id="6" w:name="ABSTRACT_START"/>
      <w:bookmarkEnd w:id="6"/>
      <w:r w:rsidRPr="00300654">
        <w:rPr>
          <w:rFonts w:hint="cs"/>
          <w:rtl/>
        </w:rPr>
        <w:t>הנאשם הורשע על פי הודאתו,</w:t>
      </w:r>
      <w:r>
        <w:rPr>
          <w:rFonts w:hint="cs"/>
          <w:rtl/>
        </w:rPr>
        <w:t xml:space="preserve"> בביצוע עבירה של החזקת סמים שלא לצריכה עצמית. מדובר באירוע מחודש 10/16 כאשר הנאשם קטף שתילי קנבוס במשקל של כ- 1.3 קג' ואחסן אותם בביתו אך לאחר יום בלבד הסמים נתפסו ברשותו.</w:t>
      </w:r>
    </w:p>
    <w:p w14:paraId="065ACFDD" w14:textId="77777777" w:rsidR="00833307" w:rsidRDefault="00833307" w:rsidP="00833307">
      <w:pPr>
        <w:tabs>
          <w:tab w:val="left" w:pos="566"/>
        </w:tabs>
        <w:spacing w:line="360" w:lineRule="auto"/>
        <w:jc w:val="both"/>
        <w:rPr>
          <w:rtl/>
        </w:rPr>
      </w:pPr>
      <w:bookmarkStart w:id="7" w:name="ABSTRACT_END"/>
      <w:bookmarkEnd w:id="7"/>
    </w:p>
    <w:p w14:paraId="64E50608" w14:textId="77777777" w:rsidR="00833307" w:rsidRDefault="00833307" w:rsidP="00833307">
      <w:pPr>
        <w:tabs>
          <w:tab w:val="left" w:pos="566"/>
        </w:tabs>
        <w:spacing w:line="360" w:lineRule="auto"/>
        <w:jc w:val="both"/>
        <w:rPr>
          <w:rtl/>
        </w:rPr>
      </w:pPr>
      <w:r>
        <w:rPr>
          <w:rFonts w:hint="cs"/>
          <w:rtl/>
        </w:rPr>
        <w:t>אמנם צודקת עקרונית התובעת בכך שכאשר מדובר בהחזקת סמים שלא לצריכה עצמית, קיים פוטנציאל של העברתם לידי האחרים, אולם יחד עם זאת במקרה זה אין כל ראיה שאכן הנאשם התכוון לעשות כן ובפועל, ובכל מקרה לא היתה לו הזדמנות של ממש לעשות כן שכן נתפס זמן קצר מאוד אחרי שלקח את השתילים של הסם לרשותו.</w:t>
      </w:r>
    </w:p>
    <w:p w14:paraId="41255C50" w14:textId="77777777" w:rsidR="00833307" w:rsidRDefault="00833307" w:rsidP="00833307">
      <w:pPr>
        <w:tabs>
          <w:tab w:val="left" w:pos="566"/>
        </w:tabs>
        <w:spacing w:line="360" w:lineRule="auto"/>
        <w:jc w:val="both"/>
        <w:rPr>
          <w:rtl/>
        </w:rPr>
      </w:pPr>
    </w:p>
    <w:p w14:paraId="5153491F" w14:textId="77777777" w:rsidR="00833307" w:rsidRDefault="00833307" w:rsidP="00833307">
      <w:pPr>
        <w:tabs>
          <w:tab w:val="left" w:pos="566"/>
        </w:tabs>
        <w:spacing w:line="360" w:lineRule="auto"/>
        <w:jc w:val="both"/>
        <w:rPr>
          <w:rtl/>
        </w:rPr>
      </w:pPr>
      <w:r>
        <w:rPr>
          <w:rFonts w:hint="cs"/>
          <w:rtl/>
        </w:rPr>
        <w:t xml:space="preserve">מעבר לכך, יש להזהר מלהפריז במשמעותה של הכמות של הסם במקרה זה, שכן המדובר במשקל החומר הצמחי כאשר החומר הפעיל מן הסתם הינו נמוך באופן ניכר ממשקל זה. יודגש שאין עסקינן בתיק של גידול אשר בו משמעות של משקל החומר הצמחי הינה בהשוואה לתיקים אחרים של גידול אלא שמדובר בתיק של החזקה אשר ההשוואה מתבצעת לתיקים אחרים שם מדובר בהחזקה של </w:t>
      </w:r>
      <w:r>
        <w:rPr>
          <w:rFonts w:hint="cs"/>
          <w:rtl/>
        </w:rPr>
        <w:lastRenderedPageBreak/>
        <w:t xml:space="preserve">החומר הפעיל להבדיל מהחומר הצמחי כולו. לפיכך </w:t>
      </w:r>
      <w:hyperlink r:id="rId8" w:history="1">
        <w:r w:rsidR="00E97283" w:rsidRPr="00E97283">
          <w:rPr>
            <w:color w:val="0000FF"/>
            <w:u w:val="single"/>
            <w:rtl/>
          </w:rPr>
          <w:t>רע"פ  10423-09</w:t>
        </w:r>
      </w:hyperlink>
      <w:r>
        <w:rPr>
          <w:rFonts w:hint="cs"/>
          <w:rtl/>
        </w:rPr>
        <w:t xml:space="preserve"> שהוגש על ידי התובעת אינו רלוונטי לענייננו עוד מעבר לשיקולים שציינה הסנגורית, שכן שם מדובר בכמות של הסם ולא בכלל החומר הצמחי כך שכמות הסם באותו מקרה היתה קרוב ל- 600 גרם. כאשר מביאים בחשבון את אמדן משקל החומר הפעיל במקרה זה, הרי שיוצא שמדובר במקרה קל משמעותית לעומת אותו פס"ד שציינה.</w:t>
      </w:r>
    </w:p>
    <w:p w14:paraId="0328FEDC" w14:textId="77777777" w:rsidR="00833307" w:rsidRDefault="00833307" w:rsidP="00833307">
      <w:pPr>
        <w:tabs>
          <w:tab w:val="left" w:pos="566"/>
        </w:tabs>
        <w:spacing w:line="360" w:lineRule="auto"/>
        <w:jc w:val="both"/>
        <w:rPr>
          <w:rtl/>
        </w:rPr>
      </w:pPr>
    </w:p>
    <w:p w14:paraId="56C5F42B" w14:textId="77777777" w:rsidR="00833307" w:rsidRDefault="00833307" w:rsidP="00833307">
      <w:pPr>
        <w:tabs>
          <w:tab w:val="left" w:pos="566"/>
        </w:tabs>
        <w:spacing w:line="360" w:lineRule="auto"/>
        <w:jc w:val="both"/>
        <w:rPr>
          <w:rtl/>
        </w:rPr>
      </w:pPr>
      <w:r>
        <w:rPr>
          <w:rFonts w:hint="cs"/>
          <w:rtl/>
        </w:rPr>
        <w:t>מעבר לכך ייאמר כי לא רק בפסיקה שציינה הסנגורית אלא גם בתיקים שהסתיימו גם לאחרונה בפני בימ"ש זה, באו מקרים של החזקת סמים שלא לצריכה עצמית בכמויות של עשרות רבות של גרמים של חומר פעיל והסתיימו ללא מאסר בפועל.</w:t>
      </w:r>
    </w:p>
    <w:p w14:paraId="033502F3" w14:textId="77777777" w:rsidR="00833307" w:rsidRDefault="00833307" w:rsidP="00833307">
      <w:pPr>
        <w:tabs>
          <w:tab w:val="left" w:pos="566"/>
        </w:tabs>
        <w:spacing w:line="360" w:lineRule="auto"/>
        <w:jc w:val="both"/>
        <w:rPr>
          <w:rtl/>
        </w:rPr>
      </w:pPr>
    </w:p>
    <w:p w14:paraId="23BEC8EB" w14:textId="77777777" w:rsidR="00833307" w:rsidRDefault="00833307" w:rsidP="00833307">
      <w:pPr>
        <w:tabs>
          <w:tab w:val="left" w:pos="566"/>
        </w:tabs>
        <w:spacing w:line="360" w:lineRule="auto"/>
        <w:jc w:val="both"/>
        <w:rPr>
          <w:rtl/>
        </w:rPr>
      </w:pPr>
      <w:r>
        <w:rPr>
          <w:rFonts w:hint="cs"/>
          <w:rtl/>
        </w:rPr>
        <w:t>בשים לב לאמור, וכאשר אני מדגיש שהנאשם לא הפיק תועלת ממעשיו שכן נתפס בסמוך מאוד לאחר קטיפת השתילים, סבורני כי בהחלט יש מקום במקרה זה להתוות רף תחתון של מתחם שעומד על רכיבים של מאסר על תנאי וקנס בשיעור של אלפי שקלים, כאשר הרף העליון יכול להגיע לשנת מאסר בפועל לצד מאסר על תנאי וקנס.</w:t>
      </w:r>
    </w:p>
    <w:p w14:paraId="692EB264" w14:textId="77777777" w:rsidR="00833307" w:rsidRDefault="00833307" w:rsidP="00833307">
      <w:pPr>
        <w:tabs>
          <w:tab w:val="left" w:pos="566"/>
        </w:tabs>
        <w:spacing w:line="360" w:lineRule="auto"/>
        <w:jc w:val="both"/>
        <w:rPr>
          <w:rtl/>
        </w:rPr>
      </w:pPr>
    </w:p>
    <w:p w14:paraId="3F7EA110" w14:textId="77777777" w:rsidR="00833307" w:rsidRDefault="00833307" w:rsidP="00833307">
      <w:pPr>
        <w:tabs>
          <w:tab w:val="left" w:pos="566"/>
        </w:tabs>
        <w:spacing w:line="360" w:lineRule="auto"/>
        <w:jc w:val="both"/>
        <w:rPr>
          <w:rtl/>
        </w:rPr>
      </w:pPr>
      <w:r>
        <w:rPr>
          <w:rFonts w:hint="cs"/>
          <w:rtl/>
        </w:rPr>
        <w:t>בתוך המתחם יש לזקוף לזכות הנאשם את עברו הנקי והודאתו במיוחס לו. בנוסף על כך ההליך הביא את הנאשם לשילוב בטפול אשר עודנו נמשך כאשר עוד מתחילת דרך זו ועד ימים אלה הנאשם נמצא נקי משימוש מסמים בבדיקות שנערכו לו.</w:t>
      </w:r>
    </w:p>
    <w:p w14:paraId="77F5AA84" w14:textId="77777777" w:rsidR="00833307" w:rsidRDefault="00833307" w:rsidP="00833307">
      <w:pPr>
        <w:tabs>
          <w:tab w:val="left" w:pos="566"/>
        </w:tabs>
        <w:spacing w:line="360" w:lineRule="auto"/>
        <w:jc w:val="both"/>
        <w:rPr>
          <w:rtl/>
        </w:rPr>
      </w:pPr>
    </w:p>
    <w:p w14:paraId="269B83A3" w14:textId="77777777" w:rsidR="00833307" w:rsidRDefault="00833307" w:rsidP="00833307">
      <w:pPr>
        <w:tabs>
          <w:tab w:val="left" w:pos="566"/>
        </w:tabs>
        <w:spacing w:line="360" w:lineRule="auto"/>
        <w:jc w:val="both"/>
        <w:rPr>
          <w:rtl/>
        </w:rPr>
      </w:pPr>
      <w:r>
        <w:rPr>
          <w:rFonts w:hint="cs"/>
          <w:rtl/>
        </w:rPr>
        <w:t>בשים לב לכל האמור, סברתי כי בהחלט ניתן במקרה זה לגזור את עונשו של הנאשם ברף התחתון שצוין תוך שהקנס שיוטל לא יהיה מתון בשים לב למתחם שנקבע ואולם תוך התחשבות בנסיבותיו האישיות של הנאשם, אגזור עליו רף תחתון של קנס זה.</w:t>
      </w:r>
    </w:p>
    <w:p w14:paraId="3715DD75" w14:textId="77777777" w:rsidR="00833307" w:rsidRDefault="00833307" w:rsidP="00833307">
      <w:pPr>
        <w:tabs>
          <w:tab w:val="left" w:pos="566"/>
        </w:tabs>
        <w:spacing w:line="360" w:lineRule="auto"/>
        <w:jc w:val="both"/>
        <w:rPr>
          <w:rtl/>
        </w:rPr>
      </w:pPr>
    </w:p>
    <w:p w14:paraId="5CDD91CA" w14:textId="77777777" w:rsidR="00833307" w:rsidRPr="00300654" w:rsidRDefault="00833307" w:rsidP="00833307">
      <w:pPr>
        <w:tabs>
          <w:tab w:val="left" w:pos="566"/>
        </w:tabs>
        <w:spacing w:line="360" w:lineRule="auto"/>
        <w:jc w:val="both"/>
        <w:rPr>
          <w:rtl/>
        </w:rPr>
      </w:pPr>
      <w:r>
        <w:rPr>
          <w:rFonts w:hint="cs"/>
          <w:rtl/>
        </w:rPr>
        <w:t>כמובן כאשר הטיפול עודנו נמשך יש מקום לצו מבחן.</w:t>
      </w:r>
    </w:p>
    <w:p w14:paraId="3B2EECBE" w14:textId="77777777" w:rsidR="00833307" w:rsidRDefault="00833307" w:rsidP="00833307">
      <w:pPr>
        <w:tabs>
          <w:tab w:val="left" w:pos="566"/>
        </w:tabs>
        <w:snapToGrid w:val="0"/>
        <w:spacing w:line="360" w:lineRule="auto"/>
        <w:jc w:val="both"/>
        <w:rPr>
          <w:rtl/>
        </w:rPr>
      </w:pPr>
    </w:p>
    <w:p w14:paraId="123D0041" w14:textId="77777777" w:rsidR="00833307" w:rsidRPr="00300654" w:rsidRDefault="00833307" w:rsidP="00833307">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493F7F2D" w14:textId="77777777" w:rsidR="00833307" w:rsidRPr="00300654" w:rsidRDefault="00833307" w:rsidP="00833307">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 xml:space="preserve">6 </w:t>
      </w:r>
      <w:r w:rsidRPr="00300654">
        <w:rPr>
          <w:rFonts w:hint="cs"/>
          <w:rtl/>
        </w:rPr>
        <w:t xml:space="preserve">חודשים למשך 3 שנים מהיום, והתנאי הוא שלא יעבור </w:t>
      </w:r>
      <w:r>
        <w:rPr>
          <w:rFonts w:hint="cs"/>
          <w:rtl/>
        </w:rPr>
        <w:t xml:space="preserve">כל עבירה על </w:t>
      </w:r>
      <w:hyperlink r:id="rId9" w:history="1">
        <w:r w:rsidR="00E97283" w:rsidRPr="00E97283">
          <w:rPr>
            <w:color w:val="0000FF"/>
            <w:u w:val="single"/>
            <w:rtl/>
          </w:rPr>
          <w:t>פקודת הסמים המסוכנים</w:t>
        </w:r>
      </w:hyperlink>
      <w:r w:rsidRPr="00300654">
        <w:rPr>
          <w:rFonts w:hint="cs"/>
          <w:rtl/>
        </w:rPr>
        <w:t xml:space="preserve">. </w:t>
      </w:r>
    </w:p>
    <w:p w14:paraId="23FEB8B7" w14:textId="77777777" w:rsidR="00833307" w:rsidRPr="00300654" w:rsidRDefault="00833307" w:rsidP="00833307">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 xml:space="preserve">2000 </w:t>
      </w:r>
      <w:r w:rsidRPr="00300654">
        <w:rPr>
          <w:rFonts w:hint="cs"/>
          <w:rtl/>
        </w:rPr>
        <w:t>₪</w:t>
      </w:r>
      <w:r>
        <w:rPr>
          <w:rFonts w:hint="cs"/>
          <w:rtl/>
        </w:rPr>
        <w:t xml:space="preserve"> </w:t>
      </w:r>
      <w:r w:rsidRPr="00300654">
        <w:rPr>
          <w:rFonts w:hint="cs"/>
          <w:rtl/>
        </w:rPr>
        <w:t xml:space="preserve"> או</w:t>
      </w:r>
      <w:r>
        <w:rPr>
          <w:rFonts w:hint="cs"/>
          <w:rtl/>
        </w:rPr>
        <w:t xml:space="preserve"> 20</w:t>
      </w:r>
      <w:r w:rsidRPr="00300654">
        <w:rPr>
          <w:rFonts w:hint="cs"/>
          <w:rtl/>
        </w:rPr>
        <w:t xml:space="preserve"> ימי מאסר תמורתו</w:t>
      </w:r>
      <w:r>
        <w:rPr>
          <w:rFonts w:hint="cs"/>
          <w:rtl/>
        </w:rPr>
        <w:t xml:space="preserve"> אם הקנס לא ישולם</w:t>
      </w:r>
      <w:r w:rsidRPr="00300654">
        <w:rPr>
          <w:rFonts w:hint="cs"/>
          <w:rtl/>
        </w:rPr>
        <w:t>. הקנס ישולם ב-</w:t>
      </w:r>
      <w:r>
        <w:rPr>
          <w:rFonts w:hint="cs"/>
          <w:rtl/>
        </w:rPr>
        <w:t>5</w:t>
      </w:r>
      <w:r w:rsidRPr="00300654">
        <w:rPr>
          <w:rFonts w:hint="cs"/>
          <w:rtl/>
        </w:rPr>
        <w:t xml:space="preserve"> תשלומים חודשיים, שווים ורצופים, החל מיום </w:t>
      </w:r>
      <w:r>
        <w:rPr>
          <w:rFonts w:hint="cs"/>
          <w:rtl/>
        </w:rPr>
        <w:t xml:space="preserve">15.2.18 </w:t>
      </w:r>
      <w:r w:rsidRPr="00300654">
        <w:rPr>
          <w:rFonts w:hint="cs"/>
          <w:rtl/>
        </w:rPr>
        <w:t>ובכל</w:t>
      </w:r>
      <w:r>
        <w:rPr>
          <w:rFonts w:hint="cs"/>
          <w:rtl/>
        </w:rPr>
        <w:t xml:space="preserve"> </w:t>
      </w:r>
      <w:r w:rsidRPr="00300654">
        <w:rPr>
          <w:rFonts w:hint="cs"/>
          <w:rtl/>
        </w:rPr>
        <w:t xml:space="preserve"> </w:t>
      </w:r>
      <w:r>
        <w:rPr>
          <w:rFonts w:hint="cs"/>
          <w:rtl/>
        </w:rPr>
        <w:t xml:space="preserve">15 </w:t>
      </w:r>
      <w:r w:rsidRPr="00300654">
        <w:rPr>
          <w:rFonts w:hint="cs"/>
          <w:rtl/>
        </w:rPr>
        <w:t>לכל חודש עוקב. לא ישולם תשלום אחד במועדו – תעמוד כל היתרה לפרעון מיידי.</w:t>
      </w:r>
    </w:p>
    <w:p w14:paraId="7E011660" w14:textId="77777777" w:rsidR="00833307" w:rsidRDefault="00833307" w:rsidP="00833307">
      <w:pPr>
        <w:tabs>
          <w:tab w:val="left" w:pos="566"/>
        </w:tabs>
        <w:snapToGrid w:val="0"/>
        <w:spacing w:line="360" w:lineRule="auto"/>
        <w:ind w:left="720"/>
        <w:jc w:val="both"/>
      </w:pPr>
    </w:p>
    <w:p w14:paraId="0AC44F2C" w14:textId="77777777" w:rsidR="00833307" w:rsidRPr="002E3F60" w:rsidRDefault="00833307" w:rsidP="00833307">
      <w:pPr>
        <w:pStyle w:val="a9"/>
        <w:numPr>
          <w:ilvl w:val="0"/>
          <w:numId w:val="1"/>
        </w:numPr>
        <w:tabs>
          <w:tab w:val="left" w:pos="566"/>
        </w:tabs>
        <w:snapToGrid w:val="0"/>
        <w:spacing w:line="360" w:lineRule="auto"/>
        <w:jc w:val="both"/>
        <w:rPr>
          <w:rFonts w:cs="David"/>
          <w:sz w:val="22"/>
          <w:szCs w:val="22"/>
        </w:rPr>
      </w:pPr>
      <w:r>
        <w:rPr>
          <w:rFonts w:cs="David" w:hint="cs"/>
          <w:rtl/>
        </w:rPr>
        <w:t>ניתן בזאת לנאשם צו מבחן למשך שנה. הבהרתי לנאשם</w:t>
      </w:r>
      <w:r w:rsidRPr="002E3F60">
        <w:rPr>
          <w:rFonts w:cs="David" w:hint="cs"/>
          <w:rtl/>
        </w:rPr>
        <w:t xml:space="preserve"> </w:t>
      </w:r>
      <w:r>
        <w:rPr>
          <w:rFonts w:cs="David" w:hint="cs"/>
          <w:rtl/>
        </w:rPr>
        <w:t>את משמעות צו המבחן, ושאם חלילה י</w:t>
      </w:r>
      <w:r w:rsidRPr="002E3F60">
        <w:rPr>
          <w:rFonts w:cs="David" w:hint="cs"/>
          <w:rtl/>
        </w:rPr>
        <w:t xml:space="preserve">פר אותו, ניתן יהיה לבחון מחדש את אופן סיום </w:t>
      </w:r>
      <w:r>
        <w:rPr>
          <w:rFonts w:cs="David" w:hint="cs"/>
          <w:rtl/>
        </w:rPr>
        <w:t>המשפט, לרבות החמרה בעונש. הנאשם הסכים</w:t>
      </w:r>
      <w:r w:rsidRPr="002E3F60">
        <w:rPr>
          <w:rFonts w:cs="David" w:hint="cs"/>
          <w:rtl/>
        </w:rPr>
        <w:t xml:space="preserve"> בנסיבות אלה לבצע את צו המבחן.</w:t>
      </w:r>
    </w:p>
    <w:p w14:paraId="281E0CD9" w14:textId="77777777" w:rsidR="00833307" w:rsidRPr="002E3F60" w:rsidRDefault="00833307" w:rsidP="00833307">
      <w:pPr>
        <w:tabs>
          <w:tab w:val="left" w:pos="566"/>
        </w:tabs>
        <w:snapToGrid w:val="0"/>
        <w:spacing w:line="360" w:lineRule="auto"/>
        <w:jc w:val="both"/>
        <w:rPr>
          <w:rtl/>
        </w:rPr>
      </w:pPr>
    </w:p>
    <w:p w14:paraId="23DFADB6" w14:textId="77777777" w:rsidR="00833307" w:rsidRDefault="00833307" w:rsidP="00833307">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הסמים שנתפסו.</w:t>
      </w:r>
    </w:p>
    <w:p w14:paraId="5717E087" w14:textId="77777777" w:rsidR="00833307" w:rsidRDefault="00833307" w:rsidP="00833307">
      <w:pPr>
        <w:tabs>
          <w:tab w:val="left" w:pos="566"/>
        </w:tabs>
        <w:snapToGrid w:val="0"/>
        <w:spacing w:line="360" w:lineRule="auto"/>
        <w:ind w:left="567" w:hanging="567"/>
        <w:jc w:val="both"/>
        <w:rPr>
          <w:rtl/>
        </w:rPr>
      </w:pPr>
    </w:p>
    <w:p w14:paraId="4A0D8AD6" w14:textId="77777777" w:rsidR="00833307" w:rsidRDefault="00833307" w:rsidP="00833307">
      <w:pPr>
        <w:spacing w:line="360" w:lineRule="auto"/>
        <w:rPr>
          <w:sz w:val="22"/>
          <w:szCs w:val="22"/>
        </w:rPr>
      </w:pPr>
      <w:r>
        <w:rPr>
          <w:rFonts w:hint="cs"/>
          <w:rtl/>
        </w:rPr>
        <w:t xml:space="preserve">הפיקדון בסך 5000 ₪  שהופקד בתיק  </w:t>
      </w:r>
      <w:hyperlink r:id="rId10" w:history="1">
        <w:r w:rsidR="00E97283" w:rsidRPr="00E97283">
          <w:rPr>
            <w:color w:val="0000FF"/>
            <w:u w:val="single"/>
            <w:rtl/>
          </w:rPr>
          <w:t>מ"י  7932-10-16</w:t>
        </w:r>
      </w:hyperlink>
      <w:r>
        <w:rPr>
          <w:rFonts w:hint="cs"/>
          <w:rtl/>
        </w:rPr>
        <w:t xml:space="preserve"> יועבר לנאשם, או לנציג מטעמו, בכפוף לעיקול כנגד הנאשם.</w:t>
      </w:r>
    </w:p>
    <w:p w14:paraId="04940DE3" w14:textId="77777777" w:rsidR="00833307" w:rsidRPr="00DA3986" w:rsidRDefault="00833307" w:rsidP="00833307">
      <w:pPr>
        <w:bidi w:val="0"/>
        <w:rPr>
          <w:rFonts w:ascii="Times New Roman" w:hAnsi="Times New Roman"/>
          <w:rtl/>
        </w:rPr>
      </w:pPr>
    </w:p>
    <w:p w14:paraId="3EE55E49" w14:textId="77777777" w:rsidR="00833307" w:rsidRPr="00CB6DDF" w:rsidRDefault="00833307" w:rsidP="00833307">
      <w:pPr>
        <w:tabs>
          <w:tab w:val="left" w:pos="566"/>
        </w:tabs>
        <w:snapToGrid w:val="0"/>
        <w:spacing w:line="360" w:lineRule="auto"/>
        <w:jc w:val="both"/>
        <w:rPr>
          <w:rtl/>
        </w:rPr>
      </w:pPr>
    </w:p>
    <w:p w14:paraId="005EDF6E" w14:textId="77777777" w:rsidR="00833307" w:rsidRPr="00300654" w:rsidRDefault="00833307" w:rsidP="00833307">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52AE2852" w14:textId="77777777" w:rsidR="00833307" w:rsidRPr="007659E1" w:rsidRDefault="00833307" w:rsidP="00833307">
      <w:pPr>
        <w:tabs>
          <w:tab w:val="left" w:pos="566"/>
        </w:tabs>
        <w:snapToGrid w:val="0"/>
        <w:spacing w:line="360" w:lineRule="auto"/>
        <w:ind w:left="567" w:hanging="567"/>
        <w:jc w:val="both"/>
        <w:rPr>
          <w:rtl/>
        </w:rPr>
      </w:pPr>
    </w:p>
    <w:p w14:paraId="7E4DB5D1" w14:textId="77777777" w:rsidR="00833307" w:rsidRPr="00300654" w:rsidRDefault="00833307" w:rsidP="00833307">
      <w:pPr>
        <w:tabs>
          <w:tab w:val="left" w:pos="566"/>
        </w:tabs>
        <w:snapToGrid w:val="0"/>
        <w:spacing w:line="360" w:lineRule="auto"/>
        <w:ind w:left="567" w:hanging="567"/>
        <w:jc w:val="both"/>
        <w:rPr>
          <w:b/>
          <w:bCs/>
          <w:rtl/>
        </w:rPr>
      </w:pPr>
      <w:r w:rsidRPr="00300654">
        <w:rPr>
          <w:rFonts w:hint="cs"/>
          <w:b/>
          <w:bCs/>
          <w:rtl/>
        </w:rPr>
        <w:t>המזכירות תשלח העתק מגזר הדין ל</w:t>
      </w:r>
      <w:r>
        <w:rPr>
          <w:rFonts w:hint="cs"/>
          <w:b/>
          <w:bCs/>
          <w:rtl/>
        </w:rPr>
        <w:t>שירות המבחן.</w:t>
      </w:r>
    </w:p>
    <w:p w14:paraId="06450DF6" w14:textId="77777777" w:rsidR="00833307" w:rsidRDefault="00833307" w:rsidP="00833307">
      <w:pPr>
        <w:spacing w:line="360" w:lineRule="auto"/>
        <w:jc w:val="both"/>
        <w:rPr>
          <w:rtl/>
        </w:rPr>
      </w:pPr>
      <w:r>
        <w:rPr>
          <w:rtl/>
        </w:rPr>
        <w:t xml:space="preserve"> </w:t>
      </w:r>
    </w:p>
    <w:p w14:paraId="223553BC" w14:textId="77777777" w:rsidR="00833307" w:rsidRDefault="00833307" w:rsidP="00833307">
      <w:pPr>
        <w:spacing w:line="360" w:lineRule="auto"/>
        <w:jc w:val="both"/>
        <w:rPr>
          <w:sz w:val="6"/>
          <w:szCs w:val="6"/>
          <w:rtl/>
        </w:rPr>
      </w:pPr>
      <w:r>
        <w:rPr>
          <w:sz w:val="6"/>
          <w:szCs w:val="6"/>
          <w:rtl/>
        </w:rPr>
        <w:t>&lt;#4#&gt;</w:t>
      </w:r>
    </w:p>
    <w:p w14:paraId="72DA2411" w14:textId="77777777" w:rsidR="00833307" w:rsidRDefault="00833307" w:rsidP="00833307">
      <w:pPr>
        <w:rPr>
          <w:rtl/>
        </w:rPr>
      </w:pPr>
    </w:p>
    <w:p w14:paraId="35A69909" w14:textId="77777777" w:rsidR="00833307" w:rsidRDefault="00E97283" w:rsidP="00833307">
      <w:pPr>
        <w:rPr>
          <w:rtl/>
        </w:rPr>
      </w:pPr>
      <w:r>
        <w:rPr>
          <w:b/>
          <w:bCs/>
          <w:rtl/>
        </w:rPr>
        <w:t xml:space="preserve">ניתנה והודעה היום ט"ו טבת תשע"ח, 02/01/2018 במעמד הנוכחים. </w:t>
      </w:r>
    </w:p>
    <w:p w14:paraId="5349C7A8" w14:textId="77777777" w:rsidR="00833307" w:rsidRPr="00E97283" w:rsidRDefault="00E97283" w:rsidP="00833307">
      <w:pPr>
        <w:rPr>
          <w:color w:val="FFFFFF"/>
          <w:sz w:val="2"/>
          <w:szCs w:val="2"/>
          <w:rtl/>
        </w:rPr>
      </w:pPr>
      <w:r w:rsidRPr="00E9728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30594" w14:paraId="463E22EE" w14:textId="77777777" w:rsidTr="00833307">
        <w:trPr>
          <w:trHeight w:val="316"/>
          <w:jc w:val="right"/>
        </w:trPr>
        <w:tc>
          <w:tcPr>
            <w:tcW w:w="3936" w:type="dxa"/>
            <w:shd w:val="clear" w:color="auto" w:fill="auto"/>
            <w:vAlign w:val="bottom"/>
          </w:tcPr>
          <w:p w14:paraId="507D6C9E" w14:textId="77777777" w:rsidR="00833307" w:rsidRPr="00E97283" w:rsidRDefault="00E97283" w:rsidP="00833307">
            <w:pPr>
              <w:jc w:val="center"/>
              <w:rPr>
                <w:color w:val="FFFFFF"/>
                <w:sz w:val="2"/>
                <w:szCs w:val="2"/>
              </w:rPr>
            </w:pPr>
            <w:r w:rsidRPr="00E97283">
              <w:rPr>
                <w:color w:val="FFFFFF"/>
                <w:sz w:val="2"/>
                <w:szCs w:val="2"/>
                <w:rtl/>
              </w:rPr>
              <w:t>54678313</w:t>
            </w:r>
            <w:r w:rsidR="00833307" w:rsidRPr="00E97283">
              <w:rPr>
                <w:color w:val="FFFFFF"/>
                <w:sz w:val="2"/>
                <w:szCs w:val="2"/>
                <w:rtl/>
              </w:rPr>
              <w:t xml:space="preserve">     </w:t>
            </w:r>
          </w:p>
          <w:p w14:paraId="76BCDB83" w14:textId="77777777" w:rsidR="00833307" w:rsidRDefault="00833307" w:rsidP="00833307">
            <w:pPr>
              <w:jc w:val="center"/>
              <w:rPr>
                <w:rtl/>
              </w:rPr>
            </w:pPr>
          </w:p>
        </w:tc>
      </w:tr>
      <w:tr w:rsidR="00C30594" w14:paraId="1446F53B" w14:textId="77777777" w:rsidTr="00833307">
        <w:trPr>
          <w:trHeight w:val="361"/>
          <w:jc w:val="right"/>
        </w:trPr>
        <w:tc>
          <w:tcPr>
            <w:tcW w:w="3936" w:type="dxa"/>
            <w:shd w:val="clear" w:color="auto" w:fill="auto"/>
          </w:tcPr>
          <w:p w14:paraId="58CEE57E" w14:textId="77777777" w:rsidR="00833307" w:rsidRPr="00833307" w:rsidRDefault="00833307" w:rsidP="00833307">
            <w:pPr>
              <w:jc w:val="center"/>
              <w:rPr>
                <w:b/>
                <w:bCs/>
                <w:rtl/>
              </w:rPr>
            </w:pPr>
            <w:r w:rsidRPr="00833307">
              <w:rPr>
                <w:b/>
                <w:bCs/>
                <w:rtl/>
              </w:rPr>
              <w:t>עמית</w:t>
            </w:r>
            <w:r w:rsidRPr="00833307">
              <w:rPr>
                <w:rFonts w:hint="cs"/>
                <w:b/>
                <w:bCs/>
                <w:rtl/>
              </w:rPr>
              <w:t xml:space="preserve"> </w:t>
            </w:r>
            <w:r w:rsidRPr="00833307">
              <w:rPr>
                <w:b/>
                <w:bCs/>
                <w:rtl/>
              </w:rPr>
              <w:t>פרייז</w:t>
            </w:r>
            <w:r w:rsidRPr="00833307">
              <w:rPr>
                <w:rFonts w:hint="cs"/>
                <w:b/>
                <w:bCs/>
                <w:rtl/>
              </w:rPr>
              <w:t xml:space="preserve">, </w:t>
            </w:r>
            <w:r w:rsidRPr="00833307">
              <w:rPr>
                <w:b/>
                <w:bCs/>
                <w:rtl/>
              </w:rPr>
              <w:t>שופט</w:t>
            </w:r>
          </w:p>
        </w:tc>
      </w:tr>
    </w:tbl>
    <w:p w14:paraId="013AA5D7" w14:textId="77777777" w:rsidR="00833307" w:rsidRDefault="00833307" w:rsidP="00833307">
      <w:pPr>
        <w:rPr>
          <w:rtl/>
        </w:rPr>
      </w:pPr>
    </w:p>
    <w:p w14:paraId="41F8CE92" w14:textId="77777777" w:rsidR="00833307" w:rsidRDefault="00833307" w:rsidP="00833307">
      <w:pPr>
        <w:rPr>
          <w:rtl/>
        </w:rPr>
      </w:pPr>
    </w:p>
    <w:p w14:paraId="011989FD" w14:textId="77777777" w:rsidR="00833307" w:rsidRDefault="00833307" w:rsidP="00833307">
      <w:pPr>
        <w:spacing w:line="360" w:lineRule="auto"/>
        <w:jc w:val="center"/>
        <w:rPr>
          <w:rtl/>
        </w:rPr>
      </w:pPr>
    </w:p>
    <w:p w14:paraId="4BCF70C6" w14:textId="77777777" w:rsidR="00833307" w:rsidRPr="00CB6DDF" w:rsidRDefault="00833307" w:rsidP="00833307">
      <w:pPr>
        <w:spacing w:line="360" w:lineRule="auto"/>
        <w:jc w:val="both"/>
        <w:rPr>
          <w:rtl/>
        </w:rPr>
      </w:pPr>
      <w:r>
        <w:rPr>
          <w:rtl/>
        </w:rPr>
        <w:t xml:space="preserve"> </w:t>
      </w:r>
    </w:p>
    <w:p w14:paraId="702628CE" w14:textId="77777777" w:rsidR="00833307" w:rsidRDefault="00DA3986" w:rsidP="00833307">
      <w:r w:rsidRPr="00DA3986">
        <w:rPr>
          <w:color w:val="FFFFFF"/>
          <w:sz w:val="2"/>
          <w:szCs w:val="2"/>
          <w:rtl/>
        </w:rPr>
        <w:t>5129371</w:t>
      </w:r>
      <w:r w:rsidR="00833307">
        <w:rPr>
          <w:rtl/>
        </w:rPr>
        <w:t>הוקלד</w:t>
      </w:r>
      <w:r w:rsidR="00833307">
        <w:t xml:space="preserve"> </w:t>
      </w:r>
      <w:r w:rsidR="00833307">
        <w:rPr>
          <w:rtl/>
        </w:rPr>
        <w:t>על</w:t>
      </w:r>
      <w:r w:rsidR="00833307">
        <w:t xml:space="preserve"> </w:t>
      </w:r>
      <w:r w:rsidR="00833307">
        <w:rPr>
          <w:rtl/>
        </w:rPr>
        <w:t>ידי</w:t>
      </w:r>
      <w:r w:rsidR="00833307">
        <w:t xml:space="preserve"> </w:t>
      </w:r>
      <w:r w:rsidR="00833307">
        <w:rPr>
          <w:rtl/>
        </w:rPr>
        <w:t>סופיה</w:t>
      </w:r>
      <w:r w:rsidR="00833307">
        <w:t xml:space="preserve"> </w:t>
      </w:r>
      <w:r w:rsidR="00833307">
        <w:rPr>
          <w:rtl/>
        </w:rPr>
        <w:t>עטיה</w:t>
      </w:r>
    </w:p>
    <w:p w14:paraId="02F85A14" w14:textId="77777777" w:rsidR="002D7B2F" w:rsidRPr="00DA3986" w:rsidRDefault="00DA3986" w:rsidP="00E97283">
      <w:pPr>
        <w:keepNext/>
        <w:rPr>
          <w:color w:val="FFFFFF"/>
          <w:sz w:val="2"/>
          <w:szCs w:val="2"/>
          <w:rtl/>
        </w:rPr>
      </w:pPr>
      <w:r w:rsidRPr="00DA3986">
        <w:rPr>
          <w:color w:val="FFFFFF"/>
          <w:sz w:val="2"/>
          <w:szCs w:val="2"/>
          <w:rtl/>
        </w:rPr>
        <w:t>54678313</w:t>
      </w:r>
    </w:p>
    <w:p w14:paraId="0CA472D5" w14:textId="77777777" w:rsidR="00E97283" w:rsidRPr="00E97283" w:rsidRDefault="00E97283" w:rsidP="00E97283">
      <w:pPr>
        <w:keepNext/>
        <w:rPr>
          <w:color w:val="000000"/>
          <w:sz w:val="22"/>
          <w:szCs w:val="22"/>
          <w:rtl/>
        </w:rPr>
      </w:pPr>
      <w:r w:rsidRPr="00E97283">
        <w:rPr>
          <w:color w:val="000000"/>
          <w:sz w:val="22"/>
          <w:szCs w:val="22"/>
          <w:rtl/>
        </w:rPr>
        <w:t>עמית פרייז 54678313</w:t>
      </w:r>
    </w:p>
    <w:p w14:paraId="1BD60663" w14:textId="77777777" w:rsidR="00E97283" w:rsidRDefault="00E97283" w:rsidP="00E97283">
      <w:r w:rsidRPr="00E97283">
        <w:rPr>
          <w:color w:val="000000"/>
          <w:rtl/>
        </w:rPr>
        <w:t>נוסח מסמך זה כפוף לשינויי ניסוח ועריכה</w:t>
      </w:r>
    </w:p>
    <w:p w14:paraId="7CBFC67D" w14:textId="77777777" w:rsidR="00E97283" w:rsidRDefault="00E97283" w:rsidP="00E97283">
      <w:pPr>
        <w:rPr>
          <w:rtl/>
        </w:rPr>
      </w:pPr>
    </w:p>
    <w:p w14:paraId="642EA5C0" w14:textId="77777777" w:rsidR="00E97283" w:rsidRDefault="00E97283" w:rsidP="00E97283">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6C99B467" w14:textId="77777777" w:rsidR="00E97283" w:rsidRPr="00E97283" w:rsidRDefault="00E97283" w:rsidP="00DA3986">
      <w:pPr>
        <w:rPr>
          <w:rFonts w:hint="cs"/>
          <w:color w:val="0000FF"/>
          <w:u w:val="single"/>
        </w:rPr>
      </w:pPr>
    </w:p>
    <w:sectPr w:rsidR="00E97283" w:rsidRPr="00E97283" w:rsidSect="00DA3986">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EA0D2" w14:textId="77777777" w:rsidR="00D22104" w:rsidRDefault="00D22104" w:rsidP="00777C3E">
      <w:r>
        <w:separator/>
      </w:r>
    </w:p>
  </w:endnote>
  <w:endnote w:type="continuationSeparator" w:id="0">
    <w:p w14:paraId="57950E9F" w14:textId="77777777" w:rsidR="00D22104" w:rsidRDefault="00D22104" w:rsidP="0077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FD6A8" w14:textId="77777777" w:rsidR="00D22104" w:rsidRDefault="00D22104" w:rsidP="00DA39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9AD2A9" w14:textId="77777777" w:rsidR="00D22104" w:rsidRPr="00DA3986" w:rsidRDefault="00D22104" w:rsidP="00DA3986">
    <w:pPr>
      <w:pStyle w:val="a5"/>
      <w:pBdr>
        <w:top w:val="single" w:sz="4" w:space="1" w:color="auto"/>
        <w:between w:val="single" w:sz="4" w:space="0" w:color="auto"/>
      </w:pBdr>
      <w:spacing w:after="60"/>
      <w:jc w:val="center"/>
      <w:rPr>
        <w:rFonts w:ascii="FrankRuehl" w:hAnsi="FrankRuehl" w:cs="FrankRuehl"/>
        <w:color w:val="000000"/>
      </w:rPr>
    </w:pPr>
    <w:r w:rsidRPr="00DA39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1BEB7" w14:textId="77777777" w:rsidR="00D22104" w:rsidRDefault="00D22104" w:rsidP="00DA39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2C63">
      <w:rPr>
        <w:rFonts w:ascii="FrankRuehl" w:hAnsi="FrankRuehl" w:cs="FrankRuehl"/>
        <w:noProof/>
        <w:rtl/>
      </w:rPr>
      <w:t>1</w:t>
    </w:r>
    <w:r>
      <w:rPr>
        <w:rFonts w:ascii="FrankRuehl" w:hAnsi="FrankRuehl" w:cs="FrankRuehl"/>
        <w:rtl/>
      </w:rPr>
      <w:fldChar w:fldCharType="end"/>
    </w:r>
  </w:p>
  <w:p w14:paraId="28EE5B28" w14:textId="77777777" w:rsidR="00D22104" w:rsidRPr="00DA3986" w:rsidRDefault="00D22104" w:rsidP="00DA3986">
    <w:pPr>
      <w:pStyle w:val="a5"/>
      <w:pBdr>
        <w:top w:val="single" w:sz="4" w:space="1" w:color="auto"/>
        <w:between w:val="single" w:sz="4" w:space="0" w:color="auto"/>
      </w:pBdr>
      <w:spacing w:after="60"/>
      <w:jc w:val="center"/>
      <w:rPr>
        <w:rFonts w:ascii="FrankRuehl" w:hAnsi="FrankRuehl" w:cs="FrankRuehl"/>
        <w:color w:val="000000"/>
      </w:rPr>
    </w:pPr>
    <w:r w:rsidRPr="00DA3986">
      <w:rPr>
        <w:rFonts w:ascii="FrankRuehl" w:hAnsi="FrankRuehl" w:cs="FrankRuehl"/>
        <w:color w:val="000000"/>
      </w:rPr>
      <w:pict w14:anchorId="1B10D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9462C" w14:textId="77777777" w:rsidR="00D22104" w:rsidRDefault="00D22104" w:rsidP="00777C3E">
      <w:r>
        <w:separator/>
      </w:r>
    </w:p>
  </w:footnote>
  <w:footnote w:type="continuationSeparator" w:id="0">
    <w:p w14:paraId="79923D5A" w14:textId="77777777" w:rsidR="00D22104" w:rsidRDefault="00D22104" w:rsidP="00777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36EE9" w14:textId="77777777" w:rsidR="00D22104" w:rsidRPr="00DA3986" w:rsidRDefault="00D22104" w:rsidP="00DA398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15619-10-16</w:t>
    </w:r>
    <w:r>
      <w:rPr>
        <w:color w:val="000000"/>
        <w:sz w:val="22"/>
        <w:szCs w:val="22"/>
        <w:rtl/>
      </w:rPr>
      <w:tab/>
      <w:t xml:space="preserve"> מדינת ישראל נ' שקד יפרח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9319" w14:textId="77777777" w:rsidR="00D22104" w:rsidRPr="00DA3986" w:rsidRDefault="00D22104" w:rsidP="00DA398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15619-10-16</w:t>
    </w:r>
    <w:r>
      <w:rPr>
        <w:color w:val="000000"/>
        <w:sz w:val="22"/>
        <w:szCs w:val="22"/>
        <w:rtl/>
      </w:rPr>
      <w:tab/>
      <w:t xml:space="preserve"> מדינת ישראל נ' שקד יפרח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63D411E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7398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307"/>
    <w:rsid w:val="002D7B2F"/>
    <w:rsid w:val="004814AF"/>
    <w:rsid w:val="00777C3E"/>
    <w:rsid w:val="00833307"/>
    <w:rsid w:val="009F742B"/>
    <w:rsid w:val="00A205DE"/>
    <w:rsid w:val="00BA16A0"/>
    <w:rsid w:val="00C30594"/>
    <w:rsid w:val="00D22104"/>
    <w:rsid w:val="00D32C63"/>
    <w:rsid w:val="00DA3986"/>
    <w:rsid w:val="00E97283"/>
    <w:rsid w:val="00F60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2D89464"/>
  <w15:chartTrackingRefBased/>
  <w15:docId w15:val="{B1A5EB05-7AB7-43E4-95B4-DE59D101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307"/>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3307"/>
    <w:pPr>
      <w:tabs>
        <w:tab w:val="center" w:pos="4153"/>
        <w:tab w:val="right" w:pos="8306"/>
      </w:tabs>
    </w:pPr>
  </w:style>
  <w:style w:type="character" w:customStyle="1" w:styleId="a4">
    <w:name w:val="כותרת עליונה תו"/>
    <w:link w:val="a3"/>
    <w:rsid w:val="00833307"/>
    <w:rPr>
      <w:rFonts w:ascii="David" w:eastAsia="David" w:hAnsi="David" w:cs="David"/>
      <w:sz w:val="24"/>
      <w:szCs w:val="24"/>
    </w:rPr>
  </w:style>
  <w:style w:type="paragraph" w:styleId="a5">
    <w:name w:val="footer"/>
    <w:basedOn w:val="a"/>
    <w:link w:val="a6"/>
    <w:rsid w:val="00833307"/>
    <w:pPr>
      <w:tabs>
        <w:tab w:val="center" w:pos="4153"/>
        <w:tab w:val="right" w:pos="8306"/>
      </w:tabs>
    </w:pPr>
  </w:style>
  <w:style w:type="character" w:customStyle="1" w:styleId="a6">
    <w:name w:val="כותרת תחתונה תו"/>
    <w:link w:val="a5"/>
    <w:rsid w:val="00833307"/>
    <w:rPr>
      <w:rFonts w:ascii="David" w:eastAsia="David" w:hAnsi="David" w:cs="David"/>
      <w:sz w:val="24"/>
      <w:szCs w:val="24"/>
    </w:rPr>
  </w:style>
  <w:style w:type="table" w:styleId="a7">
    <w:name w:val="Table Grid"/>
    <w:basedOn w:val="a1"/>
    <w:rsid w:val="00833307"/>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3307"/>
  </w:style>
  <w:style w:type="character" w:customStyle="1" w:styleId="TimesNewRomanTimesNewRoman">
    <w:name w:val="סגנון (לטיני) Times New Roman (עברית ושפות אחרות) Times New Roman..."/>
    <w:rsid w:val="0083330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33307"/>
    <w:rPr>
      <w:rFonts w:ascii="Times New Roman" w:eastAsia="Times New Roman" w:hAnsi="Times New Roman"/>
      <w:b/>
      <w:bCs/>
      <w:u w:val="single"/>
    </w:rPr>
  </w:style>
  <w:style w:type="paragraph" w:styleId="a9">
    <w:name w:val="List Paragraph"/>
    <w:basedOn w:val="a"/>
    <w:qFormat/>
    <w:rsid w:val="00833307"/>
    <w:pPr>
      <w:ind w:left="720"/>
      <w:contextualSpacing/>
    </w:pPr>
    <w:rPr>
      <w:rFonts w:ascii="Times New Roman" w:eastAsia="Times New Roman" w:hAnsi="Times New Roman" w:cs="Times New Roman"/>
    </w:rPr>
  </w:style>
  <w:style w:type="character" w:styleId="aa">
    <w:name w:val="line number"/>
    <w:rsid w:val="00E97283"/>
  </w:style>
  <w:style w:type="character" w:styleId="Hyperlink">
    <w:name w:val="Hyperlink"/>
    <w:rsid w:val="00E97283"/>
    <w:rPr>
      <w:color w:val="0563C1"/>
      <w:u w:val="single"/>
    </w:rPr>
  </w:style>
  <w:style w:type="character" w:styleId="ab">
    <w:name w:val="Unresolved Mention"/>
    <w:rsid w:val="00E972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16998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case/21491451"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3794</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3276920</vt:i4>
      </vt:variant>
      <vt:variant>
        <vt:i4>9</vt:i4>
      </vt:variant>
      <vt:variant>
        <vt:i4>0</vt:i4>
      </vt:variant>
      <vt:variant>
        <vt:i4>5</vt:i4>
      </vt:variant>
      <vt:variant>
        <vt:lpwstr>http://www.nevo.co.il/case/21491451</vt:lpwstr>
      </vt:variant>
      <vt:variant>
        <vt:lpwstr/>
      </vt:variant>
      <vt:variant>
        <vt:i4>8257637</vt:i4>
      </vt:variant>
      <vt:variant>
        <vt:i4>6</vt:i4>
      </vt:variant>
      <vt:variant>
        <vt:i4>0</vt:i4>
      </vt:variant>
      <vt:variant>
        <vt:i4>5</vt:i4>
      </vt:variant>
      <vt:variant>
        <vt:lpwstr>http://www.nevo.co.il/law/4216</vt:lpwstr>
      </vt:variant>
      <vt:variant>
        <vt:lpwstr/>
      </vt:variant>
      <vt:variant>
        <vt:i4>3145844</vt:i4>
      </vt:variant>
      <vt:variant>
        <vt:i4>3</vt:i4>
      </vt:variant>
      <vt:variant>
        <vt:i4>0</vt:i4>
      </vt:variant>
      <vt:variant>
        <vt:i4>5</vt:i4>
      </vt:variant>
      <vt:variant>
        <vt:lpwstr>http://www.nevo.co.il/case/6169989</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15619</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שקד יפרח </vt:lpwstr>
  </property>
  <property fmtid="{D5CDD505-2E9C-101B-9397-08002B2CF9AE}" pid="10" name="LAWYER">
    <vt:lpwstr>חן שפירא;טלי רזניק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20180102</vt:lpwstr>
  </property>
  <property fmtid="{D5CDD505-2E9C-101B-9397-08002B2CF9AE}" pid="14" name="TYPE_N_DATE">
    <vt:lpwstr>38020180102</vt:lpwstr>
  </property>
  <property fmtid="{D5CDD505-2E9C-101B-9397-08002B2CF9AE}" pid="15" name="CASESLISTTMP1">
    <vt:lpwstr>6169989;21491451</vt:lpwstr>
  </property>
  <property fmtid="{D5CDD505-2E9C-101B-9397-08002B2CF9AE}" pid="16" name="LAWLISTTMP1">
    <vt:lpwstr>4216</vt:lpwstr>
  </property>
  <property fmtid="{D5CDD505-2E9C-101B-9397-08002B2CF9AE}" pid="17" name="WORDNUMPAGES">
    <vt:lpwstr>3</vt:lpwstr>
  </property>
  <property fmtid="{D5CDD505-2E9C-101B-9397-08002B2CF9AE}" pid="18" name="TYPE_ABS_DATE">
    <vt:lpwstr>380020180102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