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0ABB8" w14:textId="77777777" w:rsidR="00E1235F" w:rsidRPr="00E1235F" w:rsidRDefault="00E1235F" w:rsidP="00E1235F">
      <w:pPr>
        <w:pStyle w:val="a3"/>
        <w:rPr>
          <w:rtl/>
        </w:rPr>
      </w:pPr>
      <w:bookmarkStart w:id="0" w:name="LastJudge"/>
    </w:p>
    <w:p w14:paraId="6C189BF1" w14:textId="77777777" w:rsidR="008A0750" w:rsidRPr="00E1235F" w:rsidRDefault="008A0750" w:rsidP="008A0750">
      <w:pPr>
        <w:pStyle w:val="a3"/>
        <w:tabs>
          <w:tab w:val="clear" w:pos="8306"/>
        </w:tabs>
        <w:jc w:val="center"/>
        <w:rPr>
          <w:rtl/>
        </w:rPr>
      </w:pPr>
    </w:p>
    <w:p w14:paraId="07234E30" w14:textId="77777777" w:rsidR="008A0750" w:rsidRPr="00E1235F" w:rsidRDefault="008A0750" w:rsidP="008A0750">
      <w:pPr>
        <w:pStyle w:val="a3"/>
        <w:tabs>
          <w:tab w:val="clear" w:pos="8306"/>
        </w:tabs>
        <w:jc w:val="center"/>
      </w:pPr>
    </w:p>
    <w:tbl>
      <w:tblPr>
        <w:bidiVisual/>
        <w:tblW w:w="0" w:type="auto"/>
        <w:jc w:val="center"/>
        <w:tblLook w:val="0000" w:firstRow="0" w:lastRow="0" w:firstColumn="0" w:lastColumn="0" w:noHBand="0" w:noVBand="0"/>
      </w:tblPr>
      <w:tblGrid>
        <w:gridCol w:w="1592"/>
        <w:gridCol w:w="4804"/>
        <w:gridCol w:w="236"/>
        <w:gridCol w:w="2088"/>
      </w:tblGrid>
      <w:tr w:rsidR="008A0750" w:rsidRPr="00E1235F" w14:paraId="40B889E4" w14:textId="77777777" w:rsidTr="008C53CF">
        <w:trPr>
          <w:trHeight w:hRule="exact" w:val="418"/>
          <w:jc w:val="center"/>
        </w:trPr>
        <w:tc>
          <w:tcPr>
            <w:tcW w:w="8720" w:type="dxa"/>
            <w:gridSpan w:val="4"/>
          </w:tcPr>
          <w:p w14:paraId="707B2E9F" w14:textId="77777777" w:rsidR="008A0750" w:rsidRPr="00E1235F" w:rsidRDefault="002F784C" w:rsidP="008C53CF">
            <w:pPr>
              <w:pStyle w:val="a3"/>
              <w:tabs>
                <w:tab w:val="clear" w:pos="8306"/>
              </w:tabs>
              <w:jc w:val="center"/>
              <w:rPr>
                <w:rFonts w:ascii="Tahoma" w:hAnsi="Tahoma" w:cs="Tahoma"/>
                <w:b/>
                <w:bCs/>
                <w:color w:val="000080"/>
                <w:sz w:val="20"/>
                <w:szCs w:val="20"/>
                <w:rtl/>
              </w:rPr>
            </w:pPr>
            <w:r>
              <w:rPr>
                <w:rFonts w:ascii="Tahoma" w:hAnsi="Tahoma" w:cs="Tahoma" w:hint="cs"/>
                <w:b/>
                <w:bCs/>
                <w:color w:val="000080"/>
                <w:sz w:val="20"/>
                <w:szCs w:val="20"/>
                <w:rtl/>
              </w:rPr>
              <w:t>ב</w:t>
            </w:r>
            <w:r w:rsidR="008A0750" w:rsidRPr="00E1235F">
              <w:rPr>
                <w:rFonts w:ascii="Tahoma" w:hAnsi="Tahoma" w:cs="Tahoma"/>
                <w:b/>
                <w:bCs/>
                <w:color w:val="000080"/>
                <w:sz w:val="20"/>
                <w:szCs w:val="20"/>
                <w:rtl/>
              </w:rPr>
              <w:t>ית משפט השלום בקריית שמונה</w:t>
            </w:r>
          </w:p>
        </w:tc>
      </w:tr>
      <w:tr w:rsidR="008A0750" w:rsidRPr="00E1235F" w14:paraId="12B4F6CE" w14:textId="77777777" w:rsidTr="008C53CF">
        <w:trPr>
          <w:trHeight w:val="337"/>
          <w:jc w:val="center"/>
        </w:trPr>
        <w:tc>
          <w:tcPr>
            <w:tcW w:w="6396" w:type="dxa"/>
            <w:gridSpan w:val="2"/>
          </w:tcPr>
          <w:p w14:paraId="028EBAB0" w14:textId="77777777" w:rsidR="008A0750" w:rsidRPr="00E1235F" w:rsidRDefault="008A0750" w:rsidP="008C53CF">
            <w:pPr>
              <w:rPr>
                <w:b/>
                <w:bCs/>
                <w:sz w:val="26"/>
                <w:szCs w:val="26"/>
                <w:rtl/>
              </w:rPr>
            </w:pPr>
            <w:r w:rsidRPr="00E1235F">
              <w:rPr>
                <w:b/>
                <w:bCs/>
                <w:sz w:val="26"/>
                <w:szCs w:val="26"/>
                <w:rtl/>
              </w:rPr>
              <w:t>ת"פ</w:t>
            </w:r>
            <w:r w:rsidRPr="00E1235F">
              <w:rPr>
                <w:rFonts w:hint="cs"/>
                <w:b/>
                <w:bCs/>
                <w:sz w:val="26"/>
                <w:szCs w:val="26"/>
                <w:rtl/>
              </w:rPr>
              <w:t xml:space="preserve"> </w:t>
            </w:r>
            <w:r w:rsidRPr="00E1235F">
              <w:rPr>
                <w:b/>
                <w:bCs/>
                <w:sz w:val="26"/>
                <w:szCs w:val="26"/>
                <w:rtl/>
              </w:rPr>
              <w:t>43260-10-16</w:t>
            </w:r>
            <w:r w:rsidRPr="00E1235F">
              <w:rPr>
                <w:rFonts w:hint="cs"/>
                <w:b/>
                <w:bCs/>
                <w:sz w:val="26"/>
                <w:szCs w:val="26"/>
                <w:rtl/>
              </w:rPr>
              <w:t xml:space="preserve"> </w:t>
            </w:r>
            <w:r w:rsidRPr="00E1235F">
              <w:rPr>
                <w:b/>
                <w:bCs/>
                <w:sz w:val="26"/>
                <w:szCs w:val="26"/>
                <w:rtl/>
              </w:rPr>
              <w:t>שלוחת תביעות מרום הגליל והגולן נ' ביטון</w:t>
            </w:r>
          </w:p>
          <w:p w14:paraId="389C90A9" w14:textId="77777777" w:rsidR="008A0750" w:rsidRPr="00E1235F" w:rsidRDefault="008A0750" w:rsidP="008C53CF">
            <w:pPr>
              <w:rPr>
                <w:b/>
                <w:bCs/>
                <w:sz w:val="26"/>
                <w:szCs w:val="26"/>
                <w:rtl/>
              </w:rPr>
            </w:pPr>
          </w:p>
        </w:tc>
        <w:tc>
          <w:tcPr>
            <w:tcW w:w="236" w:type="dxa"/>
          </w:tcPr>
          <w:p w14:paraId="69666901" w14:textId="77777777" w:rsidR="008A0750" w:rsidRPr="00E1235F" w:rsidRDefault="008A0750" w:rsidP="008C53CF">
            <w:pPr>
              <w:pStyle w:val="a3"/>
              <w:jc w:val="right"/>
              <w:rPr>
                <w:b/>
                <w:bCs/>
                <w:sz w:val="26"/>
                <w:szCs w:val="26"/>
                <w:rtl/>
              </w:rPr>
            </w:pPr>
          </w:p>
        </w:tc>
        <w:tc>
          <w:tcPr>
            <w:tcW w:w="2088" w:type="dxa"/>
          </w:tcPr>
          <w:p w14:paraId="18D73264" w14:textId="77777777" w:rsidR="008A0750" w:rsidRPr="00E1235F" w:rsidRDefault="008A0750" w:rsidP="008C53CF">
            <w:pPr>
              <w:pStyle w:val="a3"/>
              <w:tabs>
                <w:tab w:val="clear" w:pos="4153"/>
              </w:tabs>
              <w:jc w:val="right"/>
              <w:rPr>
                <w:b/>
                <w:bCs/>
                <w:sz w:val="26"/>
                <w:szCs w:val="26"/>
                <w:rtl/>
              </w:rPr>
            </w:pPr>
            <w:r w:rsidRPr="00E1235F">
              <w:rPr>
                <w:b/>
                <w:bCs/>
                <w:sz w:val="26"/>
                <w:szCs w:val="26"/>
                <w:rtl/>
              </w:rPr>
              <w:t>18 אפריל 2017</w:t>
            </w:r>
          </w:p>
        </w:tc>
      </w:tr>
      <w:tr w:rsidR="008A0750" w:rsidRPr="00E1235F" w14:paraId="2705AB19" w14:textId="77777777" w:rsidTr="008C53CF">
        <w:trPr>
          <w:trHeight w:val="337"/>
          <w:jc w:val="center"/>
        </w:trPr>
        <w:tc>
          <w:tcPr>
            <w:tcW w:w="1592" w:type="dxa"/>
          </w:tcPr>
          <w:p w14:paraId="436CF375" w14:textId="77777777" w:rsidR="008A0750" w:rsidRPr="00E1235F" w:rsidRDefault="008A0750" w:rsidP="008C53CF">
            <w:pPr>
              <w:pStyle w:val="a3"/>
              <w:bidi w:val="0"/>
              <w:spacing w:line="360" w:lineRule="auto"/>
              <w:jc w:val="both"/>
              <w:rPr>
                <w:rFonts w:ascii="Times New Roman" w:hAnsi="Times New Roman"/>
              </w:rPr>
            </w:pPr>
            <w:r w:rsidRPr="00E1235F">
              <w:rPr>
                <w:rFonts w:ascii="Times New Roman" w:hAnsi="Times New Roman"/>
              </w:rPr>
              <w:t xml:space="preserve">  </w:t>
            </w:r>
          </w:p>
        </w:tc>
        <w:tc>
          <w:tcPr>
            <w:tcW w:w="7128" w:type="dxa"/>
            <w:gridSpan w:val="3"/>
          </w:tcPr>
          <w:p w14:paraId="45C4B94D" w14:textId="77777777" w:rsidR="008A0750" w:rsidRPr="00E1235F" w:rsidRDefault="008A0750" w:rsidP="008C53CF">
            <w:pPr>
              <w:pStyle w:val="a3"/>
              <w:jc w:val="right"/>
              <w:rPr>
                <w:rtl/>
              </w:rPr>
            </w:pPr>
            <w:r w:rsidRPr="00E1235F">
              <w:rPr>
                <w:rFonts w:hint="cs"/>
                <w:rtl/>
              </w:rPr>
              <w:t xml:space="preserve"> </w:t>
            </w:r>
          </w:p>
        </w:tc>
      </w:tr>
      <w:tr w:rsidR="008A0750" w:rsidRPr="00E1235F" w14:paraId="50D82923" w14:textId="77777777" w:rsidTr="008C53CF">
        <w:trPr>
          <w:trHeight w:val="337"/>
          <w:jc w:val="center"/>
        </w:trPr>
        <w:tc>
          <w:tcPr>
            <w:tcW w:w="1592" w:type="dxa"/>
          </w:tcPr>
          <w:p w14:paraId="1F8195AE" w14:textId="77777777" w:rsidR="008A0750" w:rsidRPr="00E1235F" w:rsidRDefault="008A0750" w:rsidP="008C53CF">
            <w:pPr>
              <w:pStyle w:val="a3"/>
              <w:bidi w:val="0"/>
              <w:jc w:val="both"/>
              <w:rPr>
                <w:rFonts w:ascii="Times New Roman" w:hAnsi="Times New Roman"/>
              </w:rPr>
            </w:pPr>
          </w:p>
        </w:tc>
        <w:tc>
          <w:tcPr>
            <w:tcW w:w="7128" w:type="dxa"/>
            <w:gridSpan w:val="3"/>
          </w:tcPr>
          <w:p w14:paraId="49580582" w14:textId="77777777" w:rsidR="008A0750" w:rsidRPr="00E1235F" w:rsidRDefault="008A0750" w:rsidP="008C53CF">
            <w:pPr>
              <w:pStyle w:val="a3"/>
              <w:rPr>
                <w:b/>
                <w:bCs/>
                <w:sz w:val="4"/>
                <w:szCs w:val="4"/>
                <w:rtl/>
              </w:rPr>
            </w:pPr>
            <w:r w:rsidRPr="00E1235F">
              <w:rPr>
                <w:rFonts w:hint="cs"/>
                <w:b/>
                <w:bCs/>
                <w:rtl/>
              </w:rPr>
              <w:t xml:space="preserve">                      </w:t>
            </w:r>
            <w:r w:rsidRPr="00E1235F">
              <w:rPr>
                <w:b/>
                <w:bCs/>
                <w:rtl/>
              </w:rPr>
              <w:t xml:space="preserve"> מספר פל"א</w:t>
            </w:r>
            <w:r w:rsidRPr="00E1235F">
              <w:rPr>
                <w:rFonts w:hint="cs"/>
                <w:b/>
                <w:bCs/>
                <w:rtl/>
              </w:rPr>
              <w:t xml:space="preserve"> </w:t>
            </w:r>
            <w:r w:rsidRPr="00E1235F">
              <w:rPr>
                <w:rFonts w:hint="eastAsia"/>
                <w:b/>
                <w:bCs/>
              </w:rPr>
              <w:t>456722/2016</w:t>
            </w:r>
          </w:p>
        </w:tc>
      </w:tr>
      <w:tr w:rsidR="008A0750" w:rsidRPr="00E1235F" w14:paraId="7B5F1A3E" w14:textId="77777777" w:rsidTr="008C53CF">
        <w:trPr>
          <w:trHeight w:val="337"/>
          <w:jc w:val="center"/>
        </w:trPr>
        <w:tc>
          <w:tcPr>
            <w:tcW w:w="1592" w:type="dxa"/>
          </w:tcPr>
          <w:p w14:paraId="0FAF068C" w14:textId="77777777" w:rsidR="008A0750" w:rsidRPr="00E1235F" w:rsidRDefault="008A0750" w:rsidP="008C53CF">
            <w:pPr>
              <w:pStyle w:val="a3"/>
              <w:bidi w:val="0"/>
              <w:jc w:val="both"/>
              <w:rPr>
                <w:rFonts w:ascii="Times New Roman" w:hAnsi="Times New Roman"/>
              </w:rPr>
            </w:pPr>
          </w:p>
        </w:tc>
        <w:tc>
          <w:tcPr>
            <w:tcW w:w="7128" w:type="dxa"/>
            <w:gridSpan w:val="3"/>
          </w:tcPr>
          <w:p w14:paraId="489AF2BD" w14:textId="77777777" w:rsidR="008A0750" w:rsidRPr="00E1235F" w:rsidRDefault="008A0750" w:rsidP="008C53CF">
            <w:pPr>
              <w:pStyle w:val="a3"/>
              <w:jc w:val="right"/>
              <w:rPr>
                <w:rtl/>
              </w:rPr>
            </w:pPr>
          </w:p>
        </w:tc>
      </w:tr>
    </w:tbl>
    <w:p w14:paraId="0A7EB7B6" w14:textId="77777777" w:rsidR="008A0750" w:rsidRPr="00E1235F" w:rsidRDefault="008A0750" w:rsidP="008A0750">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8C53CF" w:rsidRPr="00E1235F" w14:paraId="3904563D" w14:textId="77777777" w:rsidTr="002F784C">
        <w:trPr>
          <w:gridAfter w:val="1"/>
          <w:wAfter w:w="84" w:type="dxa"/>
        </w:trPr>
        <w:tc>
          <w:tcPr>
            <w:tcW w:w="8718" w:type="dxa"/>
            <w:gridSpan w:val="2"/>
            <w:shd w:val="clear" w:color="auto" w:fill="auto"/>
          </w:tcPr>
          <w:p w14:paraId="3A5A65E8" w14:textId="77777777" w:rsidR="008A0750" w:rsidRPr="00E1235F" w:rsidRDefault="008A0750" w:rsidP="008C53CF">
            <w:pPr>
              <w:rPr>
                <w:b/>
                <w:bCs/>
                <w:sz w:val="26"/>
                <w:szCs w:val="26"/>
                <w:rtl/>
              </w:rPr>
            </w:pPr>
            <w:r w:rsidRPr="00E1235F">
              <w:rPr>
                <w:rFonts w:hint="cs"/>
                <w:b/>
                <w:bCs/>
                <w:sz w:val="26"/>
                <w:szCs w:val="26"/>
                <w:rtl/>
              </w:rPr>
              <w:t>לפני כבוד ה</w:t>
            </w:r>
            <w:r w:rsidRPr="00E1235F">
              <w:rPr>
                <w:b/>
                <w:bCs/>
                <w:sz w:val="26"/>
                <w:szCs w:val="26"/>
                <w:rtl/>
              </w:rPr>
              <w:t>שופטת רות שפילברג כהן</w:t>
            </w:r>
            <w:r w:rsidRPr="00E1235F">
              <w:rPr>
                <w:rStyle w:val="TimesNewRomanTimesNewRoman"/>
                <w:rtl/>
              </w:rPr>
              <w:t xml:space="preserve"> </w:t>
            </w:r>
          </w:p>
        </w:tc>
      </w:tr>
      <w:tr w:rsidR="008C53CF" w:rsidRPr="00E1235F" w14:paraId="395640F2" w14:textId="77777777" w:rsidTr="008A0750">
        <w:trPr>
          <w:cantSplit/>
          <w:trHeight w:val="724"/>
        </w:trPr>
        <w:tc>
          <w:tcPr>
            <w:tcW w:w="2880" w:type="dxa"/>
            <w:shd w:val="clear" w:color="auto" w:fill="auto"/>
          </w:tcPr>
          <w:p w14:paraId="766D3DA5" w14:textId="77777777" w:rsidR="008A0750" w:rsidRPr="00E1235F" w:rsidRDefault="008A0750" w:rsidP="008A0750">
            <w:pPr>
              <w:ind w:left="26"/>
              <w:rPr>
                <w:b/>
                <w:bCs/>
                <w:sz w:val="26"/>
                <w:szCs w:val="26"/>
                <w:rtl/>
              </w:rPr>
            </w:pPr>
            <w:bookmarkStart w:id="1" w:name="FirstAppellant"/>
          </w:p>
          <w:p w14:paraId="57E2DAD3" w14:textId="77777777" w:rsidR="008A0750" w:rsidRPr="00E1235F" w:rsidRDefault="008A0750" w:rsidP="008A0750">
            <w:pPr>
              <w:ind w:left="26"/>
              <w:rPr>
                <w:b/>
                <w:bCs/>
                <w:sz w:val="26"/>
                <w:szCs w:val="26"/>
                <w:rtl/>
              </w:rPr>
            </w:pPr>
            <w:r w:rsidRPr="00E1235F">
              <w:rPr>
                <w:rFonts w:hint="cs"/>
                <w:b/>
                <w:bCs/>
                <w:sz w:val="26"/>
                <w:szCs w:val="26"/>
                <w:rtl/>
              </w:rPr>
              <w:t>ה</w:t>
            </w:r>
            <w:r w:rsidRPr="00E1235F">
              <w:rPr>
                <w:b/>
                <w:bCs/>
                <w:sz w:val="26"/>
                <w:szCs w:val="26"/>
                <w:rtl/>
              </w:rPr>
              <w:t>מאשימה</w:t>
            </w:r>
          </w:p>
        </w:tc>
        <w:tc>
          <w:tcPr>
            <w:tcW w:w="5922" w:type="dxa"/>
            <w:gridSpan w:val="2"/>
            <w:shd w:val="clear" w:color="auto" w:fill="auto"/>
          </w:tcPr>
          <w:p w14:paraId="34F1C278" w14:textId="77777777" w:rsidR="008A0750" w:rsidRPr="00E1235F" w:rsidRDefault="008A0750" w:rsidP="008C53CF">
            <w:pPr>
              <w:rPr>
                <w:rtl/>
              </w:rPr>
            </w:pPr>
          </w:p>
          <w:p w14:paraId="39BE4C10" w14:textId="77777777" w:rsidR="008A0750" w:rsidRPr="00E1235F" w:rsidRDefault="008A0750" w:rsidP="008C53CF">
            <w:pPr>
              <w:rPr>
                <w:b/>
                <w:bCs/>
                <w:sz w:val="26"/>
                <w:szCs w:val="26"/>
                <w:rtl/>
              </w:rPr>
            </w:pPr>
            <w:r w:rsidRPr="00E1235F">
              <w:rPr>
                <w:rFonts w:hint="cs"/>
                <w:rtl/>
              </w:rPr>
              <w:t xml:space="preserve"> </w:t>
            </w:r>
            <w:r w:rsidRPr="00E1235F">
              <w:rPr>
                <w:b/>
                <w:bCs/>
                <w:sz w:val="26"/>
                <w:szCs w:val="26"/>
                <w:rtl/>
              </w:rPr>
              <w:t>שלוחת תביעות מרום הגליל והגולן</w:t>
            </w:r>
          </w:p>
          <w:p w14:paraId="5478CCD1" w14:textId="77777777" w:rsidR="008A0750" w:rsidRPr="00E1235F" w:rsidRDefault="008A0750" w:rsidP="008C53CF">
            <w:pPr>
              <w:rPr>
                <w:b/>
                <w:bCs/>
                <w:sz w:val="26"/>
                <w:szCs w:val="26"/>
                <w:rtl/>
              </w:rPr>
            </w:pPr>
          </w:p>
        </w:tc>
      </w:tr>
      <w:bookmarkEnd w:id="1"/>
      <w:tr w:rsidR="008C53CF" w:rsidRPr="00E1235F" w14:paraId="05F83324" w14:textId="77777777" w:rsidTr="008A0750">
        <w:tc>
          <w:tcPr>
            <w:tcW w:w="8802" w:type="dxa"/>
            <w:gridSpan w:val="3"/>
            <w:shd w:val="clear" w:color="auto" w:fill="auto"/>
            <w:vAlign w:val="center"/>
          </w:tcPr>
          <w:p w14:paraId="3D0667A5" w14:textId="77777777" w:rsidR="008A0750" w:rsidRPr="00E1235F" w:rsidRDefault="008A0750" w:rsidP="008A0750">
            <w:pPr>
              <w:jc w:val="center"/>
              <w:rPr>
                <w:rFonts w:ascii="Arial" w:hAnsi="Arial"/>
                <w:b/>
                <w:bCs/>
                <w:sz w:val="26"/>
                <w:szCs w:val="26"/>
                <w:rtl/>
              </w:rPr>
            </w:pPr>
          </w:p>
          <w:p w14:paraId="39C2F5B7" w14:textId="77777777" w:rsidR="008A0750" w:rsidRPr="00E1235F" w:rsidRDefault="008A0750" w:rsidP="008A0750">
            <w:pPr>
              <w:jc w:val="center"/>
              <w:rPr>
                <w:rFonts w:ascii="Arial" w:hAnsi="Arial"/>
                <w:b/>
                <w:bCs/>
                <w:sz w:val="26"/>
                <w:szCs w:val="26"/>
                <w:rtl/>
              </w:rPr>
            </w:pPr>
            <w:r w:rsidRPr="00E1235F">
              <w:rPr>
                <w:rFonts w:ascii="Arial" w:hAnsi="Arial"/>
                <w:b/>
                <w:bCs/>
                <w:sz w:val="26"/>
                <w:szCs w:val="26"/>
                <w:rtl/>
              </w:rPr>
              <w:t>נגד</w:t>
            </w:r>
          </w:p>
          <w:p w14:paraId="07593FFB" w14:textId="77777777" w:rsidR="008A0750" w:rsidRPr="00E1235F" w:rsidRDefault="008A0750" w:rsidP="008C53CF">
            <w:pPr>
              <w:rPr>
                <w:rFonts w:ascii="Arial" w:hAnsi="Arial"/>
                <w:b/>
                <w:bCs/>
                <w:sz w:val="26"/>
                <w:szCs w:val="26"/>
              </w:rPr>
            </w:pPr>
          </w:p>
        </w:tc>
      </w:tr>
      <w:tr w:rsidR="008C53CF" w:rsidRPr="00E1235F" w14:paraId="4FF99716" w14:textId="77777777" w:rsidTr="008A0750">
        <w:tc>
          <w:tcPr>
            <w:tcW w:w="2880" w:type="dxa"/>
            <w:shd w:val="clear" w:color="auto" w:fill="auto"/>
          </w:tcPr>
          <w:p w14:paraId="1DCE8CF9" w14:textId="77777777" w:rsidR="008A0750" w:rsidRPr="00E1235F" w:rsidRDefault="008A0750" w:rsidP="008A0750">
            <w:pPr>
              <w:ind w:left="26"/>
              <w:rPr>
                <w:b/>
                <w:bCs/>
                <w:sz w:val="26"/>
                <w:szCs w:val="26"/>
                <w:rtl/>
              </w:rPr>
            </w:pPr>
            <w:r w:rsidRPr="00E1235F">
              <w:rPr>
                <w:rFonts w:hint="cs"/>
                <w:b/>
                <w:bCs/>
                <w:sz w:val="26"/>
                <w:szCs w:val="26"/>
                <w:rtl/>
              </w:rPr>
              <w:t>הנאשם</w:t>
            </w:r>
          </w:p>
        </w:tc>
        <w:tc>
          <w:tcPr>
            <w:tcW w:w="5922" w:type="dxa"/>
            <w:gridSpan w:val="2"/>
            <w:shd w:val="clear" w:color="auto" w:fill="auto"/>
          </w:tcPr>
          <w:p w14:paraId="1802FC55" w14:textId="77777777" w:rsidR="008A0750" w:rsidRPr="00E1235F" w:rsidRDefault="008A0750" w:rsidP="008C53CF">
            <w:pPr>
              <w:rPr>
                <w:b/>
                <w:bCs/>
                <w:sz w:val="26"/>
                <w:szCs w:val="26"/>
                <w:rtl/>
              </w:rPr>
            </w:pPr>
            <w:r w:rsidRPr="00E1235F">
              <w:rPr>
                <w:rFonts w:hint="cs"/>
                <w:rtl/>
              </w:rPr>
              <w:t xml:space="preserve"> </w:t>
            </w:r>
            <w:r w:rsidRPr="00E1235F">
              <w:rPr>
                <w:b/>
                <w:bCs/>
                <w:sz w:val="26"/>
                <w:szCs w:val="26"/>
                <w:rtl/>
              </w:rPr>
              <w:t>ישראל ביטון</w:t>
            </w:r>
            <w:r w:rsidRPr="00E1235F">
              <w:rPr>
                <w:rFonts w:hint="cs"/>
                <w:rtl/>
              </w:rPr>
              <w:t xml:space="preserve"> </w:t>
            </w:r>
          </w:p>
          <w:p w14:paraId="4597147B" w14:textId="77777777" w:rsidR="008A0750" w:rsidRPr="00E1235F" w:rsidRDefault="008A0750" w:rsidP="008C53CF">
            <w:pPr>
              <w:rPr>
                <w:b/>
                <w:bCs/>
                <w:sz w:val="26"/>
                <w:szCs w:val="26"/>
                <w:rtl/>
              </w:rPr>
            </w:pPr>
          </w:p>
        </w:tc>
      </w:tr>
      <w:tr w:rsidR="008C53CF" w:rsidRPr="00E1235F" w14:paraId="104522AC" w14:textId="77777777" w:rsidTr="008A0750">
        <w:trPr>
          <w:trHeight w:val="692"/>
        </w:trPr>
        <w:tc>
          <w:tcPr>
            <w:tcW w:w="8802" w:type="dxa"/>
            <w:gridSpan w:val="3"/>
            <w:shd w:val="clear" w:color="auto" w:fill="auto"/>
            <w:vAlign w:val="center"/>
          </w:tcPr>
          <w:p w14:paraId="3526101E" w14:textId="77777777" w:rsidR="008A0750" w:rsidRPr="00E1235F" w:rsidRDefault="008A0750" w:rsidP="008A0750">
            <w:pPr>
              <w:jc w:val="center"/>
              <w:rPr>
                <w:rFonts w:ascii="Arial" w:hAnsi="Arial"/>
                <w:b/>
                <w:bCs/>
                <w:sz w:val="26"/>
                <w:szCs w:val="26"/>
              </w:rPr>
            </w:pPr>
          </w:p>
        </w:tc>
      </w:tr>
      <w:tr w:rsidR="008C53CF" w:rsidRPr="00E1235F" w14:paraId="13FC4EDF" w14:textId="77777777" w:rsidTr="002F784C">
        <w:trPr>
          <w:trHeight w:val="811"/>
        </w:trPr>
        <w:tc>
          <w:tcPr>
            <w:tcW w:w="2880" w:type="dxa"/>
            <w:shd w:val="clear" w:color="auto" w:fill="auto"/>
          </w:tcPr>
          <w:p w14:paraId="474FD6CF" w14:textId="77777777" w:rsidR="008A0750" w:rsidRPr="00E1235F" w:rsidRDefault="008A0750" w:rsidP="008C53CF"/>
        </w:tc>
        <w:tc>
          <w:tcPr>
            <w:tcW w:w="5922" w:type="dxa"/>
            <w:gridSpan w:val="2"/>
            <w:shd w:val="clear" w:color="auto" w:fill="auto"/>
          </w:tcPr>
          <w:p w14:paraId="5CF09120" w14:textId="77777777" w:rsidR="008A0750" w:rsidRPr="00E1235F" w:rsidRDefault="008A0750" w:rsidP="008C53CF"/>
        </w:tc>
      </w:tr>
    </w:tbl>
    <w:p w14:paraId="516A771C" w14:textId="77777777" w:rsidR="008A0750" w:rsidRPr="00E1235F" w:rsidRDefault="008A0750" w:rsidP="008A0750">
      <w:pPr>
        <w:spacing w:line="360" w:lineRule="auto"/>
        <w:jc w:val="both"/>
        <w:rPr>
          <w:sz w:val="6"/>
          <w:szCs w:val="6"/>
          <w:rtl/>
        </w:rPr>
      </w:pPr>
      <w:r w:rsidRPr="00E1235F">
        <w:rPr>
          <w:sz w:val="6"/>
          <w:szCs w:val="6"/>
          <w:rtl/>
        </w:rPr>
        <w:t>&lt;#2#&gt;</w:t>
      </w:r>
    </w:p>
    <w:p w14:paraId="7C684C8D" w14:textId="77777777" w:rsidR="008A0750" w:rsidRPr="00E1235F" w:rsidRDefault="008A0750" w:rsidP="008A0750">
      <w:pPr>
        <w:pStyle w:val="12"/>
        <w:rPr>
          <w:u w:val="none"/>
          <w:rtl/>
        </w:rPr>
      </w:pPr>
      <w:r w:rsidRPr="00E1235F">
        <w:rPr>
          <w:rFonts w:hint="cs"/>
          <w:u w:val="none"/>
          <w:rtl/>
        </w:rPr>
        <w:t>נוכחים:</w:t>
      </w:r>
    </w:p>
    <w:p w14:paraId="484DC631" w14:textId="77777777" w:rsidR="008A0750" w:rsidRPr="00E1235F" w:rsidRDefault="008A0750" w:rsidP="008A0750">
      <w:pPr>
        <w:pStyle w:val="12"/>
        <w:rPr>
          <w:sz w:val="4"/>
          <w:szCs w:val="4"/>
          <w:u w:val="none"/>
          <w:rtl/>
        </w:rPr>
      </w:pPr>
    </w:p>
    <w:p w14:paraId="6AB92123" w14:textId="77777777" w:rsidR="008A0750" w:rsidRPr="00E1235F" w:rsidRDefault="008A0750" w:rsidP="008A0750">
      <w:pPr>
        <w:pStyle w:val="12"/>
        <w:rPr>
          <w:u w:val="none"/>
          <w:rtl/>
        </w:rPr>
      </w:pPr>
      <w:bookmarkStart w:id="2" w:name="FirstLawyer"/>
      <w:r w:rsidRPr="00E1235F">
        <w:rPr>
          <w:rFonts w:hint="cs"/>
          <w:u w:val="none"/>
          <w:rtl/>
        </w:rPr>
        <w:t>ב"כ</w:t>
      </w:r>
      <w:bookmarkEnd w:id="2"/>
      <w:r w:rsidRPr="00E1235F">
        <w:rPr>
          <w:rFonts w:hint="cs"/>
          <w:u w:val="none"/>
          <w:rtl/>
        </w:rPr>
        <w:t xml:space="preserve"> המאשימה: עו"ד מאור מזרחי</w:t>
      </w:r>
      <w:r w:rsidRPr="00E1235F">
        <w:rPr>
          <w:u w:val="none"/>
          <w:rtl/>
        </w:rPr>
        <w:br/>
      </w:r>
      <w:r w:rsidRPr="00E1235F">
        <w:rPr>
          <w:rFonts w:hint="cs"/>
          <w:u w:val="none"/>
          <w:rtl/>
        </w:rPr>
        <w:t>הנאשם: בעצמו, וע"י ב"כ עו"ד דניאל וייס</w:t>
      </w:r>
    </w:p>
    <w:p w14:paraId="5B3925AA" w14:textId="77777777" w:rsidR="008A0750" w:rsidRPr="00E1235F" w:rsidRDefault="008A0750" w:rsidP="008A0750">
      <w:pPr>
        <w:pStyle w:val="12"/>
        <w:rPr>
          <w:b w:val="0"/>
          <w:bCs w:val="0"/>
          <w:sz w:val="4"/>
          <w:szCs w:val="4"/>
          <w:u w:val="none"/>
        </w:rPr>
      </w:pPr>
    </w:p>
    <w:p w14:paraId="3A66BE74" w14:textId="77777777" w:rsidR="008A0750" w:rsidRPr="00E1235F" w:rsidRDefault="008A0750" w:rsidP="008A0750">
      <w:pPr>
        <w:pStyle w:val="12"/>
        <w:rPr>
          <w:b w:val="0"/>
          <w:bCs w:val="0"/>
          <w:u w:val="none"/>
          <w:rtl/>
        </w:rPr>
      </w:pPr>
    </w:p>
    <w:p w14:paraId="12A53DDD" w14:textId="77777777" w:rsidR="002F784C" w:rsidRDefault="008A0750" w:rsidP="008A0750">
      <w:pPr>
        <w:spacing w:line="360" w:lineRule="auto"/>
        <w:jc w:val="center"/>
        <w:rPr>
          <w:rFonts w:ascii="Arial" w:hAnsi="Arial"/>
          <w:sz w:val="28"/>
          <w:szCs w:val="28"/>
          <w:rtl/>
        </w:rPr>
      </w:pPr>
      <w:r w:rsidRPr="00E1235F">
        <w:rPr>
          <w:rFonts w:ascii="Arial" w:hAnsi="Arial"/>
          <w:b/>
          <w:color w:val="FF0000"/>
          <w:sz w:val="28"/>
          <w:rtl/>
        </w:rPr>
        <w:t>במסמך זה הושמטו פרוטוקולים</w:t>
      </w:r>
      <w:bookmarkStart w:id="3" w:name="LawTable"/>
      <w:bookmarkEnd w:id="3"/>
    </w:p>
    <w:p w14:paraId="6842F2F7" w14:textId="77777777" w:rsidR="002F784C" w:rsidRPr="002F784C" w:rsidRDefault="002F784C" w:rsidP="002F784C">
      <w:pPr>
        <w:spacing w:after="120" w:line="240" w:lineRule="exact"/>
        <w:ind w:left="283" w:hanging="283"/>
        <w:jc w:val="both"/>
        <w:rPr>
          <w:rFonts w:ascii="FrankRuehl" w:hAnsi="FrankRuehl" w:cs="FrankRuehl"/>
          <w:rtl/>
        </w:rPr>
      </w:pPr>
      <w:r w:rsidRPr="002F784C">
        <w:rPr>
          <w:rFonts w:ascii="FrankRuehl" w:hAnsi="FrankRuehl" w:cs="FrankRuehl"/>
          <w:rtl/>
        </w:rPr>
        <w:t xml:space="preserve">חקיקה שאוזכרה: </w:t>
      </w:r>
    </w:p>
    <w:p w14:paraId="6B6FE9F6" w14:textId="77777777" w:rsidR="002F784C" w:rsidRPr="002F784C" w:rsidRDefault="002F784C" w:rsidP="002F784C">
      <w:pPr>
        <w:spacing w:after="120" w:line="240" w:lineRule="exact"/>
        <w:ind w:left="283" w:hanging="283"/>
        <w:jc w:val="both"/>
        <w:rPr>
          <w:rFonts w:ascii="FrankRuehl" w:hAnsi="FrankRuehl" w:cs="FrankRuehl"/>
          <w:rtl/>
        </w:rPr>
      </w:pPr>
      <w:hyperlink r:id="rId6" w:history="1">
        <w:r w:rsidRPr="002F784C">
          <w:rPr>
            <w:rFonts w:ascii="FrankRuehl" w:hAnsi="FrankRuehl" w:cs="FrankRuehl"/>
            <w:color w:val="0000FF"/>
            <w:u w:val="single"/>
            <w:rtl/>
          </w:rPr>
          <w:t>פקודת הסמים המסוכנים [נוסח חדש], תשל"ג-1973</w:t>
        </w:r>
      </w:hyperlink>
      <w:r w:rsidRPr="002F784C">
        <w:rPr>
          <w:rFonts w:ascii="FrankRuehl" w:hAnsi="FrankRuehl" w:cs="FrankRuehl"/>
          <w:rtl/>
        </w:rPr>
        <w:t xml:space="preserve">: סע'  </w:t>
      </w:r>
      <w:hyperlink r:id="rId7" w:history="1">
        <w:r w:rsidRPr="002F784C">
          <w:rPr>
            <w:rFonts w:ascii="FrankRuehl" w:hAnsi="FrankRuehl" w:cs="FrankRuehl"/>
            <w:color w:val="0000FF"/>
            <w:u w:val="single"/>
            <w:rtl/>
          </w:rPr>
          <w:t>13</w:t>
        </w:r>
      </w:hyperlink>
      <w:r w:rsidRPr="002F784C">
        <w:rPr>
          <w:rFonts w:ascii="FrankRuehl" w:hAnsi="FrankRuehl" w:cs="FrankRuehl"/>
          <w:rtl/>
        </w:rPr>
        <w:t xml:space="preserve">, </w:t>
      </w:r>
      <w:hyperlink r:id="rId8" w:history="1">
        <w:r w:rsidRPr="002F784C">
          <w:rPr>
            <w:rFonts w:ascii="FrankRuehl" w:hAnsi="FrankRuehl" w:cs="FrankRuehl"/>
            <w:color w:val="0000FF"/>
            <w:u w:val="single"/>
            <w:rtl/>
          </w:rPr>
          <w:t>19(א)</w:t>
        </w:r>
      </w:hyperlink>
    </w:p>
    <w:p w14:paraId="3F6F625A" w14:textId="77777777" w:rsidR="00E1235F" w:rsidRPr="00E1235F" w:rsidRDefault="00E1235F" w:rsidP="00E1235F">
      <w:pPr>
        <w:spacing w:line="360" w:lineRule="auto"/>
        <w:jc w:val="center"/>
        <w:rPr>
          <w:rFonts w:ascii="Arial" w:hAnsi="Arial"/>
          <w:b/>
          <w:bCs/>
          <w:sz w:val="28"/>
          <w:szCs w:val="28"/>
          <w:u w:val="single"/>
          <w:rtl/>
        </w:rPr>
      </w:pPr>
      <w:bookmarkStart w:id="4" w:name="LawTable_End"/>
      <w:bookmarkStart w:id="5" w:name="PsakDin"/>
      <w:bookmarkEnd w:id="0"/>
      <w:bookmarkEnd w:id="4"/>
      <w:r w:rsidRPr="00E1235F">
        <w:rPr>
          <w:rFonts w:ascii="Arial" w:hAnsi="Arial"/>
          <w:b/>
          <w:bCs/>
          <w:sz w:val="28"/>
          <w:szCs w:val="28"/>
          <w:u w:val="single"/>
          <w:rtl/>
        </w:rPr>
        <w:t>החלטה</w:t>
      </w:r>
    </w:p>
    <w:bookmarkEnd w:id="5"/>
    <w:p w14:paraId="2F1CE466" w14:textId="77777777" w:rsidR="008A0750" w:rsidRDefault="008A0750" w:rsidP="008A0750">
      <w:pPr>
        <w:spacing w:line="360" w:lineRule="auto"/>
        <w:jc w:val="center"/>
        <w:rPr>
          <w:rtl/>
        </w:rPr>
      </w:pPr>
    </w:p>
    <w:p w14:paraId="0272DE65" w14:textId="77777777" w:rsidR="008A0750" w:rsidRDefault="008A0750" w:rsidP="008A0750">
      <w:pPr>
        <w:spacing w:line="360" w:lineRule="auto"/>
        <w:jc w:val="both"/>
        <w:rPr>
          <w:rtl/>
        </w:rPr>
      </w:pPr>
      <w:r>
        <w:rPr>
          <w:rFonts w:hint="cs"/>
          <w:rtl/>
        </w:rPr>
        <w:t xml:space="preserve">בשלב זה, מאחר ולא הבנתי מה טענת הנאשם ומה רצונו, יצא הנאשם, יתייעץ עם בא כוחו ויציג עמדה שניתן יהיה לשקול ולקבל את עמדת ב"כ המאשימה. </w:t>
      </w:r>
    </w:p>
    <w:p w14:paraId="0BCA8B28" w14:textId="77777777" w:rsidR="008A0750" w:rsidRDefault="008A0750" w:rsidP="008A0750">
      <w:pPr>
        <w:spacing w:line="360" w:lineRule="auto"/>
        <w:rPr>
          <w:rtl/>
        </w:rPr>
      </w:pPr>
      <w:r>
        <w:rPr>
          <w:rFonts w:hint="cs"/>
          <w:b/>
          <w:bCs/>
          <w:rtl/>
        </w:rPr>
        <w:t xml:space="preserve">ניתנה והודעה היום </w:t>
      </w:r>
      <w:r>
        <w:rPr>
          <w:b/>
          <w:bCs/>
          <w:rtl/>
        </w:rPr>
        <w:t>כ"ב ניסן תשע"ז</w:t>
      </w:r>
      <w:r>
        <w:rPr>
          <w:rFonts w:hint="cs"/>
          <w:b/>
          <w:bCs/>
          <w:rtl/>
        </w:rPr>
        <w:t xml:space="preserve">, </w:t>
      </w:r>
      <w:r>
        <w:rPr>
          <w:b/>
          <w:bCs/>
        </w:rPr>
        <w:t>18/04/2017</w:t>
      </w:r>
      <w:r>
        <w:rPr>
          <w:rFonts w:hint="cs"/>
          <w:b/>
          <w:bCs/>
          <w:rtl/>
        </w:rPr>
        <w:t xml:space="preserve"> במעמד הנוכחים.</w:t>
      </w:r>
    </w:p>
    <w:p w14:paraId="7449356D" w14:textId="77777777" w:rsidR="008A0750" w:rsidRDefault="008A0750" w:rsidP="008A0750">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C53CF" w14:paraId="39CE1797" w14:textId="77777777" w:rsidTr="008A0750">
        <w:trPr>
          <w:trHeight w:val="316"/>
          <w:jc w:val="right"/>
        </w:trPr>
        <w:tc>
          <w:tcPr>
            <w:tcW w:w="3936" w:type="dxa"/>
            <w:shd w:val="clear" w:color="auto" w:fill="auto"/>
          </w:tcPr>
          <w:p w14:paraId="37939AC3" w14:textId="77777777" w:rsidR="008A0750" w:rsidRDefault="008A0750" w:rsidP="008A0750">
            <w:pPr>
              <w:jc w:val="center"/>
            </w:pPr>
            <w:r>
              <w:rPr>
                <w:rtl/>
              </w:rPr>
              <w:t xml:space="preserve">     </w:t>
            </w:r>
          </w:p>
          <w:p w14:paraId="34A5056E" w14:textId="77777777" w:rsidR="008A0750" w:rsidRDefault="008A0750" w:rsidP="008A0750">
            <w:pPr>
              <w:jc w:val="center"/>
              <w:rPr>
                <w:rtl/>
              </w:rPr>
            </w:pPr>
          </w:p>
        </w:tc>
      </w:tr>
      <w:tr w:rsidR="008C53CF" w14:paraId="6D736506" w14:textId="77777777" w:rsidTr="008A0750">
        <w:trPr>
          <w:trHeight w:val="361"/>
          <w:jc w:val="right"/>
        </w:trPr>
        <w:tc>
          <w:tcPr>
            <w:tcW w:w="3936" w:type="dxa"/>
            <w:shd w:val="clear" w:color="auto" w:fill="auto"/>
          </w:tcPr>
          <w:p w14:paraId="326BD266" w14:textId="77777777" w:rsidR="008A0750" w:rsidRPr="008A0750" w:rsidRDefault="008A0750" w:rsidP="008A0750">
            <w:pPr>
              <w:jc w:val="center"/>
              <w:rPr>
                <w:b/>
                <w:bCs/>
                <w:rtl/>
              </w:rPr>
            </w:pPr>
            <w:r w:rsidRPr="008A0750">
              <w:rPr>
                <w:b/>
                <w:bCs/>
                <w:rtl/>
              </w:rPr>
              <w:t>רות</w:t>
            </w:r>
            <w:r w:rsidRPr="008A0750">
              <w:rPr>
                <w:rFonts w:hint="cs"/>
                <w:b/>
                <w:bCs/>
                <w:rtl/>
              </w:rPr>
              <w:t xml:space="preserve"> </w:t>
            </w:r>
            <w:r w:rsidRPr="008A0750">
              <w:rPr>
                <w:b/>
                <w:bCs/>
                <w:rtl/>
              </w:rPr>
              <w:t xml:space="preserve">שפילברג כהן </w:t>
            </w:r>
            <w:r w:rsidRPr="008A0750">
              <w:rPr>
                <w:rFonts w:hint="cs"/>
                <w:b/>
                <w:bCs/>
                <w:rtl/>
              </w:rPr>
              <w:t xml:space="preserve">, </w:t>
            </w:r>
            <w:r w:rsidRPr="008A0750">
              <w:rPr>
                <w:b/>
                <w:bCs/>
                <w:rtl/>
              </w:rPr>
              <w:t xml:space="preserve">שופטת </w:t>
            </w:r>
          </w:p>
        </w:tc>
      </w:tr>
    </w:tbl>
    <w:p w14:paraId="7EF78C70" w14:textId="77777777" w:rsidR="008A0750" w:rsidRDefault="008A0750" w:rsidP="008A0750">
      <w:pPr>
        <w:jc w:val="right"/>
        <w:rPr>
          <w:rtl/>
        </w:rPr>
      </w:pPr>
    </w:p>
    <w:p w14:paraId="79D3AF3A" w14:textId="77777777" w:rsidR="008A0750" w:rsidRDefault="008A0750" w:rsidP="008A0750">
      <w:pPr>
        <w:jc w:val="both"/>
        <w:rPr>
          <w:b/>
          <w:bCs/>
          <w:u w:val="single"/>
          <w:rtl/>
        </w:rPr>
      </w:pPr>
    </w:p>
    <w:p w14:paraId="48F63EBA" w14:textId="77777777" w:rsidR="008A0750" w:rsidRDefault="008A0750" w:rsidP="008A0750">
      <w:pPr>
        <w:jc w:val="both"/>
        <w:rPr>
          <w:b/>
          <w:bCs/>
          <w:u w:val="single"/>
          <w:rtl/>
        </w:rPr>
      </w:pPr>
    </w:p>
    <w:p w14:paraId="29D14CC0" w14:textId="77777777" w:rsidR="008A0750" w:rsidRDefault="008A0750" w:rsidP="008A0750">
      <w:pPr>
        <w:spacing w:line="360" w:lineRule="auto"/>
        <w:jc w:val="both"/>
        <w:rPr>
          <w:b/>
          <w:bCs/>
          <w:u w:val="single"/>
          <w:rtl/>
        </w:rPr>
      </w:pPr>
    </w:p>
    <w:p w14:paraId="5D7A19CB" w14:textId="77777777" w:rsidR="008A0750" w:rsidRDefault="008A0750" w:rsidP="008A0750">
      <w:pPr>
        <w:spacing w:line="360" w:lineRule="auto"/>
        <w:jc w:val="both"/>
        <w:rPr>
          <w:sz w:val="6"/>
          <w:szCs w:val="6"/>
          <w:rtl/>
        </w:rPr>
      </w:pPr>
      <w:r>
        <w:rPr>
          <w:sz w:val="6"/>
          <w:szCs w:val="6"/>
          <w:rtl/>
        </w:rPr>
        <w:t>&lt;#5#&gt;</w:t>
      </w:r>
    </w:p>
    <w:p w14:paraId="303C7BDB" w14:textId="77777777" w:rsidR="008A0750" w:rsidRDefault="008A0750" w:rsidP="008A0750">
      <w:pPr>
        <w:spacing w:line="360" w:lineRule="auto"/>
        <w:jc w:val="center"/>
        <w:rPr>
          <w:rFonts w:ascii="Arial" w:hAnsi="Arial"/>
          <w:b/>
          <w:bCs/>
          <w:sz w:val="28"/>
          <w:szCs w:val="28"/>
          <w:u w:val="single"/>
          <w:rtl/>
        </w:rPr>
      </w:pPr>
      <w:r>
        <w:rPr>
          <w:rFonts w:ascii="Arial" w:hAnsi="Arial" w:hint="cs"/>
          <w:b/>
          <w:bCs/>
          <w:sz w:val="28"/>
          <w:szCs w:val="28"/>
          <w:u w:val="single"/>
          <w:rtl/>
        </w:rPr>
        <w:lastRenderedPageBreak/>
        <w:t>גזר דין</w:t>
      </w:r>
    </w:p>
    <w:p w14:paraId="1B6844BF" w14:textId="77777777" w:rsidR="008A0750" w:rsidRDefault="008A0750" w:rsidP="008A0750">
      <w:pPr>
        <w:spacing w:line="360" w:lineRule="auto"/>
        <w:jc w:val="both"/>
        <w:rPr>
          <w:rFonts w:ascii="Arial" w:hAnsi="Arial"/>
        </w:rPr>
      </w:pPr>
    </w:p>
    <w:p w14:paraId="0A22121B" w14:textId="77777777" w:rsidR="008A0750" w:rsidRDefault="008A0750" w:rsidP="008A0750">
      <w:pPr>
        <w:spacing w:line="360" w:lineRule="auto"/>
        <w:jc w:val="both"/>
        <w:rPr>
          <w:rtl/>
        </w:rPr>
      </w:pPr>
      <w:bookmarkStart w:id="6" w:name="ABSTRACT_START"/>
      <w:bookmarkEnd w:id="6"/>
      <w:r>
        <w:rPr>
          <w:rFonts w:hint="cs"/>
          <w:rtl/>
        </w:rPr>
        <w:t xml:space="preserve">הנאשם הורשע במסגרת צירוף תיקים עפ"י הודאתו ובהתאם להסדר טיעון בעבירות סמים כמפורט להלן: </w:t>
      </w:r>
    </w:p>
    <w:p w14:paraId="581D4A8F" w14:textId="77777777" w:rsidR="008A0750" w:rsidRDefault="008A0750" w:rsidP="008A0750">
      <w:pPr>
        <w:spacing w:line="360" w:lineRule="auto"/>
        <w:jc w:val="both"/>
        <w:rPr>
          <w:rtl/>
        </w:rPr>
      </w:pPr>
      <w:r>
        <w:rPr>
          <w:rFonts w:hint="cs"/>
          <w:rtl/>
        </w:rPr>
        <w:t>ב</w:t>
      </w:r>
      <w:hyperlink r:id="rId9" w:history="1">
        <w:r w:rsidR="00E1235F" w:rsidRPr="00E1235F">
          <w:rPr>
            <w:color w:val="0000FF"/>
            <w:u w:val="single"/>
            <w:rtl/>
          </w:rPr>
          <w:t>ת"פ 43260-10-16</w:t>
        </w:r>
      </w:hyperlink>
      <w:r>
        <w:rPr>
          <w:rFonts w:hint="cs"/>
          <w:rtl/>
        </w:rPr>
        <w:t xml:space="preserve"> </w:t>
      </w:r>
      <w:r>
        <w:rPr>
          <w:rtl/>
        </w:rPr>
        <w:t>–</w:t>
      </w:r>
      <w:r>
        <w:rPr>
          <w:rFonts w:hint="cs"/>
          <w:rtl/>
        </w:rPr>
        <w:t xml:space="preserve"> הורשע בביצוע "עסקה אחרת בסם מסוכן", בהתאם להוראות סעיפים </w:t>
      </w:r>
      <w:hyperlink r:id="rId10" w:history="1">
        <w:r w:rsidR="002F784C" w:rsidRPr="002F784C">
          <w:rPr>
            <w:color w:val="0000FF"/>
            <w:u w:val="single"/>
            <w:rtl/>
          </w:rPr>
          <w:t>13</w:t>
        </w:r>
      </w:hyperlink>
      <w:r>
        <w:rPr>
          <w:rFonts w:hint="cs"/>
          <w:rtl/>
        </w:rPr>
        <w:t xml:space="preserve"> + </w:t>
      </w:r>
      <w:hyperlink r:id="rId11" w:history="1">
        <w:r w:rsidR="002F784C" w:rsidRPr="002F784C">
          <w:rPr>
            <w:color w:val="0000FF"/>
            <w:u w:val="single"/>
            <w:rtl/>
          </w:rPr>
          <w:t>19(א)</w:t>
        </w:r>
      </w:hyperlink>
      <w:r>
        <w:rPr>
          <w:rFonts w:hint="cs"/>
          <w:rtl/>
        </w:rPr>
        <w:t xml:space="preserve"> ל</w:t>
      </w:r>
      <w:hyperlink r:id="rId12" w:history="1">
        <w:r w:rsidR="00E1235F" w:rsidRPr="00E1235F">
          <w:rPr>
            <w:color w:val="0000FF"/>
            <w:u w:val="single"/>
            <w:rtl/>
          </w:rPr>
          <w:t>פקודת הסמים המסוכנים</w:t>
        </w:r>
      </w:hyperlink>
      <w:r>
        <w:rPr>
          <w:rFonts w:hint="cs"/>
          <w:rtl/>
        </w:rPr>
        <w:t xml:space="preserve">. מדובר באירוע מיום 24.10.16 שהתרחש בשעות הלילה במסיבת טבע. אל הנאשם, שנכח במקום, פנה שוטר סמוי, שאל אותו "איך אפשר להסתדר", הנאשם ענה "מה אתה צריך, איזה חומר אתה צריך?" ובהמשך אמר גם "יש לי הכול, יש לי טיפות" בהמשך פורט בכתב האישום דו שיח בין הנאשם לבין אותו שוטר סמוי. בסופו של דו שיח זה, טפטף הנאשם חומר שזהותו אינה ידועה לבקבוק שאותו החזיק השוטר, ומיד אח"כ נעצר, עוד לפני שהועבר לידיו תשלום על סך 50 ₪, לגביו סוכם. </w:t>
      </w:r>
    </w:p>
    <w:p w14:paraId="76C224FD" w14:textId="77777777" w:rsidR="008A0750" w:rsidRDefault="008A0750" w:rsidP="008A0750">
      <w:pPr>
        <w:spacing w:line="360" w:lineRule="auto"/>
        <w:jc w:val="both"/>
        <w:rPr>
          <w:rtl/>
        </w:rPr>
      </w:pPr>
      <w:bookmarkStart w:id="7" w:name="ABSTRACT_END"/>
      <w:bookmarkEnd w:id="7"/>
    </w:p>
    <w:p w14:paraId="11120456" w14:textId="77777777" w:rsidR="008A0750" w:rsidRDefault="008A0750" w:rsidP="008A0750">
      <w:pPr>
        <w:spacing w:line="360" w:lineRule="auto"/>
        <w:jc w:val="both"/>
        <w:rPr>
          <w:rtl/>
        </w:rPr>
      </w:pPr>
      <w:r>
        <w:rPr>
          <w:rFonts w:hint="cs"/>
          <w:rtl/>
        </w:rPr>
        <w:t>ב</w:t>
      </w:r>
      <w:hyperlink r:id="rId13" w:history="1">
        <w:r w:rsidR="00E1235F" w:rsidRPr="00E1235F">
          <w:rPr>
            <w:color w:val="0000FF"/>
            <w:u w:val="single"/>
            <w:rtl/>
          </w:rPr>
          <w:t>ת"פ 13526-10-16</w:t>
        </w:r>
      </w:hyperlink>
      <w:r>
        <w:rPr>
          <w:rFonts w:hint="cs"/>
          <w:rtl/>
        </w:rPr>
        <w:t xml:space="preserve"> </w:t>
      </w:r>
      <w:r>
        <w:rPr>
          <w:rtl/>
        </w:rPr>
        <w:t>–</w:t>
      </w:r>
      <w:r>
        <w:rPr>
          <w:rFonts w:hint="cs"/>
          <w:rtl/>
        </w:rPr>
        <w:t xml:space="preserve"> הורשע הנאשם בהחזקת סמים לצריכה עצמית, שבוצעה ביום 24.3.16 בפסטיבל בחוף דוגית, בכך שהנאשם החזיק בסם מסוג קנבוס מגולגל בתוך סיגריה, בכמות של 0.42 ג'. </w:t>
      </w:r>
    </w:p>
    <w:p w14:paraId="7B3D059F" w14:textId="77777777" w:rsidR="008A0750" w:rsidRDefault="008A0750" w:rsidP="008A0750">
      <w:pPr>
        <w:spacing w:line="360" w:lineRule="auto"/>
        <w:jc w:val="both"/>
        <w:rPr>
          <w:rtl/>
        </w:rPr>
      </w:pPr>
    </w:p>
    <w:p w14:paraId="6F0D8F4F" w14:textId="77777777" w:rsidR="008A0750" w:rsidRDefault="008A0750" w:rsidP="008A0750">
      <w:pPr>
        <w:spacing w:line="360" w:lineRule="auto"/>
        <w:jc w:val="both"/>
        <w:rPr>
          <w:rtl/>
        </w:rPr>
      </w:pPr>
      <w:r>
        <w:rPr>
          <w:rFonts w:hint="cs"/>
          <w:rtl/>
        </w:rPr>
        <w:t xml:space="preserve">בין הצדדים הושג הסדר טיעון, ובו הסכמה לגבי עיקרי רכיבי הענישה, בראשם עונש מאסר בעבודות שרות, אשר יכלול הפעלתו של מאסר מותנה. </w:t>
      </w:r>
    </w:p>
    <w:p w14:paraId="763FAEED" w14:textId="77777777" w:rsidR="008A0750" w:rsidRDefault="008A0750" w:rsidP="008A0750">
      <w:pPr>
        <w:spacing w:line="360" w:lineRule="auto"/>
        <w:jc w:val="both"/>
        <w:rPr>
          <w:rtl/>
        </w:rPr>
      </w:pPr>
    </w:p>
    <w:p w14:paraId="0426A33A" w14:textId="77777777" w:rsidR="008A0750" w:rsidRDefault="008A0750" w:rsidP="008A0750">
      <w:pPr>
        <w:spacing w:line="360" w:lineRule="auto"/>
        <w:jc w:val="both"/>
        <w:rPr>
          <w:rtl/>
        </w:rPr>
      </w:pPr>
      <w:r>
        <w:rPr>
          <w:rFonts w:hint="cs"/>
          <w:rtl/>
        </w:rPr>
        <w:t xml:space="preserve">הנאשם יליד 1993, בעברו הרשעה אחת בלבד בעבירת סמים לצריכה עצמית, בגינה הוטל עליו אותו מאסר מותנה שיופעל היום. </w:t>
      </w:r>
    </w:p>
    <w:p w14:paraId="5950958D" w14:textId="77777777" w:rsidR="008A0750" w:rsidRDefault="008A0750" w:rsidP="008A0750">
      <w:pPr>
        <w:spacing w:line="360" w:lineRule="auto"/>
        <w:jc w:val="both"/>
        <w:rPr>
          <w:rtl/>
        </w:rPr>
      </w:pPr>
    </w:p>
    <w:p w14:paraId="038625E2" w14:textId="77777777" w:rsidR="008A0750" w:rsidRDefault="008A0750" w:rsidP="008A0750">
      <w:pPr>
        <w:spacing w:line="360" w:lineRule="auto"/>
        <w:jc w:val="both"/>
        <w:rPr>
          <w:rtl/>
        </w:rPr>
      </w:pPr>
    </w:p>
    <w:p w14:paraId="4C67F28B" w14:textId="77777777" w:rsidR="008A0750" w:rsidRPr="008A0750" w:rsidRDefault="008A0750" w:rsidP="008A0750">
      <w:pPr>
        <w:spacing w:line="360" w:lineRule="auto"/>
        <w:jc w:val="both"/>
        <w:rPr>
          <w:rFonts w:ascii="Calibri" w:hAnsi="Calibri"/>
          <w:rtl/>
        </w:rPr>
      </w:pPr>
      <w:r>
        <w:rPr>
          <w:rFonts w:hint="cs"/>
          <w:rtl/>
        </w:rPr>
        <w:t xml:space="preserve">עניינה של פרשה זו הוא עבירת סמים שלא לצריכה עצמית, שבוצעה באופן טיפוסי, נפוץ ומדאיג במהלך מסיבת טבע, ואולם לקולא יש לציין כי טיבו של אותו חומר אשר הנאשם החזיק ואותו סיכם למכור לשוטר, לא התגלה. </w:t>
      </w:r>
    </w:p>
    <w:p w14:paraId="4AD0951D" w14:textId="77777777" w:rsidR="008A0750" w:rsidRPr="008A0750" w:rsidRDefault="008A0750" w:rsidP="008A0750">
      <w:pPr>
        <w:spacing w:line="360" w:lineRule="auto"/>
        <w:jc w:val="both"/>
        <w:rPr>
          <w:rFonts w:ascii="Calibri" w:hAnsi="Calibri"/>
        </w:rPr>
      </w:pPr>
      <w:r w:rsidRPr="008A0750">
        <w:rPr>
          <w:rFonts w:ascii="Calibri" w:hAnsi="Calibri" w:hint="cs"/>
          <w:rtl/>
        </w:rPr>
        <w:t xml:space="preserve">עוד יש לציין לטובת הנאשם, את הודאתו והחיסכון בזמן שיפוטי. </w:t>
      </w:r>
    </w:p>
    <w:p w14:paraId="3EF5527A" w14:textId="77777777" w:rsidR="008A0750" w:rsidRDefault="008A0750" w:rsidP="008A0750">
      <w:pPr>
        <w:spacing w:line="360" w:lineRule="auto"/>
        <w:rPr>
          <w:rtl/>
        </w:rPr>
      </w:pPr>
    </w:p>
    <w:p w14:paraId="6469DD19" w14:textId="77777777" w:rsidR="008A0750" w:rsidRDefault="008A0750" w:rsidP="008A0750">
      <w:pPr>
        <w:spacing w:line="360" w:lineRule="auto"/>
        <w:jc w:val="both"/>
        <w:rPr>
          <w:rtl/>
        </w:rPr>
      </w:pPr>
      <w:r w:rsidRPr="00434C31">
        <w:rPr>
          <w:rFonts w:hint="cs"/>
          <w:u w:val="single"/>
          <w:rtl/>
        </w:rPr>
        <w:t>אני מכבדת את הסדר הטיעון, וגוזרת את עונשו של הנאשם על פי המוסכם כדלקמן</w:t>
      </w:r>
      <w:r>
        <w:rPr>
          <w:rFonts w:hint="cs"/>
          <w:rtl/>
        </w:rPr>
        <w:t>:</w:t>
      </w:r>
    </w:p>
    <w:p w14:paraId="4C53EC8F" w14:textId="77777777" w:rsidR="008A0750" w:rsidRPr="002F4017" w:rsidRDefault="008A0750" w:rsidP="008A0750">
      <w:pPr>
        <w:spacing w:line="360" w:lineRule="auto"/>
      </w:pPr>
    </w:p>
    <w:p w14:paraId="4AA71A0B" w14:textId="77777777" w:rsidR="008A0750" w:rsidRDefault="008A0750" w:rsidP="008A0750">
      <w:pPr>
        <w:spacing w:line="360" w:lineRule="auto"/>
        <w:ind w:left="720" w:hanging="720"/>
        <w:jc w:val="both"/>
        <w:rPr>
          <w:rtl/>
        </w:rPr>
      </w:pPr>
      <w:r>
        <w:rPr>
          <w:rFonts w:hint="cs"/>
          <w:rtl/>
        </w:rPr>
        <w:t>א.</w:t>
      </w:r>
      <w:r>
        <w:rPr>
          <w:rFonts w:hint="cs"/>
          <w:rtl/>
        </w:rPr>
        <w:tab/>
        <w:t xml:space="preserve">מאסר בפועל לתקופה של 4.5 חודשים. המאסר ירוצה בדרך של עבודות שרות במועצה הדתית באשדוד, החל מיום 18.7.17. </w:t>
      </w:r>
    </w:p>
    <w:p w14:paraId="079EE7A6" w14:textId="77777777" w:rsidR="008A0750" w:rsidRDefault="008A0750" w:rsidP="008A0750">
      <w:pPr>
        <w:spacing w:after="120" w:line="360" w:lineRule="auto"/>
        <w:ind w:left="720"/>
        <w:jc w:val="both"/>
        <w:rPr>
          <w:rtl/>
        </w:rPr>
      </w:pPr>
    </w:p>
    <w:p w14:paraId="76298200" w14:textId="77777777" w:rsidR="008A0750" w:rsidRPr="004C17F8" w:rsidRDefault="008A0750" w:rsidP="008A0750">
      <w:pPr>
        <w:spacing w:after="120" w:line="360" w:lineRule="auto"/>
        <w:ind w:left="720"/>
        <w:jc w:val="both"/>
        <w:rPr>
          <w:rtl/>
        </w:rPr>
      </w:pPr>
      <w:r w:rsidRPr="004C17F8">
        <w:rPr>
          <w:rFonts w:hint="eastAsia"/>
          <w:rtl/>
        </w:rPr>
        <w:t>הובהר</w:t>
      </w:r>
      <w:r w:rsidRPr="004C17F8">
        <w:rPr>
          <w:rtl/>
        </w:rPr>
        <w:t xml:space="preserve"> </w:t>
      </w:r>
      <w:r w:rsidRPr="004C17F8">
        <w:rPr>
          <w:rFonts w:hint="eastAsia"/>
          <w:rtl/>
        </w:rPr>
        <w:t>לנאשם</w:t>
      </w:r>
      <w:r w:rsidRPr="004C17F8">
        <w:rPr>
          <w:rtl/>
        </w:rPr>
        <w:t xml:space="preserve"> </w:t>
      </w:r>
      <w:r w:rsidRPr="004C17F8">
        <w:rPr>
          <w:rFonts w:hint="eastAsia"/>
          <w:rtl/>
        </w:rPr>
        <w:t>כי</w:t>
      </w:r>
      <w:r w:rsidRPr="004C17F8">
        <w:rPr>
          <w:rtl/>
        </w:rPr>
        <w:t xml:space="preserve"> </w:t>
      </w:r>
      <w:r w:rsidRPr="004C17F8">
        <w:rPr>
          <w:rFonts w:hint="eastAsia"/>
          <w:rtl/>
        </w:rPr>
        <w:t>מדובר</w:t>
      </w:r>
      <w:r w:rsidRPr="004C17F8">
        <w:rPr>
          <w:rtl/>
        </w:rPr>
        <w:t xml:space="preserve"> </w:t>
      </w:r>
      <w:r w:rsidRPr="004C17F8">
        <w:rPr>
          <w:rFonts w:hint="eastAsia"/>
          <w:rtl/>
        </w:rPr>
        <w:t>בתנאי</w:t>
      </w:r>
      <w:r w:rsidRPr="004C17F8">
        <w:rPr>
          <w:rtl/>
        </w:rPr>
        <w:t xml:space="preserve"> </w:t>
      </w:r>
      <w:r w:rsidRPr="004C17F8">
        <w:rPr>
          <w:rFonts w:hint="eastAsia"/>
          <w:rtl/>
        </w:rPr>
        <w:t>העסקה</w:t>
      </w:r>
      <w:r w:rsidRPr="004C17F8">
        <w:rPr>
          <w:rtl/>
        </w:rPr>
        <w:t xml:space="preserve"> </w:t>
      </w:r>
      <w:r w:rsidRPr="004C17F8">
        <w:rPr>
          <w:rFonts w:hint="eastAsia"/>
          <w:rtl/>
        </w:rPr>
        <w:t>קפדניים</w:t>
      </w:r>
      <w:r w:rsidRPr="004C17F8">
        <w:rPr>
          <w:rtl/>
        </w:rPr>
        <w:t xml:space="preserve"> </w:t>
      </w:r>
      <w:r w:rsidRPr="004C17F8">
        <w:rPr>
          <w:rFonts w:hint="eastAsia"/>
          <w:rtl/>
        </w:rPr>
        <w:t>וכל</w:t>
      </w:r>
      <w:r w:rsidRPr="004C17F8">
        <w:rPr>
          <w:rtl/>
        </w:rPr>
        <w:t xml:space="preserve"> </w:t>
      </w:r>
      <w:r w:rsidRPr="004C17F8">
        <w:rPr>
          <w:rFonts w:hint="eastAsia"/>
          <w:rtl/>
        </w:rPr>
        <w:t>חריגה</w:t>
      </w:r>
      <w:r w:rsidRPr="004C17F8">
        <w:rPr>
          <w:rtl/>
        </w:rPr>
        <w:t xml:space="preserve"> </w:t>
      </w:r>
      <w:r w:rsidRPr="004C17F8">
        <w:rPr>
          <w:rFonts w:hint="eastAsia"/>
          <w:rtl/>
        </w:rPr>
        <w:t>מכללים</w:t>
      </w:r>
      <w:r w:rsidRPr="004C17F8">
        <w:rPr>
          <w:rtl/>
        </w:rPr>
        <w:t xml:space="preserve"> </w:t>
      </w:r>
      <w:r w:rsidRPr="004C17F8">
        <w:rPr>
          <w:rFonts w:hint="eastAsia"/>
          <w:rtl/>
        </w:rPr>
        <w:t>אלו</w:t>
      </w:r>
      <w:r w:rsidRPr="004C17F8">
        <w:rPr>
          <w:rtl/>
        </w:rPr>
        <w:t xml:space="preserve">, </w:t>
      </w:r>
      <w:r w:rsidRPr="004C17F8">
        <w:rPr>
          <w:rFonts w:hint="eastAsia"/>
          <w:rtl/>
        </w:rPr>
        <w:t>שימוש</w:t>
      </w:r>
      <w:r w:rsidRPr="004C17F8">
        <w:rPr>
          <w:rtl/>
        </w:rPr>
        <w:t xml:space="preserve"> </w:t>
      </w:r>
      <w:r w:rsidRPr="004C17F8">
        <w:rPr>
          <w:rFonts w:hint="eastAsia"/>
          <w:rtl/>
        </w:rPr>
        <w:t>בסמים</w:t>
      </w:r>
      <w:r w:rsidRPr="004C17F8">
        <w:rPr>
          <w:rtl/>
        </w:rPr>
        <w:t xml:space="preserve"> </w:t>
      </w:r>
      <w:r w:rsidRPr="004C17F8">
        <w:rPr>
          <w:rFonts w:hint="eastAsia"/>
          <w:rtl/>
        </w:rPr>
        <w:t>או</w:t>
      </w:r>
      <w:r w:rsidRPr="004C17F8">
        <w:rPr>
          <w:rtl/>
        </w:rPr>
        <w:t xml:space="preserve"> </w:t>
      </w:r>
      <w:r w:rsidRPr="004C17F8">
        <w:rPr>
          <w:rFonts w:hint="eastAsia"/>
          <w:rtl/>
        </w:rPr>
        <w:t>באלכוהול</w:t>
      </w:r>
      <w:r w:rsidRPr="004C17F8">
        <w:rPr>
          <w:rtl/>
        </w:rPr>
        <w:t xml:space="preserve">, </w:t>
      </w:r>
      <w:r w:rsidRPr="004C17F8">
        <w:rPr>
          <w:rFonts w:hint="eastAsia"/>
          <w:rtl/>
        </w:rPr>
        <w:t>היעדרות</w:t>
      </w:r>
      <w:r w:rsidRPr="004C17F8">
        <w:rPr>
          <w:rtl/>
        </w:rPr>
        <w:t xml:space="preserve"> </w:t>
      </w:r>
      <w:r w:rsidRPr="004C17F8">
        <w:rPr>
          <w:rFonts w:hint="eastAsia"/>
          <w:rtl/>
        </w:rPr>
        <w:t>או</w:t>
      </w:r>
      <w:r w:rsidRPr="004C17F8">
        <w:rPr>
          <w:rtl/>
        </w:rPr>
        <w:t xml:space="preserve"> </w:t>
      </w:r>
      <w:r w:rsidRPr="004C17F8">
        <w:rPr>
          <w:rFonts w:hint="eastAsia"/>
          <w:rtl/>
        </w:rPr>
        <w:t>התנהגות</w:t>
      </w:r>
      <w:r w:rsidRPr="004C17F8">
        <w:rPr>
          <w:rtl/>
        </w:rPr>
        <w:t xml:space="preserve"> </w:t>
      </w:r>
      <w:r w:rsidRPr="004C17F8">
        <w:rPr>
          <w:rFonts w:hint="eastAsia"/>
          <w:rtl/>
        </w:rPr>
        <w:t>בלתי</w:t>
      </w:r>
      <w:r w:rsidRPr="004C17F8">
        <w:rPr>
          <w:rtl/>
        </w:rPr>
        <w:t xml:space="preserve"> </w:t>
      </w:r>
      <w:r w:rsidRPr="004C17F8">
        <w:rPr>
          <w:rFonts w:hint="eastAsia"/>
          <w:rtl/>
        </w:rPr>
        <w:t>תקינה</w:t>
      </w:r>
      <w:r w:rsidRPr="004C17F8">
        <w:rPr>
          <w:rtl/>
        </w:rPr>
        <w:t xml:space="preserve"> - </w:t>
      </w:r>
      <w:r w:rsidRPr="004C17F8">
        <w:rPr>
          <w:rFonts w:hint="eastAsia"/>
          <w:rtl/>
        </w:rPr>
        <w:t>יש</w:t>
      </w:r>
      <w:r w:rsidRPr="004C17F8">
        <w:rPr>
          <w:rtl/>
        </w:rPr>
        <w:t xml:space="preserve"> </w:t>
      </w:r>
      <w:r w:rsidRPr="004C17F8">
        <w:rPr>
          <w:rFonts w:hint="eastAsia"/>
          <w:rtl/>
        </w:rPr>
        <w:t>בה</w:t>
      </w:r>
      <w:r w:rsidRPr="004C17F8">
        <w:rPr>
          <w:rtl/>
        </w:rPr>
        <w:t xml:space="preserve"> </w:t>
      </w:r>
      <w:r w:rsidRPr="004C17F8">
        <w:rPr>
          <w:rFonts w:hint="eastAsia"/>
          <w:rtl/>
        </w:rPr>
        <w:t>כדי</w:t>
      </w:r>
      <w:r w:rsidRPr="004C17F8">
        <w:rPr>
          <w:rtl/>
        </w:rPr>
        <w:t xml:space="preserve"> </w:t>
      </w:r>
      <w:r w:rsidRPr="004C17F8">
        <w:rPr>
          <w:rFonts w:hint="eastAsia"/>
          <w:rtl/>
        </w:rPr>
        <w:t>להפסיק</w:t>
      </w:r>
      <w:r w:rsidRPr="004C17F8">
        <w:rPr>
          <w:rtl/>
        </w:rPr>
        <w:t xml:space="preserve"> </w:t>
      </w:r>
      <w:r w:rsidRPr="004C17F8">
        <w:rPr>
          <w:rFonts w:hint="eastAsia"/>
          <w:rtl/>
        </w:rPr>
        <w:t>את</w:t>
      </w:r>
      <w:r w:rsidRPr="004C17F8">
        <w:rPr>
          <w:rtl/>
        </w:rPr>
        <w:t xml:space="preserve"> </w:t>
      </w:r>
      <w:r w:rsidRPr="004C17F8">
        <w:rPr>
          <w:rFonts w:hint="eastAsia"/>
          <w:rtl/>
        </w:rPr>
        <w:t>עבודות</w:t>
      </w:r>
      <w:r w:rsidRPr="004C17F8">
        <w:rPr>
          <w:rtl/>
        </w:rPr>
        <w:t xml:space="preserve"> </w:t>
      </w:r>
      <w:r w:rsidRPr="004C17F8">
        <w:rPr>
          <w:rFonts w:hint="eastAsia"/>
          <w:rtl/>
        </w:rPr>
        <w:t>השירות</w:t>
      </w:r>
      <w:r w:rsidRPr="004C17F8">
        <w:rPr>
          <w:rtl/>
        </w:rPr>
        <w:t xml:space="preserve">, </w:t>
      </w:r>
      <w:r w:rsidRPr="004C17F8">
        <w:rPr>
          <w:rFonts w:hint="eastAsia"/>
          <w:rtl/>
        </w:rPr>
        <w:t>וריצוי</w:t>
      </w:r>
      <w:r w:rsidRPr="004C17F8">
        <w:rPr>
          <w:rtl/>
        </w:rPr>
        <w:t xml:space="preserve"> </w:t>
      </w:r>
      <w:r w:rsidRPr="004C17F8">
        <w:rPr>
          <w:rFonts w:hint="eastAsia"/>
          <w:rtl/>
        </w:rPr>
        <w:t>יתרת</w:t>
      </w:r>
      <w:r w:rsidRPr="004C17F8">
        <w:rPr>
          <w:rtl/>
        </w:rPr>
        <w:t xml:space="preserve"> </w:t>
      </w:r>
      <w:r w:rsidRPr="004C17F8">
        <w:rPr>
          <w:rFonts w:hint="eastAsia"/>
          <w:rtl/>
        </w:rPr>
        <w:t>העונש</w:t>
      </w:r>
      <w:r w:rsidRPr="004C17F8">
        <w:rPr>
          <w:rtl/>
        </w:rPr>
        <w:t xml:space="preserve"> </w:t>
      </w:r>
      <w:r w:rsidRPr="004C17F8">
        <w:rPr>
          <w:rFonts w:hint="eastAsia"/>
          <w:rtl/>
        </w:rPr>
        <w:t>במאסר</w:t>
      </w:r>
      <w:r w:rsidRPr="004C17F8">
        <w:rPr>
          <w:rtl/>
        </w:rPr>
        <w:t xml:space="preserve"> </w:t>
      </w:r>
      <w:r w:rsidRPr="004C17F8">
        <w:rPr>
          <w:rFonts w:hint="eastAsia"/>
          <w:rtl/>
        </w:rPr>
        <w:t>בפועל</w:t>
      </w:r>
      <w:r w:rsidRPr="004C17F8">
        <w:rPr>
          <w:rtl/>
        </w:rPr>
        <w:t xml:space="preserve"> </w:t>
      </w:r>
      <w:r w:rsidRPr="004C17F8">
        <w:rPr>
          <w:rFonts w:hint="eastAsia"/>
          <w:rtl/>
        </w:rPr>
        <w:t>מאחורי</w:t>
      </w:r>
      <w:r w:rsidRPr="004C17F8">
        <w:rPr>
          <w:rtl/>
        </w:rPr>
        <w:t xml:space="preserve"> </w:t>
      </w:r>
      <w:r w:rsidRPr="004C17F8">
        <w:rPr>
          <w:rFonts w:hint="eastAsia"/>
          <w:rtl/>
        </w:rPr>
        <w:t>סורג</w:t>
      </w:r>
      <w:r w:rsidRPr="004C17F8">
        <w:rPr>
          <w:rtl/>
        </w:rPr>
        <w:t xml:space="preserve"> </w:t>
      </w:r>
      <w:r w:rsidRPr="004C17F8">
        <w:rPr>
          <w:rFonts w:hint="eastAsia"/>
          <w:rtl/>
        </w:rPr>
        <w:t>ובריח</w:t>
      </w:r>
      <w:r w:rsidRPr="004C17F8">
        <w:rPr>
          <w:rtl/>
        </w:rPr>
        <w:t>.</w:t>
      </w:r>
    </w:p>
    <w:p w14:paraId="316D2AC5" w14:textId="77777777" w:rsidR="008A0750" w:rsidRDefault="008A0750" w:rsidP="008A0750">
      <w:pPr>
        <w:pStyle w:val="2"/>
        <w:spacing w:line="360" w:lineRule="auto"/>
        <w:ind w:left="720" w:hanging="720"/>
        <w:jc w:val="both"/>
        <w:rPr>
          <w:rtl/>
        </w:rPr>
      </w:pPr>
    </w:p>
    <w:p w14:paraId="440E8947" w14:textId="77777777" w:rsidR="008A0750" w:rsidRDefault="008A0750" w:rsidP="008A0750">
      <w:pPr>
        <w:pStyle w:val="2"/>
        <w:spacing w:line="360" w:lineRule="auto"/>
        <w:ind w:left="720" w:hanging="720"/>
        <w:jc w:val="both"/>
        <w:rPr>
          <w:rtl/>
        </w:rPr>
      </w:pPr>
      <w:r>
        <w:rPr>
          <w:rFonts w:hint="cs"/>
          <w:rtl/>
        </w:rPr>
        <w:t>ב.</w:t>
      </w:r>
      <w:r>
        <w:rPr>
          <w:rFonts w:hint="cs"/>
          <w:rtl/>
        </w:rPr>
        <w:tab/>
        <w:t>אני מורה על הפעלתו של המאסר המותנה שמשכו 3 חודשים שהוטל על הנאשם ב</w:t>
      </w:r>
      <w:hyperlink r:id="rId14" w:history="1">
        <w:r w:rsidR="00E1235F" w:rsidRPr="00E1235F">
          <w:rPr>
            <w:color w:val="0000FF"/>
            <w:u w:val="single"/>
            <w:rtl/>
          </w:rPr>
          <w:t>ת"פ 43067-04-13</w:t>
        </w:r>
      </w:hyperlink>
      <w:r>
        <w:rPr>
          <w:rFonts w:hint="cs"/>
          <w:rtl/>
        </w:rPr>
        <w:t xml:space="preserve"> (באר שבע). המאסר המותנה יופעל בחופף לעונש שהוטל בתיק זה, </w:t>
      </w:r>
      <w:r w:rsidRPr="00D26B46">
        <w:rPr>
          <w:rFonts w:hint="cs"/>
          <w:b/>
          <w:bCs/>
          <w:u w:val="single"/>
          <w:rtl/>
        </w:rPr>
        <w:t>כך שסה"כ הנאשם ירצה 4.5 חודשים בעבודות שרות, כמפורט בסעיף א' שלעיל</w:t>
      </w:r>
      <w:r>
        <w:rPr>
          <w:rFonts w:hint="cs"/>
          <w:rtl/>
        </w:rPr>
        <w:t xml:space="preserve">. </w:t>
      </w:r>
    </w:p>
    <w:p w14:paraId="7CB54E18" w14:textId="77777777" w:rsidR="008A0750" w:rsidRPr="007A2481" w:rsidRDefault="008A0750" w:rsidP="008A0750">
      <w:pPr>
        <w:pStyle w:val="2"/>
        <w:spacing w:line="360" w:lineRule="auto"/>
        <w:ind w:left="720" w:hanging="720"/>
        <w:jc w:val="both"/>
        <w:rPr>
          <w:rtl/>
        </w:rPr>
      </w:pPr>
    </w:p>
    <w:p w14:paraId="5281DEBC" w14:textId="77777777" w:rsidR="008A0750" w:rsidRPr="007A2481" w:rsidRDefault="008A0750" w:rsidP="008A0750">
      <w:pPr>
        <w:spacing w:line="360" w:lineRule="auto"/>
        <w:ind w:left="720" w:hanging="720"/>
        <w:jc w:val="both"/>
        <w:rPr>
          <w:rtl/>
        </w:rPr>
      </w:pPr>
      <w:r>
        <w:rPr>
          <w:rFonts w:hint="cs"/>
          <w:rtl/>
        </w:rPr>
        <w:t>ג</w:t>
      </w:r>
      <w:r w:rsidRPr="007A2481">
        <w:rPr>
          <w:rtl/>
        </w:rPr>
        <w:t>.</w:t>
      </w:r>
      <w:r w:rsidRPr="007A2481">
        <w:rPr>
          <w:rtl/>
        </w:rPr>
        <w:tab/>
        <w:t xml:space="preserve">מאסר על תנאי לתקופה של </w:t>
      </w:r>
      <w:r>
        <w:rPr>
          <w:rFonts w:hint="cs"/>
          <w:rtl/>
        </w:rPr>
        <w:t xml:space="preserve">חודשיים </w:t>
      </w:r>
      <w:r w:rsidRPr="007A2481">
        <w:rPr>
          <w:rtl/>
        </w:rPr>
        <w:t xml:space="preserve">והתנאי הוא כי במשך </w:t>
      </w:r>
      <w:r>
        <w:rPr>
          <w:rFonts w:hint="cs"/>
          <w:rtl/>
        </w:rPr>
        <w:t xml:space="preserve">שנה </w:t>
      </w:r>
      <w:r w:rsidRPr="007A2481">
        <w:rPr>
          <w:rtl/>
        </w:rPr>
        <w:t xml:space="preserve">החל </w:t>
      </w:r>
      <w:r>
        <w:rPr>
          <w:rFonts w:hint="cs"/>
          <w:rtl/>
        </w:rPr>
        <w:t>מהיום</w:t>
      </w:r>
      <w:r w:rsidRPr="007A2481">
        <w:rPr>
          <w:rtl/>
        </w:rPr>
        <w:t xml:space="preserve">, לא יעבור </w:t>
      </w:r>
      <w:r>
        <w:rPr>
          <w:rFonts w:hint="cs"/>
          <w:rtl/>
        </w:rPr>
        <w:t xml:space="preserve">הנאשם כל עבירה על פי </w:t>
      </w:r>
      <w:hyperlink r:id="rId15" w:history="1">
        <w:r w:rsidR="00E1235F" w:rsidRPr="00E1235F">
          <w:rPr>
            <w:color w:val="0000FF"/>
            <w:u w:val="single"/>
            <w:rtl/>
          </w:rPr>
          <w:t>פקודת הסמים המסוכנים</w:t>
        </w:r>
      </w:hyperlink>
      <w:r>
        <w:rPr>
          <w:rFonts w:hint="cs"/>
          <w:rtl/>
        </w:rPr>
        <w:t>.</w:t>
      </w:r>
    </w:p>
    <w:p w14:paraId="5B4AC16A" w14:textId="77777777" w:rsidR="008A0750" w:rsidRDefault="008A0750" w:rsidP="008A0750">
      <w:pPr>
        <w:spacing w:line="360" w:lineRule="auto"/>
        <w:ind w:left="720" w:hanging="720"/>
        <w:jc w:val="both"/>
        <w:rPr>
          <w:rtl/>
        </w:rPr>
      </w:pPr>
    </w:p>
    <w:p w14:paraId="5DEAE7A8" w14:textId="77777777" w:rsidR="008A0750" w:rsidRDefault="008A0750" w:rsidP="008A0750">
      <w:pPr>
        <w:spacing w:line="360" w:lineRule="auto"/>
        <w:ind w:left="720" w:hanging="720"/>
        <w:jc w:val="both"/>
        <w:rPr>
          <w:rtl/>
        </w:rPr>
      </w:pPr>
      <w:r>
        <w:rPr>
          <w:rFonts w:hint="cs"/>
          <w:rtl/>
        </w:rPr>
        <w:t>ד.</w:t>
      </w:r>
      <w:r>
        <w:rPr>
          <w:rFonts w:hint="cs"/>
          <w:rtl/>
        </w:rPr>
        <w:tab/>
        <w:t xml:space="preserve">קנס בסך 1,000 ש"ח או 4 ימי מאסר תמורתו. הקנס ישולם  בשני שיעורים חודשיים שווים ורצופים, תשלום  ראשון עד יום 10.5.17 ותשלום שני עד יום 10.6.17. </w:t>
      </w:r>
    </w:p>
    <w:p w14:paraId="17C6044E" w14:textId="77777777" w:rsidR="008A0750" w:rsidRDefault="008A0750" w:rsidP="008A0750">
      <w:pPr>
        <w:pStyle w:val="a9"/>
        <w:spacing w:line="360" w:lineRule="auto"/>
        <w:ind w:firstLine="437"/>
        <w:jc w:val="both"/>
        <w:rPr>
          <w:rtl/>
        </w:rPr>
      </w:pPr>
      <w:r>
        <w:rPr>
          <w:rFonts w:hint="cs"/>
          <w:b/>
          <w:bCs/>
          <w:rtl/>
        </w:rPr>
        <w:t>אי תשלום אחד מהשיעורים, יעמיד את היתרה לפירעון מיידי.</w:t>
      </w:r>
    </w:p>
    <w:p w14:paraId="229FE9DF" w14:textId="77777777" w:rsidR="008A0750" w:rsidRDefault="008A0750" w:rsidP="008A0750">
      <w:pPr>
        <w:spacing w:line="360" w:lineRule="auto"/>
        <w:ind w:left="720" w:hanging="720"/>
        <w:jc w:val="both"/>
        <w:rPr>
          <w:rtl/>
        </w:rPr>
      </w:pPr>
    </w:p>
    <w:p w14:paraId="6BDBD911" w14:textId="77777777" w:rsidR="008A0750" w:rsidRDefault="008A0750" w:rsidP="008A0750">
      <w:pPr>
        <w:spacing w:line="360" w:lineRule="auto"/>
        <w:ind w:left="720" w:hanging="720"/>
        <w:jc w:val="both"/>
        <w:rPr>
          <w:rtl/>
        </w:rPr>
      </w:pPr>
      <w:r>
        <w:rPr>
          <w:rFonts w:hint="cs"/>
          <w:rtl/>
        </w:rPr>
        <w:t>ה.</w:t>
      </w:r>
      <w:r>
        <w:rPr>
          <w:rFonts w:hint="cs"/>
          <w:rtl/>
        </w:rPr>
        <w:tab/>
        <w:t>אני מורה על חילוט התחייבות על סך 2,500 ₪, שעליה חתם הנאשם מתוקף גזר הדין ב</w:t>
      </w:r>
      <w:hyperlink r:id="rId16" w:history="1">
        <w:r w:rsidR="00E1235F" w:rsidRPr="00E1235F">
          <w:rPr>
            <w:color w:val="0000FF"/>
            <w:u w:val="single"/>
            <w:rtl/>
          </w:rPr>
          <w:t>ת"פ 43067-04-13</w:t>
        </w:r>
      </w:hyperlink>
      <w:r>
        <w:rPr>
          <w:rFonts w:hint="cs"/>
          <w:rtl/>
        </w:rPr>
        <w:t xml:space="preserve"> הנ"ל. ההתחייבות מוטלת בחופף לקנס שהוטל בסעיף ד' שלעיל, כך שסה"כ הנאשם ישלם 2,500 ₪ בגין הקנס וההתחייבות יחדיו. </w:t>
      </w:r>
    </w:p>
    <w:p w14:paraId="6C233ED5" w14:textId="77777777" w:rsidR="008A0750" w:rsidRDefault="008A0750" w:rsidP="008A0750">
      <w:pPr>
        <w:spacing w:line="360" w:lineRule="auto"/>
        <w:ind w:left="720" w:hanging="720"/>
        <w:jc w:val="both"/>
        <w:rPr>
          <w:rtl/>
        </w:rPr>
      </w:pPr>
      <w:r>
        <w:rPr>
          <w:rtl/>
        </w:rPr>
        <w:tab/>
      </w:r>
      <w:r>
        <w:rPr>
          <w:rFonts w:hint="cs"/>
          <w:rtl/>
        </w:rPr>
        <w:t>הסכום כולו ישולם ב-5</w:t>
      </w:r>
      <w:r w:rsidRPr="00D26B46">
        <w:rPr>
          <w:rFonts w:hint="cs"/>
          <w:rtl/>
        </w:rPr>
        <w:t xml:space="preserve"> </w:t>
      </w:r>
      <w:r>
        <w:rPr>
          <w:rFonts w:hint="cs"/>
          <w:rtl/>
        </w:rPr>
        <w:t xml:space="preserve">שיעורים חודשיים שווים ורצופים, תשלום  ראשון עד יום 10.5.17 ובכל 10 לחודש שלאחריו. אי תשלום אחד השיעורים, יעמיד את מלוא הסכום לפירעון מיידי. </w:t>
      </w:r>
    </w:p>
    <w:p w14:paraId="1F2E73AE" w14:textId="77777777" w:rsidR="008A0750" w:rsidRDefault="008A0750" w:rsidP="008A0750">
      <w:pPr>
        <w:pStyle w:val="2"/>
        <w:spacing w:line="360" w:lineRule="auto"/>
        <w:ind w:left="720" w:hanging="720"/>
        <w:jc w:val="both"/>
        <w:rPr>
          <w:rtl/>
        </w:rPr>
      </w:pPr>
      <w:r>
        <w:rPr>
          <w:rFonts w:hint="cs"/>
          <w:rtl/>
        </w:rPr>
        <w:t>ו.</w:t>
      </w:r>
      <w:r>
        <w:rPr>
          <w:rFonts w:hint="cs"/>
          <w:rtl/>
        </w:rPr>
        <w:tab/>
        <w:t>פסילה מלקבל או להחזיק רישיון נהיגה למשך חודשיים ואולם הנאשם לא יישא בעונש זה אלא אם יעבור בתוך תקופה של שנה מהיום עבירה בניגוד ל</w:t>
      </w:r>
      <w:hyperlink r:id="rId17" w:history="1">
        <w:r w:rsidR="00E1235F" w:rsidRPr="00E1235F">
          <w:rPr>
            <w:color w:val="0000FF"/>
            <w:u w:val="single"/>
            <w:rtl/>
          </w:rPr>
          <w:t>פקודת הסמים המסוכנים</w:t>
        </w:r>
      </w:hyperlink>
      <w:r>
        <w:rPr>
          <w:rFonts w:hint="cs"/>
          <w:rtl/>
        </w:rPr>
        <w:t xml:space="preserve">. </w:t>
      </w:r>
    </w:p>
    <w:p w14:paraId="5418AF41" w14:textId="77777777" w:rsidR="008A0750" w:rsidRDefault="008A0750" w:rsidP="008A0750">
      <w:pPr>
        <w:pStyle w:val="2"/>
        <w:spacing w:line="360" w:lineRule="auto"/>
        <w:jc w:val="both"/>
        <w:rPr>
          <w:rtl/>
        </w:rPr>
      </w:pPr>
      <w:r w:rsidRPr="00D11BD1">
        <w:rPr>
          <w:rFonts w:hint="cs"/>
          <w:u w:val="single"/>
          <w:rtl/>
        </w:rPr>
        <w:t xml:space="preserve">מוצגים </w:t>
      </w:r>
      <w:r w:rsidRPr="00D11BD1">
        <w:rPr>
          <w:u w:val="single"/>
          <w:rtl/>
        </w:rPr>
        <w:t>–</w:t>
      </w:r>
      <w:r w:rsidRPr="00D11BD1">
        <w:rPr>
          <w:rFonts w:hint="cs"/>
          <w:u w:val="single"/>
          <w:rtl/>
        </w:rPr>
        <w:t xml:space="preserve"> להשמדה</w:t>
      </w:r>
      <w:r w:rsidRPr="00D11BD1">
        <w:rPr>
          <w:rFonts w:hint="cs"/>
          <w:rtl/>
        </w:rPr>
        <w:t>.</w:t>
      </w:r>
    </w:p>
    <w:p w14:paraId="520830AC" w14:textId="77777777" w:rsidR="008A0750" w:rsidRPr="00D11BD1" w:rsidRDefault="008A0750" w:rsidP="008A0750">
      <w:pPr>
        <w:pStyle w:val="2"/>
        <w:spacing w:line="360" w:lineRule="auto"/>
        <w:jc w:val="both"/>
        <w:rPr>
          <w:u w:val="single"/>
          <w:rtl/>
        </w:rPr>
      </w:pPr>
      <w:r w:rsidRPr="00D11BD1">
        <w:rPr>
          <w:rFonts w:hint="cs"/>
          <w:u w:val="single"/>
          <w:rtl/>
        </w:rPr>
        <w:t>כספי הפיקדון שהופקדו בהליך המעצר המקביל, יוחזרו לנאשם בכפוף לכל דין</w:t>
      </w:r>
      <w:r>
        <w:rPr>
          <w:rFonts w:hint="cs"/>
          <w:rtl/>
        </w:rPr>
        <w:t>.</w:t>
      </w:r>
    </w:p>
    <w:p w14:paraId="1F400B15" w14:textId="77777777" w:rsidR="008A0750" w:rsidRDefault="008A0750" w:rsidP="008A0750">
      <w:pPr>
        <w:pStyle w:val="2"/>
        <w:spacing w:line="360" w:lineRule="auto"/>
        <w:jc w:val="both"/>
        <w:rPr>
          <w:b/>
          <w:bCs/>
          <w:u w:val="single"/>
          <w:rtl/>
        </w:rPr>
      </w:pPr>
      <w:r>
        <w:rPr>
          <w:rFonts w:hint="cs"/>
          <w:b/>
          <w:bCs/>
          <w:u w:val="single"/>
          <w:rtl/>
        </w:rPr>
        <w:t>המזכירות תמציא העתק לממונה על עבודות שירות</w:t>
      </w:r>
      <w:r w:rsidRPr="00062340">
        <w:rPr>
          <w:rFonts w:hint="cs"/>
          <w:rtl/>
        </w:rPr>
        <w:t>.</w:t>
      </w:r>
    </w:p>
    <w:p w14:paraId="76F5DAE0" w14:textId="77777777" w:rsidR="008A0750" w:rsidRDefault="008A0750" w:rsidP="008A0750">
      <w:pPr>
        <w:pStyle w:val="2"/>
        <w:spacing w:line="360" w:lineRule="auto"/>
        <w:jc w:val="both"/>
        <w:rPr>
          <w:b/>
          <w:bCs/>
          <w:rtl/>
        </w:rPr>
      </w:pPr>
      <w:r w:rsidRPr="00062340">
        <w:rPr>
          <w:rFonts w:hint="cs"/>
          <w:b/>
          <w:bCs/>
          <w:u w:val="single"/>
          <w:rtl/>
        </w:rPr>
        <w:t>זכות ערעור תוך 45 יום מהיום בבית משפט המחוזי בנצרת</w:t>
      </w:r>
      <w:r>
        <w:rPr>
          <w:rFonts w:hint="cs"/>
          <w:b/>
          <w:bCs/>
          <w:rtl/>
        </w:rPr>
        <w:t>.</w:t>
      </w:r>
    </w:p>
    <w:p w14:paraId="50DAB0B2" w14:textId="77777777" w:rsidR="008A0750" w:rsidRDefault="008A0750" w:rsidP="008A0750">
      <w:pPr>
        <w:spacing w:line="360" w:lineRule="auto"/>
        <w:jc w:val="both"/>
        <w:rPr>
          <w:sz w:val="6"/>
          <w:szCs w:val="6"/>
          <w:rtl/>
        </w:rPr>
      </w:pPr>
      <w:r>
        <w:rPr>
          <w:sz w:val="6"/>
          <w:szCs w:val="6"/>
          <w:rtl/>
        </w:rPr>
        <w:t>&lt;#6#&gt;</w:t>
      </w:r>
    </w:p>
    <w:p w14:paraId="70B9771A" w14:textId="77777777" w:rsidR="008A0750" w:rsidRDefault="00E1235F" w:rsidP="008A0750">
      <w:pPr>
        <w:jc w:val="center"/>
        <w:rPr>
          <w:rtl/>
        </w:rPr>
      </w:pPr>
      <w:r>
        <w:rPr>
          <w:b/>
          <w:bCs/>
          <w:rtl/>
        </w:rPr>
        <w:t xml:space="preserve">ניתן והודע היום כ"ב ניסן תשע"ז, 18/04/2017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C53CF" w14:paraId="411C957C" w14:textId="77777777" w:rsidTr="008A0750">
        <w:trPr>
          <w:trHeight w:val="316"/>
          <w:jc w:val="right"/>
        </w:trPr>
        <w:tc>
          <w:tcPr>
            <w:tcW w:w="3936" w:type="dxa"/>
            <w:shd w:val="clear" w:color="auto" w:fill="auto"/>
          </w:tcPr>
          <w:p w14:paraId="161B0381" w14:textId="77777777" w:rsidR="008A0750" w:rsidRDefault="008A0750" w:rsidP="008A0750">
            <w:pPr>
              <w:jc w:val="center"/>
            </w:pPr>
            <w:r>
              <w:rPr>
                <w:rtl/>
              </w:rPr>
              <w:t xml:space="preserve">     </w:t>
            </w:r>
          </w:p>
          <w:p w14:paraId="25622470" w14:textId="77777777" w:rsidR="008A0750" w:rsidRDefault="008A0750" w:rsidP="008A0750">
            <w:pPr>
              <w:jc w:val="center"/>
              <w:rPr>
                <w:rtl/>
              </w:rPr>
            </w:pPr>
          </w:p>
        </w:tc>
      </w:tr>
      <w:tr w:rsidR="008C53CF" w14:paraId="028E1E17" w14:textId="77777777" w:rsidTr="008A0750">
        <w:trPr>
          <w:trHeight w:val="361"/>
          <w:jc w:val="right"/>
        </w:trPr>
        <w:tc>
          <w:tcPr>
            <w:tcW w:w="3936" w:type="dxa"/>
            <w:shd w:val="clear" w:color="auto" w:fill="auto"/>
          </w:tcPr>
          <w:p w14:paraId="009F83C0" w14:textId="77777777" w:rsidR="008A0750" w:rsidRPr="008A0750" w:rsidRDefault="008A0750" w:rsidP="008A0750">
            <w:pPr>
              <w:jc w:val="center"/>
              <w:rPr>
                <w:b/>
                <w:bCs/>
                <w:rtl/>
              </w:rPr>
            </w:pPr>
            <w:r w:rsidRPr="008A0750">
              <w:rPr>
                <w:b/>
                <w:bCs/>
                <w:rtl/>
              </w:rPr>
              <w:t>רות</w:t>
            </w:r>
            <w:r w:rsidRPr="008A0750">
              <w:rPr>
                <w:rFonts w:hint="cs"/>
                <w:b/>
                <w:bCs/>
                <w:rtl/>
              </w:rPr>
              <w:t xml:space="preserve"> </w:t>
            </w:r>
            <w:r w:rsidRPr="008A0750">
              <w:rPr>
                <w:b/>
                <w:bCs/>
                <w:rtl/>
              </w:rPr>
              <w:t xml:space="preserve">שפילברג כהן </w:t>
            </w:r>
            <w:r w:rsidRPr="008A0750">
              <w:rPr>
                <w:rFonts w:hint="cs"/>
                <w:b/>
                <w:bCs/>
                <w:rtl/>
              </w:rPr>
              <w:t xml:space="preserve">, </w:t>
            </w:r>
            <w:r w:rsidRPr="008A0750">
              <w:rPr>
                <w:b/>
                <w:bCs/>
                <w:rtl/>
              </w:rPr>
              <w:t xml:space="preserve">שופטת </w:t>
            </w:r>
          </w:p>
        </w:tc>
      </w:tr>
    </w:tbl>
    <w:p w14:paraId="21251AD2" w14:textId="77777777" w:rsidR="008A0750" w:rsidRPr="00E1235F" w:rsidRDefault="00E1235F" w:rsidP="008A0750">
      <w:pPr>
        <w:jc w:val="right"/>
        <w:rPr>
          <w:color w:val="FFFFFF"/>
          <w:sz w:val="2"/>
          <w:szCs w:val="2"/>
          <w:rtl/>
        </w:rPr>
      </w:pPr>
      <w:r w:rsidRPr="00E1235F">
        <w:rPr>
          <w:color w:val="FFFFFF"/>
          <w:sz w:val="2"/>
          <w:szCs w:val="2"/>
          <w:rtl/>
        </w:rPr>
        <w:t>5129371</w:t>
      </w:r>
    </w:p>
    <w:p w14:paraId="2782ADB0" w14:textId="77777777" w:rsidR="008A0750" w:rsidRPr="00E1235F" w:rsidRDefault="00E1235F" w:rsidP="008A0750">
      <w:pPr>
        <w:jc w:val="both"/>
        <w:rPr>
          <w:color w:val="FFFFFF"/>
          <w:sz w:val="2"/>
          <w:szCs w:val="2"/>
          <w:rtl/>
        </w:rPr>
      </w:pPr>
      <w:r w:rsidRPr="00E1235F">
        <w:rPr>
          <w:color w:val="FFFFFF"/>
          <w:sz w:val="2"/>
          <w:szCs w:val="2"/>
          <w:rtl/>
        </w:rPr>
        <w:t>54678313</w:t>
      </w:r>
    </w:p>
    <w:p w14:paraId="5B4DF764" w14:textId="77777777" w:rsidR="008A0750" w:rsidRDefault="008A0750" w:rsidP="008A0750">
      <w:pPr>
        <w:spacing w:line="360" w:lineRule="auto"/>
        <w:jc w:val="center"/>
        <w:rPr>
          <w:rtl/>
        </w:rPr>
      </w:pPr>
    </w:p>
    <w:p w14:paraId="59188D3B" w14:textId="77777777" w:rsidR="008A0750" w:rsidRDefault="008A0750" w:rsidP="002F784C">
      <w:pPr>
        <w:spacing w:line="360" w:lineRule="auto"/>
        <w:jc w:val="both"/>
        <w:rPr>
          <w:rtl/>
        </w:rPr>
      </w:pPr>
      <w:r>
        <w:rPr>
          <w:rtl/>
        </w:rPr>
        <w:t xml:space="preserve"> </w:t>
      </w:r>
    </w:p>
    <w:p w14:paraId="1DEF071F" w14:textId="77777777" w:rsidR="002D7B2F" w:rsidRPr="002F784C" w:rsidRDefault="002F784C" w:rsidP="00E1235F">
      <w:pPr>
        <w:keepNext/>
        <w:rPr>
          <w:color w:val="FFFFFF"/>
          <w:sz w:val="2"/>
          <w:szCs w:val="2"/>
          <w:rtl/>
        </w:rPr>
      </w:pPr>
      <w:r w:rsidRPr="002F784C">
        <w:rPr>
          <w:color w:val="FFFFFF"/>
          <w:sz w:val="2"/>
          <w:szCs w:val="2"/>
          <w:rtl/>
        </w:rPr>
        <w:t>54678313</w:t>
      </w:r>
    </w:p>
    <w:p w14:paraId="75F0FF4F" w14:textId="77777777" w:rsidR="00E1235F" w:rsidRPr="00E1235F" w:rsidRDefault="00E1235F" w:rsidP="00E1235F">
      <w:pPr>
        <w:keepNext/>
        <w:rPr>
          <w:color w:val="000000"/>
          <w:sz w:val="22"/>
          <w:szCs w:val="22"/>
          <w:rtl/>
        </w:rPr>
      </w:pPr>
      <w:r w:rsidRPr="00E1235F">
        <w:rPr>
          <w:color w:val="000000"/>
          <w:sz w:val="22"/>
          <w:szCs w:val="22"/>
          <w:rtl/>
        </w:rPr>
        <w:t>רות שפילברג כהן 54678313</w:t>
      </w:r>
    </w:p>
    <w:p w14:paraId="397F6BBE" w14:textId="77777777" w:rsidR="00E1235F" w:rsidRDefault="00E1235F" w:rsidP="00E1235F">
      <w:r w:rsidRPr="00E1235F">
        <w:rPr>
          <w:color w:val="000000"/>
          <w:rtl/>
        </w:rPr>
        <w:t>נוסח מסמך זה כפוף לשינויי ניסוח ועריכה</w:t>
      </w:r>
    </w:p>
    <w:p w14:paraId="68551D2E" w14:textId="77777777" w:rsidR="00E1235F" w:rsidRDefault="00E1235F" w:rsidP="00E1235F">
      <w:pPr>
        <w:rPr>
          <w:rtl/>
        </w:rPr>
      </w:pPr>
    </w:p>
    <w:p w14:paraId="244D60A7" w14:textId="77777777" w:rsidR="00E1235F" w:rsidRDefault="00E1235F" w:rsidP="00E1235F">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sectPr w:rsidR="00E1235F" w:rsidSect="002F784C">
      <w:headerReference w:type="even" r:id="rId19"/>
      <w:headerReference w:type="default" r:id="rId20"/>
      <w:footerReference w:type="even" r:id="rId21"/>
      <w:footerReference w:type="default" r:id="rId2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A08D6" w14:textId="77777777" w:rsidR="008A279E" w:rsidRDefault="008A279E" w:rsidP="00CB0CE4">
      <w:r>
        <w:separator/>
      </w:r>
    </w:p>
  </w:endnote>
  <w:endnote w:type="continuationSeparator" w:id="0">
    <w:p w14:paraId="39DFDC44" w14:textId="77777777" w:rsidR="008A279E" w:rsidRDefault="008A279E" w:rsidP="00CB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89CDB" w14:textId="77777777" w:rsidR="008A279E" w:rsidRDefault="008A279E" w:rsidP="002F78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B63454" w14:textId="77777777" w:rsidR="008A279E" w:rsidRPr="002F784C" w:rsidRDefault="008A279E" w:rsidP="002F784C">
    <w:pPr>
      <w:pStyle w:val="a5"/>
      <w:pBdr>
        <w:top w:val="single" w:sz="4" w:space="1" w:color="auto"/>
        <w:between w:val="single" w:sz="4" w:space="0" w:color="auto"/>
      </w:pBdr>
      <w:spacing w:after="60"/>
      <w:jc w:val="center"/>
      <w:rPr>
        <w:rFonts w:ascii="FrankRuehl" w:hAnsi="FrankRuehl" w:cs="FrankRuehl"/>
        <w:color w:val="000000"/>
      </w:rPr>
    </w:pPr>
    <w:r w:rsidRPr="002F784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5E522" w14:textId="77777777" w:rsidR="008A279E" w:rsidRDefault="008A279E" w:rsidP="002F78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5632">
      <w:rPr>
        <w:rFonts w:ascii="FrankRuehl" w:hAnsi="FrankRuehl" w:cs="FrankRuehl"/>
        <w:noProof/>
        <w:rtl/>
      </w:rPr>
      <w:t>1</w:t>
    </w:r>
    <w:r>
      <w:rPr>
        <w:rFonts w:ascii="FrankRuehl" w:hAnsi="FrankRuehl" w:cs="FrankRuehl"/>
        <w:rtl/>
      </w:rPr>
      <w:fldChar w:fldCharType="end"/>
    </w:r>
  </w:p>
  <w:p w14:paraId="0B9401B3" w14:textId="77777777" w:rsidR="008A279E" w:rsidRPr="002F784C" w:rsidRDefault="008A279E" w:rsidP="002F784C">
    <w:pPr>
      <w:pStyle w:val="a5"/>
      <w:pBdr>
        <w:top w:val="single" w:sz="4" w:space="1" w:color="auto"/>
        <w:between w:val="single" w:sz="4" w:space="0" w:color="auto"/>
      </w:pBdr>
      <w:spacing w:after="60"/>
      <w:jc w:val="center"/>
      <w:rPr>
        <w:rFonts w:ascii="FrankRuehl" w:hAnsi="FrankRuehl" w:cs="FrankRuehl"/>
        <w:color w:val="000000"/>
      </w:rPr>
    </w:pPr>
    <w:r w:rsidRPr="002F784C">
      <w:rPr>
        <w:rFonts w:ascii="FrankRuehl" w:hAnsi="FrankRuehl" w:cs="FrankRuehl"/>
        <w:color w:val="000000"/>
      </w:rPr>
      <w:pict w14:anchorId="56B32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C64F4" w14:textId="77777777" w:rsidR="008A279E" w:rsidRDefault="008A279E" w:rsidP="00CB0CE4">
      <w:r>
        <w:separator/>
      </w:r>
    </w:p>
  </w:footnote>
  <w:footnote w:type="continuationSeparator" w:id="0">
    <w:p w14:paraId="77CF486C" w14:textId="77777777" w:rsidR="008A279E" w:rsidRDefault="008A279E" w:rsidP="00CB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ACB19" w14:textId="77777777" w:rsidR="008A279E" w:rsidRPr="002F784C" w:rsidRDefault="008A279E" w:rsidP="002F784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(ק"ש) 43260-10-16</w:t>
    </w:r>
    <w:r>
      <w:rPr>
        <w:color w:val="000000"/>
        <w:sz w:val="22"/>
        <w:szCs w:val="22"/>
        <w:rtl/>
      </w:rPr>
      <w:tab/>
      <w:t xml:space="preserve"> שלוחת תביעות מרום הגליל והגולן נ' ישראל ביטון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A5749" w14:textId="77777777" w:rsidR="008A279E" w:rsidRPr="002F784C" w:rsidRDefault="008A279E" w:rsidP="002F784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(ק"ש) 43260-10-16</w:t>
    </w:r>
    <w:r>
      <w:rPr>
        <w:color w:val="000000"/>
        <w:sz w:val="22"/>
        <w:szCs w:val="22"/>
        <w:rtl/>
      </w:rPr>
      <w:tab/>
      <w:t xml:space="preserve"> שלוחת תביעות מרום הגליל והגולן נ' ישראל ביטון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0750"/>
    <w:rsid w:val="002B57FC"/>
    <w:rsid w:val="002D7B2F"/>
    <w:rsid w:val="002F784C"/>
    <w:rsid w:val="00825632"/>
    <w:rsid w:val="00862458"/>
    <w:rsid w:val="008A0750"/>
    <w:rsid w:val="008A279E"/>
    <w:rsid w:val="008C53CF"/>
    <w:rsid w:val="00BA16A0"/>
    <w:rsid w:val="00CB0CE4"/>
    <w:rsid w:val="00CF20F3"/>
    <w:rsid w:val="00E123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11A920F"/>
  <w15:chartTrackingRefBased/>
  <w15:docId w15:val="{43E6947A-DF03-4284-978D-E02DDA2C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0750"/>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0750"/>
    <w:pPr>
      <w:tabs>
        <w:tab w:val="center" w:pos="4153"/>
        <w:tab w:val="right" w:pos="8306"/>
      </w:tabs>
    </w:pPr>
  </w:style>
  <w:style w:type="character" w:customStyle="1" w:styleId="a4">
    <w:name w:val="כותרת עליונה תו"/>
    <w:link w:val="a3"/>
    <w:rsid w:val="008A0750"/>
    <w:rPr>
      <w:rFonts w:ascii="David" w:eastAsia="David" w:hAnsi="David" w:cs="David"/>
      <w:sz w:val="24"/>
      <w:szCs w:val="24"/>
    </w:rPr>
  </w:style>
  <w:style w:type="paragraph" w:styleId="a5">
    <w:name w:val="footer"/>
    <w:basedOn w:val="a"/>
    <w:link w:val="a6"/>
    <w:rsid w:val="008A0750"/>
    <w:pPr>
      <w:tabs>
        <w:tab w:val="center" w:pos="4153"/>
        <w:tab w:val="right" w:pos="8306"/>
      </w:tabs>
    </w:pPr>
  </w:style>
  <w:style w:type="character" w:customStyle="1" w:styleId="a6">
    <w:name w:val="כותרת תחתונה תו"/>
    <w:link w:val="a5"/>
    <w:rsid w:val="008A0750"/>
    <w:rPr>
      <w:rFonts w:ascii="David" w:eastAsia="David" w:hAnsi="David" w:cs="David"/>
      <w:sz w:val="24"/>
      <w:szCs w:val="24"/>
    </w:rPr>
  </w:style>
  <w:style w:type="table" w:styleId="a7">
    <w:name w:val="Table Grid"/>
    <w:basedOn w:val="a1"/>
    <w:rsid w:val="008A075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A0750"/>
  </w:style>
  <w:style w:type="character" w:customStyle="1" w:styleId="TimesNewRomanTimesNewRoman">
    <w:name w:val="סגנון (לטיני) Times New Roman (עברית ושפות אחרות) Times New Roman..."/>
    <w:rsid w:val="008A075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A0750"/>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8A0750"/>
    <w:pPr>
      <w:spacing w:line="360" w:lineRule="auto"/>
      <w:jc w:val="both"/>
    </w:pPr>
    <w:rPr>
      <w:rFonts w:ascii="Times New Roman" w:eastAsia="Times New Roman" w:hAnsi="Times New Roman"/>
    </w:rPr>
  </w:style>
  <w:style w:type="paragraph" w:styleId="a9">
    <w:name w:val="Body Text Indent"/>
    <w:basedOn w:val="a"/>
    <w:link w:val="aa"/>
    <w:rsid w:val="008A0750"/>
    <w:pPr>
      <w:spacing w:after="120"/>
      <w:ind w:left="283"/>
    </w:pPr>
  </w:style>
  <w:style w:type="character" w:customStyle="1" w:styleId="aa">
    <w:name w:val="כניסה בגוף טקסט תו"/>
    <w:link w:val="a9"/>
    <w:rsid w:val="008A0750"/>
    <w:rPr>
      <w:rFonts w:ascii="David" w:eastAsia="David" w:hAnsi="David" w:cs="David"/>
      <w:sz w:val="24"/>
      <w:szCs w:val="24"/>
    </w:rPr>
  </w:style>
  <w:style w:type="paragraph" w:styleId="2">
    <w:name w:val="Body Text 2"/>
    <w:basedOn w:val="a"/>
    <w:link w:val="20"/>
    <w:rsid w:val="008A0750"/>
    <w:pPr>
      <w:spacing w:after="120" w:line="480" w:lineRule="auto"/>
    </w:pPr>
  </w:style>
  <w:style w:type="character" w:customStyle="1" w:styleId="20">
    <w:name w:val="גוף טקסט 2 תו"/>
    <w:link w:val="2"/>
    <w:rsid w:val="008A0750"/>
    <w:rPr>
      <w:rFonts w:ascii="David" w:eastAsia="David" w:hAnsi="David" w:cs="David"/>
      <w:sz w:val="24"/>
      <w:szCs w:val="24"/>
    </w:rPr>
  </w:style>
  <w:style w:type="character" w:styleId="ab">
    <w:name w:val="line number"/>
    <w:rsid w:val="008A0750"/>
  </w:style>
  <w:style w:type="character" w:styleId="Hyperlink">
    <w:name w:val="Hyperlink"/>
    <w:rsid w:val="00E1235F"/>
    <w:rPr>
      <w:color w:val="0563C1"/>
      <w:u w:val="single"/>
    </w:rPr>
  </w:style>
  <w:style w:type="character" w:styleId="ac">
    <w:name w:val="Mention"/>
    <w:rsid w:val="00E1235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case/21504964"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4216/13"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case/6950793"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case/22022509" TargetMode="External"/><Relationship Id="rId14" Type="http://schemas.openxmlformats.org/officeDocument/2006/relationships/hyperlink" Target="http://www.nevo.co.il/case/6950793"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3800</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4551</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3604596</vt:i4>
      </vt:variant>
      <vt:variant>
        <vt:i4>30</vt:i4>
      </vt:variant>
      <vt:variant>
        <vt:i4>0</vt:i4>
      </vt:variant>
      <vt:variant>
        <vt:i4>5</vt:i4>
      </vt:variant>
      <vt:variant>
        <vt:lpwstr>http://www.nevo.co.il/case/6950793</vt:lpwstr>
      </vt:variant>
      <vt:variant>
        <vt:lpwstr/>
      </vt:variant>
      <vt:variant>
        <vt:i4>8257637</vt:i4>
      </vt:variant>
      <vt:variant>
        <vt:i4>27</vt:i4>
      </vt:variant>
      <vt:variant>
        <vt:i4>0</vt:i4>
      </vt:variant>
      <vt:variant>
        <vt:i4>5</vt:i4>
      </vt:variant>
      <vt:variant>
        <vt:lpwstr>http://www.nevo.co.il/law/4216</vt:lpwstr>
      </vt:variant>
      <vt:variant>
        <vt:lpwstr/>
      </vt:variant>
      <vt:variant>
        <vt:i4>3604596</vt:i4>
      </vt:variant>
      <vt:variant>
        <vt:i4>24</vt:i4>
      </vt:variant>
      <vt:variant>
        <vt:i4>0</vt:i4>
      </vt:variant>
      <vt:variant>
        <vt:i4>5</vt:i4>
      </vt:variant>
      <vt:variant>
        <vt:lpwstr>http://www.nevo.co.il/case/6950793</vt:lpwstr>
      </vt:variant>
      <vt:variant>
        <vt:lpwstr/>
      </vt:variant>
      <vt:variant>
        <vt:i4>3473532</vt:i4>
      </vt:variant>
      <vt:variant>
        <vt:i4>21</vt:i4>
      </vt:variant>
      <vt:variant>
        <vt:i4>0</vt:i4>
      </vt:variant>
      <vt:variant>
        <vt:i4>5</vt:i4>
      </vt:variant>
      <vt:variant>
        <vt:lpwstr>http://www.nevo.co.il/case/21504964</vt:lpwstr>
      </vt:variant>
      <vt:variant>
        <vt:lpwstr/>
      </vt:variant>
      <vt:variant>
        <vt:i4>8257637</vt:i4>
      </vt:variant>
      <vt:variant>
        <vt:i4>18</vt:i4>
      </vt:variant>
      <vt:variant>
        <vt:i4>0</vt:i4>
      </vt:variant>
      <vt:variant>
        <vt:i4>5</vt:i4>
      </vt:variant>
      <vt:variant>
        <vt:lpwstr>http://www.nevo.co.il/law/4216</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3145841</vt:i4>
      </vt:variant>
      <vt:variant>
        <vt:i4>9</vt:i4>
      </vt:variant>
      <vt:variant>
        <vt:i4>0</vt:i4>
      </vt:variant>
      <vt:variant>
        <vt:i4>5</vt:i4>
      </vt:variant>
      <vt:variant>
        <vt:lpwstr>http://www.nevo.co.il/case/22022509</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2025-04-22T23:13:00Z</dcterms:created>
  <dcterms:modified xsi:type="dcterms:W3CDTF">2025-04-22T23:13:00Z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43260</vt:lpwstr>
  </property>
  <property fmtid="{D5CDD505-2E9C-101B-9397-08002B2CF9AE}" pid="6" name="NEWPARTB">
    <vt:lpwstr>10</vt:lpwstr>
  </property>
  <property fmtid="{D5CDD505-2E9C-101B-9397-08002B2CF9AE}" pid="7" name="NEWPARTC">
    <vt:lpwstr>16</vt:lpwstr>
  </property>
  <property fmtid="{D5CDD505-2E9C-101B-9397-08002B2CF9AE}" pid="8" name="APPELLANT">
    <vt:lpwstr>שלוחת תביעות מרום הגליל והגולן</vt:lpwstr>
  </property>
  <property fmtid="{D5CDD505-2E9C-101B-9397-08002B2CF9AE}" pid="9" name="APPELLEE">
    <vt:lpwstr>ישראל ביטון </vt:lpwstr>
  </property>
  <property fmtid="{D5CDD505-2E9C-101B-9397-08002B2CF9AE}" pid="10" name="LAWYER">
    <vt:lpwstr>מאור מזרחי;דניאל וייס</vt:lpwstr>
  </property>
  <property fmtid="{D5CDD505-2E9C-101B-9397-08002B2CF9AE}" pid="11" name="JUDGE">
    <vt:lpwstr>רות שפילברג כהן</vt:lpwstr>
  </property>
  <property fmtid="{D5CDD505-2E9C-101B-9397-08002B2CF9AE}" pid="12" name="CITY">
    <vt:lpwstr>ק"ש</vt:lpwstr>
  </property>
  <property fmtid="{D5CDD505-2E9C-101B-9397-08002B2CF9AE}" pid="13" name="DATE">
    <vt:lpwstr>20170418</vt:lpwstr>
  </property>
  <property fmtid="{D5CDD505-2E9C-101B-9397-08002B2CF9AE}" pid="14" name="TYPE_N_DATE">
    <vt:lpwstr>38020170418</vt:lpwstr>
  </property>
  <property fmtid="{D5CDD505-2E9C-101B-9397-08002B2CF9AE}" pid="15" name="CASESLISTTMP1">
    <vt:lpwstr>6950793:3;22022509;21504964</vt:lpwstr>
  </property>
  <property fmtid="{D5CDD505-2E9C-101B-9397-08002B2CF9AE}" pid="16" name="WORDNUMPAGES">
    <vt:lpwstr>3</vt:lpwstr>
  </property>
  <property fmtid="{D5CDD505-2E9C-101B-9397-08002B2CF9AE}" pid="17" name="TYPE_ABS_DATE">
    <vt:lpwstr>380020170418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ies>
</file>