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FE1A51" w:rsidRPr="00506DE1" w14:paraId="7650C853" w14:textId="77777777">
        <w:trPr>
          <w:trHeight w:hRule="exact" w:val="418"/>
          <w:jc w:val="center"/>
        </w:trPr>
        <w:tc>
          <w:tcPr>
            <w:tcW w:w="8721" w:type="dxa"/>
            <w:gridSpan w:val="2"/>
          </w:tcPr>
          <w:p w14:paraId="5EDA4332" w14:textId="77777777" w:rsidR="00FE1A51" w:rsidRPr="00506DE1" w:rsidRDefault="00FE1A51" w:rsidP="009A6FEB">
            <w:pPr>
              <w:pStyle w:val="a3"/>
              <w:jc w:val="center"/>
              <w:rPr>
                <w:rFonts w:ascii="Tahoma" w:hAnsi="Tahoma" w:cs="Tahoma"/>
                <w:color w:val="000080"/>
                <w:rtl/>
              </w:rPr>
            </w:pPr>
            <w:bookmarkStart w:id="0" w:name="LastJudge"/>
            <w:r w:rsidRPr="00506DE1">
              <w:rPr>
                <w:rFonts w:ascii="Tahoma" w:hAnsi="Tahoma" w:cs="Tahoma"/>
                <w:b/>
                <w:bCs/>
                <w:color w:val="000080"/>
                <w:rtl/>
              </w:rPr>
              <w:t>בית משפט השלום בירושלים</w:t>
            </w:r>
          </w:p>
        </w:tc>
      </w:tr>
      <w:tr w:rsidR="00FE1A51" w:rsidRPr="00506DE1" w14:paraId="6798F062" w14:textId="77777777">
        <w:trPr>
          <w:trHeight w:val="337"/>
          <w:jc w:val="center"/>
        </w:trPr>
        <w:tc>
          <w:tcPr>
            <w:tcW w:w="5060" w:type="dxa"/>
          </w:tcPr>
          <w:p w14:paraId="14221F53" w14:textId="77777777" w:rsidR="00FE1A51" w:rsidRPr="00506DE1" w:rsidRDefault="00FE1A51" w:rsidP="009A6FEB">
            <w:pPr>
              <w:rPr>
                <w:rFonts w:cs="FrankRuehl"/>
                <w:sz w:val="28"/>
                <w:szCs w:val="28"/>
                <w:rtl/>
              </w:rPr>
            </w:pPr>
            <w:r w:rsidRPr="00506DE1">
              <w:rPr>
                <w:rFonts w:cs="FrankRuehl"/>
                <w:sz w:val="28"/>
                <w:szCs w:val="28"/>
                <w:rtl/>
              </w:rPr>
              <w:t>ת"פ</w:t>
            </w:r>
            <w:r w:rsidRPr="00506DE1">
              <w:rPr>
                <w:rFonts w:cs="FrankRuehl" w:hint="cs"/>
                <w:sz w:val="28"/>
                <w:szCs w:val="28"/>
                <w:rtl/>
              </w:rPr>
              <w:t xml:space="preserve"> </w:t>
            </w:r>
            <w:r w:rsidRPr="00506DE1">
              <w:rPr>
                <w:rFonts w:cs="FrankRuehl"/>
                <w:sz w:val="28"/>
                <w:szCs w:val="28"/>
                <w:rtl/>
              </w:rPr>
              <w:t>11314-11-16</w:t>
            </w:r>
            <w:r w:rsidRPr="00506DE1">
              <w:rPr>
                <w:rFonts w:cs="FrankRuehl" w:hint="cs"/>
                <w:sz w:val="28"/>
                <w:szCs w:val="28"/>
                <w:rtl/>
              </w:rPr>
              <w:t xml:space="preserve"> </w:t>
            </w:r>
            <w:r w:rsidRPr="00506DE1">
              <w:rPr>
                <w:rFonts w:cs="FrankRuehl"/>
                <w:sz w:val="28"/>
                <w:szCs w:val="28"/>
                <w:rtl/>
              </w:rPr>
              <w:t>מדינת ישראל נ' לוי(אחר/נוסף)</w:t>
            </w:r>
          </w:p>
          <w:p w14:paraId="7C1880B3" w14:textId="77777777" w:rsidR="00FE1A51" w:rsidRPr="00506DE1" w:rsidRDefault="00FE1A51" w:rsidP="009A6FEB">
            <w:pPr>
              <w:pStyle w:val="a3"/>
              <w:rPr>
                <w:rFonts w:cs="FrankRuehl"/>
                <w:sz w:val="28"/>
                <w:szCs w:val="28"/>
                <w:rtl/>
              </w:rPr>
            </w:pPr>
          </w:p>
        </w:tc>
        <w:tc>
          <w:tcPr>
            <w:tcW w:w="3661" w:type="dxa"/>
          </w:tcPr>
          <w:p w14:paraId="530E5327" w14:textId="77777777" w:rsidR="00FE1A51" w:rsidRPr="00506DE1" w:rsidRDefault="00FE1A51" w:rsidP="009A6FEB">
            <w:pPr>
              <w:pStyle w:val="a3"/>
              <w:jc w:val="right"/>
              <w:rPr>
                <w:rFonts w:cs="FrankRuehl"/>
                <w:sz w:val="28"/>
                <w:szCs w:val="28"/>
                <w:rtl/>
              </w:rPr>
            </w:pPr>
          </w:p>
        </w:tc>
      </w:tr>
    </w:tbl>
    <w:p w14:paraId="714ACB0C" w14:textId="77777777" w:rsidR="00FE1A51" w:rsidRPr="00506DE1" w:rsidRDefault="00FE1A51" w:rsidP="00FE1A51">
      <w:pPr>
        <w:pStyle w:val="a3"/>
        <w:rPr>
          <w:rtl/>
        </w:rPr>
      </w:pPr>
      <w:r w:rsidRPr="00506DE1">
        <w:rPr>
          <w:rFonts w:hint="cs"/>
          <w:rtl/>
        </w:rPr>
        <w:t xml:space="preserve"> </w:t>
      </w:r>
    </w:p>
    <w:p w14:paraId="5D5C7754" w14:textId="77777777" w:rsidR="00FE1A51" w:rsidRPr="00506DE1" w:rsidRDefault="00FE1A51" w:rsidP="00FE1A5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FE1A51" w:rsidRPr="00506DE1" w14:paraId="592D2FF2" w14:textId="77777777">
        <w:trPr>
          <w:trHeight w:val="295"/>
          <w:jc w:val="center"/>
        </w:trPr>
        <w:tc>
          <w:tcPr>
            <w:tcW w:w="923" w:type="dxa"/>
            <w:tcBorders>
              <w:top w:val="nil"/>
              <w:left w:val="nil"/>
              <w:bottom w:val="nil"/>
              <w:right w:val="nil"/>
            </w:tcBorders>
            <w:shd w:val="clear" w:color="auto" w:fill="auto"/>
          </w:tcPr>
          <w:p w14:paraId="3F5AC7FA" w14:textId="77777777" w:rsidR="00FE1A51" w:rsidRPr="00506DE1" w:rsidRDefault="00FE1A51" w:rsidP="00FE1A51">
            <w:pPr>
              <w:jc w:val="both"/>
              <w:rPr>
                <w:rFonts w:ascii="Arial" w:hAnsi="Arial"/>
                <w:b/>
                <w:bCs/>
                <w:sz w:val="28"/>
                <w:szCs w:val="28"/>
              </w:rPr>
            </w:pPr>
            <w:r w:rsidRPr="00506DE1">
              <w:rPr>
                <w:rFonts w:ascii="Arial" w:hAnsi="Arial" w:hint="cs"/>
                <w:b/>
                <w:bCs/>
                <w:sz w:val="28"/>
                <w:szCs w:val="28"/>
                <w:rtl/>
              </w:rPr>
              <w:t>ב</w:t>
            </w:r>
            <w:r w:rsidRPr="00506DE1">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18B6A255" w14:textId="77777777" w:rsidR="00FE1A51" w:rsidRPr="00506DE1" w:rsidRDefault="00FE1A51" w:rsidP="009A6FEB">
            <w:pPr>
              <w:rPr>
                <w:rFonts w:ascii="Arial" w:hAnsi="Arial"/>
                <w:b/>
                <w:bCs/>
                <w:rtl/>
              </w:rPr>
            </w:pPr>
            <w:r w:rsidRPr="00506DE1">
              <w:rPr>
                <w:rFonts w:ascii="Arial" w:hAnsi="Arial" w:hint="cs"/>
                <w:b/>
                <w:bCs/>
                <w:rtl/>
              </w:rPr>
              <w:t>כבוד ה</w:t>
            </w:r>
            <w:r w:rsidRPr="00506DE1">
              <w:rPr>
                <w:rFonts w:ascii="Arial" w:hAnsi="Arial"/>
                <w:b/>
                <w:bCs/>
                <w:rtl/>
              </w:rPr>
              <w:t>שופט</w:t>
            </w:r>
            <w:r w:rsidRPr="00506DE1">
              <w:rPr>
                <w:rFonts w:ascii="Arial" w:hAnsi="Arial" w:hint="cs"/>
                <w:b/>
                <w:bCs/>
                <w:rtl/>
              </w:rPr>
              <w:t xml:space="preserve">  </w:t>
            </w:r>
            <w:r w:rsidRPr="00506DE1">
              <w:rPr>
                <w:rFonts w:ascii="Arial" w:hAnsi="Arial"/>
                <w:b/>
                <w:bCs/>
                <w:rtl/>
              </w:rPr>
              <w:t>דוד שאול גבאי ריכטר</w:t>
            </w:r>
          </w:p>
          <w:p w14:paraId="317E488F" w14:textId="77777777" w:rsidR="00FE1A51" w:rsidRPr="00506DE1" w:rsidRDefault="00FE1A51" w:rsidP="009A6FEB">
            <w:pPr>
              <w:rPr>
                <w:b/>
                <w:bCs/>
                <w:rtl/>
              </w:rPr>
            </w:pPr>
          </w:p>
          <w:p w14:paraId="54B259D5" w14:textId="77777777" w:rsidR="00FE1A51" w:rsidRPr="00506DE1" w:rsidRDefault="00FE1A51" w:rsidP="00FE1A51">
            <w:pPr>
              <w:jc w:val="both"/>
              <w:rPr>
                <w:rFonts w:ascii="Arial" w:hAnsi="Arial"/>
                <w:b/>
                <w:bCs/>
                <w:sz w:val="28"/>
                <w:szCs w:val="28"/>
              </w:rPr>
            </w:pPr>
          </w:p>
        </w:tc>
      </w:tr>
      <w:tr w:rsidR="00FE1A51" w:rsidRPr="00506DE1" w14:paraId="38E7376D" w14:textId="77777777">
        <w:trPr>
          <w:trHeight w:val="355"/>
          <w:jc w:val="center"/>
        </w:trPr>
        <w:tc>
          <w:tcPr>
            <w:tcW w:w="923" w:type="dxa"/>
            <w:tcBorders>
              <w:top w:val="nil"/>
              <w:left w:val="nil"/>
              <w:bottom w:val="nil"/>
              <w:right w:val="nil"/>
            </w:tcBorders>
            <w:shd w:val="clear" w:color="auto" w:fill="auto"/>
          </w:tcPr>
          <w:p w14:paraId="35954283" w14:textId="77777777" w:rsidR="00FE1A51" w:rsidRPr="00506DE1" w:rsidRDefault="00FE1A51" w:rsidP="00FE1A51">
            <w:pPr>
              <w:jc w:val="both"/>
              <w:rPr>
                <w:rFonts w:ascii="Arial" w:hAnsi="Arial"/>
                <w:b/>
                <w:bCs/>
                <w:sz w:val="28"/>
                <w:szCs w:val="28"/>
              </w:rPr>
            </w:pPr>
            <w:bookmarkStart w:id="1" w:name="FirstAppellant"/>
            <w:r w:rsidRPr="00506DE1">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3A256F23" w14:textId="77777777" w:rsidR="00FE1A51" w:rsidRPr="00506DE1" w:rsidRDefault="00FE1A51" w:rsidP="009A6FEB">
            <w:pPr>
              <w:rPr>
                <w:b/>
                <w:bCs/>
                <w:sz w:val="26"/>
                <w:szCs w:val="26"/>
              </w:rPr>
            </w:pPr>
            <w:r w:rsidRPr="00506DE1">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4925597F" w14:textId="77777777" w:rsidR="00FE1A51" w:rsidRPr="00506DE1" w:rsidRDefault="00FE1A51" w:rsidP="00FE1A51">
            <w:pPr>
              <w:jc w:val="both"/>
              <w:rPr>
                <w:rFonts w:ascii="Arial" w:hAnsi="Arial"/>
                <w:b/>
                <w:bCs/>
                <w:sz w:val="28"/>
                <w:szCs w:val="28"/>
              </w:rPr>
            </w:pPr>
          </w:p>
        </w:tc>
      </w:tr>
      <w:bookmarkEnd w:id="1"/>
      <w:tr w:rsidR="00FE1A51" w:rsidRPr="00506DE1" w14:paraId="103BD304" w14:textId="77777777">
        <w:trPr>
          <w:trHeight w:val="355"/>
          <w:jc w:val="center"/>
        </w:trPr>
        <w:tc>
          <w:tcPr>
            <w:tcW w:w="923" w:type="dxa"/>
            <w:tcBorders>
              <w:top w:val="nil"/>
              <w:left w:val="nil"/>
              <w:bottom w:val="nil"/>
              <w:right w:val="nil"/>
            </w:tcBorders>
            <w:shd w:val="clear" w:color="auto" w:fill="auto"/>
          </w:tcPr>
          <w:p w14:paraId="194625B8" w14:textId="77777777" w:rsidR="00FE1A51" w:rsidRPr="00506DE1" w:rsidRDefault="00FE1A51" w:rsidP="00FE1A51">
            <w:pPr>
              <w:jc w:val="both"/>
              <w:rPr>
                <w:rFonts w:ascii="Arial" w:hAnsi="Arial"/>
                <w:b/>
                <w:bCs/>
                <w:sz w:val="28"/>
                <w:szCs w:val="28"/>
                <w:rtl/>
              </w:rPr>
            </w:pPr>
          </w:p>
        </w:tc>
        <w:tc>
          <w:tcPr>
            <w:tcW w:w="4126" w:type="dxa"/>
            <w:tcBorders>
              <w:top w:val="nil"/>
              <w:left w:val="nil"/>
              <w:bottom w:val="nil"/>
              <w:right w:val="nil"/>
            </w:tcBorders>
            <w:shd w:val="clear" w:color="auto" w:fill="auto"/>
          </w:tcPr>
          <w:p w14:paraId="3321C482" w14:textId="77777777" w:rsidR="00FE1A51" w:rsidRPr="00506DE1" w:rsidRDefault="00FE1A51" w:rsidP="00FE1A51">
            <w:pPr>
              <w:jc w:val="both"/>
              <w:rPr>
                <w:rtl/>
              </w:rPr>
            </w:pPr>
            <w:r w:rsidRPr="00506DE1">
              <w:rPr>
                <w:rFonts w:hint="cs"/>
                <w:rtl/>
              </w:rPr>
              <w:t>ע"י תביעות ירושלים</w:t>
            </w:r>
          </w:p>
        </w:tc>
        <w:tc>
          <w:tcPr>
            <w:tcW w:w="3771" w:type="dxa"/>
            <w:tcBorders>
              <w:top w:val="nil"/>
              <w:left w:val="nil"/>
              <w:bottom w:val="nil"/>
              <w:right w:val="nil"/>
            </w:tcBorders>
            <w:shd w:val="clear" w:color="auto" w:fill="auto"/>
          </w:tcPr>
          <w:p w14:paraId="317C7FB3" w14:textId="77777777" w:rsidR="00FE1A51" w:rsidRPr="00506DE1" w:rsidRDefault="00FE1A51" w:rsidP="00FE1A51">
            <w:pPr>
              <w:jc w:val="right"/>
              <w:rPr>
                <w:rFonts w:ascii="Arial" w:hAnsi="Arial"/>
                <w:b/>
                <w:bCs/>
                <w:sz w:val="28"/>
                <w:szCs w:val="28"/>
                <w:rtl/>
              </w:rPr>
            </w:pPr>
            <w:r w:rsidRPr="00506DE1">
              <w:rPr>
                <w:rFonts w:ascii="Arial" w:hAnsi="Arial" w:hint="cs"/>
                <w:b/>
                <w:bCs/>
                <w:sz w:val="28"/>
                <w:szCs w:val="28"/>
                <w:rtl/>
              </w:rPr>
              <w:t>ה</w:t>
            </w:r>
            <w:r w:rsidRPr="00506DE1">
              <w:rPr>
                <w:rFonts w:ascii="Arial" w:hAnsi="Arial"/>
                <w:b/>
                <w:bCs/>
                <w:sz w:val="28"/>
                <w:szCs w:val="28"/>
                <w:rtl/>
              </w:rPr>
              <w:t>מאשימה</w:t>
            </w:r>
          </w:p>
        </w:tc>
      </w:tr>
      <w:tr w:rsidR="00FE1A51" w:rsidRPr="00506DE1" w14:paraId="590D6799" w14:textId="77777777">
        <w:trPr>
          <w:trHeight w:val="355"/>
          <w:jc w:val="center"/>
        </w:trPr>
        <w:tc>
          <w:tcPr>
            <w:tcW w:w="923" w:type="dxa"/>
            <w:tcBorders>
              <w:top w:val="nil"/>
              <w:left w:val="nil"/>
              <w:bottom w:val="nil"/>
              <w:right w:val="nil"/>
            </w:tcBorders>
            <w:shd w:val="clear" w:color="auto" w:fill="auto"/>
          </w:tcPr>
          <w:p w14:paraId="621B03E3" w14:textId="77777777" w:rsidR="00FE1A51" w:rsidRPr="00506DE1" w:rsidRDefault="00FE1A51" w:rsidP="00FE1A51">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41710796" w14:textId="77777777" w:rsidR="00FE1A51" w:rsidRPr="00506DE1" w:rsidRDefault="00FE1A51" w:rsidP="00FE1A51">
            <w:pPr>
              <w:jc w:val="center"/>
              <w:rPr>
                <w:rFonts w:ascii="Arial" w:hAnsi="Arial"/>
                <w:b/>
                <w:bCs/>
                <w:sz w:val="28"/>
                <w:szCs w:val="28"/>
                <w:rtl/>
              </w:rPr>
            </w:pPr>
          </w:p>
          <w:p w14:paraId="283CE374" w14:textId="77777777" w:rsidR="00FE1A51" w:rsidRPr="00506DE1" w:rsidRDefault="00FE1A51" w:rsidP="00FE1A51">
            <w:pPr>
              <w:jc w:val="center"/>
              <w:rPr>
                <w:rFonts w:ascii="Arial" w:hAnsi="Arial"/>
                <w:b/>
                <w:bCs/>
                <w:sz w:val="28"/>
                <w:szCs w:val="28"/>
                <w:rtl/>
              </w:rPr>
            </w:pPr>
            <w:r w:rsidRPr="00506DE1">
              <w:rPr>
                <w:rFonts w:ascii="Arial" w:hAnsi="Arial"/>
                <w:b/>
                <w:bCs/>
                <w:sz w:val="28"/>
                <w:szCs w:val="28"/>
                <w:rtl/>
              </w:rPr>
              <w:t>נגד</w:t>
            </w:r>
          </w:p>
          <w:p w14:paraId="42EEAA70" w14:textId="77777777" w:rsidR="00FE1A51" w:rsidRPr="00506DE1" w:rsidRDefault="00FE1A51" w:rsidP="00FE1A51">
            <w:pPr>
              <w:jc w:val="both"/>
              <w:rPr>
                <w:rFonts w:ascii="Arial" w:hAnsi="Arial"/>
                <w:b/>
                <w:bCs/>
                <w:sz w:val="28"/>
                <w:szCs w:val="28"/>
              </w:rPr>
            </w:pPr>
          </w:p>
        </w:tc>
      </w:tr>
      <w:tr w:rsidR="00FE1A51" w:rsidRPr="00506DE1" w14:paraId="43DDEFDC" w14:textId="77777777">
        <w:trPr>
          <w:trHeight w:val="355"/>
          <w:jc w:val="center"/>
        </w:trPr>
        <w:tc>
          <w:tcPr>
            <w:tcW w:w="923" w:type="dxa"/>
            <w:tcBorders>
              <w:top w:val="nil"/>
              <w:left w:val="nil"/>
              <w:bottom w:val="nil"/>
              <w:right w:val="nil"/>
            </w:tcBorders>
            <w:shd w:val="clear" w:color="auto" w:fill="auto"/>
          </w:tcPr>
          <w:p w14:paraId="724C3B69" w14:textId="77777777" w:rsidR="00FE1A51" w:rsidRPr="00506DE1" w:rsidRDefault="00FE1A51" w:rsidP="009A6FEB">
            <w:pPr>
              <w:rPr>
                <w:rFonts w:ascii="Arial" w:hAnsi="Arial"/>
                <w:b/>
                <w:bCs/>
                <w:sz w:val="28"/>
                <w:szCs w:val="28"/>
                <w:rtl/>
              </w:rPr>
            </w:pPr>
          </w:p>
        </w:tc>
        <w:tc>
          <w:tcPr>
            <w:tcW w:w="4126" w:type="dxa"/>
            <w:tcBorders>
              <w:top w:val="nil"/>
              <w:left w:val="nil"/>
              <w:bottom w:val="nil"/>
              <w:right w:val="nil"/>
            </w:tcBorders>
            <w:shd w:val="clear" w:color="auto" w:fill="auto"/>
          </w:tcPr>
          <w:p w14:paraId="71901B62" w14:textId="77777777" w:rsidR="00FE1A51" w:rsidRPr="00506DE1" w:rsidRDefault="00FE1A51" w:rsidP="009A6FEB">
            <w:pPr>
              <w:rPr>
                <w:b/>
                <w:bCs/>
                <w:rtl/>
              </w:rPr>
            </w:pPr>
            <w:r w:rsidRPr="00506DE1">
              <w:rPr>
                <w:rFonts w:ascii="Arial" w:hAnsi="Arial"/>
                <w:b/>
                <w:bCs/>
                <w:sz w:val="26"/>
                <w:szCs w:val="26"/>
                <w:rtl/>
              </w:rPr>
              <w:t>דוד לוי (אחר/נוסף)</w:t>
            </w:r>
            <w:r w:rsidRPr="00506DE1">
              <w:rPr>
                <w:rFonts w:hint="cs"/>
                <w:b/>
                <w:bCs/>
                <w:sz w:val="26"/>
                <w:szCs w:val="26"/>
                <w:rtl/>
              </w:rPr>
              <w:t xml:space="preserve">, ת"ז </w:t>
            </w:r>
            <w:r w:rsidR="00506DE1">
              <w:rPr>
                <w:b/>
                <w:bCs/>
                <w:sz w:val="26"/>
                <w:szCs w:val="26"/>
              </w:rPr>
              <w:t>xxxxxxxxx</w:t>
            </w:r>
          </w:p>
        </w:tc>
        <w:tc>
          <w:tcPr>
            <w:tcW w:w="3771" w:type="dxa"/>
            <w:tcBorders>
              <w:top w:val="nil"/>
              <w:left w:val="nil"/>
              <w:bottom w:val="nil"/>
              <w:right w:val="nil"/>
            </w:tcBorders>
            <w:shd w:val="clear" w:color="auto" w:fill="auto"/>
          </w:tcPr>
          <w:p w14:paraId="407782B3" w14:textId="77777777" w:rsidR="00FE1A51" w:rsidRPr="00506DE1" w:rsidRDefault="00FE1A51" w:rsidP="00FE1A51">
            <w:pPr>
              <w:jc w:val="right"/>
              <w:rPr>
                <w:rFonts w:ascii="Arial" w:hAnsi="Arial"/>
                <w:b/>
                <w:bCs/>
                <w:sz w:val="28"/>
                <w:szCs w:val="28"/>
              </w:rPr>
            </w:pPr>
          </w:p>
        </w:tc>
      </w:tr>
      <w:tr w:rsidR="00FE1A51" w:rsidRPr="00506DE1" w14:paraId="06861039" w14:textId="77777777">
        <w:trPr>
          <w:trHeight w:val="355"/>
          <w:jc w:val="center"/>
        </w:trPr>
        <w:tc>
          <w:tcPr>
            <w:tcW w:w="923" w:type="dxa"/>
            <w:tcBorders>
              <w:top w:val="nil"/>
              <w:left w:val="nil"/>
              <w:bottom w:val="nil"/>
              <w:right w:val="nil"/>
            </w:tcBorders>
            <w:shd w:val="clear" w:color="auto" w:fill="auto"/>
          </w:tcPr>
          <w:p w14:paraId="344794CD" w14:textId="77777777" w:rsidR="00FE1A51" w:rsidRPr="00506DE1" w:rsidRDefault="00FE1A51" w:rsidP="00FE1A51">
            <w:pPr>
              <w:jc w:val="both"/>
              <w:rPr>
                <w:rFonts w:ascii="Arial" w:hAnsi="Arial"/>
                <w:b/>
                <w:bCs/>
                <w:sz w:val="28"/>
                <w:szCs w:val="28"/>
                <w:rtl/>
              </w:rPr>
            </w:pPr>
            <w:bookmarkStart w:id="2" w:name="FirstLawyer"/>
          </w:p>
        </w:tc>
        <w:tc>
          <w:tcPr>
            <w:tcW w:w="4126" w:type="dxa"/>
            <w:tcBorders>
              <w:top w:val="nil"/>
              <w:left w:val="nil"/>
              <w:bottom w:val="nil"/>
              <w:right w:val="nil"/>
            </w:tcBorders>
            <w:shd w:val="clear" w:color="auto" w:fill="auto"/>
          </w:tcPr>
          <w:p w14:paraId="39245A0F" w14:textId="77777777" w:rsidR="00FE1A51" w:rsidRPr="00506DE1" w:rsidRDefault="00FE1A51" w:rsidP="00FE1A51">
            <w:pPr>
              <w:jc w:val="both"/>
              <w:rPr>
                <w:rtl/>
              </w:rPr>
            </w:pPr>
            <w:r w:rsidRPr="00506DE1">
              <w:rPr>
                <w:rFonts w:hint="cs"/>
                <w:rtl/>
              </w:rPr>
              <w:t>ע"י ב"כ עו"ד אלכס גפני</w:t>
            </w:r>
          </w:p>
        </w:tc>
        <w:tc>
          <w:tcPr>
            <w:tcW w:w="3771" w:type="dxa"/>
            <w:tcBorders>
              <w:top w:val="nil"/>
              <w:left w:val="nil"/>
              <w:bottom w:val="nil"/>
              <w:right w:val="nil"/>
            </w:tcBorders>
            <w:shd w:val="clear" w:color="auto" w:fill="auto"/>
          </w:tcPr>
          <w:p w14:paraId="429FC645" w14:textId="77777777" w:rsidR="00FE1A51" w:rsidRPr="00506DE1" w:rsidRDefault="00FE1A51" w:rsidP="00FE1A51">
            <w:pPr>
              <w:jc w:val="right"/>
              <w:rPr>
                <w:rFonts w:ascii="Arial" w:hAnsi="Arial"/>
                <w:b/>
                <w:bCs/>
                <w:sz w:val="28"/>
                <w:szCs w:val="28"/>
              </w:rPr>
            </w:pPr>
            <w:r w:rsidRPr="00506DE1">
              <w:rPr>
                <w:rFonts w:ascii="Arial" w:hAnsi="Arial" w:hint="cs"/>
                <w:b/>
                <w:bCs/>
                <w:sz w:val="28"/>
                <w:szCs w:val="28"/>
                <w:rtl/>
              </w:rPr>
              <w:t>ה</w:t>
            </w:r>
            <w:r w:rsidRPr="00506DE1">
              <w:rPr>
                <w:rFonts w:ascii="Arial" w:hAnsi="Arial"/>
                <w:b/>
                <w:bCs/>
                <w:sz w:val="28"/>
                <w:szCs w:val="28"/>
                <w:rtl/>
              </w:rPr>
              <w:t>נאשמים</w:t>
            </w:r>
          </w:p>
        </w:tc>
      </w:tr>
    </w:tbl>
    <w:p w14:paraId="6029154D" w14:textId="77777777" w:rsidR="00DA5B4B" w:rsidRDefault="00DA5B4B" w:rsidP="00FE1A51">
      <w:pPr>
        <w:rPr>
          <w:rtl/>
        </w:rPr>
      </w:pPr>
      <w:bookmarkStart w:id="3" w:name="LawTable"/>
      <w:bookmarkEnd w:id="2"/>
      <w:bookmarkEnd w:id="3"/>
    </w:p>
    <w:p w14:paraId="23230676" w14:textId="77777777" w:rsidR="00DA5B4B" w:rsidRPr="00DA5B4B" w:rsidRDefault="00DA5B4B" w:rsidP="00DA5B4B">
      <w:pPr>
        <w:spacing w:after="120" w:line="240" w:lineRule="exact"/>
        <w:ind w:left="283" w:hanging="283"/>
        <w:jc w:val="both"/>
        <w:rPr>
          <w:rFonts w:ascii="FrankRuehl" w:hAnsi="FrankRuehl" w:cs="FrankRuehl"/>
          <w:rtl/>
        </w:rPr>
      </w:pPr>
    </w:p>
    <w:p w14:paraId="11BBAE64" w14:textId="77777777" w:rsidR="00DA5B4B" w:rsidRPr="00DA5B4B" w:rsidRDefault="00DA5B4B" w:rsidP="00DA5B4B">
      <w:pPr>
        <w:spacing w:after="120" w:line="240" w:lineRule="exact"/>
        <w:ind w:left="283" w:hanging="283"/>
        <w:jc w:val="both"/>
        <w:rPr>
          <w:rFonts w:ascii="FrankRuehl" w:hAnsi="FrankRuehl" w:cs="FrankRuehl"/>
          <w:rtl/>
        </w:rPr>
      </w:pPr>
      <w:r w:rsidRPr="00DA5B4B">
        <w:rPr>
          <w:rFonts w:ascii="FrankRuehl" w:hAnsi="FrankRuehl" w:cs="FrankRuehl"/>
          <w:rtl/>
        </w:rPr>
        <w:t xml:space="preserve">חקיקה שאוזכרה: </w:t>
      </w:r>
    </w:p>
    <w:p w14:paraId="681DFDC7" w14:textId="77777777" w:rsidR="00DA5B4B" w:rsidRPr="00DA5B4B" w:rsidRDefault="00DA5B4B" w:rsidP="00DA5B4B">
      <w:pPr>
        <w:spacing w:after="120" w:line="240" w:lineRule="exact"/>
        <w:ind w:left="283" w:hanging="283"/>
        <w:jc w:val="both"/>
        <w:rPr>
          <w:rFonts w:ascii="FrankRuehl" w:hAnsi="FrankRuehl" w:cs="FrankRuehl"/>
          <w:rtl/>
        </w:rPr>
      </w:pPr>
      <w:hyperlink r:id="rId7" w:history="1">
        <w:r w:rsidRPr="00DA5B4B">
          <w:rPr>
            <w:rFonts w:ascii="FrankRuehl" w:hAnsi="FrankRuehl" w:cs="FrankRuehl"/>
            <w:color w:val="0000FF"/>
            <w:u w:val="single"/>
            <w:rtl/>
          </w:rPr>
          <w:t>פקודת הסמים המסוכנים [נוסח חדש], תשל"ג-1973</w:t>
        </w:r>
      </w:hyperlink>
      <w:r w:rsidRPr="00DA5B4B">
        <w:rPr>
          <w:rFonts w:ascii="FrankRuehl" w:hAnsi="FrankRuehl" w:cs="FrankRuehl"/>
          <w:rtl/>
        </w:rPr>
        <w:t xml:space="preserve">: סע'  </w:t>
      </w:r>
      <w:hyperlink r:id="rId8" w:history="1">
        <w:r w:rsidRPr="00DA5B4B">
          <w:rPr>
            <w:rFonts w:ascii="FrankRuehl" w:hAnsi="FrankRuehl" w:cs="FrankRuehl"/>
            <w:color w:val="0000FF"/>
            <w:u w:val="single"/>
            <w:rtl/>
          </w:rPr>
          <w:t>7.א.</w:t>
        </w:r>
      </w:hyperlink>
      <w:r w:rsidRPr="00DA5B4B">
        <w:rPr>
          <w:rFonts w:ascii="FrankRuehl" w:hAnsi="FrankRuehl" w:cs="FrankRuehl"/>
          <w:rtl/>
        </w:rPr>
        <w:t xml:space="preserve">, </w:t>
      </w:r>
      <w:hyperlink r:id="rId9" w:history="1">
        <w:r w:rsidRPr="00DA5B4B">
          <w:rPr>
            <w:rFonts w:ascii="FrankRuehl" w:hAnsi="FrankRuehl" w:cs="FrankRuehl"/>
            <w:color w:val="0000FF"/>
            <w:u w:val="single"/>
            <w:rtl/>
          </w:rPr>
          <w:t>7.ג</w:t>
        </w:r>
      </w:hyperlink>
      <w:r w:rsidRPr="00DA5B4B">
        <w:rPr>
          <w:rFonts w:ascii="FrankRuehl" w:hAnsi="FrankRuehl" w:cs="FrankRuehl"/>
          <w:rtl/>
        </w:rPr>
        <w:t xml:space="preserve">, </w:t>
      </w:r>
      <w:hyperlink r:id="rId10" w:history="1">
        <w:r w:rsidRPr="00DA5B4B">
          <w:rPr>
            <w:rFonts w:ascii="FrankRuehl" w:hAnsi="FrankRuehl" w:cs="FrankRuehl"/>
            <w:color w:val="0000FF"/>
            <w:u w:val="single"/>
            <w:rtl/>
          </w:rPr>
          <w:t>13</w:t>
        </w:r>
      </w:hyperlink>
      <w:r w:rsidRPr="00DA5B4B">
        <w:rPr>
          <w:rFonts w:ascii="FrankRuehl" w:hAnsi="FrankRuehl" w:cs="FrankRuehl"/>
          <w:rtl/>
        </w:rPr>
        <w:t xml:space="preserve">, </w:t>
      </w:r>
      <w:hyperlink r:id="rId11" w:history="1">
        <w:r w:rsidRPr="00DA5B4B">
          <w:rPr>
            <w:rFonts w:ascii="FrankRuehl" w:hAnsi="FrankRuehl" w:cs="FrankRuehl"/>
            <w:color w:val="0000FF"/>
            <w:u w:val="single"/>
            <w:rtl/>
          </w:rPr>
          <w:t>19א'</w:t>
        </w:r>
      </w:hyperlink>
      <w:r w:rsidRPr="00DA5B4B">
        <w:rPr>
          <w:rFonts w:ascii="FrankRuehl" w:hAnsi="FrankRuehl" w:cs="FrankRuehl"/>
          <w:rtl/>
        </w:rPr>
        <w:t xml:space="preserve">, </w:t>
      </w:r>
      <w:hyperlink r:id="rId12" w:history="1">
        <w:r w:rsidRPr="00DA5B4B">
          <w:rPr>
            <w:rFonts w:ascii="FrankRuehl" w:hAnsi="FrankRuehl" w:cs="FrankRuehl"/>
            <w:color w:val="0000FF"/>
            <w:u w:val="single"/>
            <w:rtl/>
          </w:rPr>
          <w:t>36א(ב)</w:t>
        </w:r>
      </w:hyperlink>
    </w:p>
    <w:p w14:paraId="619DB81F" w14:textId="77777777" w:rsidR="00DA5B4B" w:rsidRPr="00DA5B4B" w:rsidRDefault="00DA5B4B" w:rsidP="00DA5B4B">
      <w:pPr>
        <w:spacing w:after="120" w:line="240" w:lineRule="exact"/>
        <w:ind w:left="283" w:hanging="283"/>
        <w:jc w:val="both"/>
        <w:rPr>
          <w:rFonts w:ascii="FrankRuehl" w:hAnsi="FrankRuehl" w:cs="FrankRuehl"/>
          <w:rtl/>
        </w:rPr>
      </w:pPr>
      <w:hyperlink r:id="rId13" w:history="1">
        <w:r w:rsidRPr="00DA5B4B">
          <w:rPr>
            <w:rFonts w:ascii="FrankRuehl" w:hAnsi="FrankRuehl" w:cs="FrankRuehl"/>
            <w:color w:val="0000FF"/>
            <w:u w:val="single"/>
            <w:rtl/>
          </w:rPr>
          <w:t>חוק העונשין, תשל"ז-1977</w:t>
        </w:r>
      </w:hyperlink>
      <w:r w:rsidRPr="00DA5B4B">
        <w:rPr>
          <w:rFonts w:ascii="FrankRuehl" w:hAnsi="FrankRuehl" w:cs="FrankRuehl"/>
          <w:rtl/>
        </w:rPr>
        <w:t xml:space="preserve">: סע'  </w:t>
      </w:r>
      <w:hyperlink r:id="rId14" w:history="1">
        <w:r w:rsidRPr="00DA5B4B">
          <w:rPr>
            <w:rFonts w:ascii="FrankRuehl" w:hAnsi="FrankRuehl" w:cs="FrankRuehl"/>
            <w:color w:val="0000FF"/>
            <w:u w:val="single"/>
            <w:rtl/>
          </w:rPr>
          <w:t>40ד'</w:t>
        </w:r>
      </w:hyperlink>
      <w:r w:rsidRPr="00DA5B4B">
        <w:rPr>
          <w:rFonts w:ascii="FrankRuehl" w:hAnsi="FrankRuehl" w:cs="FrankRuehl"/>
          <w:rtl/>
        </w:rPr>
        <w:t xml:space="preserve">, </w:t>
      </w:r>
      <w:hyperlink r:id="rId15" w:history="1">
        <w:r w:rsidRPr="00DA5B4B">
          <w:rPr>
            <w:rFonts w:ascii="FrankRuehl" w:hAnsi="FrankRuehl" w:cs="FrankRuehl"/>
            <w:color w:val="0000FF"/>
            <w:u w:val="single"/>
            <w:rtl/>
          </w:rPr>
          <w:t>40ט'</w:t>
        </w:r>
      </w:hyperlink>
      <w:r w:rsidRPr="00DA5B4B">
        <w:rPr>
          <w:rFonts w:ascii="FrankRuehl" w:hAnsi="FrankRuehl" w:cs="FrankRuehl"/>
          <w:rtl/>
        </w:rPr>
        <w:t xml:space="preserve">, </w:t>
      </w:r>
      <w:hyperlink r:id="rId16" w:history="1">
        <w:r w:rsidRPr="00DA5B4B">
          <w:rPr>
            <w:rFonts w:ascii="FrankRuehl" w:hAnsi="FrankRuehl" w:cs="FrankRuehl"/>
            <w:color w:val="0000FF"/>
            <w:u w:val="single"/>
            <w:rtl/>
          </w:rPr>
          <w:t>40יא</w:t>
        </w:r>
      </w:hyperlink>
    </w:p>
    <w:p w14:paraId="7AAD6EA0" w14:textId="77777777" w:rsidR="00DA5B4B" w:rsidRPr="00DA5B4B" w:rsidRDefault="00DA5B4B" w:rsidP="00DA5B4B">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E1A51" w14:paraId="35A49EC7" w14:textId="77777777">
        <w:trPr>
          <w:trHeight w:val="355"/>
          <w:jc w:val="center"/>
        </w:trPr>
        <w:tc>
          <w:tcPr>
            <w:tcW w:w="8820" w:type="dxa"/>
            <w:tcBorders>
              <w:top w:val="nil"/>
              <w:left w:val="nil"/>
              <w:bottom w:val="nil"/>
              <w:right w:val="nil"/>
            </w:tcBorders>
            <w:shd w:val="clear" w:color="auto" w:fill="auto"/>
          </w:tcPr>
          <w:p w14:paraId="6A79E982" w14:textId="77777777" w:rsidR="00506DE1" w:rsidRPr="00506DE1" w:rsidRDefault="00506DE1" w:rsidP="00506DE1">
            <w:pPr>
              <w:jc w:val="center"/>
              <w:rPr>
                <w:rFonts w:ascii="Arial" w:hAnsi="Arial" w:cs="FrankRuehl"/>
                <w:b/>
                <w:bCs/>
                <w:sz w:val="32"/>
                <w:szCs w:val="32"/>
                <w:u w:val="single"/>
                <w:rtl/>
              </w:rPr>
            </w:pPr>
            <w:bookmarkStart w:id="4" w:name="LawTable_End"/>
            <w:bookmarkStart w:id="5" w:name="PsakDin" w:colFirst="0" w:colLast="0"/>
            <w:bookmarkEnd w:id="0"/>
            <w:bookmarkEnd w:id="4"/>
            <w:r w:rsidRPr="00506DE1">
              <w:rPr>
                <w:rFonts w:ascii="Arial" w:hAnsi="Arial" w:cs="FrankRuehl"/>
                <w:b/>
                <w:bCs/>
                <w:sz w:val="32"/>
                <w:szCs w:val="32"/>
                <w:u w:val="single"/>
                <w:rtl/>
              </w:rPr>
              <w:t>גזר דין</w:t>
            </w:r>
          </w:p>
          <w:p w14:paraId="620003F4" w14:textId="77777777" w:rsidR="00FE1A51" w:rsidRPr="00506DE1" w:rsidRDefault="00FE1A51" w:rsidP="00506DE1">
            <w:pPr>
              <w:jc w:val="center"/>
              <w:rPr>
                <w:rFonts w:ascii="Arial" w:hAnsi="Arial" w:cs="FrankRuehl"/>
                <w:bCs/>
                <w:sz w:val="32"/>
                <w:szCs w:val="32"/>
                <w:u w:val="single"/>
                <w:rtl/>
              </w:rPr>
            </w:pPr>
          </w:p>
        </w:tc>
      </w:tr>
      <w:bookmarkEnd w:id="5"/>
    </w:tbl>
    <w:p w14:paraId="076C0ACB" w14:textId="77777777" w:rsidR="00FE1A51" w:rsidRPr="00B05847" w:rsidRDefault="00FE1A51" w:rsidP="00FE1A51">
      <w:pPr>
        <w:rPr>
          <w:rFonts w:ascii="Arial" w:hAnsi="Arial"/>
          <w:rtl/>
        </w:rPr>
      </w:pPr>
    </w:p>
    <w:p w14:paraId="56E6C0B2" w14:textId="77777777" w:rsidR="00FE1A51" w:rsidRPr="00B05847" w:rsidRDefault="00FE1A51" w:rsidP="00FE1A51">
      <w:pPr>
        <w:rPr>
          <w:rFonts w:ascii="Arial" w:hAnsi="Arial"/>
          <w:rtl/>
        </w:rPr>
      </w:pPr>
    </w:p>
    <w:p w14:paraId="6D7B5A48" w14:textId="77777777" w:rsidR="00FE1A51" w:rsidRPr="00B05847" w:rsidRDefault="00FE1A51" w:rsidP="00FE1A51">
      <w:pPr>
        <w:rPr>
          <w:rtl/>
        </w:rPr>
      </w:pPr>
    </w:p>
    <w:p w14:paraId="30437265" w14:textId="77777777" w:rsidR="00FE1A51" w:rsidRPr="00762CEB" w:rsidRDefault="00FE1A51" w:rsidP="00FE1A51">
      <w:pPr>
        <w:rPr>
          <w:b/>
          <w:bCs/>
          <w:u w:val="single"/>
          <w:rtl/>
        </w:rPr>
      </w:pPr>
      <w:r w:rsidRPr="00762CEB">
        <w:rPr>
          <w:rFonts w:hint="cs"/>
          <w:b/>
          <w:bCs/>
          <w:u w:val="single"/>
          <w:rtl/>
        </w:rPr>
        <w:t>האישומים</w:t>
      </w:r>
    </w:p>
    <w:p w14:paraId="26885872" w14:textId="77777777" w:rsidR="00FE1A51" w:rsidRDefault="00FE1A51" w:rsidP="00FE1A51">
      <w:pPr>
        <w:spacing w:line="360" w:lineRule="auto"/>
        <w:jc w:val="both"/>
        <w:rPr>
          <w:rtl/>
        </w:rPr>
      </w:pPr>
    </w:p>
    <w:p w14:paraId="57B5D964" w14:textId="77777777" w:rsidR="00FE1A51" w:rsidRDefault="00FE1A51" w:rsidP="00FE1A51">
      <w:pPr>
        <w:spacing w:line="360" w:lineRule="auto"/>
        <w:jc w:val="both"/>
        <w:rPr>
          <w:rtl/>
        </w:rPr>
      </w:pPr>
      <w:bookmarkStart w:id="6" w:name="ABSTRACT_START"/>
      <w:bookmarkEnd w:id="6"/>
      <w:r>
        <w:rPr>
          <w:rFonts w:hint="cs"/>
          <w:rtl/>
        </w:rPr>
        <w:t>הנאשם הודה והורשע בעבירות של סחר בסמים והחזקת סם לשימוש עצמי (</w:t>
      </w:r>
      <w:hyperlink r:id="rId17" w:history="1">
        <w:r w:rsidR="00DA5B4B" w:rsidRPr="00DA5B4B">
          <w:rPr>
            <w:color w:val="0000FF"/>
            <w:u w:val="single"/>
            <w:rtl/>
          </w:rPr>
          <w:t>סעיפים 13</w:t>
        </w:r>
      </w:hyperlink>
      <w:r>
        <w:rPr>
          <w:rFonts w:hint="cs"/>
          <w:rtl/>
        </w:rPr>
        <w:t xml:space="preserve"> ו-</w:t>
      </w:r>
      <w:hyperlink r:id="rId18" w:history="1">
        <w:r w:rsidR="00DA5B4B" w:rsidRPr="00DA5B4B">
          <w:rPr>
            <w:color w:val="0000FF"/>
            <w:u w:val="single"/>
            <w:rtl/>
          </w:rPr>
          <w:t>19א'</w:t>
        </w:r>
      </w:hyperlink>
      <w:r>
        <w:rPr>
          <w:rFonts w:hint="cs"/>
          <w:rtl/>
        </w:rPr>
        <w:t xml:space="preserve"> ל</w:t>
      </w:r>
      <w:hyperlink r:id="rId19" w:history="1">
        <w:r w:rsidR="00506DE1" w:rsidRPr="00506DE1">
          <w:rPr>
            <w:color w:val="0000FF"/>
            <w:u w:val="single"/>
            <w:rtl/>
          </w:rPr>
          <w:t>פקודת הסמים המסוכנים</w:t>
        </w:r>
      </w:hyperlink>
      <w:r>
        <w:rPr>
          <w:rFonts w:hint="cs"/>
          <w:rtl/>
        </w:rPr>
        <w:t xml:space="preserve">, וסעיפים </w:t>
      </w:r>
      <w:hyperlink r:id="rId20" w:history="1">
        <w:r w:rsidR="00DA5B4B" w:rsidRPr="00DA5B4B">
          <w:rPr>
            <w:color w:val="0000FF"/>
            <w:u w:val="single"/>
            <w:rtl/>
          </w:rPr>
          <w:t>7(א) ו-(ג)</w:t>
        </w:r>
      </w:hyperlink>
      <w:r>
        <w:rPr>
          <w:rFonts w:hint="cs"/>
          <w:rtl/>
        </w:rPr>
        <w:t xml:space="preserve"> סיפא לפקודת הסמים, בהתאמה).</w:t>
      </w:r>
    </w:p>
    <w:p w14:paraId="7661B235" w14:textId="77777777" w:rsidR="00FE1A51" w:rsidRDefault="00FE1A51" w:rsidP="00FE1A51">
      <w:pPr>
        <w:spacing w:line="360" w:lineRule="auto"/>
        <w:jc w:val="both"/>
        <w:rPr>
          <w:rtl/>
        </w:rPr>
      </w:pPr>
      <w:bookmarkStart w:id="7" w:name="ABSTRACT_END"/>
      <w:bookmarkEnd w:id="7"/>
    </w:p>
    <w:p w14:paraId="1CFE9624" w14:textId="77777777" w:rsidR="00FE1A51" w:rsidRDefault="00FE1A51" w:rsidP="00FE1A51">
      <w:pPr>
        <w:spacing w:line="360" w:lineRule="auto"/>
        <w:jc w:val="both"/>
        <w:rPr>
          <w:rtl/>
        </w:rPr>
      </w:pPr>
      <w:r>
        <w:rPr>
          <w:rFonts w:hint="cs"/>
          <w:rtl/>
        </w:rPr>
        <w:t xml:space="preserve">מעובדות כתב האישום עולה כך: </w:t>
      </w:r>
    </w:p>
    <w:p w14:paraId="6DD2925B" w14:textId="77777777" w:rsidR="00FE1A51" w:rsidRDefault="00FE1A51" w:rsidP="00FE1A51">
      <w:pPr>
        <w:spacing w:line="360" w:lineRule="auto"/>
        <w:jc w:val="both"/>
        <w:rPr>
          <w:rtl/>
        </w:rPr>
      </w:pPr>
      <w:r>
        <w:rPr>
          <w:rFonts w:hint="cs"/>
          <w:rtl/>
        </w:rPr>
        <w:t>באישום הראשון מצוין, כי הנאשם מכר בביתו חשיש במשקל של לא פחות מ-4.98 גרם לאדם בשם גרשון תמורת סכום כסף שאינו ידוע למאשימה;</w:t>
      </w:r>
    </w:p>
    <w:p w14:paraId="42459E80" w14:textId="77777777" w:rsidR="00FE1A51" w:rsidRDefault="00FE1A51" w:rsidP="00FE1A51">
      <w:pPr>
        <w:spacing w:line="360" w:lineRule="auto"/>
        <w:jc w:val="both"/>
        <w:rPr>
          <w:rtl/>
        </w:rPr>
      </w:pPr>
      <w:r>
        <w:rPr>
          <w:rFonts w:hint="cs"/>
          <w:rtl/>
        </w:rPr>
        <w:t>באישום השני מצוין, כי הנאשם מכר באזור ביתו לאדם בשם יואל סם מסוג קנבוס במשקל של לא פחות מ-2.77 גרם תמורת סכום לא ידוע;</w:t>
      </w:r>
    </w:p>
    <w:p w14:paraId="03DE6EA5" w14:textId="77777777" w:rsidR="00FE1A51" w:rsidRDefault="00FE1A51" w:rsidP="00FE1A51">
      <w:pPr>
        <w:spacing w:line="360" w:lineRule="auto"/>
        <w:jc w:val="both"/>
        <w:rPr>
          <w:rtl/>
        </w:rPr>
      </w:pPr>
      <w:r>
        <w:rPr>
          <w:rFonts w:hint="cs"/>
          <w:rtl/>
        </w:rPr>
        <w:t>באישום השלישי מצוין, כי הנאשם מכר לאותו יואל באזור שוק מחנה יהודה, סם מסוג קנבוס במשקל שאינו קטן מ-6 גרם תמורת סכום כסף לא ידוע;</w:t>
      </w:r>
    </w:p>
    <w:p w14:paraId="074750C4" w14:textId="77777777" w:rsidR="00FE1A51" w:rsidRDefault="00FE1A51" w:rsidP="00FE1A51">
      <w:pPr>
        <w:spacing w:line="360" w:lineRule="auto"/>
        <w:jc w:val="both"/>
        <w:rPr>
          <w:rtl/>
        </w:rPr>
      </w:pPr>
      <w:r>
        <w:rPr>
          <w:rFonts w:hint="cs"/>
          <w:rtl/>
        </w:rPr>
        <w:t>באישום הרביעי מצוין, כי הנאשם מכר לסוכן סם מסוג קנבוס במשקל 10.08 גרם תמורת 1,000 ₪;</w:t>
      </w:r>
    </w:p>
    <w:p w14:paraId="55F211BE" w14:textId="77777777" w:rsidR="00FE1A51" w:rsidRDefault="00FE1A51" w:rsidP="00FE1A51">
      <w:pPr>
        <w:spacing w:line="360" w:lineRule="auto"/>
        <w:jc w:val="both"/>
        <w:rPr>
          <w:rtl/>
        </w:rPr>
      </w:pPr>
      <w:r>
        <w:rPr>
          <w:rFonts w:hint="cs"/>
          <w:rtl/>
        </w:rPr>
        <w:lastRenderedPageBreak/>
        <w:t>באישום החמישי מצוין, כי הנאשם מכר לאותו סוכן סם מסוג קנבוס במשקל 29.53 גרם תמורת</w:t>
      </w:r>
      <w:r>
        <w:rPr>
          <w:rtl/>
        </w:rPr>
        <w:br/>
      </w:r>
      <w:r>
        <w:rPr>
          <w:rFonts w:hint="cs"/>
          <w:rtl/>
        </w:rPr>
        <w:t>2,700 ₪;</w:t>
      </w:r>
    </w:p>
    <w:p w14:paraId="429F9C1C" w14:textId="77777777" w:rsidR="00FE1A51" w:rsidRDefault="00FE1A51" w:rsidP="00FE1A51">
      <w:pPr>
        <w:spacing w:line="360" w:lineRule="auto"/>
        <w:jc w:val="both"/>
        <w:rPr>
          <w:rtl/>
        </w:rPr>
      </w:pPr>
      <w:r>
        <w:rPr>
          <w:rFonts w:hint="cs"/>
          <w:rtl/>
        </w:rPr>
        <w:t>באישום השישי מצוין, כי הנאשם מכר לאותו סוכן סם מסוג קנבוס במשקל 29 גרם תמורת 2,700 ₪;</w:t>
      </w:r>
    </w:p>
    <w:p w14:paraId="0034C235" w14:textId="77777777" w:rsidR="00FE1A51" w:rsidRDefault="00FE1A51" w:rsidP="00FE1A51">
      <w:pPr>
        <w:spacing w:line="360" w:lineRule="auto"/>
        <w:jc w:val="both"/>
        <w:rPr>
          <w:rtl/>
        </w:rPr>
      </w:pPr>
      <w:r>
        <w:rPr>
          <w:rFonts w:hint="cs"/>
          <w:rtl/>
        </w:rPr>
        <w:t>באישום השביעי מצוין , כי הנאשם מכר לסוכן קנבוס במשקל 3.98 גרם תמורת 480 ₪, ולאחר שנעצר, נתפס עליו סם מאותו סוג במשקל 0.94 גרם.</w:t>
      </w:r>
    </w:p>
    <w:p w14:paraId="030B0B2D" w14:textId="77777777" w:rsidR="00FE1A51" w:rsidRDefault="00FE1A51" w:rsidP="00FE1A51">
      <w:pPr>
        <w:spacing w:line="360" w:lineRule="auto"/>
        <w:jc w:val="both"/>
        <w:rPr>
          <w:rtl/>
        </w:rPr>
      </w:pPr>
    </w:p>
    <w:p w14:paraId="59B87F5C" w14:textId="77777777" w:rsidR="00FE1A51" w:rsidRPr="00762CEB" w:rsidRDefault="00FE1A51" w:rsidP="00FE1A51">
      <w:pPr>
        <w:spacing w:line="360" w:lineRule="auto"/>
        <w:jc w:val="both"/>
        <w:rPr>
          <w:b/>
          <w:bCs/>
          <w:u w:val="single"/>
          <w:rtl/>
        </w:rPr>
      </w:pPr>
      <w:r w:rsidRPr="00762CEB">
        <w:rPr>
          <w:rFonts w:hint="cs"/>
          <w:b/>
          <w:bCs/>
          <w:u w:val="single"/>
          <w:rtl/>
        </w:rPr>
        <w:t>תסקיר</w:t>
      </w:r>
    </w:p>
    <w:p w14:paraId="15FAD59D" w14:textId="77777777" w:rsidR="00FE1A51" w:rsidRDefault="00FE1A51" w:rsidP="00FE1A51">
      <w:pPr>
        <w:spacing w:line="360" w:lineRule="auto"/>
        <w:jc w:val="both"/>
        <w:rPr>
          <w:rtl/>
        </w:rPr>
      </w:pPr>
      <w:r>
        <w:rPr>
          <w:rFonts w:hint="cs"/>
          <w:rtl/>
        </w:rPr>
        <w:t>הנאשם נשלח לשירות המבחן שהכין בעניינו תסקיר.</w:t>
      </w:r>
    </w:p>
    <w:p w14:paraId="52E19C7C" w14:textId="77777777" w:rsidR="00FE1A51" w:rsidRDefault="00FE1A51" w:rsidP="00FE1A51">
      <w:pPr>
        <w:spacing w:line="360" w:lineRule="auto"/>
        <w:jc w:val="both"/>
        <w:rPr>
          <w:rtl/>
        </w:rPr>
      </w:pPr>
      <w:r>
        <w:rPr>
          <w:rFonts w:hint="cs"/>
          <w:rtl/>
        </w:rPr>
        <w:t xml:space="preserve">מהתסקיר עולה, כי מדובר באדם שמקורו במשפחה חרדית, כבן 30, רווק. הוא התחנך במסגרות חרדיות ובסוף שנות העשרה של חייו ניהל אורח חיים שאינו מתיישב עם החינוך שקיבל. הוא החל לצרוך סמים ואלכוהול, במיוחד לאחר שחווה משבר עם מותו המפתיע של גיסו בתאונה. הוא עקר לארצות הברית שם חי מספר שנים, והמשיך לצרוך סמים מסוג "גראס", וערב מעצרו החל להסדיר קבלתו ללימודי הנדסה לתואר. הנאשם עבר תהליך טיפולי במסגרת תיק המעצר בקהילת "רטורנו" לאורך תקופה של כשנה, ולאחר מכן השתלב בעבודה. הקשר עם בני משפחתו, על רקע התהליך הטיפולי, שב והתחזק והם מהווים לו גורם תמיכה משמעותי. גורמי הטיפול העריכו בחיוב את התקדמותו של הנאשם בתהליך הטיפולי, והמליצו על המשך טיפול בקהילה. שירות המבחן התרשם כי הנאשם חווה את ההליך הפלילי באופן מרתיע ומציב גבולות, והבין את הפסול שבמעשיו. שירות המבחן סבר כי לנוכח ההתקדמות הטיפולית והתמדתו של הנאשם בטיפול, קיים סיכון מסוים לחזרה על התנהגות עוברת חוק, אך עם זאת סבר, כי המשך טיפול יבסס אצל הנאשם את השינוי שערך בחייו בכיוון של הצלחה. לפיכך שירות המבחן המליץ על שילובו של הנאשם בצו מבחן למשך שנה, תוך הטלת של"ץ בהיקף 250 שעות. </w:t>
      </w:r>
    </w:p>
    <w:p w14:paraId="343D2095" w14:textId="77777777" w:rsidR="00FE1A51" w:rsidRDefault="00FE1A51" w:rsidP="00FE1A51">
      <w:pPr>
        <w:spacing w:line="360" w:lineRule="auto"/>
        <w:jc w:val="both"/>
        <w:rPr>
          <w:rtl/>
        </w:rPr>
      </w:pPr>
    </w:p>
    <w:p w14:paraId="2817BE4F" w14:textId="77777777" w:rsidR="00FE1A51" w:rsidRPr="00762CEB" w:rsidRDefault="00FE1A51" w:rsidP="00FE1A51">
      <w:pPr>
        <w:spacing w:line="360" w:lineRule="auto"/>
        <w:jc w:val="both"/>
        <w:rPr>
          <w:b/>
          <w:bCs/>
          <w:u w:val="single"/>
          <w:rtl/>
        </w:rPr>
      </w:pPr>
      <w:r w:rsidRPr="00762CEB">
        <w:rPr>
          <w:rFonts w:hint="cs"/>
          <w:b/>
          <w:bCs/>
          <w:u w:val="single"/>
          <w:rtl/>
        </w:rPr>
        <w:t>טיעונים לעונש</w:t>
      </w:r>
    </w:p>
    <w:p w14:paraId="31ECAFCC" w14:textId="77777777" w:rsidR="00FE1A51" w:rsidRPr="00FE1A51" w:rsidRDefault="00FE1A51" w:rsidP="00FE1A51">
      <w:pPr>
        <w:spacing w:after="160" w:line="360" w:lineRule="auto"/>
        <w:jc w:val="both"/>
        <w:rPr>
          <w:rFonts w:ascii="Calibri" w:hAnsi="Calibri"/>
          <w:rtl/>
        </w:rPr>
      </w:pPr>
      <w:r w:rsidRPr="00FE1A51">
        <w:rPr>
          <w:rFonts w:ascii="Calibri" w:hAnsi="Calibri" w:hint="cs"/>
          <w:rtl/>
        </w:rPr>
        <w:t>מחד, המאשימה טוענת כי יש להטיל על המשיב עונש של 32 חודשי מאסר, ענישה נלווית, הכרזה על הנאשם כסוחר סמים, חילוט רכוש והשמדת הסמים, וזאת בהתבסס על מתחמי ענישה שנעים בין חודשי מאסר בודדים עד 36 חודשים. ב"כ המאשימה הדגיש את חומרת העבירות והישנותן. ב"כ המאשימה ביקש לראות את כתב האישום כמחולק לשלושה אירועים כפי שפירט בטיעוניו. הוגשה פסיקה לתמוך בעמדת המאשימה.</w:t>
      </w:r>
    </w:p>
    <w:p w14:paraId="6020E971" w14:textId="77777777" w:rsidR="00FE1A51" w:rsidRPr="00FE1A51" w:rsidRDefault="00FE1A51" w:rsidP="00FE1A51">
      <w:pPr>
        <w:spacing w:after="160" w:line="360" w:lineRule="auto"/>
        <w:jc w:val="both"/>
        <w:rPr>
          <w:rFonts w:ascii="Calibri" w:hAnsi="Calibri"/>
          <w:rtl/>
        </w:rPr>
      </w:pPr>
      <w:r w:rsidRPr="00FE1A51">
        <w:rPr>
          <w:rFonts w:ascii="Calibri" w:hAnsi="Calibri" w:hint="cs"/>
          <w:rtl/>
        </w:rPr>
        <w:t xml:space="preserve">מאידך, הסניגור הדגיש את העובדה שמדובר בסוכן שהכיר את הנאשם ואת חבריו על-רקע חברי. בין היתר בשל כך סבר הסניגור כי יש להתייחס לעובדות כתב האישום כאל אירוע אחד. לטעם הסניגור לנוכח נסיבות ביצוע העבירה והנסיבות עליהן עמד, יש מקום לקבוע מתחם ענישה שמתחיל בעבודות שירות עד 12 חודשי מאסר. הוגשה פסיקה תומכת בעמדה זו. הסניגור טען כי יש לחרוג ממתחם הענישה בשל שיקולי שיקום לנוכח הדרך הטיפולית והשיקומית שעבר הנאשם. </w:t>
      </w:r>
    </w:p>
    <w:p w14:paraId="69A88710" w14:textId="77777777" w:rsidR="00FE1A51" w:rsidRPr="00FE1A51" w:rsidRDefault="00FE1A51" w:rsidP="00FE1A51">
      <w:pPr>
        <w:spacing w:after="160" w:line="360" w:lineRule="auto"/>
        <w:jc w:val="both"/>
        <w:rPr>
          <w:rFonts w:ascii="Calibri" w:hAnsi="Calibri"/>
          <w:b/>
          <w:bCs/>
          <w:u w:val="single"/>
          <w:rtl/>
        </w:rPr>
      </w:pPr>
    </w:p>
    <w:p w14:paraId="01526A0D" w14:textId="77777777" w:rsidR="00FE1A51" w:rsidRPr="00FE1A51" w:rsidRDefault="00FE1A51" w:rsidP="00FE1A51">
      <w:pPr>
        <w:spacing w:after="160" w:line="360" w:lineRule="auto"/>
        <w:jc w:val="both"/>
        <w:rPr>
          <w:rFonts w:ascii="Calibri" w:hAnsi="Calibri"/>
          <w:b/>
          <w:bCs/>
          <w:u w:val="single"/>
          <w:rtl/>
        </w:rPr>
      </w:pPr>
      <w:r w:rsidRPr="00FE1A51">
        <w:rPr>
          <w:rFonts w:ascii="Calibri" w:hAnsi="Calibri" w:hint="cs"/>
          <w:b/>
          <w:bCs/>
          <w:u w:val="single"/>
          <w:rtl/>
        </w:rPr>
        <w:t xml:space="preserve">קביעת מתחם הענישה </w:t>
      </w:r>
    </w:p>
    <w:p w14:paraId="51BB2427" w14:textId="77777777" w:rsidR="00FE1A51" w:rsidRPr="00FE1A51" w:rsidRDefault="00FE1A51" w:rsidP="00FE1A51">
      <w:pPr>
        <w:spacing w:after="160" w:line="360" w:lineRule="auto"/>
        <w:jc w:val="both"/>
        <w:rPr>
          <w:rFonts w:ascii="Calibri" w:hAnsi="Calibri"/>
          <w:b/>
          <w:bCs/>
          <w:u w:val="single"/>
          <w:rtl/>
        </w:rPr>
      </w:pPr>
      <w:r w:rsidRPr="00FE1A51">
        <w:rPr>
          <w:rFonts w:ascii="Calibri" w:hAnsi="Calibri" w:hint="cs"/>
          <w:rtl/>
        </w:rPr>
        <w:t xml:space="preserve">מתחם הענישה צריך להתייחס לעקרון ההלימה, הנוגע ליחס לערך החברתי המוגן, מידת הפגיעה בו, מדיניות הענישה הנוהגת ונסיבות ביצוע העבירה. </w:t>
      </w:r>
    </w:p>
    <w:p w14:paraId="1366C530" w14:textId="77777777" w:rsidR="00FE1A51" w:rsidRPr="00FE1A51" w:rsidRDefault="00FE1A51" w:rsidP="00FE1A51">
      <w:pPr>
        <w:spacing w:after="160" w:line="360" w:lineRule="auto"/>
        <w:jc w:val="both"/>
        <w:rPr>
          <w:rFonts w:ascii="Calibri" w:hAnsi="Calibri"/>
          <w:b/>
          <w:bCs/>
          <w:rtl/>
        </w:rPr>
      </w:pPr>
    </w:p>
    <w:p w14:paraId="68A77948" w14:textId="77777777" w:rsidR="00FE1A51" w:rsidRPr="00FE1A51" w:rsidRDefault="00FE1A51" w:rsidP="00FE1A51">
      <w:pPr>
        <w:spacing w:after="160" w:line="360" w:lineRule="auto"/>
        <w:jc w:val="both"/>
        <w:rPr>
          <w:rFonts w:ascii="Calibri" w:hAnsi="Calibri"/>
          <w:rtl/>
        </w:rPr>
      </w:pPr>
      <w:r w:rsidRPr="00FE1A51">
        <w:rPr>
          <w:rFonts w:ascii="Calibri" w:hAnsi="Calibri" w:hint="cs"/>
          <w:b/>
          <w:bCs/>
          <w:rtl/>
        </w:rPr>
        <w:t xml:space="preserve">אשר לערך המוגן </w:t>
      </w:r>
      <w:r w:rsidRPr="00FE1A51">
        <w:rPr>
          <w:rFonts w:ascii="Calibri" w:hAnsi="Calibri" w:hint="cs"/>
          <w:rtl/>
        </w:rPr>
        <w:t>– מדובר בשמירה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w:t>
      </w:r>
    </w:p>
    <w:p w14:paraId="7BE4BDDB" w14:textId="77777777" w:rsidR="00FE1A51" w:rsidRPr="00FE1A51" w:rsidRDefault="00FE1A51" w:rsidP="00FE1A51">
      <w:pPr>
        <w:spacing w:after="160" w:line="360" w:lineRule="auto"/>
        <w:jc w:val="both"/>
        <w:rPr>
          <w:rFonts w:ascii="Calibri" w:hAnsi="Calibri"/>
          <w:b/>
          <w:bCs/>
          <w:rtl/>
        </w:rPr>
      </w:pPr>
    </w:p>
    <w:p w14:paraId="115480AF" w14:textId="77777777" w:rsidR="00FE1A51" w:rsidRPr="00FE1A51" w:rsidRDefault="00FE1A51" w:rsidP="00FE1A51">
      <w:pPr>
        <w:spacing w:after="160" w:line="360" w:lineRule="auto"/>
        <w:jc w:val="both"/>
        <w:rPr>
          <w:rFonts w:ascii="Calibri" w:hAnsi="Calibri"/>
          <w:rtl/>
        </w:rPr>
      </w:pPr>
      <w:r w:rsidRPr="00FE1A51">
        <w:rPr>
          <w:rFonts w:ascii="Calibri" w:hAnsi="Calibri" w:hint="cs"/>
          <w:b/>
          <w:bCs/>
          <w:rtl/>
        </w:rPr>
        <w:t xml:space="preserve">נסיבות הקשורות בביצוע העבירה לפי </w:t>
      </w:r>
      <w:hyperlink r:id="rId21" w:history="1">
        <w:r w:rsidR="00DA5B4B" w:rsidRPr="00DA5B4B">
          <w:rPr>
            <w:rFonts w:ascii="Calibri" w:hAnsi="Calibri" w:hint="eastAsia"/>
            <w:b/>
            <w:bCs/>
            <w:color w:val="0000FF"/>
            <w:u w:val="single"/>
            <w:rtl/>
          </w:rPr>
          <w:t>סעיף</w:t>
        </w:r>
        <w:r w:rsidR="00DA5B4B" w:rsidRPr="00DA5B4B">
          <w:rPr>
            <w:rFonts w:ascii="Calibri" w:hAnsi="Calibri"/>
            <w:b/>
            <w:bCs/>
            <w:color w:val="0000FF"/>
            <w:u w:val="single"/>
            <w:rtl/>
          </w:rPr>
          <w:t xml:space="preserve"> 40</w:t>
        </w:r>
        <w:r w:rsidR="00DA5B4B" w:rsidRPr="00DA5B4B">
          <w:rPr>
            <w:rFonts w:ascii="Calibri" w:hAnsi="Calibri" w:hint="eastAsia"/>
            <w:b/>
            <w:bCs/>
            <w:color w:val="0000FF"/>
            <w:u w:val="single"/>
            <w:rtl/>
          </w:rPr>
          <w:t>ט</w:t>
        </w:r>
        <w:r w:rsidR="00DA5B4B" w:rsidRPr="00DA5B4B">
          <w:rPr>
            <w:rFonts w:ascii="Calibri" w:hAnsi="Calibri"/>
            <w:b/>
            <w:bCs/>
            <w:color w:val="0000FF"/>
            <w:u w:val="single"/>
            <w:rtl/>
          </w:rPr>
          <w:t>'</w:t>
        </w:r>
      </w:hyperlink>
      <w:r w:rsidRPr="00FE1A51">
        <w:rPr>
          <w:rFonts w:ascii="Calibri" w:hAnsi="Calibri" w:hint="cs"/>
          <w:b/>
          <w:bCs/>
          <w:rtl/>
        </w:rPr>
        <w:t xml:space="preserve"> ל</w:t>
      </w:r>
      <w:hyperlink r:id="rId22" w:history="1">
        <w:r w:rsidR="00506DE1" w:rsidRPr="00506DE1">
          <w:rPr>
            <w:rFonts w:ascii="Calibri" w:hAnsi="Calibri" w:hint="eastAsia"/>
            <w:b/>
            <w:bCs/>
            <w:color w:val="0000FF"/>
            <w:u w:val="single"/>
            <w:rtl/>
          </w:rPr>
          <w:t>חוק</w:t>
        </w:r>
        <w:r w:rsidR="00506DE1" w:rsidRPr="00506DE1">
          <w:rPr>
            <w:rFonts w:ascii="Calibri" w:hAnsi="Calibri"/>
            <w:b/>
            <w:bCs/>
            <w:color w:val="0000FF"/>
            <w:u w:val="single"/>
            <w:rtl/>
          </w:rPr>
          <w:t xml:space="preserve"> </w:t>
        </w:r>
        <w:r w:rsidR="00506DE1" w:rsidRPr="00506DE1">
          <w:rPr>
            <w:rFonts w:ascii="Calibri" w:hAnsi="Calibri" w:hint="eastAsia"/>
            <w:b/>
            <w:bCs/>
            <w:color w:val="0000FF"/>
            <w:u w:val="single"/>
            <w:rtl/>
          </w:rPr>
          <w:t>העונשין</w:t>
        </w:r>
      </w:hyperlink>
      <w:r w:rsidRPr="00FE1A51">
        <w:rPr>
          <w:rFonts w:ascii="Calibri" w:hAnsi="Calibri" w:hint="cs"/>
          <w:b/>
          <w:bCs/>
          <w:rtl/>
        </w:rPr>
        <w:t xml:space="preserve">, התשל"ז-1977 </w:t>
      </w:r>
      <w:r w:rsidRPr="00FE1A51">
        <w:rPr>
          <w:rFonts w:ascii="Calibri" w:hAnsi="Calibri"/>
          <w:b/>
          <w:bCs/>
          <w:rtl/>
        </w:rPr>
        <w:t>–</w:t>
      </w:r>
      <w:r w:rsidRPr="00FE1A51">
        <w:rPr>
          <w:rFonts w:ascii="Calibri" w:hAnsi="Calibri" w:hint="cs"/>
          <w:b/>
          <w:bCs/>
          <w:rtl/>
        </w:rPr>
        <w:t xml:space="preserve"> </w:t>
      </w:r>
      <w:r w:rsidRPr="00FE1A51">
        <w:rPr>
          <w:rFonts w:ascii="Calibri" w:hAnsi="Calibri" w:hint="cs"/>
          <w:rtl/>
        </w:rPr>
        <w:t>בין הנסיבות הקשורות בביצוע העבירה יש לשקול את אלה, לעניין קביעת המתחם: בדרך כלל מדובר בכמויות קטנות יחסית של סם מסוג חשיש או קנביס; הנאשם הכיר את קוני הסם על רקע חברתי ומכיוון שכך אין להפריז בשאלת הנזק שעלול היה להיגרם, בין היתר בשל טיבו של הסם; אין ספק שהנאשם יכול היה להימנע מן המעשים לו סבר כך.</w:t>
      </w:r>
    </w:p>
    <w:p w14:paraId="71D97271" w14:textId="77777777" w:rsidR="00FE1A51" w:rsidRPr="00FE1A51" w:rsidRDefault="00FE1A51" w:rsidP="00FE1A51">
      <w:pPr>
        <w:spacing w:after="160" w:line="360" w:lineRule="auto"/>
        <w:jc w:val="both"/>
        <w:rPr>
          <w:rFonts w:ascii="Calibri" w:hAnsi="Calibri"/>
          <w:b/>
          <w:bCs/>
          <w:u w:val="single"/>
          <w:rtl/>
        </w:rPr>
      </w:pPr>
    </w:p>
    <w:p w14:paraId="3E085415" w14:textId="77777777" w:rsidR="00FE1A51" w:rsidRPr="00FE1A51" w:rsidRDefault="00FE1A51" w:rsidP="00FE1A51">
      <w:pPr>
        <w:spacing w:after="160" w:line="360" w:lineRule="auto"/>
        <w:jc w:val="both"/>
        <w:rPr>
          <w:rFonts w:ascii="Calibri" w:hAnsi="Calibri"/>
          <w:u w:val="single"/>
          <w:rtl/>
        </w:rPr>
      </w:pPr>
      <w:r w:rsidRPr="00FE1A51">
        <w:rPr>
          <w:rFonts w:ascii="Calibri" w:hAnsi="Calibri" w:hint="cs"/>
          <w:b/>
          <w:bCs/>
          <w:rtl/>
        </w:rPr>
        <w:t xml:space="preserve">מדיניות הענישה הנוהגת – </w:t>
      </w:r>
      <w:r w:rsidRPr="00FE1A51">
        <w:rPr>
          <w:rFonts w:ascii="Calibri" w:hAnsi="Calibri" w:hint="cs"/>
          <w:rtl/>
        </w:rPr>
        <w:t>ב</w:t>
      </w:r>
      <w:hyperlink r:id="rId23" w:history="1">
        <w:r w:rsidR="00506DE1" w:rsidRPr="00506DE1">
          <w:rPr>
            <w:rFonts w:ascii="Calibri" w:hAnsi="Calibri" w:hint="eastAsia"/>
            <w:color w:val="0000FF"/>
            <w:u w:val="single"/>
            <w:rtl/>
          </w:rPr>
          <w:t>עפ</w:t>
        </w:r>
        <w:r w:rsidR="00506DE1" w:rsidRPr="00506DE1">
          <w:rPr>
            <w:rFonts w:ascii="Calibri" w:hAnsi="Calibri"/>
            <w:color w:val="0000FF"/>
            <w:u w:val="single"/>
            <w:rtl/>
          </w:rPr>
          <w:t>"</w:t>
        </w:r>
        <w:r w:rsidR="00506DE1" w:rsidRPr="00506DE1">
          <w:rPr>
            <w:rFonts w:ascii="Calibri" w:hAnsi="Calibri" w:hint="eastAsia"/>
            <w:color w:val="0000FF"/>
            <w:u w:val="single"/>
            <w:rtl/>
          </w:rPr>
          <w:t>ג</w:t>
        </w:r>
        <w:r w:rsidR="00506DE1" w:rsidRPr="00506DE1">
          <w:rPr>
            <w:rFonts w:ascii="Calibri" w:hAnsi="Calibri"/>
            <w:color w:val="0000FF"/>
            <w:u w:val="single"/>
            <w:rtl/>
          </w:rPr>
          <w:t xml:space="preserve"> 65233-03-17</w:t>
        </w:r>
      </w:hyperlink>
      <w:r w:rsidRPr="00FE1A51">
        <w:rPr>
          <w:rFonts w:ascii="Calibri" w:hAnsi="Calibri" w:hint="cs"/>
          <w:rtl/>
        </w:rPr>
        <w:t xml:space="preserve"> (מחוזי י-ם) </w:t>
      </w:r>
      <w:r w:rsidRPr="00FE1A51">
        <w:rPr>
          <w:rFonts w:ascii="Calibri" w:hAnsi="Calibri" w:hint="cs"/>
          <w:b/>
          <w:bCs/>
          <w:rtl/>
        </w:rPr>
        <w:t>רוזנברג</w:t>
      </w:r>
      <w:r w:rsidRPr="00FE1A51">
        <w:rPr>
          <w:rFonts w:ascii="Calibri" w:hAnsi="Calibri" w:hint="cs"/>
          <w:rtl/>
        </w:rPr>
        <w:t xml:space="preserve"> נ' </w:t>
      </w:r>
      <w:r w:rsidRPr="00FE1A51">
        <w:rPr>
          <w:rFonts w:ascii="Calibri" w:hAnsi="Calibri" w:hint="cs"/>
          <w:b/>
          <w:bCs/>
          <w:rtl/>
        </w:rPr>
        <w:t>מ"י</w:t>
      </w:r>
      <w:r w:rsidRPr="00FE1A51">
        <w:rPr>
          <w:rFonts w:ascii="Calibri" w:hAnsi="Calibri" w:hint="cs"/>
          <w:rtl/>
        </w:rPr>
        <w:t xml:space="preserve"> (מיום 26.6.2017) נקבע מתחם ענישה שבין מס' חודשי מאסר עד 10 חודשי מאסר לנאשם שסחר בשתי פלטות חשיש, כאשר היתה לו היכרות חברית עם הסוכן לו מכר.</w:t>
      </w:r>
      <w:r w:rsidRPr="00FE1A51">
        <w:rPr>
          <w:rFonts w:ascii="Calibri" w:hAnsi="Calibri"/>
          <w:rtl/>
        </w:rPr>
        <w:t xml:space="preserve"> </w:t>
      </w:r>
      <w:r w:rsidRPr="00FE1A51">
        <w:rPr>
          <w:rFonts w:ascii="Calibri" w:hAnsi="Calibri" w:hint="cs"/>
          <w:rtl/>
        </w:rPr>
        <w:t>במקרה זה הסתפק בית המשפט ב-49 ימי מעצר בהם שהה העורר, וכן התחשב לקולא בתקופה ממושכת בה שהה אותו עורר בפיקוח אלקטרוני. בעניינו מדובר בכמויות פחותות בהרבה, וכך גם ביחס לתמורה. יצוין כי מדובר בתיק במסגרת אותה "פרשיה" הרלבנטית גם בעניינו של נאשם זה, שכן מדובר באותו סוכן. עיינתי בפסיקה שהגיש ב"כ המאשימה. מתחמי הענישה אכן כוללים לרוב רכיב של מאסר מתחילתם, ואולם רמת הענישה משתנה בהתאם לנסיבותיו של כל מקרה ומקרה, ולא ראיתי הליכי שיקום מרשימים באותם פסקי דין אליהם היפנה התובע. מאידך, הסניגור היפנה לפסקי דין שהסתיימו בהסדרים מוסכמים לנוכח הליכי שיקום.</w:t>
      </w:r>
    </w:p>
    <w:p w14:paraId="608E8D5B" w14:textId="77777777" w:rsidR="00FE1A51" w:rsidRPr="00FE1A51" w:rsidRDefault="00FE1A51" w:rsidP="00FE1A51">
      <w:pPr>
        <w:spacing w:after="160" w:line="360" w:lineRule="auto"/>
        <w:jc w:val="both"/>
        <w:rPr>
          <w:rFonts w:ascii="Calibri" w:hAnsi="Calibri"/>
          <w:b/>
          <w:bCs/>
          <w:rtl/>
        </w:rPr>
      </w:pPr>
    </w:p>
    <w:p w14:paraId="57D1D332" w14:textId="77777777" w:rsidR="00FE1A51" w:rsidRPr="00FE1A51" w:rsidRDefault="00FE1A51" w:rsidP="00FE1A51">
      <w:pPr>
        <w:spacing w:after="160" w:line="360" w:lineRule="auto"/>
        <w:jc w:val="both"/>
        <w:rPr>
          <w:rFonts w:ascii="Calibri" w:hAnsi="Calibri"/>
          <w:rtl/>
        </w:rPr>
      </w:pPr>
      <w:r w:rsidRPr="00FE1A51">
        <w:rPr>
          <w:rFonts w:ascii="Calibri" w:hAnsi="Calibri" w:hint="cs"/>
          <w:b/>
          <w:bCs/>
          <w:rtl/>
        </w:rPr>
        <w:t xml:space="preserve">האם אירוע אחד או מספר אירועים? </w:t>
      </w:r>
      <w:r w:rsidRPr="00FE1A51">
        <w:rPr>
          <w:rFonts w:ascii="Calibri" w:hAnsi="Calibri"/>
          <w:rtl/>
        </w:rPr>
        <w:t>–</w:t>
      </w:r>
      <w:r w:rsidRPr="00FE1A51">
        <w:rPr>
          <w:rFonts w:ascii="Calibri" w:hAnsi="Calibri" w:hint="cs"/>
          <w:rtl/>
        </w:rPr>
        <w:t xml:space="preserve"> אני סבור כי יש להתייחס למכלול האישומים בכתב האישום כאל "אירוע אחד" וזאת ע"פ המבחנים שנקבעו ב-</w:t>
      </w:r>
      <w:hyperlink r:id="rId24" w:history="1">
        <w:r w:rsidR="00506DE1" w:rsidRPr="00506DE1">
          <w:rPr>
            <w:rFonts w:ascii="Calibri" w:hAnsi="Calibri" w:hint="eastAsia"/>
            <w:color w:val="0000FF"/>
            <w:u w:val="single"/>
            <w:rtl/>
          </w:rPr>
          <w:t>ע</w:t>
        </w:r>
        <w:r w:rsidR="00506DE1" w:rsidRPr="00506DE1">
          <w:rPr>
            <w:rFonts w:ascii="Calibri" w:hAnsi="Calibri"/>
            <w:color w:val="0000FF"/>
            <w:u w:val="single"/>
            <w:rtl/>
          </w:rPr>
          <w:t>"</w:t>
        </w:r>
        <w:r w:rsidR="00506DE1" w:rsidRPr="00506DE1">
          <w:rPr>
            <w:rFonts w:ascii="Calibri" w:hAnsi="Calibri" w:hint="eastAsia"/>
            <w:color w:val="0000FF"/>
            <w:u w:val="single"/>
            <w:rtl/>
          </w:rPr>
          <w:t>פ</w:t>
        </w:r>
        <w:r w:rsidR="00506DE1" w:rsidRPr="00506DE1">
          <w:rPr>
            <w:rFonts w:ascii="Calibri" w:hAnsi="Calibri"/>
            <w:color w:val="0000FF"/>
            <w:u w:val="single"/>
            <w:rtl/>
          </w:rPr>
          <w:t xml:space="preserve"> 4910/13</w:t>
        </w:r>
      </w:hyperlink>
      <w:r w:rsidRPr="00FE1A51">
        <w:rPr>
          <w:rFonts w:ascii="Calibri" w:hAnsi="Calibri" w:hint="cs"/>
          <w:rtl/>
        </w:rPr>
        <w:t xml:space="preserve"> </w:t>
      </w:r>
      <w:r w:rsidRPr="00FE1A51">
        <w:rPr>
          <w:rFonts w:ascii="Calibri" w:hAnsi="Calibri" w:hint="cs"/>
          <w:b/>
          <w:bCs/>
          <w:rtl/>
        </w:rPr>
        <w:t>בני ג'אבר</w:t>
      </w:r>
      <w:r w:rsidRPr="00FE1A51">
        <w:rPr>
          <w:rFonts w:ascii="Calibri" w:hAnsi="Calibri" w:hint="cs"/>
          <w:rtl/>
        </w:rPr>
        <w:t xml:space="preserve"> נ' </w:t>
      </w:r>
      <w:r w:rsidRPr="00FE1A51">
        <w:rPr>
          <w:rFonts w:ascii="Calibri" w:hAnsi="Calibri" w:hint="cs"/>
          <w:b/>
          <w:bCs/>
          <w:rtl/>
        </w:rPr>
        <w:t>מ"י</w:t>
      </w:r>
      <w:r w:rsidRPr="00FE1A51">
        <w:rPr>
          <w:rFonts w:ascii="Calibri" w:hAnsi="Calibri" w:hint="cs"/>
          <w:rtl/>
        </w:rPr>
        <w:t xml:space="preserve"> (מיום 29.10.2014) שכן מדובר בתקופה קצרה יחסית בין יולי לאוקטובר 2016, הסחר בוצע באותו סוג סם ועם מכרים מאותו חוג חברתי, לרבות הסוכן המשטרתי.</w:t>
      </w:r>
    </w:p>
    <w:p w14:paraId="279FF7A9" w14:textId="77777777" w:rsidR="00FE1A51" w:rsidRPr="00FE1A51" w:rsidRDefault="00FE1A51" w:rsidP="00FE1A51">
      <w:pPr>
        <w:spacing w:after="160" w:line="360" w:lineRule="auto"/>
        <w:jc w:val="both"/>
        <w:rPr>
          <w:rFonts w:ascii="Calibri" w:hAnsi="Calibri"/>
          <w:b/>
          <w:bCs/>
          <w:rtl/>
        </w:rPr>
      </w:pPr>
    </w:p>
    <w:p w14:paraId="3EECE7B6" w14:textId="77777777" w:rsidR="00FE1A51" w:rsidRPr="00FE1A51" w:rsidRDefault="00FE1A51" w:rsidP="00FE1A51">
      <w:pPr>
        <w:spacing w:after="160" w:line="360" w:lineRule="auto"/>
        <w:jc w:val="both"/>
        <w:rPr>
          <w:rFonts w:ascii="Calibri" w:hAnsi="Calibri"/>
          <w:rtl/>
        </w:rPr>
      </w:pPr>
      <w:r w:rsidRPr="00FE1A51">
        <w:rPr>
          <w:rFonts w:ascii="Calibri" w:hAnsi="Calibri" w:hint="cs"/>
          <w:b/>
          <w:bCs/>
          <w:rtl/>
        </w:rPr>
        <w:t>מתחם הענישה</w:t>
      </w:r>
      <w:r w:rsidRPr="00FE1A51">
        <w:rPr>
          <w:rFonts w:ascii="Calibri" w:hAnsi="Calibri" w:hint="cs"/>
          <w:rtl/>
        </w:rPr>
        <w:t xml:space="preserve"> – לפיכך, מתחם הענישה צריך לעמוד על חודשיים מאסר לרבות לריצוי בעבודות שירות עד 8 חודשי מאסר וענישה נלווית.</w:t>
      </w:r>
    </w:p>
    <w:p w14:paraId="2181F860" w14:textId="77777777" w:rsidR="00FE1A51" w:rsidRPr="00FE1A51" w:rsidRDefault="00FE1A51" w:rsidP="00FE1A51">
      <w:pPr>
        <w:spacing w:after="160" w:line="360" w:lineRule="auto"/>
        <w:jc w:val="both"/>
        <w:rPr>
          <w:rFonts w:ascii="Calibri" w:hAnsi="Calibri"/>
          <w:b/>
          <w:bCs/>
          <w:rtl/>
        </w:rPr>
      </w:pPr>
    </w:p>
    <w:p w14:paraId="12224AC0" w14:textId="77777777" w:rsidR="00FE1A51" w:rsidRPr="00FE1A51" w:rsidRDefault="00FE1A51" w:rsidP="00FE1A51">
      <w:pPr>
        <w:spacing w:after="160" w:line="360" w:lineRule="auto"/>
        <w:jc w:val="both"/>
        <w:rPr>
          <w:rFonts w:ascii="Calibri" w:hAnsi="Calibri"/>
          <w:rtl/>
        </w:rPr>
      </w:pPr>
      <w:r w:rsidRPr="00FE1A51">
        <w:rPr>
          <w:rFonts w:ascii="Calibri" w:hAnsi="Calibri" w:hint="cs"/>
          <w:b/>
          <w:bCs/>
          <w:rtl/>
        </w:rPr>
        <w:t xml:space="preserve">נסיבות שאינן קשורות בביצוע העבירה לפי </w:t>
      </w:r>
      <w:hyperlink r:id="rId25" w:history="1">
        <w:r w:rsidR="00DA5B4B" w:rsidRPr="00DA5B4B">
          <w:rPr>
            <w:rFonts w:ascii="Calibri" w:hAnsi="Calibri" w:hint="eastAsia"/>
            <w:b/>
            <w:bCs/>
            <w:color w:val="0000FF"/>
            <w:u w:val="single"/>
            <w:rtl/>
          </w:rPr>
          <w:t>סעיף</w:t>
        </w:r>
        <w:r w:rsidR="00DA5B4B" w:rsidRPr="00DA5B4B">
          <w:rPr>
            <w:rFonts w:ascii="Calibri" w:hAnsi="Calibri"/>
            <w:b/>
            <w:bCs/>
            <w:color w:val="0000FF"/>
            <w:u w:val="single"/>
            <w:rtl/>
          </w:rPr>
          <w:t xml:space="preserve"> 40</w:t>
        </w:r>
        <w:r w:rsidR="00DA5B4B" w:rsidRPr="00DA5B4B">
          <w:rPr>
            <w:rFonts w:ascii="Calibri" w:hAnsi="Calibri" w:hint="eastAsia"/>
            <w:b/>
            <w:bCs/>
            <w:color w:val="0000FF"/>
            <w:u w:val="single"/>
            <w:rtl/>
          </w:rPr>
          <w:t>י</w:t>
        </w:r>
        <w:r w:rsidR="00DA5B4B" w:rsidRPr="00DA5B4B">
          <w:rPr>
            <w:rFonts w:ascii="Calibri" w:hAnsi="Calibri"/>
            <w:b/>
            <w:bCs/>
            <w:color w:val="0000FF"/>
            <w:u w:val="single"/>
            <w:rtl/>
          </w:rPr>
          <w:t>"</w:t>
        </w:r>
        <w:r w:rsidR="00DA5B4B" w:rsidRPr="00DA5B4B">
          <w:rPr>
            <w:rFonts w:ascii="Calibri" w:hAnsi="Calibri" w:hint="eastAsia"/>
            <w:b/>
            <w:bCs/>
            <w:color w:val="0000FF"/>
            <w:u w:val="single"/>
            <w:rtl/>
          </w:rPr>
          <w:t>א</w:t>
        </w:r>
      </w:hyperlink>
      <w:r w:rsidRPr="00FE1A51">
        <w:rPr>
          <w:rFonts w:ascii="Calibri" w:hAnsi="Calibri" w:hint="cs"/>
          <w:b/>
          <w:bCs/>
          <w:rtl/>
        </w:rPr>
        <w:t xml:space="preserve"> ל</w:t>
      </w:r>
      <w:hyperlink r:id="rId26" w:history="1">
        <w:r w:rsidR="00506DE1" w:rsidRPr="00506DE1">
          <w:rPr>
            <w:rFonts w:ascii="Calibri" w:hAnsi="Calibri" w:hint="eastAsia"/>
            <w:b/>
            <w:bCs/>
            <w:color w:val="0000FF"/>
            <w:u w:val="single"/>
            <w:rtl/>
          </w:rPr>
          <w:t>חוק</w:t>
        </w:r>
        <w:r w:rsidR="00506DE1" w:rsidRPr="00506DE1">
          <w:rPr>
            <w:rFonts w:ascii="Calibri" w:hAnsi="Calibri"/>
            <w:b/>
            <w:bCs/>
            <w:color w:val="0000FF"/>
            <w:u w:val="single"/>
            <w:rtl/>
          </w:rPr>
          <w:t xml:space="preserve"> </w:t>
        </w:r>
        <w:r w:rsidR="00506DE1" w:rsidRPr="00506DE1">
          <w:rPr>
            <w:rFonts w:ascii="Calibri" w:hAnsi="Calibri" w:hint="eastAsia"/>
            <w:b/>
            <w:bCs/>
            <w:color w:val="0000FF"/>
            <w:u w:val="single"/>
            <w:rtl/>
          </w:rPr>
          <w:t>העונשין</w:t>
        </w:r>
      </w:hyperlink>
      <w:r w:rsidRPr="00FE1A51">
        <w:rPr>
          <w:rFonts w:ascii="Calibri" w:hAnsi="Calibri" w:hint="cs"/>
          <w:b/>
          <w:bCs/>
          <w:rtl/>
        </w:rPr>
        <w:t xml:space="preserve"> </w:t>
      </w:r>
      <w:r w:rsidRPr="00FE1A51">
        <w:rPr>
          <w:rFonts w:ascii="Calibri" w:hAnsi="Calibri"/>
          <w:b/>
          <w:bCs/>
          <w:rtl/>
        </w:rPr>
        <w:t>–</w:t>
      </w:r>
      <w:r w:rsidRPr="00FE1A51">
        <w:rPr>
          <w:rFonts w:ascii="Calibri" w:hAnsi="Calibri" w:hint="cs"/>
          <w:b/>
          <w:bCs/>
          <w:rtl/>
        </w:rPr>
        <w:t xml:space="preserve"> </w:t>
      </w:r>
      <w:r w:rsidRPr="00FE1A51">
        <w:rPr>
          <w:rFonts w:ascii="Calibri" w:hAnsi="Calibri" w:hint="cs"/>
          <w:rtl/>
        </w:rPr>
        <w:t>ניתן לתת משקל לנסיבות הבאות שאינן קשורות בביצוע העבירה, במסגרת גזירת העונש בתוך המתחם: הנאשם שהה במעצר ממש תקופה של כחודש וחצי; הוא הודה במיוחס לו ועבר תהליך טיפולי ממושך ומרשים לאורך תקופה של כשנה; נסיבות חייו והמשברים שחווה לאורך השנים הם שהיו ממחוללי התנהלותו הפלילית; לנאשם אין עבר פלילי.</w:t>
      </w:r>
    </w:p>
    <w:p w14:paraId="489A735A" w14:textId="77777777" w:rsidR="00FE1A51" w:rsidRPr="00FE1A51" w:rsidRDefault="00FE1A51" w:rsidP="00FE1A51">
      <w:pPr>
        <w:spacing w:after="160" w:line="360" w:lineRule="auto"/>
        <w:jc w:val="both"/>
        <w:rPr>
          <w:rFonts w:ascii="Calibri" w:hAnsi="Calibri"/>
          <w:rtl/>
        </w:rPr>
      </w:pPr>
    </w:p>
    <w:p w14:paraId="68482819" w14:textId="77777777" w:rsidR="00FE1A51" w:rsidRPr="00FE1A51" w:rsidRDefault="00FE1A51" w:rsidP="00FE1A51">
      <w:pPr>
        <w:spacing w:after="160" w:line="360" w:lineRule="auto"/>
        <w:jc w:val="both"/>
        <w:rPr>
          <w:rFonts w:ascii="Calibri" w:hAnsi="Calibri"/>
          <w:rtl/>
        </w:rPr>
      </w:pPr>
      <w:r w:rsidRPr="00FE1A51">
        <w:rPr>
          <w:rFonts w:ascii="Calibri" w:hAnsi="Calibri" w:hint="cs"/>
          <w:b/>
          <w:bCs/>
          <w:rtl/>
        </w:rPr>
        <w:t>המיקום במתחם</w:t>
      </w:r>
      <w:r w:rsidRPr="00FE1A51">
        <w:rPr>
          <w:rFonts w:ascii="Calibri" w:hAnsi="Calibri" w:hint="cs"/>
          <w:rtl/>
        </w:rPr>
        <w:t xml:space="preserve"> </w:t>
      </w:r>
      <w:r w:rsidRPr="00FE1A51">
        <w:rPr>
          <w:rFonts w:ascii="Calibri" w:hAnsi="Calibri"/>
          <w:rtl/>
        </w:rPr>
        <w:t>–</w:t>
      </w:r>
      <w:r w:rsidRPr="00FE1A51">
        <w:rPr>
          <w:rFonts w:ascii="Calibri" w:hAnsi="Calibri" w:hint="cs"/>
          <w:rtl/>
        </w:rPr>
        <w:t xml:space="preserve"> פועל יוצא מכל האמור הוא, שאני סבור כי יש למקם את המשיב בחלק התחתון של המתחם. </w:t>
      </w:r>
    </w:p>
    <w:p w14:paraId="33373035" w14:textId="77777777" w:rsidR="00FE1A51" w:rsidRPr="00FE1A51" w:rsidRDefault="00FE1A51" w:rsidP="00FE1A51">
      <w:pPr>
        <w:spacing w:after="160" w:line="360" w:lineRule="auto"/>
        <w:jc w:val="both"/>
        <w:rPr>
          <w:rFonts w:ascii="Calibri" w:hAnsi="Calibri"/>
          <w:rtl/>
        </w:rPr>
      </w:pPr>
    </w:p>
    <w:p w14:paraId="67413506" w14:textId="77777777" w:rsidR="00FE1A51" w:rsidRPr="00FE1A51" w:rsidRDefault="00FE1A51" w:rsidP="00FE1A51">
      <w:pPr>
        <w:spacing w:after="160" w:line="360" w:lineRule="auto"/>
        <w:jc w:val="both"/>
        <w:rPr>
          <w:rFonts w:ascii="Calibri" w:hAnsi="Calibri"/>
          <w:rtl/>
        </w:rPr>
      </w:pPr>
      <w:r w:rsidRPr="00FE1A51">
        <w:rPr>
          <w:rFonts w:ascii="Calibri" w:hAnsi="Calibri" w:hint="cs"/>
          <w:b/>
          <w:bCs/>
          <w:rtl/>
        </w:rPr>
        <w:t xml:space="preserve">חריגה מן המתחם בשל שיקולי שיקום </w:t>
      </w:r>
      <w:r w:rsidRPr="00FE1A51">
        <w:rPr>
          <w:rFonts w:ascii="Calibri" w:hAnsi="Calibri"/>
          <w:b/>
          <w:bCs/>
          <w:rtl/>
        </w:rPr>
        <w:t>–</w:t>
      </w:r>
      <w:r w:rsidRPr="00FE1A51">
        <w:rPr>
          <w:rFonts w:ascii="Calibri" w:hAnsi="Calibri" w:hint="cs"/>
          <w:b/>
          <w:bCs/>
          <w:rtl/>
        </w:rPr>
        <w:t xml:space="preserve"> </w:t>
      </w:r>
      <w:r w:rsidRPr="00FE1A51">
        <w:rPr>
          <w:rFonts w:ascii="Calibri" w:hAnsi="Calibri" w:hint="cs"/>
          <w:rtl/>
        </w:rPr>
        <w:t xml:space="preserve">בהתאם </w:t>
      </w:r>
      <w:hyperlink r:id="rId27" w:history="1">
        <w:r w:rsidR="00DA5B4B" w:rsidRPr="00DA5B4B">
          <w:rPr>
            <w:rFonts w:ascii="Calibri" w:hAnsi="Calibri" w:hint="eastAsia"/>
            <w:color w:val="0000FF"/>
            <w:u w:val="single"/>
            <w:rtl/>
          </w:rPr>
          <w:t>לסעיף</w:t>
        </w:r>
        <w:r w:rsidR="00DA5B4B" w:rsidRPr="00DA5B4B">
          <w:rPr>
            <w:rFonts w:ascii="Calibri" w:hAnsi="Calibri"/>
            <w:color w:val="0000FF"/>
            <w:u w:val="single"/>
            <w:rtl/>
          </w:rPr>
          <w:t xml:space="preserve"> 40</w:t>
        </w:r>
        <w:r w:rsidR="00DA5B4B" w:rsidRPr="00DA5B4B">
          <w:rPr>
            <w:rFonts w:ascii="Calibri" w:hAnsi="Calibri" w:hint="eastAsia"/>
            <w:color w:val="0000FF"/>
            <w:u w:val="single"/>
            <w:rtl/>
          </w:rPr>
          <w:t>ד</w:t>
        </w:r>
        <w:r w:rsidR="00DA5B4B" w:rsidRPr="00DA5B4B">
          <w:rPr>
            <w:rFonts w:ascii="Calibri" w:hAnsi="Calibri"/>
            <w:color w:val="0000FF"/>
            <w:u w:val="single"/>
            <w:rtl/>
          </w:rPr>
          <w:t>'</w:t>
        </w:r>
      </w:hyperlink>
      <w:r w:rsidRPr="00FE1A51">
        <w:rPr>
          <w:rFonts w:ascii="Calibri" w:hAnsi="Calibri" w:hint="cs"/>
          <w:rtl/>
        </w:rPr>
        <w:t xml:space="preserve"> ל</w:t>
      </w:r>
      <w:hyperlink r:id="rId28" w:history="1">
        <w:r w:rsidR="00506DE1" w:rsidRPr="00506DE1">
          <w:rPr>
            <w:rFonts w:ascii="Calibri" w:hAnsi="Calibri" w:hint="eastAsia"/>
            <w:color w:val="0000FF"/>
            <w:u w:val="single"/>
            <w:rtl/>
          </w:rPr>
          <w:t>חוק</w:t>
        </w:r>
        <w:r w:rsidR="00506DE1" w:rsidRPr="00506DE1">
          <w:rPr>
            <w:rFonts w:ascii="Calibri" w:hAnsi="Calibri"/>
            <w:color w:val="0000FF"/>
            <w:u w:val="single"/>
            <w:rtl/>
          </w:rPr>
          <w:t xml:space="preserve"> </w:t>
        </w:r>
        <w:r w:rsidR="00506DE1" w:rsidRPr="00506DE1">
          <w:rPr>
            <w:rFonts w:ascii="Calibri" w:hAnsi="Calibri" w:hint="eastAsia"/>
            <w:color w:val="0000FF"/>
            <w:u w:val="single"/>
            <w:rtl/>
          </w:rPr>
          <w:t>העונשין</w:t>
        </w:r>
      </w:hyperlink>
      <w:r w:rsidRPr="00FE1A51">
        <w:rPr>
          <w:rFonts w:ascii="Calibri" w:hAnsi="Calibri" w:hint="cs"/>
          <w:rtl/>
        </w:rPr>
        <w:t>, אני סבור כי מתקיימות בעניינו של הנאשם נסיבות המאפשרות חריגה מן המתחם לנוכח שיקולי שיקום. כפי שעולה מן התסקיר, הנאשם עשה כברת דרך ארוכה מאוד ב"רטורנו" ועבר את השלבים השונים של הטיפול בקהילה במסגרותיה השונות בצורה מוצלחת, תוך ששירות המבחן ממליץ על השמת הנאשם בפיקוחו לתקופה נוספת של שנה לצורך ביסוס אותם דפוסים חדשים וטובים בקרבו. אני סבור כי תקופת שיקום של שנה, במהלכה לא נכשל הנאשם בסמים, מלמדת על כוחותיו ויכולותיו, ולכן אני סבור כי יש למצות את ההליך השיקומי גם בעת מתן גזר הדין, ולאפשר זאת באמצעות ענישה הולמת.</w:t>
      </w:r>
    </w:p>
    <w:p w14:paraId="4B9C03DE" w14:textId="77777777" w:rsidR="00FE1A51" w:rsidRPr="00FE1A51" w:rsidRDefault="00FE1A51" w:rsidP="00FE1A51">
      <w:pPr>
        <w:spacing w:after="160" w:line="360" w:lineRule="auto"/>
        <w:jc w:val="both"/>
        <w:rPr>
          <w:rFonts w:ascii="Calibri" w:hAnsi="Calibri"/>
          <w:rtl/>
        </w:rPr>
      </w:pPr>
    </w:p>
    <w:p w14:paraId="3B4D2993" w14:textId="77777777" w:rsidR="00FE1A51" w:rsidRPr="00FE1A51" w:rsidRDefault="00FE1A51" w:rsidP="00FE1A51">
      <w:pPr>
        <w:spacing w:after="160" w:line="360" w:lineRule="auto"/>
        <w:jc w:val="both"/>
        <w:rPr>
          <w:rFonts w:ascii="Calibri" w:hAnsi="Calibri"/>
          <w:b/>
          <w:bCs/>
          <w:u w:val="single"/>
          <w:rtl/>
        </w:rPr>
      </w:pPr>
      <w:r w:rsidRPr="00FE1A51">
        <w:rPr>
          <w:rFonts w:ascii="Calibri" w:hAnsi="Calibri" w:hint="cs"/>
          <w:b/>
          <w:bCs/>
          <w:u w:val="single"/>
          <w:rtl/>
        </w:rPr>
        <w:t>גזירת הדין</w:t>
      </w:r>
    </w:p>
    <w:p w14:paraId="1A40C2A6" w14:textId="77777777" w:rsidR="00FE1A51" w:rsidRPr="00FE1A51" w:rsidRDefault="00FE1A51" w:rsidP="00FE1A51">
      <w:pPr>
        <w:spacing w:after="160" w:line="360" w:lineRule="auto"/>
        <w:jc w:val="both"/>
        <w:rPr>
          <w:rFonts w:ascii="Calibri" w:hAnsi="Calibri"/>
          <w:rtl/>
        </w:rPr>
      </w:pPr>
      <w:r w:rsidRPr="00FE1A51">
        <w:rPr>
          <w:rFonts w:ascii="Calibri" w:hAnsi="Calibri" w:hint="cs"/>
          <w:rtl/>
        </w:rPr>
        <w:t>לפיכך, אני מחליט לגזור על הנאשם את העונשים הבאים:</w:t>
      </w:r>
    </w:p>
    <w:p w14:paraId="41781067" w14:textId="77777777" w:rsidR="00FE1A51" w:rsidRPr="00FE1A51" w:rsidRDefault="00FE1A51" w:rsidP="00FE1A51">
      <w:pPr>
        <w:numPr>
          <w:ilvl w:val="0"/>
          <w:numId w:val="1"/>
        </w:numPr>
        <w:spacing w:after="160" w:line="360" w:lineRule="auto"/>
        <w:contextualSpacing/>
        <w:jc w:val="both"/>
        <w:rPr>
          <w:rFonts w:ascii="Calibri" w:hAnsi="Calibri"/>
        </w:rPr>
      </w:pPr>
      <w:r w:rsidRPr="00FE1A51">
        <w:rPr>
          <w:rFonts w:ascii="Calibri" w:hAnsi="Calibri" w:hint="cs"/>
          <w:rtl/>
        </w:rPr>
        <w:t>5 חודשי מאסר, שלא ירוצו אלא אם יעבור הנאשם כל עבירה לפי פקודת הסמים וזאת בתוך שנתיים מהיום;</w:t>
      </w:r>
    </w:p>
    <w:p w14:paraId="361A1ECD" w14:textId="77777777" w:rsidR="00FE1A51" w:rsidRPr="00FE1A51" w:rsidRDefault="00FE1A51" w:rsidP="00FE1A51">
      <w:pPr>
        <w:numPr>
          <w:ilvl w:val="0"/>
          <w:numId w:val="1"/>
        </w:numPr>
        <w:spacing w:after="160" w:line="360" w:lineRule="auto"/>
        <w:contextualSpacing/>
        <w:jc w:val="both"/>
        <w:rPr>
          <w:rFonts w:ascii="Calibri" w:hAnsi="Calibri"/>
          <w:rtl/>
        </w:rPr>
      </w:pPr>
      <w:r w:rsidRPr="00FE1A51">
        <w:rPr>
          <w:rFonts w:ascii="Calibri" w:hAnsi="Calibri" w:hint="cs"/>
          <w:rtl/>
        </w:rPr>
        <w:t>6 חודשי פסילה מלהחזיק ברישיון נהיגה שלא ייכנסו לתוקף אלא אם יעבור הנאשם במהלך שנתיים מהיום כל עבירה בה הורשע לפניי;</w:t>
      </w:r>
    </w:p>
    <w:p w14:paraId="231C8115" w14:textId="77777777" w:rsidR="00FE1A51" w:rsidRPr="00FE1A51" w:rsidRDefault="00FE1A51" w:rsidP="00FE1A51">
      <w:pPr>
        <w:numPr>
          <w:ilvl w:val="0"/>
          <w:numId w:val="1"/>
        </w:numPr>
        <w:spacing w:after="160" w:line="360" w:lineRule="auto"/>
        <w:contextualSpacing/>
        <w:jc w:val="both"/>
        <w:rPr>
          <w:rFonts w:ascii="Calibri" w:hAnsi="Calibri"/>
        </w:rPr>
      </w:pPr>
      <w:r w:rsidRPr="00FE1A51">
        <w:rPr>
          <w:rFonts w:ascii="Calibri" w:hAnsi="Calibri" w:hint="cs"/>
          <w:rtl/>
        </w:rPr>
        <w:t>קנס בסך 5,000  ₪, אשר ישולם החל מיום 1.2.2018, או  5 ימי מאסר תמורתו. הקנס ישולם ב-10 תשלומים שווים ורצופים בכל ראשון בחודש. לא ישולם תשלום במועד או לא ישולם כלל, יעמוד הקנס לפירעון מיידי.</w:t>
      </w:r>
    </w:p>
    <w:p w14:paraId="1790B79B" w14:textId="77777777" w:rsidR="00FE1A51" w:rsidRPr="00FE1A51" w:rsidRDefault="00FE1A51" w:rsidP="00FE1A51">
      <w:pPr>
        <w:numPr>
          <w:ilvl w:val="0"/>
          <w:numId w:val="1"/>
        </w:numPr>
        <w:spacing w:after="160" w:line="360" w:lineRule="auto"/>
        <w:contextualSpacing/>
        <w:jc w:val="both"/>
        <w:rPr>
          <w:rFonts w:ascii="Calibri" w:hAnsi="Calibri"/>
        </w:rPr>
      </w:pPr>
      <w:r w:rsidRPr="00FE1A51">
        <w:rPr>
          <w:rFonts w:ascii="Calibri" w:hAnsi="Calibri" w:hint="cs"/>
          <w:rtl/>
        </w:rPr>
        <w:t>300 שעות שירות לתועלת הציבור (של"ץ), אשר ירוצו בהתאם לתוכנית שיכין שירות המבחן ובפיקוחו. התוכנית תוגש לבית המשפט עד ליום 1.2.2018.</w:t>
      </w:r>
    </w:p>
    <w:p w14:paraId="25E078E5" w14:textId="77777777" w:rsidR="00FE1A51" w:rsidRPr="00FE1A51" w:rsidRDefault="00FE1A51" w:rsidP="00FE1A51">
      <w:pPr>
        <w:numPr>
          <w:ilvl w:val="0"/>
          <w:numId w:val="1"/>
        </w:numPr>
        <w:spacing w:after="160" w:line="360" w:lineRule="auto"/>
        <w:contextualSpacing/>
        <w:jc w:val="both"/>
        <w:rPr>
          <w:rFonts w:ascii="Calibri" w:hAnsi="Calibri"/>
        </w:rPr>
      </w:pPr>
      <w:r w:rsidRPr="00FE1A51">
        <w:rPr>
          <w:rFonts w:ascii="Calibri" w:hAnsi="Calibri" w:hint="cs"/>
          <w:rtl/>
        </w:rPr>
        <w:t>צו מבחן לתקופה של שנה מהיום. במהלך תקופה זו הנאשם מחויב בשיתוף פעולה עם שירות המבחן, כאשר מובהר כי הפרת  הצו תוכל להביא לפתיחה מחודשת של המשפט וגזירת עונשו של הנאשם, לרבות הטלת עונש מאסר.</w:t>
      </w:r>
    </w:p>
    <w:p w14:paraId="2F8ABCE3" w14:textId="77777777" w:rsidR="00FE1A51" w:rsidRPr="00FE1A51" w:rsidRDefault="00FE1A51" w:rsidP="00FE1A51">
      <w:pPr>
        <w:numPr>
          <w:ilvl w:val="0"/>
          <w:numId w:val="1"/>
        </w:numPr>
        <w:spacing w:after="160" w:line="360" w:lineRule="auto"/>
        <w:contextualSpacing/>
        <w:jc w:val="both"/>
        <w:rPr>
          <w:rFonts w:ascii="Calibri" w:hAnsi="Calibri"/>
        </w:rPr>
      </w:pPr>
      <w:r w:rsidRPr="00FE1A51">
        <w:rPr>
          <w:rFonts w:ascii="Calibri" w:hAnsi="Calibri" w:hint="cs"/>
          <w:rtl/>
        </w:rPr>
        <w:t>התחייבות בסך 5,000 ₪ שלא לעבור כל עבירה  לפי פקודת הסמים במשך שנתיים מהיום או 5 ימי מאסר תמורתה אם לא תיחתם. הובהר לנאשם שמשמעות ההתחייבות היא, כי אם יעבור את העבירה בתוך התקופה שצוינה, בית המשפט שיגזור את הדין יהא חייב לחלט את ההתחייבות כקנס.</w:t>
      </w:r>
    </w:p>
    <w:p w14:paraId="787D262E" w14:textId="77777777" w:rsidR="00FE1A51" w:rsidRPr="00FE1A51" w:rsidRDefault="00FE1A51" w:rsidP="00FE1A51">
      <w:pPr>
        <w:numPr>
          <w:ilvl w:val="0"/>
          <w:numId w:val="1"/>
        </w:numPr>
        <w:spacing w:after="160" w:line="360" w:lineRule="auto"/>
        <w:contextualSpacing/>
        <w:jc w:val="both"/>
        <w:rPr>
          <w:rFonts w:ascii="Calibri" w:hAnsi="Calibri"/>
        </w:rPr>
      </w:pPr>
      <w:r w:rsidRPr="00FE1A51">
        <w:rPr>
          <w:rFonts w:ascii="Calibri" w:hAnsi="Calibri" w:hint="cs"/>
          <w:rtl/>
        </w:rPr>
        <w:t xml:space="preserve">לא מצאתי מקום להורות על חילוט לנוכח העובדה שאין מדובר ב"סוחר סמים" שמוכר לכל דכפין אלא למכריו על רקע חברתי, ולנוכח העובדה שלא נתבקשתי להכריז עליו "סוחר סמים" בעת מתן הכרעת הדין כנדרש ע"פ </w:t>
      </w:r>
      <w:hyperlink r:id="rId29" w:history="1">
        <w:r w:rsidR="00DA5B4B" w:rsidRPr="00DA5B4B">
          <w:rPr>
            <w:rFonts w:ascii="Calibri" w:hAnsi="Calibri" w:hint="eastAsia"/>
            <w:color w:val="0000FF"/>
            <w:u w:val="single"/>
            <w:rtl/>
          </w:rPr>
          <w:t>סעיף</w:t>
        </w:r>
        <w:r w:rsidR="00DA5B4B" w:rsidRPr="00DA5B4B">
          <w:rPr>
            <w:rFonts w:ascii="Calibri" w:hAnsi="Calibri"/>
            <w:color w:val="0000FF"/>
            <w:u w:val="single"/>
            <w:rtl/>
          </w:rPr>
          <w:t xml:space="preserve"> 36</w:t>
        </w:r>
        <w:r w:rsidR="00DA5B4B" w:rsidRPr="00DA5B4B">
          <w:rPr>
            <w:rFonts w:ascii="Calibri" w:hAnsi="Calibri" w:hint="eastAsia"/>
            <w:color w:val="0000FF"/>
            <w:u w:val="single"/>
            <w:rtl/>
          </w:rPr>
          <w:t>א</w:t>
        </w:r>
        <w:r w:rsidR="00DA5B4B" w:rsidRPr="00DA5B4B">
          <w:rPr>
            <w:rFonts w:ascii="Calibri" w:hAnsi="Calibri"/>
            <w:color w:val="0000FF"/>
            <w:u w:val="single"/>
            <w:rtl/>
          </w:rPr>
          <w:t>(</w:t>
        </w:r>
        <w:r w:rsidR="00DA5B4B" w:rsidRPr="00DA5B4B">
          <w:rPr>
            <w:rFonts w:ascii="Calibri" w:hAnsi="Calibri" w:hint="eastAsia"/>
            <w:color w:val="0000FF"/>
            <w:u w:val="single"/>
            <w:rtl/>
          </w:rPr>
          <w:t>ב</w:t>
        </w:r>
        <w:r w:rsidR="00DA5B4B" w:rsidRPr="00DA5B4B">
          <w:rPr>
            <w:rFonts w:ascii="Calibri" w:hAnsi="Calibri"/>
            <w:color w:val="0000FF"/>
            <w:u w:val="single"/>
            <w:rtl/>
          </w:rPr>
          <w:t>)</w:t>
        </w:r>
      </w:hyperlink>
      <w:r w:rsidRPr="00FE1A51">
        <w:rPr>
          <w:rFonts w:ascii="Calibri" w:hAnsi="Calibri" w:hint="cs"/>
          <w:rtl/>
        </w:rPr>
        <w:t xml:space="preserve"> ל</w:t>
      </w:r>
      <w:hyperlink r:id="rId30" w:history="1">
        <w:r w:rsidR="00506DE1" w:rsidRPr="00506DE1">
          <w:rPr>
            <w:rFonts w:ascii="Calibri" w:hAnsi="Calibri" w:hint="eastAsia"/>
            <w:color w:val="0000FF"/>
            <w:u w:val="single"/>
            <w:rtl/>
          </w:rPr>
          <w:t>פקודת</w:t>
        </w:r>
        <w:r w:rsidR="00506DE1" w:rsidRPr="00506DE1">
          <w:rPr>
            <w:rFonts w:ascii="Calibri" w:hAnsi="Calibri"/>
            <w:color w:val="0000FF"/>
            <w:u w:val="single"/>
            <w:rtl/>
          </w:rPr>
          <w:t xml:space="preserve"> </w:t>
        </w:r>
        <w:r w:rsidR="00506DE1" w:rsidRPr="00506DE1">
          <w:rPr>
            <w:rFonts w:ascii="Calibri" w:hAnsi="Calibri" w:hint="eastAsia"/>
            <w:color w:val="0000FF"/>
            <w:u w:val="single"/>
            <w:rtl/>
          </w:rPr>
          <w:t>הסמים</w:t>
        </w:r>
        <w:r w:rsidR="00506DE1" w:rsidRPr="00506DE1">
          <w:rPr>
            <w:rFonts w:ascii="Calibri" w:hAnsi="Calibri"/>
            <w:color w:val="0000FF"/>
            <w:u w:val="single"/>
            <w:rtl/>
          </w:rPr>
          <w:t xml:space="preserve"> </w:t>
        </w:r>
        <w:r w:rsidR="00506DE1" w:rsidRPr="00506DE1">
          <w:rPr>
            <w:rFonts w:ascii="Calibri" w:hAnsi="Calibri" w:hint="eastAsia"/>
            <w:color w:val="0000FF"/>
            <w:u w:val="single"/>
            <w:rtl/>
          </w:rPr>
          <w:t>המסוכנים</w:t>
        </w:r>
      </w:hyperlink>
      <w:r w:rsidRPr="00FE1A51">
        <w:rPr>
          <w:rFonts w:ascii="Calibri" w:hAnsi="Calibri" w:hint="cs"/>
          <w:rtl/>
        </w:rPr>
        <w:t>.</w:t>
      </w:r>
    </w:p>
    <w:p w14:paraId="742EAB1E" w14:textId="77777777" w:rsidR="00FE1A51" w:rsidRPr="00FE1A51" w:rsidRDefault="00FE1A51" w:rsidP="00FE1A51">
      <w:pPr>
        <w:numPr>
          <w:ilvl w:val="0"/>
          <w:numId w:val="1"/>
        </w:numPr>
        <w:spacing w:after="160" w:line="360" w:lineRule="auto"/>
        <w:contextualSpacing/>
        <w:jc w:val="both"/>
        <w:rPr>
          <w:rFonts w:ascii="Calibri" w:hAnsi="Calibri"/>
        </w:rPr>
      </w:pPr>
      <w:r w:rsidRPr="00FE1A51">
        <w:rPr>
          <w:rFonts w:ascii="Calibri" w:hAnsi="Calibri" w:hint="cs"/>
          <w:rtl/>
        </w:rPr>
        <w:t>לפיכך, מורה על החזרת הרכוש שנתפס לנאשם, ומורה על השמדת הסמים.</w:t>
      </w:r>
    </w:p>
    <w:p w14:paraId="3D679A34" w14:textId="77777777" w:rsidR="00FE1A51" w:rsidRDefault="00FE1A51" w:rsidP="00FE1A51"/>
    <w:p w14:paraId="4A93A3EB" w14:textId="77777777" w:rsidR="00FE1A51" w:rsidRPr="00542091" w:rsidRDefault="00FE1A51" w:rsidP="00FE1A51">
      <w:r>
        <w:rPr>
          <w:rFonts w:hint="cs"/>
          <w:rtl/>
        </w:rPr>
        <w:t>זכות ערעור כחוק.</w:t>
      </w:r>
    </w:p>
    <w:p w14:paraId="1D043ED9" w14:textId="77777777" w:rsidR="00FE1A51" w:rsidRPr="00B05847" w:rsidRDefault="00FE1A51" w:rsidP="00FE1A51">
      <w:pPr>
        <w:rPr>
          <w:rtl/>
        </w:rPr>
      </w:pPr>
    </w:p>
    <w:p w14:paraId="46EBC174" w14:textId="77777777" w:rsidR="00FE1A51" w:rsidRPr="00506DE1" w:rsidRDefault="00506DE1" w:rsidP="00FE1A51">
      <w:pPr>
        <w:rPr>
          <w:color w:val="FFFFFF"/>
          <w:sz w:val="2"/>
          <w:szCs w:val="2"/>
          <w:rtl/>
        </w:rPr>
      </w:pPr>
      <w:r w:rsidRPr="00506DE1">
        <w:rPr>
          <w:color w:val="FFFFFF"/>
          <w:sz w:val="2"/>
          <w:szCs w:val="2"/>
          <w:rtl/>
        </w:rPr>
        <w:t>5129371</w:t>
      </w:r>
    </w:p>
    <w:p w14:paraId="5D6968F0" w14:textId="77777777" w:rsidR="00FE1A51" w:rsidRDefault="00506DE1" w:rsidP="00FE1A51">
      <w:pPr>
        <w:rPr>
          <w:rFonts w:cs="FrankRuehl"/>
          <w:sz w:val="28"/>
          <w:szCs w:val="28"/>
          <w:rtl/>
        </w:rPr>
      </w:pPr>
      <w:r w:rsidRPr="00506DE1">
        <w:rPr>
          <w:rFonts w:ascii="Arial" w:hAnsi="Arial"/>
          <w:color w:val="FFFFFF"/>
          <w:sz w:val="2"/>
          <w:szCs w:val="2"/>
          <w:rtl/>
        </w:rPr>
        <w:t>54678313</w:t>
      </w:r>
      <w:r>
        <w:rPr>
          <w:rFonts w:ascii="Arial" w:hAnsi="Arial"/>
          <w:rtl/>
        </w:rPr>
        <w:t xml:space="preserve">ניתן היום,  כ"ז טבת התשע"ח, 14 בינואר 2018 במעמד הצדדים. </w:t>
      </w:r>
    </w:p>
    <w:p w14:paraId="2FEBAB4F" w14:textId="77777777" w:rsidR="00FE1A51" w:rsidRDefault="00FE1A51" w:rsidP="00FE1A5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F17D3A8" w14:textId="77777777" w:rsidR="00FE1A51" w:rsidRDefault="00FE1A51" w:rsidP="00FE1A51">
      <w:pPr>
        <w:jc w:val="center"/>
        <w:rPr>
          <w:rFonts w:ascii="Arial" w:hAnsi="Arial" w:cs="FrankRuehl"/>
          <w:sz w:val="28"/>
          <w:szCs w:val="28"/>
          <w:rtl/>
        </w:rPr>
      </w:pPr>
    </w:p>
    <w:p w14:paraId="501FCBB1" w14:textId="77777777" w:rsidR="00FE1A51" w:rsidRDefault="00FE1A51" w:rsidP="00FE1A51">
      <w:pPr>
        <w:rPr>
          <w:rFonts w:cs="FrankRuehl"/>
          <w:sz w:val="28"/>
          <w:szCs w:val="28"/>
          <w:rtl/>
        </w:rPr>
      </w:pPr>
    </w:p>
    <w:p w14:paraId="6ED62249" w14:textId="77777777" w:rsidR="00FE1A51" w:rsidRPr="00DA5B4B" w:rsidRDefault="00DA5B4B" w:rsidP="00FE1A51">
      <w:pPr>
        <w:pStyle w:val="a3"/>
        <w:jc w:val="center"/>
        <w:rPr>
          <w:color w:val="FFFFFF"/>
          <w:sz w:val="2"/>
          <w:szCs w:val="2"/>
          <w:rtl/>
        </w:rPr>
      </w:pPr>
      <w:r w:rsidRPr="00DA5B4B">
        <w:rPr>
          <w:color w:val="FFFFFF"/>
          <w:sz w:val="2"/>
          <w:szCs w:val="2"/>
          <w:rtl/>
        </w:rPr>
        <w:t>5129371</w:t>
      </w:r>
    </w:p>
    <w:p w14:paraId="27EE3452" w14:textId="77777777" w:rsidR="008223D7" w:rsidRPr="00DA5B4B" w:rsidRDefault="00DA5B4B" w:rsidP="00506DE1">
      <w:pPr>
        <w:keepNext/>
        <w:rPr>
          <w:rFonts w:ascii="David" w:hAnsi="David"/>
          <w:color w:val="FFFFFF"/>
          <w:sz w:val="2"/>
          <w:szCs w:val="2"/>
          <w:rtl/>
        </w:rPr>
      </w:pPr>
      <w:r w:rsidRPr="00DA5B4B">
        <w:rPr>
          <w:rFonts w:ascii="David" w:hAnsi="David"/>
          <w:color w:val="FFFFFF"/>
          <w:sz w:val="2"/>
          <w:szCs w:val="2"/>
          <w:rtl/>
        </w:rPr>
        <w:t>54678313</w:t>
      </w:r>
    </w:p>
    <w:p w14:paraId="7859F38B" w14:textId="77777777" w:rsidR="00506DE1" w:rsidRPr="00506DE1" w:rsidRDefault="00506DE1" w:rsidP="00506DE1">
      <w:pPr>
        <w:keepNext/>
        <w:rPr>
          <w:rFonts w:ascii="David" w:hAnsi="David"/>
          <w:color w:val="000000"/>
          <w:sz w:val="22"/>
          <w:szCs w:val="22"/>
          <w:rtl/>
        </w:rPr>
      </w:pPr>
      <w:r w:rsidRPr="00506DE1">
        <w:rPr>
          <w:rFonts w:ascii="David" w:hAnsi="David"/>
          <w:color w:val="000000"/>
          <w:sz w:val="22"/>
          <w:szCs w:val="22"/>
          <w:rtl/>
        </w:rPr>
        <w:t>דוד שאול גבאי ריכטר 54678313</w:t>
      </w:r>
    </w:p>
    <w:p w14:paraId="2DE11FD2" w14:textId="77777777" w:rsidR="00506DE1" w:rsidRDefault="00506DE1" w:rsidP="00506DE1">
      <w:r w:rsidRPr="00506DE1">
        <w:rPr>
          <w:color w:val="000000"/>
          <w:rtl/>
        </w:rPr>
        <w:t>נוסח מסמך זה כפוף לשינויי ניסוח ועריכה</w:t>
      </w:r>
    </w:p>
    <w:p w14:paraId="308E8CBD" w14:textId="77777777" w:rsidR="00506DE1" w:rsidRDefault="00506DE1" w:rsidP="00506DE1">
      <w:pPr>
        <w:rPr>
          <w:rtl/>
        </w:rPr>
      </w:pPr>
    </w:p>
    <w:p w14:paraId="67B9F324" w14:textId="77777777" w:rsidR="00506DE1" w:rsidRDefault="00506DE1" w:rsidP="00506DE1">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63B1AD07" w14:textId="77777777" w:rsidR="00DA5B4B" w:rsidRPr="00DA5B4B" w:rsidRDefault="00DA5B4B" w:rsidP="00DA5B4B">
      <w:pPr>
        <w:keepNext/>
        <w:rPr>
          <w:rFonts w:ascii="David" w:hAnsi="David"/>
          <w:color w:val="000000"/>
          <w:sz w:val="22"/>
          <w:szCs w:val="22"/>
          <w:rtl/>
        </w:rPr>
      </w:pPr>
    </w:p>
    <w:sectPr w:rsidR="00DA5B4B" w:rsidRPr="00DA5B4B" w:rsidSect="00DA5B4B">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EDCD2" w14:textId="77777777" w:rsidR="00575178" w:rsidRDefault="00575178" w:rsidP="00CB2009">
      <w:r>
        <w:separator/>
      </w:r>
    </w:p>
  </w:endnote>
  <w:endnote w:type="continuationSeparator" w:id="0">
    <w:p w14:paraId="1ACDD7D6" w14:textId="77777777" w:rsidR="00575178" w:rsidRDefault="00575178" w:rsidP="00CB2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61CA4" w14:textId="77777777" w:rsidR="00575178" w:rsidRDefault="00575178" w:rsidP="00DA5B4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B458F13" w14:textId="77777777" w:rsidR="00575178" w:rsidRPr="00DA5B4B" w:rsidRDefault="00575178" w:rsidP="00DA5B4B">
    <w:pPr>
      <w:pStyle w:val="a5"/>
      <w:pBdr>
        <w:top w:val="single" w:sz="4" w:space="1" w:color="auto"/>
        <w:between w:val="single" w:sz="4" w:space="0" w:color="auto"/>
      </w:pBdr>
      <w:spacing w:after="60"/>
      <w:jc w:val="center"/>
      <w:rPr>
        <w:rFonts w:ascii="FrankRuehl" w:hAnsi="FrankRuehl" w:cs="FrankRuehl"/>
        <w:color w:val="000000"/>
      </w:rPr>
    </w:pPr>
    <w:r w:rsidRPr="00DA5B4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DEBF8" w14:textId="77777777" w:rsidR="00575178" w:rsidRDefault="00575178" w:rsidP="00DA5B4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0069">
      <w:rPr>
        <w:rFonts w:ascii="FrankRuehl" w:hAnsi="FrankRuehl" w:cs="FrankRuehl"/>
        <w:noProof/>
        <w:rtl/>
      </w:rPr>
      <w:t>1</w:t>
    </w:r>
    <w:r>
      <w:rPr>
        <w:rFonts w:ascii="FrankRuehl" w:hAnsi="FrankRuehl" w:cs="FrankRuehl"/>
        <w:rtl/>
      </w:rPr>
      <w:fldChar w:fldCharType="end"/>
    </w:r>
  </w:p>
  <w:p w14:paraId="2E7296B6" w14:textId="77777777" w:rsidR="00575178" w:rsidRPr="00DA5B4B" w:rsidRDefault="00575178" w:rsidP="00DA5B4B">
    <w:pPr>
      <w:pStyle w:val="a5"/>
      <w:pBdr>
        <w:top w:val="single" w:sz="4" w:space="1" w:color="auto"/>
        <w:between w:val="single" w:sz="4" w:space="0" w:color="auto"/>
      </w:pBdr>
      <w:spacing w:after="60"/>
      <w:jc w:val="center"/>
      <w:rPr>
        <w:rFonts w:ascii="FrankRuehl" w:hAnsi="FrankRuehl" w:cs="FrankRuehl"/>
        <w:color w:val="000000"/>
      </w:rPr>
    </w:pPr>
    <w:r w:rsidRPr="00DA5B4B">
      <w:rPr>
        <w:rFonts w:ascii="FrankRuehl" w:hAnsi="FrankRuehl" w:cs="FrankRuehl"/>
        <w:color w:val="000000"/>
      </w:rPr>
      <w:pict w14:anchorId="1E3A3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E1C51" w14:textId="77777777" w:rsidR="00575178" w:rsidRDefault="00575178" w:rsidP="00CB2009">
      <w:r>
        <w:separator/>
      </w:r>
    </w:p>
  </w:footnote>
  <w:footnote w:type="continuationSeparator" w:id="0">
    <w:p w14:paraId="2FFB572C" w14:textId="77777777" w:rsidR="00575178" w:rsidRDefault="00575178" w:rsidP="00CB2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C7A16" w14:textId="77777777" w:rsidR="00575178" w:rsidRPr="00DA5B4B" w:rsidRDefault="00575178" w:rsidP="00DA5B4B">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(י-ם) 11314-11-16</w:t>
    </w:r>
    <w:r>
      <w:rPr>
        <w:rFonts w:ascii="David" w:hAnsi="David"/>
        <w:color w:val="000000"/>
        <w:sz w:val="22"/>
        <w:szCs w:val="22"/>
        <w:rtl/>
      </w:rPr>
      <w:tab/>
      <w:t xml:space="preserve"> מדינת ישראל נ' דוד לוי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A087D" w14:textId="77777777" w:rsidR="00575178" w:rsidRPr="00DA5B4B" w:rsidRDefault="00575178" w:rsidP="00DA5B4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11314-11-16</w:t>
    </w:r>
    <w:r>
      <w:rPr>
        <w:rFonts w:ascii="David" w:hAnsi="David"/>
        <w:color w:val="000000"/>
        <w:sz w:val="22"/>
        <w:szCs w:val="22"/>
        <w:rtl/>
      </w:rPr>
      <w:tab/>
      <w:t xml:space="preserve"> מדינת ישראל נ' דוד לוי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356063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1A51"/>
    <w:rsid w:val="002B0069"/>
    <w:rsid w:val="003D0145"/>
    <w:rsid w:val="00506DE1"/>
    <w:rsid w:val="00575178"/>
    <w:rsid w:val="008223D7"/>
    <w:rsid w:val="009A6FEB"/>
    <w:rsid w:val="00BB0276"/>
    <w:rsid w:val="00CB2009"/>
    <w:rsid w:val="00DA5B4B"/>
    <w:rsid w:val="00E24763"/>
    <w:rsid w:val="00EA41D1"/>
    <w:rsid w:val="00FE1A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1302B23"/>
  <w15:chartTrackingRefBased/>
  <w15:docId w15:val="{F04A0402-B8B2-4A3C-B947-7E645936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1A5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E1A51"/>
    <w:pPr>
      <w:tabs>
        <w:tab w:val="center" w:pos="4153"/>
        <w:tab w:val="right" w:pos="8306"/>
      </w:tabs>
    </w:pPr>
  </w:style>
  <w:style w:type="character" w:customStyle="1" w:styleId="a4">
    <w:name w:val="כותרת עליונה תו"/>
    <w:link w:val="a3"/>
    <w:rsid w:val="00FE1A51"/>
    <w:rPr>
      <w:rFonts w:ascii="Times New Roman" w:eastAsia="Times New Roman" w:hAnsi="Times New Roman" w:cs="David"/>
      <w:sz w:val="24"/>
      <w:szCs w:val="24"/>
    </w:rPr>
  </w:style>
  <w:style w:type="paragraph" w:styleId="a5">
    <w:name w:val="footer"/>
    <w:basedOn w:val="a"/>
    <w:link w:val="a6"/>
    <w:rsid w:val="00FE1A51"/>
    <w:pPr>
      <w:tabs>
        <w:tab w:val="center" w:pos="4153"/>
        <w:tab w:val="right" w:pos="8306"/>
      </w:tabs>
    </w:pPr>
  </w:style>
  <w:style w:type="character" w:customStyle="1" w:styleId="a6">
    <w:name w:val="כותרת תחתונה תו"/>
    <w:link w:val="a5"/>
    <w:rsid w:val="00FE1A51"/>
    <w:rPr>
      <w:rFonts w:ascii="Times New Roman" w:eastAsia="Times New Roman" w:hAnsi="Times New Roman" w:cs="David"/>
      <w:sz w:val="24"/>
      <w:szCs w:val="24"/>
    </w:rPr>
  </w:style>
  <w:style w:type="table" w:styleId="a7">
    <w:name w:val="Table Grid"/>
    <w:basedOn w:val="a1"/>
    <w:rsid w:val="00FE1A5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E1A51"/>
  </w:style>
  <w:style w:type="character" w:styleId="Hyperlink">
    <w:name w:val="Hyperlink"/>
    <w:rsid w:val="00506DE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70301" TargetMode="External"/><Relationship Id="rId21" Type="http://schemas.openxmlformats.org/officeDocument/2006/relationships/hyperlink" Target="http://www.nevo.co.il/law/70301/40i"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36a.b"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40ja"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40ja" TargetMode="External"/><Relationship Id="rId20" Type="http://schemas.openxmlformats.org/officeDocument/2006/relationships/hyperlink" Target="http://www.nevo.co.il/law/4216/7.a.;7.c" TargetMode="External"/><Relationship Id="rId29" Type="http://schemas.openxmlformats.org/officeDocument/2006/relationships/hyperlink" Target="http://www.nevo.co.il/law/4216/36a.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1309372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case/22368098"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d"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1505</Words>
  <Characters>7530</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9017</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5111890</vt:i4>
      </vt:variant>
      <vt:variant>
        <vt:i4>66</vt:i4>
      </vt:variant>
      <vt:variant>
        <vt:i4>0</vt:i4>
      </vt:variant>
      <vt:variant>
        <vt:i4>5</vt:i4>
      </vt:variant>
      <vt:variant>
        <vt:lpwstr>http://www.nevo.co.il/law/4216/36a.b</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http://www.nevo.co.il/law/70301/40d</vt:lpwstr>
      </vt:variant>
      <vt:variant>
        <vt:lpwstr/>
      </vt:variant>
      <vt:variant>
        <vt:i4>7995492</vt:i4>
      </vt:variant>
      <vt:variant>
        <vt:i4>57</vt:i4>
      </vt:variant>
      <vt:variant>
        <vt:i4>0</vt:i4>
      </vt:variant>
      <vt:variant>
        <vt:i4>5</vt:i4>
      </vt:variant>
      <vt:variant>
        <vt:lpwstr>http://www.nevo.co.il/law/70301</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3145840</vt:i4>
      </vt:variant>
      <vt:variant>
        <vt:i4>48</vt:i4>
      </vt:variant>
      <vt:variant>
        <vt:i4>0</vt:i4>
      </vt:variant>
      <vt:variant>
        <vt:i4>5</vt:i4>
      </vt:variant>
      <vt:variant>
        <vt:lpwstr>http://www.nevo.co.il/case/22368098</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2025-04-22T23:13:00Z</dcterms:created>
  <dcterms:modified xsi:type="dcterms:W3CDTF">2025-04-22T23:13:00Z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11314</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דוד לוי </vt:lpwstr>
  </property>
  <property fmtid="{D5CDD505-2E9C-101B-9397-08002B2CF9AE}" pid="10" name="LAWYER">
    <vt:lpwstr>אלכס גפני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20180114</vt:lpwstr>
  </property>
  <property fmtid="{D5CDD505-2E9C-101B-9397-08002B2CF9AE}" pid="14" name="TYPE_N_DATE">
    <vt:lpwstr>38020180114</vt:lpwstr>
  </property>
  <property fmtid="{D5CDD505-2E9C-101B-9397-08002B2CF9AE}" pid="15" name="CASESLISTTMP1">
    <vt:lpwstr>22368098;13093721</vt:lpwstr>
  </property>
  <property fmtid="{D5CDD505-2E9C-101B-9397-08002B2CF9AE}" pid="16" name="WORDNUMPAGES">
    <vt:lpwstr>5</vt:lpwstr>
  </property>
  <property fmtid="{D5CDD505-2E9C-101B-9397-08002B2CF9AE}" pid="17" name="TYPE_ABS_DATE">
    <vt:lpwstr>380020180114</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4216/013;019a;007.a;007.c;036a.b</vt:lpwstr>
  </property>
  <property fmtid="{D5CDD505-2E9C-101B-9397-08002B2CF9AE}" pid="37" name="LAWLISTTMP2">
    <vt:lpwstr>70301/040i;40ja;040d</vt:lpwstr>
  </property>
</Properties>
</file>