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71684" w:rsidRPr="00664134" w14:paraId="03261007" w14:textId="77777777" w:rsidTr="00AF1A32">
        <w:trPr>
          <w:trHeight w:hRule="exact" w:val="418"/>
          <w:jc w:val="center"/>
        </w:trPr>
        <w:tc>
          <w:tcPr>
            <w:tcW w:w="8721" w:type="dxa"/>
            <w:gridSpan w:val="2"/>
          </w:tcPr>
          <w:p w14:paraId="404DC908" w14:textId="77777777" w:rsidR="00771684" w:rsidRPr="00664134" w:rsidRDefault="00771684" w:rsidP="00DB4E02">
            <w:pPr>
              <w:pStyle w:val="a3"/>
              <w:jc w:val="center"/>
              <w:rPr>
                <w:rFonts w:ascii="Tahoma" w:hAnsi="Tahoma" w:cs="Tahoma"/>
                <w:color w:val="000080"/>
                <w:rtl/>
              </w:rPr>
            </w:pPr>
            <w:bookmarkStart w:id="0" w:name="LastJudge"/>
            <w:r w:rsidRPr="00664134">
              <w:rPr>
                <w:rFonts w:ascii="Tahoma" w:hAnsi="Tahoma" w:cs="Tahoma"/>
                <w:b/>
                <w:bCs/>
                <w:color w:val="000080"/>
                <w:rtl/>
              </w:rPr>
              <w:t>בית משפט השלום בקריות</w:t>
            </w:r>
          </w:p>
        </w:tc>
      </w:tr>
      <w:tr w:rsidR="00771684" w:rsidRPr="00664134" w14:paraId="6DEBC370" w14:textId="77777777" w:rsidTr="00AF1A32">
        <w:trPr>
          <w:trHeight w:val="337"/>
          <w:jc w:val="center"/>
        </w:trPr>
        <w:tc>
          <w:tcPr>
            <w:tcW w:w="5054" w:type="dxa"/>
          </w:tcPr>
          <w:p w14:paraId="66418108" w14:textId="77777777" w:rsidR="00771684" w:rsidRPr="00664134" w:rsidRDefault="00771684" w:rsidP="00DB4E02">
            <w:pPr>
              <w:rPr>
                <w:rFonts w:cs="FrankRuehl"/>
                <w:sz w:val="28"/>
                <w:szCs w:val="28"/>
                <w:rtl/>
              </w:rPr>
            </w:pPr>
            <w:r w:rsidRPr="00664134">
              <w:rPr>
                <w:rFonts w:cs="FrankRuehl"/>
                <w:sz w:val="28"/>
                <w:szCs w:val="28"/>
                <w:rtl/>
              </w:rPr>
              <w:t>ת"פ</w:t>
            </w:r>
            <w:r w:rsidRPr="00664134">
              <w:rPr>
                <w:rFonts w:cs="FrankRuehl" w:hint="cs"/>
                <w:sz w:val="28"/>
                <w:szCs w:val="28"/>
                <w:rtl/>
              </w:rPr>
              <w:t xml:space="preserve"> </w:t>
            </w:r>
            <w:r w:rsidRPr="00664134">
              <w:rPr>
                <w:rFonts w:cs="FrankRuehl"/>
                <w:sz w:val="28"/>
                <w:szCs w:val="28"/>
                <w:rtl/>
              </w:rPr>
              <w:t>20685-11-16</w:t>
            </w:r>
            <w:r w:rsidRPr="00664134">
              <w:rPr>
                <w:rFonts w:cs="FrankRuehl" w:hint="cs"/>
                <w:sz w:val="28"/>
                <w:szCs w:val="28"/>
                <w:rtl/>
              </w:rPr>
              <w:t xml:space="preserve"> </w:t>
            </w:r>
            <w:r w:rsidRPr="00664134">
              <w:rPr>
                <w:rFonts w:cs="FrankRuehl"/>
                <w:sz w:val="28"/>
                <w:szCs w:val="28"/>
                <w:rtl/>
              </w:rPr>
              <w:t>מדינת ישראל נ' לאופר</w:t>
            </w:r>
          </w:p>
          <w:p w14:paraId="79FFFB5A" w14:textId="77777777" w:rsidR="00771684" w:rsidRPr="00664134" w:rsidRDefault="00771684" w:rsidP="00DB4E02">
            <w:pPr>
              <w:pStyle w:val="a3"/>
              <w:rPr>
                <w:rFonts w:cs="FrankRuehl"/>
                <w:sz w:val="28"/>
                <w:szCs w:val="28"/>
                <w:rtl/>
              </w:rPr>
            </w:pPr>
          </w:p>
        </w:tc>
        <w:tc>
          <w:tcPr>
            <w:tcW w:w="3667" w:type="dxa"/>
          </w:tcPr>
          <w:p w14:paraId="6C5AAEAB" w14:textId="77777777" w:rsidR="00771684" w:rsidRPr="00664134" w:rsidRDefault="00771684" w:rsidP="00DB4E02">
            <w:pPr>
              <w:pStyle w:val="a3"/>
              <w:jc w:val="right"/>
              <w:rPr>
                <w:rFonts w:cs="FrankRuehl"/>
                <w:sz w:val="28"/>
                <w:szCs w:val="28"/>
                <w:rtl/>
              </w:rPr>
            </w:pPr>
          </w:p>
        </w:tc>
      </w:tr>
    </w:tbl>
    <w:p w14:paraId="08B5A07E" w14:textId="77777777" w:rsidR="00771684" w:rsidRPr="00664134" w:rsidRDefault="00771684" w:rsidP="00771684">
      <w:pPr>
        <w:pStyle w:val="a3"/>
        <w:rPr>
          <w:rtl/>
        </w:rPr>
      </w:pPr>
      <w:r w:rsidRPr="00664134">
        <w:rPr>
          <w:rFonts w:hint="cs"/>
          <w:rtl/>
        </w:rPr>
        <w:t xml:space="preserve"> </w:t>
      </w:r>
    </w:p>
    <w:p w14:paraId="3ADABE8A" w14:textId="77777777" w:rsidR="00771684" w:rsidRPr="00664134" w:rsidRDefault="00771684" w:rsidP="007716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71684" w:rsidRPr="00664134" w14:paraId="683F938B" w14:textId="77777777" w:rsidTr="00771684">
        <w:trPr>
          <w:trHeight w:val="295"/>
          <w:jc w:val="center"/>
        </w:trPr>
        <w:tc>
          <w:tcPr>
            <w:tcW w:w="923" w:type="dxa"/>
            <w:tcBorders>
              <w:top w:val="nil"/>
              <w:left w:val="nil"/>
              <w:bottom w:val="nil"/>
              <w:right w:val="nil"/>
            </w:tcBorders>
            <w:shd w:val="clear" w:color="auto" w:fill="auto"/>
          </w:tcPr>
          <w:p w14:paraId="74CC99E2" w14:textId="77777777" w:rsidR="00771684" w:rsidRPr="00664134" w:rsidRDefault="00771684" w:rsidP="00771684">
            <w:pPr>
              <w:jc w:val="both"/>
              <w:rPr>
                <w:rFonts w:ascii="Arial" w:hAnsi="Arial"/>
                <w:b/>
                <w:bCs/>
              </w:rPr>
            </w:pPr>
            <w:r w:rsidRPr="00664134">
              <w:rPr>
                <w:rFonts w:ascii="Arial" w:hAnsi="Arial" w:hint="cs"/>
                <w:b/>
                <w:bCs/>
                <w:rtl/>
              </w:rPr>
              <w:t>ב</w:t>
            </w:r>
            <w:r w:rsidRPr="00664134">
              <w:rPr>
                <w:rFonts w:ascii="Arial" w:hAnsi="Arial"/>
                <w:b/>
                <w:bCs/>
                <w:rtl/>
              </w:rPr>
              <w:t xml:space="preserve">פני </w:t>
            </w:r>
          </w:p>
        </w:tc>
        <w:tc>
          <w:tcPr>
            <w:tcW w:w="7897" w:type="dxa"/>
            <w:gridSpan w:val="2"/>
            <w:tcBorders>
              <w:top w:val="nil"/>
              <w:left w:val="nil"/>
              <w:bottom w:val="nil"/>
              <w:right w:val="nil"/>
            </w:tcBorders>
            <w:shd w:val="clear" w:color="auto" w:fill="auto"/>
          </w:tcPr>
          <w:p w14:paraId="68386690" w14:textId="77777777" w:rsidR="00771684" w:rsidRPr="00664134" w:rsidRDefault="00771684" w:rsidP="00DB4E02">
            <w:pPr>
              <w:rPr>
                <w:rFonts w:ascii="Arial" w:hAnsi="Arial"/>
                <w:b/>
                <w:bCs/>
                <w:rtl/>
              </w:rPr>
            </w:pPr>
            <w:r w:rsidRPr="00664134">
              <w:rPr>
                <w:rFonts w:ascii="Arial" w:hAnsi="Arial" w:hint="cs"/>
                <w:b/>
                <w:bCs/>
                <w:rtl/>
              </w:rPr>
              <w:t>כבוד ה</w:t>
            </w:r>
            <w:r w:rsidRPr="00664134">
              <w:rPr>
                <w:rFonts w:ascii="Arial" w:hAnsi="Arial"/>
                <w:b/>
                <w:bCs/>
                <w:rtl/>
              </w:rPr>
              <w:t>שופט</w:t>
            </w:r>
            <w:r w:rsidRPr="00664134">
              <w:rPr>
                <w:rFonts w:ascii="Arial" w:hAnsi="Arial" w:hint="cs"/>
                <w:b/>
                <w:bCs/>
                <w:rtl/>
              </w:rPr>
              <w:t xml:space="preserve">  </w:t>
            </w:r>
            <w:r w:rsidRPr="00664134">
              <w:rPr>
                <w:rFonts w:ascii="Arial" w:hAnsi="Arial"/>
                <w:b/>
                <w:bCs/>
                <w:rtl/>
              </w:rPr>
              <w:t>יוסי טורס</w:t>
            </w:r>
          </w:p>
          <w:p w14:paraId="56C39F11" w14:textId="77777777" w:rsidR="00771684" w:rsidRPr="00664134" w:rsidRDefault="00771684" w:rsidP="00DB4E02">
            <w:pPr>
              <w:rPr>
                <w:b/>
                <w:bCs/>
                <w:rtl/>
              </w:rPr>
            </w:pPr>
          </w:p>
          <w:p w14:paraId="29BA3993" w14:textId="77777777" w:rsidR="00771684" w:rsidRPr="00664134" w:rsidRDefault="00771684" w:rsidP="00771684">
            <w:pPr>
              <w:jc w:val="both"/>
              <w:rPr>
                <w:rFonts w:ascii="Arial" w:hAnsi="Arial"/>
                <w:b/>
                <w:bCs/>
              </w:rPr>
            </w:pPr>
          </w:p>
        </w:tc>
      </w:tr>
      <w:tr w:rsidR="00771684" w:rsidRPr="00664134" w14:paraId="19D2A009" w14:textId="77777777" w:rsidTr="00771684">
        <w:trPr>
          <w:trHeight w:val="355"/>
          <w:jc w:val="center"/>
        </w:trPr>
        <w:tc>
          <w:tcPr>
            <w:tcW w:w="923" w:type="dxa"/>
            <w:tcBorders>
              <w:top w:val="nil"/>
              <w:left w:val="nil"/>
              <w:bottom w:val="nil"/>
              <w:right w:val="nil"/>
            </w:tcBorders>
            <w:shd w:val="clear" w:color="auto" w:fill="auto"/>
          </w:tcPr>
          <w:p w14:paraId="6A0C1ED9" w14:textId="77777777" w:rsidR="00771684" w:rsidRPr="00664134" w:rsidRDefault="00771684" w:rsidP="00771684">
            <w:pPr>
              <w:jc w:val="both"/>
              <w:rPr>
                <w:rFonts w:ascii="Arial" w:hAnsi="Arial"/>
                <w:b/>
                <w:bCs/>
              </w:rPr>
            </w:pPr>
            <w:bookmarkStart w:id="1" w:name="FirstAppellant"/>
            <w:r w:rsidRPr="00664134">
              <w:rPr>
                <w:rFonts w:ascii="Arial" w:hAnsi="Arial" w:hint="cs"/>
                <w:b/>
                <w:bCs/>
                <w:rtl/>
              </w:rPr>
              <w:t>בעניין:</w:t>
            </w:r>
          </w:p>
        </w:tc>
        <w:tc>
          <w:tcPr>
            <w:tcW w:w="4126" w:type="dxa"/>
            <w:tcBorders>
              <w:top w:val="nil"/>
              <w:left w:val="nil"/>
              <w:bottom w:val="nil"/>
              <w:right w:val="nil"/>
            </w:tcBorders>
            <w:shd w:val="clear" w:color="auto" w:fill="auto"/>
          </w:tcPr>
          <w:p w14:paraId="6E08657D" w14:textId="77777777" w:rsidR="00771684" w:rsidRPr="00664134" w:rsidRDefault="00771684" w:rsidP="00DB4E02">
            <w:pPr>
              <w:rPr>
                <w:b/>
                <w:bCs/>
              </w:rPr>
            </w:pPr>
            <w:r w:rsidRPr="00664134">
              <w:rPr>
                <w:rFonts w:ascii="Arial" w:hAnsi="Arial"/>
                <w:b/>
                <w:bCs/>
                <w:rtl/>
              </w:rPr>
              <w:t>מדינת ישראל</w:t>
            </w:r>
          </w:p>
        </w:tc>
        <w:tc>
          <w:tcPr>
            <w:tcW w:w="3771" w:type="dxa"/>
            <w:tcBorders>
              <w:top w:val="nil"/>
              <w:left w:val="nil"/>
              <w:bottom w:val="nil"/>
              <w:right w:val="nil"/>
            </w:tcBorders>
            <w:shd w:val="clear" w:color="auto" w:fill="auto"/>
          </w:tcPr>
          <w:p w14:paraId="532A5383" w14:textId="77777777" w:rsidR="00771684" w:rsidRPr="00664134" w:rsidRDefault="00771684" w:rsidP="00771684">
            <w:pPr>
              <w:jc w:val="both"/>
              <w:rPr>
                <w:rFonts w:ascii="Arial" w:hAnsi="Arial"/>
                <w:b/>
                <w:bCs/>
              </w:rPr>
            </w:pPr>
          </w:p>
        </w:tc>
      </w:tr>
      <w:bookmarkEnd w:id="1"/>
      <w:tr w:rsidR="00771684" w:rsidRPr="00664134" w14:paraId="754A40B1" w14:textId="77777777" w:rsidTr="00771684">
        <w:trPr>
          <w:trHeight w:val="355"/>
          <w:jc w:val="center"/>
        </w:trPr>
        <w:tc>
          <w:tcPr>
            <w:tcW w:w="923" w:type="dxa"/>
            <w:tcBorders>
              <w:top w:val="nil"/>
              <w:left w:val="nil"/>
              <w:bottom w:val="nil"/>
              <w:right w:val="nil"/>
            </w:tcBorders>
            <w:shd w:val="clear" w:color="auto" w:fill="auto"/>
          </w:tcPr>
          <w:p w14:paraId="40522BC6" w14:textId="77777777" w:rsidR="00771684" w:rsidRPr="00664134" w:rsidRDefault="00771684" w:rsidP="00771684">
            <w:pPr>
              <w:jc w:val="both"/>
              <w:rPr>
                <w:rFonts w:ascii="Arial" w:hAnsi="Arial"/>
                <w:b/>
                <w:bCs/>
                <w:rtl/>
              </w:rPr>
            </w:pPr>
          </w:p>
        </w:tc>
        <w:tc>
          <w:tcPr>
            <w:tcW w:w="4126" w:type="dxa"/>
            <w:tcBorders>
              <w:top w:val="nil"/>
              <w:left w:val="nil"/>
              <w:bottom w:val="nil"/>
              <w:right w:val="nil"/>
            </w:tcBorders>
            <w:shd w:val="clear" w:color="auto" w:fill="auto"/>
          </w:tcPr>
          <w:p w14:paraId="2B660EBE" w14:textId="77777777" w:rsidR="00771684" w:rsidRPr="00664134" w:rsidRDefault="00771684" w:rsidP="00771684">
            <w:pPr>
              <w:jc w:val="both"/>
              <w:rPr>
                <w:b/>
                <w:bCs/>
                <w:rtl/>
              </w:rPr>
            </w:pPr>
          </w:p>
        </w:tc>
        <w:tc>
          <w:tcPr>
            <w:tcW w:w="3771" w:type="dxa"/>
            <w:tcBorders>
              <w:top w:val="nil"/>
              <w:left w:val="nil"/>
              <w:bottom w:val="nil"/>
              <w:right w:val="nil"/>
            </w:tcBorders>
            <w:shd w:val="clear" w:color="auto" w:fill="auto"/>
          </w:tcPr>
          <w:p w14:paraId="05505144" w14:textId="77777777" w:rsidR="00771684" w:rsidRPr="00664134" w:rsidRDefault="00771684" w:rsidP="00771684">
            <w:pPr>
              <w:jc w:val="right"/>
              <w:rPr>
                <w:rFonts w:ascii="Arial" w:hAnsi="Arial"/>
                <w:b/>
                <w:bCs/>
                <w:rtl/>
              </w:rPr>
            </w:pPr>
            <w:r w:rsidRPr="00664134">
              <w:rPr>
                <w:rFonts w:ascii="Arial" w:hAnsi="Arial" w:hint="cs"/>
                <w:b/>
                <w:bCs/>
                <w:rtl/>
              </w:rPr>
              <w:t>ה</w:t>
            </w:r>
            <w:r w:rsidRPr="00664134">
              <w:rPr>
                <w:rFonts w:ascii="Arial" w:hAnsi="Arial"/>
                <w:b/>
                <w:bCs/>
                <w:rtl/>
              </w:rPr>
              <w:t>מאשימה</w:t>
            </w:r>
          </w:p>
        </w:tc>
      </w:tr>
      <w:tr w:rsidR="00771684" w:rsidRPr="00664134" w14:paraId="30C7C566" w14:textId="77777777" w:rsidTr="00771684">
        <w:trPr>
          <w:trHeight w:val="355"/>
          <w:jc w:val="center"/>
        </w:trPr>
        <w:tc>
          <w:tcPr>
            <w:tcW w:w="923" w:type="dxa"/>
            <w:tcBorders>
              <w:top w:val="nil"/>
              <w:left w:val="nil"/>
              <w:bottom w:val="nil"/>
              <w:right w:val="nil"/>
            </w:tcBorders>
            <w:shd w:val="clear" w:color="auto" w:fill="auto"/>
          </w:tcPr>
          <w:p w14:paraId="3CA0BFD6" w14:textId="77777777" w:rsidR="00771684" w:rsidRPr="00664134" w:rsidRDefault="00771684" w:rsidP="00771684">
            <w:pPr>
              <w:jc w:val="both"/>
              <w:rPr>
                <w:rFonts w:ascii="Arial" w:hAnsi="Arial"/>
                <w:b/>
                <w:bCs/>
                <w:rtl/>
              </w:rPr>
            </w:pPr>
          </w:p>
        </w:tc>
        <w:tc>
          <w:tcPr>
            <w:tcW w:w="7897" w:type="dxa"/>
            <w:gridSpan w:val="2"/>
            <w:tcBorders>
              <w:top w:val="nil"/>
              <w:left w:val="nil"/>
              <w:bottom w:val="nil"/>
              <w:right w:val="nil"/>
            </w:tcBorders>
            <w:shd w:val="clear" w:color="auto" w:fill="auto"/>
          </w:tcPr>
          <w:p w14:paraId="7DEC4031" w14:textId="77777777" w:rsidR="00771684" w:rsidRPr="00664134" w:rsidRDefault="00771684" w:rsidP="00771684">
            <w:pPr>
              <w:jc w:val="center"/>
              <w:rPr>
                <w:rFonts w:ascii="Arial" w:hAnsi="Arial"/>
                <w:b/>
                <w:bCs/>
                <w:rtl/>
              </w:rPr>
            </w:pPr>
          </w:p>
          <w:p w14:paraId="6B6794A1" w14:textId="77777777" w:rsidR="00771684" w:rsidRPr="00664134" w:rsidRDefault="00771684" w:rsidP="00771684">
            <w:pPr>
              <w:jc w:val="center"/>
              <w:rPr>
                <w:rFonts w:ascii="Arial" w:hAnsi="Arial"/>
                <w:b/>
                <w:bCs/>
                <w:rtl/>
              </w:rPr>
            </w:pPr>
            <w:r w:rsidRPr="00664134">
              <w:rPr>
                <w:rFonts w:ascii="Arial" w:hAnsi="Arial"/>
                <w:b/>
                <w:bCs/>
                <w:rtl/>
              </w:rPr>
              <w:t>נגד</w:t>
            </w:r>
          </w:p>
          <w:p w14:paraId="7FBDD600" w14:textId="77777777" w:rsidR="00771684" w:rsidRPr="00664134" w:rsidRDefault="00771684" w:rsidP="00771684">
            <w:pPr>
              <w:jc w:val="both"/>
              <w:rPr>
                <w:rFonts w:ascii="Arial" w:hAnsi="Arial"/>
                <w:b/>
                <w:bCs/>
              </w:rPr>
            </w:pPr>
          </w:p>
        </w:tc>
      </w:tr>
      <w:tr w:rsidR="00771684" w:rsidRPr="00664134" w14:paraId="11105686" w14:textId="77777777" w:rsidTr="00771684">
        <w:trPr>
          <w:trHeight w:val="355"/>
          <w:jc w:val="center"/>
        </w:trPr>
        <w:tc>
          <w:tcPr>
            <w:tcW w:w="923" w:type="dxa"/>
            <w:tcBorders>
              <w:top w:val="nil"/>
              <w:left w:val="nil"/>
              <w:bottom w:val="nil"/>
              <w:right w:val="nil"/>
            </w:tcBorders>
            <w:shd w:val="clear" w:color="auto" w:fill="auto"/>
          </w:tcPr>
          <w:p w14:paraId="7AEC9638" w14:textId="77777777" w:rsidR="00771684" w:rsidRPr="00664134" w:rsidRDefault="00771684" w:rsidP="00DB4E02">
            <w:pPr>
              <w:rPr>
                <w:rFonts w:ascii="Arial" w:hAnsi="Arial"/>
                <w:b/>
                <w:bCs/>
                <w:rtl/>
              </w:rPr>
            </w:pPr>
          </w:p>
        </w:tc>
        <w:tc>
          <w:tcPr>
            <w:tcW w:w="4126" w:type="dxa"/>
            <w:tcBorders>
              <w:top w:val="nil"/>
              <w:left w:val="nil"/>
              <w:bottom w:val="nil"/>
              <w:right w:val="nil"/>
            </w:tcBorders>
            <w:shd w:val="clear" w:color="auto" w:fill="auto"/>
          </w:tcPr>
          <w:p w14:paraId="614BDD13" w14:textId="77777777" w:rsidR="00771684" w:rsidRPr="00664134" w:rsidRDefault="00771684" w:rsidP="00DB4E02">
            <w:pPr>
              <w:rPr>
                <w:b/>
                <w:bCs/>
                <w:rtl/>
              </w:rPr>
            </w:pPr>
            <w:r w:rsidRPr="00664134">
              <w:rPr>
                <w:rFonts w:ascii="Arial" w:hAnsi="Arial"/>
                <w:b/>
                <w:bCs/>
                <w:rtl/>
              </w:rPr>
              <w:t>הלל לי לאופר</w:t>
            </w:r>
          </w:p>
        </w:tc>
        <w:tc>
          <w:tcPr>
            <w:tcW w:w="3771" w:type="dxa"/>
            <w:tcBorders>
              <w:top w:val="nil"/>
              <w:left w:val="nil"/>
              <w:bottom w:val="nil"/>
              <w:right w:val="nil"/>
            </w:tcBorders>
            <w:shd w:val="clear" w:color="auto" w:fill="auto"/>
          </w:tcPr>
          <w:p w14:paraId="366D101F" w14:textId="77777777" w:rsidR="00771684" w:rsidRPr="00664134" w:rsidRDefault="00771684" w:rsidP="00771684">
            <w:pPr>
              <w:jc w:val="right"/>
              <w:rPr>
                <w:rFonts w:ascii="Arial" w:hAnsi="Arial"/>
                <w:b/>
                <w:bCs/>
              </w:rPr>
            </w:pPr>
          </w:p>
        </w:tc>
      </w:tr>
      <w:tr w:rsidR="00771684" w:rsidRPr="00664134" w14:paraId="0EEBA288" w14:textId="77777777" w:rsidTr="00771684">
        <w:trPr>
          <w:trHeight w:val="355"/>
          <w:jc w:val="center"/>
        </w:trPr>
        <w:tc>
          <w:tcPr>
            <w:tcW w:w="923" w:type="dxa"/>
            <w:tcBorders>
              <w:top w:val="nil"/>
              <w:left w:val="nil"/>
              <w:bottom w:val="nil"/>
              <w:right w:val="nil"/>
            </w:tcBorders>
            <w:shd w:val="clear" w:color="auto" w:fill="auto"/>
          </w:tcPr>
          <w:p w14:paraId="3AD3FD51" w14:textId="77777777" w:rsidR="00771684" w:rsidRPr="00664134" w:rsidRDefault="00771684" w:rsidP="00771684">
            <w:pPr>
              <w:jc w:val="both"/>
              <w:rPr>
                <w:rFonts w:ascii="Arial" w:hAnsi="Arial"/>
                <w:b/>
                <w:bCs/>
                <w:rtl/>
              </w:rPr>
            </w:pPr>
          </w:p>
        </w:tc>
        <w:tc>
          <w:tcPr>
            <w:tcW w:w="4126" w:type="dxa"/>
            <w:tcBorders>
              <w:top w:val="nil"/>
              <w:left w:val="nil"/>
              <w:bottom w:val="nil"/>
              <w:right w:val="nil"/>
            </w:tcBorders>
            <w:shd w:val="clear" w:color="auto" w:fill="auto"/>
          </w:tcPr>
          <w:p w14:paraId="71A9CD76" w14:textId="77777777" w:rsidR="00771684" w:rsidRPr="00664134" w:rsidRDefault="00771684" w:rsidP="00771684">
            <w:pPr>
              <w:jc w:val="both"/>
              <w:rPr>
                <w:b/>
                <w:bCs/>
                <w:rtl/>
              </w:rPr>
            </w:pPr>
          </w:p>
        </w:tc>
        <w:tc>
          <w:tcPr>
            <w:tcW w:w="3771" w:type="dxa"/>
            <w:tcBorders>
              <w:top w:val="nil"/>
              <w:left w:val="nil"/>
              <w:bottom w:val="nil"/>
              <w:right w:val="nil"/>
            </w:tcBorders>
            <w:shd w:val="clear" w:color="auto" w:fill="auto"/>
          </w:tcPr>
          <w:p w14:paraId="1A3C1B2F" w14:textId="77777777" w:rsidR="00771684" w:rsidRPr="00664134" w:rsidRDefault="00771684" w:rsidP="00771684">
            <w:pPr>
              <w:jc w:val="right"/>
              <w:rPr>
                <w:rFonts w:ascii="Arial" w:hAnsi="Arial"/>
                <w:b/>
                <w:bCs/>
              </w:rPr>
            </w:pPr>
            <w:r w:rsidRPr="00664134">
              <w:rPr>
                <w:rFonts w:ascii="Arial" w:hAnsi="Arial" w:hint="cs"/>
                <w:b/>
                <w:bCs/>
                <w:rtl/>
              </w:rPr>
              <w:t>ה</w:t>
            </w:r>
            <w:r w:rsidRPr="00664134">
              <w:rPr>
                <w:rFonts w:ascii="Arial" w:hAnsi="Arial"/>
                <w:b/>
                <w:bCs/>
                <w:rtl/>
              </w:rPr>
              <w:t>נאש</w:t>
            </w:r>
            <w:r w:rsidRPr="00664134">
              <w:rPr>
                <w:rFonts w:ascii="Arial" w:hAnsi="Arial" w:hint="cs"/>
                <w:b/>
                <w:bCs/>
                <w:rtl/>
              </w:rPr>
              <w:t>ם</w:t>
            </w:r>
          </w:p>
        </w:tc>
      </w:tr>
    </w:tbl>
    <w:p w14:paraId="00C707B0" w14:textId="77777777" w:rsidR="00AF1A32" w:rsidRDefault="00AF1A32" w:rsidP="00771684">
      <w:pPr>
        <w:rPr>
          <w:rtl/>
        </w:rPr>
      </w:pPr>
      <w:bookmarkStart w:id="2" w:name="LawTable"/>
      <w:bookmarkEnd w:id="2"/>
    </w:p>
    <w:p w14:paraId="6E7E9AF7" w14:textId="77777777" w:rsidR="00AF1A32" w:rsidRPr="00AF1A32" w:rsidRDefault="00AF1A32" w:rsidP="00AF1A32">
      <w:pPr>
        <w:spacing w:after="120" w:line="240" w:lineRule="exact"/>
        <w:ind w:left="283" w:hanging="283"/>
        <w:jc w:val="both"/>
        <w:rPr>
          <w:rFonts w:ascii="FrankRuehl" w:hAnsi="FrankRuehl" w:cs="FrankRuehl"/>
          <w:rtl/>
        </w:rPr>
      </w:pPr>
    </w:p>
    <w:p w14:paraId="0A0BE022" w14:textId="77777777" w:rsidR="00AF1A32" w:rsidRPr="00AF1A32" w:rsidRDefault="00AF1A32" w:rsidP="00AF1A32">
      <w:pPr>
        <w:spacing w:after="120" w:line="240" w:lineRule="exact"/>
        <w:ind w:left="283" w:hanging="283"/>
        <w:jc w:val="both"/>
        <w:rPr>
          <w:rFonts w:ascii="FrankRuehl" w:hAnsi="FrankRuehl" w:cs="FrankRuehl"/>
          <w:rtl/>
        </w:rPr>
      </w:pPr>
      <w:r w:rsidRPr="00AF1A32">
        <w:rPr>
          <w:rFonts w:ascii="FrankRuehl" w:hAnsi="FrankRuehl" w:cs="FrankRuehl"/>
          <w:rtl/>
        </w:rPr>
        <w:t xml:space="preserve">חקיקה שאוזכרה: </w:t>
      </w:r>
    </w:p>
    <w:p w14:paraId="04A234AC" w14:textId="77777777" w:rsidR="00AF1A32" w:rsidRPr="00AF1A32" w:rsidRDefault="00AF1A32" w:rsidP="00AF1A32">
      <w:pPr>
        <w:spacing w:after="120" w:line="240" w:lineRule="exact"/>
        <w:ind w:left="283" w:hanging="283"/>
        <w:jc w:val="both"/>
        <w:rPr>
          <w:rFonts w:ascii="FrankRuehl" w:hAnsi="FrankRuehl" w:cs="FrankRuehl"/>
          <w:rtl/>
        </w:rPr>
      </w:pPr>
      <w:hyperlink r:id="rId6" w:history="1">
        <w:r w:rsidRPr="00AF1A32">
          <w:rPr>
            <w:rFonts w:ascii="FrankRuehl" w:hAnsi="FrankRuehl" w:cs="FrankRuehl"/>
            <w:color w:val="0000FF"/>
            <w:u w:val="single"/>
            <w:rtl/>
          </w:rPr>
          <w:t>פקודת הסמים המסוכנים [נוסח חדש], תשל"ג-1973</w:t>
        </w:r>
      </w:hyperlink>
      <w:r w:rsidRPr="00AF1A32">
        <w:rPr>
          <w:rFonts w:ascii="FrankRuehl" w:hAnsi="FrankRuehl" w:cs="FrankRuehl"/>
          <w:rtl/>
        </w:rPr>
        <w:t xml:space="preserve">: סע'  </w:t>
      </w:r>
      <w:hyperlink r:id="rId7" w:history="1">
        <w:r w:rsidRPr="00AF1A32">
          <w:rPr>
            <w:rFonts w:ascii="FrankRuehl" w:hAnsi="FrankRuehl" w:cs="FrankRuehl"/>
            <w:color w:val="0000FF"/>
            <w:u w:val="single"/>
            <w:rtl/>
          </w:rPr>
          <w:t>7(א)(ג)</w:t>
        </w:r>
      </w:hyperlink>
      <w:r w:rsidRPr="00AF1A32">
        <w:rPr>
          <w:rFonts w:ascii="FrankRuehl" w:hAnsi="FrankRuehl" w:cs="FrankRuehl"/>
          <w:rtl/>
        </w:rPr>
        <w:t xml:space="preserve">, </w:t>
      </w:r>
      <w:hyperlink r:id="rId8" w:history="1">
        <w:r w:rsidRPr="00AF1A32">
          <w:rPr>
            <w:rFonts w:ascii="FrankRuehl" w:hAnsi="FrankRuehl" w:cs="FrankRuehl"/>
            <w:color w:val="0000FF"/>
            <w:u w:val="single"/>
            <w:rtl/>
          </w:rPr>
          <w:t>10</w:t>
        </w:r>
      </w:hyperlink>
    </w:p>
    <w:p w14:paraId="5DCB666D" w14:textId="77777777" w:rsidR="00AF1A32" w:rsidRPr="00AF1A32" w:rsidRDefault="00AF1A32" w:rsidP="00AF1A32">
      <w:pPr>
        <w:spacing w:after="120" w:line="240" w:lineRule="exact"/>
        <w:ind w:left="283" w:hanging="283"/>
        <w:jc w:val="both"/>
        <w:rPr>
          <w:rFonts w:ascii="FrankRuehl" w:hAnsi="FrankRuehl" w:cs="FrankRuehl"/>
          <w:rtl/>
        </w:rPr>
      </w:pPr>
      <w:hyperlink r:id="rId9" w:history="1">
        <w:r w:rsidRPr="00AF1A32">
          <w:rPr>
            <w:rFonts w:ascii="FrankRuehl" w:hAnsi="FrankRuehl" w:cs="FrankRuehl"/>
            <w:color w:val="0000FF"/>
            <w:u w:val="single"/>
            <w:rtl/>
          </w:rPr>
          <w:t>חוק העונשין, תשל"ז-1977</w:t>
        </w:r>
      </w:hyperlink>
      <w:r w:rsidRPr="00AF1A32">
        <w:rPr>
          <w:rFonts w:ascii="FrankRuehl" w:hAnsi="FrankRuehl" w:cs="FrankRuehl"/>
          <w:rtl/>
        </w:rPr>
        <w:t xml:space="preserve">: סע'  </w:t>
      </w:r>
      <w:hyperlink r:id="rId10" w:history="1">
        <w:r w:rsidRPr="00AF1A32">
          <w:rPr>
            <w:rFonts w:ascii="FrankRuehl" w:hAnsi="FrankRuehl" w:cs="FrankRuehl"/>
            <w:color w:val="0000FF"/>
            <w:u w:val="single"/>
            <w:rtl/>
          </w:rPr>
          <w:t>40.א.</w:t>
        </w:r>
      </w:hyperlink>
      <w:r w:rsidRPr="00AF1A32">
        <w:rPr>
          <w:rFonts w:ascii="FrankRuehl" w:hAnsi="FrankRuehl" w:cs="FrankRuehl"/>
          <w:rtl/>
        </w:rPr>
        <w:t xml:space="preserve">, </w:t>
      </w:r>
      <w:hyperlink r:id="rId11" w:history="1">
        <w:r w:rsidRPr="00AF1A32">
          <w:rPr>
            <w:rFonts w:ascii="FrankRuehl" w:hAnsi="FrankRuehl" w:cs="FrankRuehl"/>
            <w:color w:val="0000FF"/>
            <w:u w:val="single"/>
            <w:rtl/>
          </w:rPr>
          <w:t>40.ב.</w:t>
        </w:r>
      </w:hyperlink>
      <w:r w:rsidRPr="00AF1A32">
        <w:rPr>
          <w:rFonts w:ascii="FrankRuehl" w:hAnsi="FrankRuehl" w:cs="FrankRuehl"/>
          <w:rtl/>
        </w:rPr>
        <w:t xml:space="preserve">, </w:t>
      </w:r>
      <w:hyperlink r:id="rId12" w:history="1">
        <w:r w:rsidRPr="00AF1A32">
          <w:rPr>
            <w:rFonts w:ascii="FrankRuehl" w:hAnsi="FrankRuehl" w:cs="FrankRuehl"/>
            <w:color w:val="0000FF"/>
            <w:u w:val="single"/>
            <w:rtl/>
          </w:rPr>
          <w:t>40.ג.</w:t>
        </w:r>
      </w:hyperlink>
      <w:r w:rsidRPr="00AF1A32">
        <w:rPr>
          <w:rFonts w:ascii="FrankRuehl" w:hAnsi="FrankRuehl" w:cs="FrankRuehl"/>
          <w:rtl/>
        </w:rPr>
        <w:t xml:space="preserve">, </w:t>
      </w:r>
      <w:hyperlink r:id="rId13" w:history="1">
        <w:r w:rsidRPr="00AF1A32">
          <w:rPr>
            <w:rFonts w:ascii="FrankRuehl" w:hAnsi="FrankRuehl" w:cs="FrankRuehl"/>
            <w:color w:val="0000FF"/>
            <w:u w:val="single"/>
            <w:rtl/>
          </w:rPr>
          <w:t>40.ד.</w:t>
        </w:r>
      </w:hyperlink>
      <w:r w:rsidRPr="00AF1A32">
        <w:rPr>
          <w:rFonts w:ascii="FrankRuehl" w:hAnsi="FrankRuehl" w:cs="FrankRuehl"/>
          <w:rtl/>
        </w:rPr>
        <w:t xml:space="preserve">, </w:t>
      </w:r>
      <w:hyperlink r:id="rId14" w:history="1">
        <w:r w:rsidRPr="00AF1A32">
          <w:rPr>
            <w:rFonts w:ascii="FrankRuehl" w:hAnsi="FrankRuehl" w:cs="FrankRuehl"/>
            <w:color w:val="0000FF"/>
            <w:u w:val="single"/>
            <w:rtl/>
          </w:rPr>
          <w:t>40.ה.</w:t>
        </w:r>
      </w:hyperlink>
      <w:r w:rsidRPr="00AF1A32">
        <w:rPr>
          <w:rFonts w:ascii="FrankRuehl" w:hAnsi="FrankRuehl" w:cs="FrankRuehl"/>
          <w:rtl/>
        </w:rPr>
        <w:t xml:space="preserve">, </w:t>
      </w:r>
      <w:hyperlink r:id="rId15" w:history="1">
        <w:r w:rsidRPr="00AF1A32">
          <w:rPr>
            <w:rFonts w:ascii="FrankRuehl" w:hAnsi="FrankRuehl" w:cs="FrankRuehl"/>
            <w:color w:val="0000FF"/>
            <w:u w:val="single"/>
            <w:rtl/>
          </w:rPr>
          <w:t>40.ו.</w:t>
        </w:r>
      </w:hyperlink>
      <w:r w:rsidRPr="00AF1A32">
        <w:rPr>
          <w:rFonts w:ascii="FrankRuehl" w:hAnsi="FrankRuehl" w:cs="FrankRuehl"/>
          <w:rtl/>
        </w:rPr>
        <w:t xml:space="preserve">, </w:t>
      </w:r>
      <w:hyperlink r:id="rId16" w:history="1">
        <w:r w:rsidRPr="00AF1A32">
          <w:rPr>
            <w:rFonts w:ascii="FrankRuehl" w:hAnsi="FrankRuehl" w:cs="FrankRuehl"/>
            <w:color w:val="0000FF"/>
            <w:u w:val="single"/>
            <w:rtl/>
          </w:rPr>
          <w:t>40.ז.</w:t>
        </w:r>
      </w:hyperlink>
      <w:r w:rsidRPr="00AF1A32">
        <w:rPr>
          <w:rFonts w:ascii="FrankRuehl" w:hAnsi="FrankRuehl" w:cs="FrankRuehl"/>
          <w:rtl/>
        </w:rPr>
        <w:t xml:space="preserve">, </w:t>
      </w:r>
      <w:hyperlink r:id="rId17" w:history="1">
        <w:r w:rsidRPr="00AF1A32">
          <w:rPr>
            <w:rFonts w:ascii="FrankRuehl" w:hAnsi="FrankRuehl" w:cs="FrankRuehl"/>
            <w:color w:val="0000FF"/>
            <w:u w:val="single"/>
            <w:rtl/>
          </w:rPr>
          <w:t>40.ח.</w:t>
        </w:r>
      </w:hyperlink>
      <w:r w:rsidRPr="00AF1A32">
        <w:rPr>
          <w:rFonts w:ascii="FrankRuehl" w:hAnsi="FrankRuehl" w:cs="FrankRuehl"/>
          <w:rtl/>
        </w:rPr>
        <w:t xml:space="preserve">, </w:t>
      </w:r>
      <w:hyperlink r:id="rId18" w:history="1">
        <w:r w:rsidRPr="00AF1A32">
          <w:rPr>
            <w:rFonts w:ascii="FrankRuehl" w:hAnsi="FrankRuehl" w:cs="FrankRuehl"/>
            <w:color w:val="0000FF"/>
            <w:u w:val="single"/>
            <w:rtl/>
          </w:rPr>
          <w:t>40.ט</w:t>
        </w:r>
      </w:hyperlink>
      <w:r w:rsidRPr="00AF1A32">
        <w:rPr>
          <w:rFonts w:ascii="FrankRuehl" w:hAnsi="FrankRuehl" w:cs="FrankRuehl"/>
          <w:rtl/>
        </w:rPr>
        <w:t xml:space="preserve">, </w:t>
      </w:r>
      <w:hyperlink r:id="rId19" w:history="1">
        <w:r w:rsidRPr="00AF1A32">
          <w:rPr>
            <w:rFonts w:ascii="FrankRuehl" w:hAnsi="FrankRuehl" w:cs="FrankRuehl"/>
            <w:color w:val="0000FF"/>
            <w:u w:val="single"/>
            <w:rtl/>
          </w:rPr>
          <w:t>58</w:t>
        </w:r>
      </w:hyperlink>
    </w:p>
    <w:p w14:paraId="5F25496C" w14:textId="77777777" w:rsidR="00AF1A32" w:rsidRPr="00AF1A32" w:rsidRDefault="00AF1A32" w:rsidP="00AF1A32">
      <w:pPr>
        <w:spacing w:after="120" w:line="240" w:lineRule="exact"/>
        <w:ind w:left="283" w:hanging="283"/>
        <w:jc w:val="both"/>
        <w:rPr>
          <w:rFonts w:ascii="FrankRuehl" w:hAnsi="FrankRuehl" w:cs="FrankRuehl"/>
          <w:rtl/>
        </w:rPr>
      </w:pPr>
    </w:p>
    <w:p w14:paraId="347EAEAB" w14:textId="77777777" w:rsidR="00AF1A32" w:rsidRPr="00AF1A32" w:rsidRDefault="00AF1A32" w:rsidP="00771684">
      <w:pPr>
        <w:rPr>
          <w:rtl/>
        </w:rPr>
      </w:pPr>
      <w:bookmarkStart w:id="3" w:name="LawTable_End"/>
      <w:bookmarkEnd w:id="3"/>
    </w:p>
    <w:p w14:paraId="7AFFA850" w14:textId="77777777" w:rsidR="00664134" w:rsidRPr="00664134" w:rsidRDefault="00664134" w:rsidP="00771684">
      <w:pPr>
        <w:rPr>
          <w:rtl/>
        </w:rPr>
      </w:pPr>
    </w:p>
    <w:p w14:paraId="3CE90F3B" w14:textId="77777777" w:rsidR="00664134" w:rsidRPr="00664134" w:rsidRDefault="00664134" w:rsidP="00771684">
      <w:pPr>
        <w:rPr>
          <w:rtl/>
        </w:rPr>
      </w:pPr>
    </w:p>
    <w:p w14:paraId="53FA222C" w14:textId="77777777" w:rsidR="00771684" w:rsidRPr="00664134" w:rsidRDefault="00771684" w:rsidP="0077168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1684" w:rsidRPr="00AF1CBC" w14:paraId="37BFDB4A" w14:textId="77777777" w:rsidTr="00771684">
        <w:trPr>
          <w:trHeight w:val="355"/>
          <w:jc w:val="center"/>
        </w:trPr>
        <w:tc>
          <w:tcPr>
            <w:tcW w:w="8820" w:type="dxa"/>
            <w:tcBorders>
              <w:top w:val="nil"/>
              <w:left w:val="nil"/>
              <w:bottom w:val="nil"/>
              <w:right w:val="nil"/>
            </w:tcBorders>
            <w:shd w:val="clear" w:color="auto" w:fill="auto"/>
          </w:tcPr>
          <w:p w14:paraId="3DFDE6B9" w14:textId="77777777" w:rsidR="00664134" w:rsidRPr="00664134" w:rsidRDefault="00664134" w:rsidP="00664134">
            <w:pPr>
              <w:jc w:val="center"/>
              <w:rPr>
                <w:rFonts w:ascii="Arial" w:hAnsi="Arial"/>
                <w:b/>
                <w:bCs/>
                <w:sz w:val="32"/>
                <w:szCs w:val="32"/>
                <w:u w:val="single"/>
                <w:rtl/>
              </w:rPr>
            </w:pPr>
            <w:bookmarkStart w:id="4" w:name="PsakDin" w:colFirst="0" w:colLast="0"/>
            <w:bookmarkEnd w:id="0"/>
            <w:r w:rsidRPr="00664134">
              <w:rPr>
                <w:rFonts w:ascii="Arial" w:hAnsi="Arial"/>
                <w:b/>
                <w:bCs/>
                <w:sz w:val="32"/>
                <w:szCs w:val="32"/>
                <w:u w:val="single"/>
                <w:rtl/>
              </w:rPr>
              <w:t>גזר דין</w:t>
            </w:r>
          </w:p>
          <w:p w14:paraId="508920E5" w14:textId="77777777" w:rsidR="00771684" w:rsidRPr="00664134" w:rsidRDefault="00771684" w:rsidP="00664134">
            <w:pPr>
              <w:jc w:val="center"/>
              <w:rPr>
                <w:rFonts w:ascii="Arial" w:hAnsi="Arial"/>
                <w:bCs/>
                <w:sz w:val="32"/>
                <w:szCs w:val="32"/>
                <w:u w:val="single"/>
                <w:rtl/>
              </w:rPr>
            </w:pPr>
          </w:p>
        </w:tc>
      </w:tr>
      <w:bookmarkEnd w:id="4"/>
    </w:tbl>
    <w:p w14:paraId="564C8783" w14:textId="77777777" w:rsidR="00771684" w:rsidRPr="00B05847" w:rsidRDefault="00771684" w:rsidP="00771684">
      <w:pPr>
        <w:rPr>
          <w:rFonts w:ascii="Arial" w:hAnsi="Arial"/>
          <w:rtl/>
        </w:rPr>
      </w:pPr>
    </w:p>
    <w:p w14:paraId="50F7A06E" w14:textId="77777777" w:rsidR="00771684" w:rsidRPr="00B05847" w:rsidRDefault="00771684" w:rsidP="00771684">
      <w:pPr>
        <w:rPr>
          <w:rFonts w:ascii="Arial" w:hAnsi="Arial"/>
          <w:rtl/>
        </w:rPr>
      </w:pPr>
    </w:p>
    <w:p w14:paraId="46D26EC2" w14:textId="77777777" w:rsidR="00771684" w:rsidRPr="009B2655" w:rsidRDefault="00771684" w:rsidP="00771684">
      <w:pPr>
        <w:jc w:val="both"/>
        <w:rPr>
          <w:b/>
          <w:bCs/>
          <w:u w:val="single"/>
          <w:rtl/>
        </w:rPr>
      </w:pPr>
      <w:r w:rsidRPr="009B2655">
        <w:rPr>
          <w:b/>
          <w:bCs/>
          <w:u w:val="single"/>
          <w:rtl/>
        </w:rPr>
        <w:t>כתב האישום וההליכים</w:t>
      </w:r>
    </w:p>
    <w:p w14:paraId="11EFD74E" w14:textId="77777777" w:rsidR="00771684" w:rsidRPr="009B2655" w:rsidRDefault="00771684" w:rsidP="00771684">
      <w:pPr>
        <w:jc w:val="both"/>
        <w:rPr>
          <w:rtl/>
        </w:rPr>
      </w:pPr>
    </w:p>
    <w:p w14:paraId="3923821C" w14:textId="77777777" w:rsidR="00771684" w:rsidRPr="009B2655" w:rsidRDefault="00771684" w:rsidP="00771684">
      <w:pPr>
        <w:jc w:val="both"/>
        <w:rPr>
          <w:rtl/>
        </w:rPr>
      </w:pPr>
      <w:bookmarkStart w:id="5" w:name="ABSTRACT_START"/>
      <w:bookmarkEnd w:id="5"/>
    </w:p>
    <w:p w14:paraId="22433D8C" w14:textId="77777777" w:rsidR="00771684" w:rsidRPr="009B2655" w:rsidRDefault="00771684" w:rsidP="00771684">
      <w:pPr>
        <w:spacing w:line="360" w:lineRule="auto"/>
        <w:contextualSpacing/>
        <w:jc w:val="both"/>
      </w:pPr>
      <w:r>
        <w:rPr>
          <w:rFonts w:hint="cs"/>
          <w:rtl/>
        </w:rPr>
        <w:t>1.</w:t>
      </w:r>
      <w:r>
        <w:rPr>
          <w:rFonts w:hint="cs"/>
          <w:rtl/>
        </w:rPr>
        <w:tab/>
      </w:r>
      <w:r w:rsidRPr="009B2655">
        <w:rPr>
          <w:rtl/>
        </w:rPr>
        <w:t xml:space="preserve">הנאשם הורשע, במסגרת הסדר טיעון, בעבירה של החזקת סמים שלא לצריכה עצמית בלבד, </w:t>
      </w:r>
      <w:r>
        <w:rPr>
          <w:rFonts w:hint="cs"/>
          <w:rtl/>
        </w:rPr>
        <w:t xml:space="preserve">עבירה </w:t>
      </w:r>
      <w:r w:rsidRPr="009B2655">
        <w:rPr>
          <w:rtl/>
        </w:rPr>
        <w:t xml:space="preserve">לפי סעיף </w:t>
      </w:r>
      <w:hyperlink r:id="rId20" w:history="1">
        <w:r w:rsidR="00AF1A32" w:rsidRPr="00AF1A32">
          <w:rPr>
            <w:color w:val="0000FF"/>
            <w:u w:val="single"/>
            <w:rtl/>
          </w:rPr>
          <w:t>7(א)(ג),</w:t>
        </w:r>
      </w:hyperlink>
      <w:r w:rsidRPr="009B2655">
        <w:rPr>
          <w:rtl/>
        </w:rPr>
        <w:t>רישא ל</w:t>
      </w:r>
      <w:hyperlink r:id="rId21" w:history="1">
        <w:r w:rsidR="00664134" w:rsidRPr="00664134">
          <w:rPr>
            <w:color w:val="0000FF"/>
            <w:u w:val="single"/>
            <w:rtl/>
          </w:rPr>
          <w:t>פקודת הסמים המסוכנים</w:t>
        </w:r>
      </w:hyperlink>
      <w:r w:rsidRPr="009B2655">
        <w:rPr>
          <w:rtl/>
        </w:rPr>
        <w:t xml:space="preserve"> [נוסח חדש] תשל"ג-1973 (להלן: </w:t>
      </w:r>
      <w:r w:rsidRPr="009B2655">
        <w:rPr>
          <w:b/>
          <w:bCs/>
          <w:rtl/>
        </w:rPr>
        <w:t>"</w:t>
      </w:r>
      <w:r w:rsidRPr="00E568AD">
        <w:rPr>
          <w:rFonts w:cs="Miriam"/>
          <w:rtl/>
        </w:rPr>
        <w:t>הפקודה</w:t>
      </w:r>
      <w:r w:rsidRPr="009B2655">
        <w:rPr>
          <w:b/>
          <w:bCs/>
          <w:rtl/>
        </w:rPr>
        <w:t>"</w:t>
      </w:r>
      <w:r w:rsidRPr="009B2655">
        <w:rPr>
          <w:rtl/>
        </w:rPr>
        <w:t xml:space="preserve">) ובעבירה של החזקת כלים להכנת סם שלא לצריכה עצמית, לפי </w:t>
      </w:r>
      <w:hyperlink r:id="rId22" w:history="1">
        <w:r w:rsidR="00AF1A32" w:rsidRPr="00AF1A32">
          <w:rPr>
            <w:color w:val="0000FF"/>
            <w:u w:val="single"/>
            <w:rtl/>
          </w:rPr>
          <w:t>סעיף 10</w:t>
        </w:r>
      </w:hyperlink>
      <w:r w:rsidRPr="009B2655">
        <w:rPr>
          <w:rtl/>
        </w:rPr>
        <w:t xml:space="preserve"> רישא לפקודה. מעובדות כתב האישום עולה כי ביום </w:t>
      </w:r>
      <w:r>
        <w:rPr>
          <w:rFonts w:hint="cs"/>
          <w:rtl/>
        </w:rPr>
        <w:t>5</w:t>
      </w:r>
      <w:r w:rsidRPr="009B2655">
        <w:rPr>
          <w:rtl/>
        </w:rPr>
        <w:t>.11.</w:t>
      </w:r>
      <w:r>
        <w:rPr>
          <w:rFonts w:hint="cs"/>
          <w:rtl/>
        </w:rPr>
        <w:t>16</w:t>
      </w:r>
      <w:r w:rsidRPr="009B2655">
        <w:rPr>
          <w:rtl/>
        </w:rPr>
        <w:t xml:space="preserve"> החזיק הנאשם, ביחידת דיור בה התגורר, סם מסוכן מסוג קנבוס במשקל 253.85 גרם נטו וכן משקל אלקטרוני קטן אשר שימש אותו לשקילת סמים</w:t>
      </w:r>
      <w:bookmarkStart w:id="6" w:name="ABSTRACT_END"/>
      <w:bookmarkEnd w:id="6"/>
      <w:r w:rsidRPr="009B2655">
        <w:rPr>
          <w:rtl/>
        </w:rPr>
        <w:t>.</w:t>
      </w:r>
    </w:p>
    <w:p w14:paraId="089CE161" w14:textId="77777777" w:rsidR="00771684" w:rsidRPr="0015044F" w:rsidRDefault="00771684" w:rsidP="00771684">
      <w:pPr>
        <w:spacing w:line="360" w:lineRule="auto"/>
        <w:contextualSpacing/>
        <w:jc w:val="both"/>
        <w:rPr>
          <w:rtl/>
        </w:rPr>
      </w:pPr>
      <w:r w:rsidRPr="0015044F">
        <w:rPr>
          <w:rtl/>
        </w:rPr>
        <w:t xml:space="preserve"> </w:t>
      </w:r>
    </w:p>
    <w:p w14:paraId="057EFE97" w14:textId="77777777" w:rsidR="00771684" w:rsidRDefault="00771684" w:rsidP="00771684">
      <w:pPr>
        <w:spacing w:line="360" w:lineRule="auto"/>
        <w:contextualSpacing/>
        <w:jc w:val="both"/>
        <w:rPr>
          <w:rtl/>
        </w:rPr>
      </w:pPr>
      <w:r w:rsidRPr="0015044F">
        <w:rPr>
          <w:rtl/>
        </w:rPr>
        <w:tab/>
      </w:r>
      <w:r w:rsidRPr="0015044F">
        <w:rPr>
          <w:rFonts w:hint="cs"/>
          <w:rtl/>
        </w:rPr>
        <w:t>במסגרת הסדר הטיעון הסכימו הצדדים כי הנאשם יישלח לשירות המבחן וכי "</w:t>
      </w:r>
      <w:r w:rsidRPr="005127A0">
        <w:rPr>
          <w:rFonts w:cs="Miriam" w:hint="cs"/>
          <w:rtl/>
        </w:rPr>
        <w:t xml:space="preserve">ככל שהתסקיר יהיה חיובי (והכוונה היא היעדר שימוש והמלצה לטיפול) העונש הכולל יהיה 6 חודשי מאסר בעבודות שירות, תוך חפיפת העונש המותנה והכל בכפוף לחוו"ד הממונה. ככל </w:t>
      </w:r>
      <w:r w:rsidRPr="005127A0">
        <w:rPr>
          <w:rFonts w:cs="Miriam" w:hint="cs"/>
          <w:rtl/>
        </w:rPr>
        <w:lastRenderedPageBreak/>
        <w:t>שהתסקיר לא יהיה חיובי, העונש יהיה חופשי</w:t>
      </w:r>
      <w:r>
        <w:rPr>
          <w:rFonts w:cs="Miriam" w:hint="cs"/>
          <w:rtl/>
        </w:rPr>
        <w:t>,</w:t>
      </w:r>
      <w:r w:rsidRPr="005127A0">
        <w:rPr>
          <w:rFonts w:cs="Miriam" w:hint="cs"/>
          <w:rtl/>
        </w:rPr>
        <w:t xml:space="preserve"> תוך שהמאשימה תגביל עצמה ל-10 חודשי מאסר הכוללים את העונש המותנה, בניכוי ימי המעצר</w:t>
      </w:r>
      <w:r>
        <w:rPr>
          <w:rFonts w:hint="cs"/>
          <w:rtl/>
        </w:rPr>
        <w:t>"</w:t>
      </w:r>
      <w:r w:rsidRPr="0015044F">
        <w:rPr>
          <w:rFonts w:hint="cs"/>
          <w:rtl/>
        </w:rPr>
        <w:t>.</w:t>
      </w:r>
      <w:r>
        <w:rPr>
          <w:rFonts w:hint="cs"/>
          <w:rtl/>
        </w:rPr>
        <w:t xml:space="preserve"> </w:t>
      </w:r>
    </w:p>
    <w:p w14:paraId="73F98ABE" w14:textId="77777777" w:rsidR="00771684" w:rsidRDefault="00771684" w:rsidP="00771684">
      <w:pPr>
        <w:spacing w:line="360" w:lineRule="auto"/>
        <w:contextualSpacing/>
        <w:jc w:val="both"/>
        <w:rPr>
          <w:rtl/>
        </w:rPr>
      </w:pPr>
    </w:p>
    <w:p w14:paraId="474C9B73" w14:textId="77777777" w:rsidR="00771684" w:rsidRPr="0015044F" w:rsidRDefault="00771684" w:rsidP="00771684">
      <w:pPr>
        <w:spacing w:line="360" w:lineRule="auto"/>
        <w:contextualSpacing/>
        <w:jc w:val="both"/>
      </w:pPr>
      <w:r>
        <w:rPr>
          <w:rtl/>
        </w:rPr>
        <w:tab/>
      </w:r>
      <w:r>
        <w:rPr>
          <w:rFonts w:hint="cs"/>
          <w:rtl/>
        </w:rPr>
        <w:t xml:space="preserve">אומר כבר עתה, כי בסופו של יום, לא בא שירות המבחן בהמלצה טיפולית והצדדים טענו לכן בהתאם לסיפא להסכמה. </w:t>
      </w:r>
    </w:p>
    <w:p w14:paraId="60F47181" w14:textId="77777777" w:rsidR="00771684" w:rsidRPr="009B2655" w:rsidRDefault="00771684" w:rsidP="00771684">
      <w:pPr>
        <w:spacing w:line="360" w:lineRule="auto"/>
        <w:contextualSpacing/>
        <w:jc w:val="both"/>
        <w:rPr>
          <w:rtl/>
        </w:rPr>
      </w:pPr>
    </w:p>
    <w:p w14:paraId="1CB33CD4" w14:textId="77777777" w:rsidR="00771684" w:rsidRPr="009B2655" w:rsidRDefault="00771684" w:rsidP="00771684">
      <w:pPr>
        <w:spacing w:line="360" w:lineRule="auto"/>
        <w:jc w:val="both"/>
        <w:rPr>
          <w:b/>
          <w:bCs/>
          <w:u w:val="single"/>
          <w:rtl/>
        </w:rPr>
      </w:pPr>
      <w:r w:rsidRPr="009B2655">
        <w:rPr>
          <w:b/>
          <w:bCs/>
          <w:u w:val="single"/>
          <w:rtl/>
        </w:rPr>
        <w:t>תסקירי שירות המבחן</w:t>
      </w:r>
    </w:p>
    <w:p w14:paraId="23315820" w14:textId="77777777" w:rsidR="00771684" w:rsidRPr="009B2655" w:rsidRDefault="00771684" w:rsidP="00771684">
      <w:pPr>
        <w:spacing w:line="360" w:lineRule="auto"/>
        <w:jc w:val="both"/>
        <w:rPr>
          <w:b/>
          <w:bCs/>
          <w:u w:val="single"/>
          <w:rtl/>
        </w:rPr>
      </w:pPr>
    </w:p>
    <w:p w14:paraId="370E8590" w14:textId="77777777" w:rsidR="00771684" w:rsidRDefault="00771684" w:rsidP="00771684">
      <w:pPr>
        <w:spacing w:line="360" w:lineRule="auto"/>
        <w:contextualSpacing/>
        <w:jc w:val="both"/>
        <w:rPr>
          <w:rtl/>
        </w:rPr>
      </w:pPr>
      <w:r>
        <w:rPr>
          <w:rFonts w:hint="cs"/>
          <w:rtl/>
        </w:rPr>
        <w:t>2.</w:t>
      </w:r>
      <w:r>
        <w:rPr>
          <w:rFonts w:hint="cs"/>
          <w:rtl/>
        </w:rPr>
        <w:tab/>
      </w:r>
      <w:r w:rsidRPr="009B2655">
        <w:rPr>
          <w:rtl/>
        </w:rPr>
        <w:t>שירות המבחן הגיש בעניינו של הנאשם</w:t>
      </w:r>
      <w:r>
        <w:rPr>
          <w:rFonts w:hint="cs"/>
          <w:rtl/>
        </w:rPr>
        <w:t>, רווק כבן 27 המתגורר בבית הוריו.</w:t>
      </w:r>
      <w:r w:rsidRPr="009B2655">
        <w:rPr>
          <w:rtl/>
        </w:rPr>
        <w:t xml:space="preserve"> חמישה תסקירים</w:t>
      </w:r>
      <w:r>
        <w:rPr>
          <w:rtl/>
        </w:rPr>
        <w:t>, שהתפרשו על פני תקופה של כשנה.</w:t>
      </w:r>
      <w:r>
        <w:rPr>
          <w:rFonts w:hint="cs"/>
          <w:rtl/>
        </w:rPr>
        <w:t xml:space="preserve"> </w:t>
      </w:r>
      <w:r w:rsidRPr="009B2655">
        <w:rPr>
          <w:rtl/>
        </w:rPr>
        <w:t>בתקופה זו היה הנאשם בקשר עם היחידה ל</w:t>
      </w:r>
      <w:r>
        <w:rPr>
          <w:rFonts w:hint="cs"/>
          <w:rtl/>
        </w:rPr>
        <w:t>טיפול ב</w:t>
      </w:r>
      <w:r>
        <w:rPr>
          <w:rtl/>
        </w:rPr>
        <w:t>התמכרויות בקריית אתא</w:t>
      </w:r>
      <w:r>
        <w:rPr>
          <w:rFonts w:hint="cs"/>
          <w:rtl/>
        </w:rPr>
        <w:t xml:space="preserve">, על מנת לסייע לו להיגמל מהתמכרותו לסמים. </w:t>
      </w:r>
    </w:p>
    <w:p w14:paraId="4326B928" w14:textId="77777777" w:rsidR="00771684" w:rsidRPr="009B2655" w:rsidRDefault="00771684" w:rsidP="00771684">
      <w:pPr>
        <w:spacing w:line="360" w:lineRule="auto"/>
        <w:contextualSpacing/>
        <w:jc w:val="both"/>
        <w:rPr>
          <w:rtl/>
        </w:rPr>
      </w:pPr>
      <w:r>
        <w:rPr>
          <w:rtl/>
        </w:rPr>
        <w:tab/>
      </w:r>
      <w:r w:rsidRPr="009B2655">
        <w:rPr>
          <w:rtl/>
        </w:rPr>
        <w:t xml:space="preserve">מנימוקים של צנעת הפרט לא </w:t>
      </w:r>
      <w:r>
        <w:rPr>
          <w:rFonts w:hint="cs"/>
          <w:rtl/>
        </w:rPr>
        <w:t>אפרט יתר על המידה</w:t>
      </w:r>
      <w:r w:rsidRPr="009B2655">
        <w:rPr>
          <w:rtl/>
        </w:rPr>
        <w:t xml:space="preserve">, אך בתמצית </w:t>
      </w:r>
      <w:r>
        <w:rPr>
          <w:rFonts w:hint="cs"/>
          <w:rtl/>
        </w:rPr>
        <w:t>י</w:t>
      </w:r>
      <w:r w:rsidRPr="009B2655">
        <w:rPr>
          <w:rtl/>
        </w:rPr>
        <w:t xml:space="preserve">יאמר כי </w:t>
      </w:r>
      <w:r>
        <w:rPr>
          <w:rFonts w:hint="cs"/>
        </w:rPr>
        <w:t xml:space="preserve"> </w:t>
      </w:r>
      <w:r w:rsidRPr="009B2655">
        <w:rPr>
          <w:rtl/>
        </w:rPr>
        <w:t xml:space="preserve">שירות המבחן התרשם </w:t>
      </w:r>
      <w:r>
        <w:rPr>
          <w:rFonts w:hint="cs"/>
          <w:rtl/>
        </w:rPr>
        <w:t>מבחור צעיר ה</w:t>
      </w:r>
      <w:r w:rsidRPr="009B2655">
        <w:rPr>
          <w:rtl/>
        </w:rPr>
        <w:t xml:space="preserve">מנהל אורח חיים התמכרותי וניכרת </w:t>
      </w:r>
      <w:r>
        <w:rPr>
          <w:rFonts w:hint="cs"/>
          <w:rtl/>
        </w:rPr>
        <w:t xml:space="preserve">בעניינו </w:t>
      </w:r>
      <w:r w:rsidRPr="009B2655">
        <w:rPr>
          <w:rtl/>
        </w:rPr>
        <w:t xml:space="preserve">נזקקות טיפולית גבוהה. </w:t>
      </w:r>
      <w:r>
        <w:rPr>
          <w:rFonts w:hint="cs"/>
          <w:rtl/>
        </w:rPr>
        <w:t xml:space="preserve"> עוד עלה מהתסקירים כי הנאשם עבר </w:t>
      </w:r>
      <w:r w:rsidRPr="009B2655">
        <w:rPr>
          <w:rtl/>
        </w:rPr>
        <w:t xml:space="preserve">אירועים משבריים </w:t>
      </w:r>
      <w:r>
        <w:rPr>
          <w:rFonts w:hint="cs"/>
          <w:rtl/>
        </w:rPr>
        <w:t xml:space="preserve">אשר </w:t>
      </w:r>
      <w:r w:rsidRPr="009B2655">
        <w:rPr>
          <w:rtl/>
        </w:rPr>
        <w:t xml:space="preserve">הובילו אותו להתמכרות ארוכת שנים לסמים. </w:t>
      </w:r>
    </w:p>
    <w:p w14:paraId="3F9A1730" w14:textId="77777777" w:rsidR="00771684" w:rsidRPr="009B2655" w:rsidRDefault="00771684" w:rsidP="00771684">
      <w:pPr>
        <w:spacing w:line="360" w:lineRule="auto"/>
        <w:contextualSpacing/>
        <w:jc w:val="both"/>
        <w:rPr>
          <w:rtl/>
        </w:rPr>
      </w:pPr>
      <w:r>
        <w:rPr>
          <w:rFonts w:hint="cs"/>
          <w:rtl/>
        </w:rPr>
        <w:t xml:space="preserve"> עם זאת,</w:t>
      </w:r>
      <w:r>
        <w:rPr>
          <w:rtl/>
        </w:rPr>
        <w:t xml:space="preserve"> הנאשם </w:t>
      </w:r>
      <w:r>
        <w:rPr>
          <w:rFonts w:hint="cs"/>
          <w:rtl/>
        </w:rPr>
        <w:t xml:space="preserve">התקשה לשתף פעולה לאורך זמן ובשלב מסוים </w:t>
      </w:r>
      <w:r w:rsidRPr="009B2655">
        <w:rPr>
          <w:rtl/>
        </w:rPr>
        <w:t xml:space="preserve">הוחלט כי </w:t>
      </w:r>
      <w:r>
        <w:rPr>
          <w:rFonts w:hint="cs"/>
          <w:rtl/>
        </w:rPr>
        <w:t xml:space="preserve">לא ימשיך עוד </w:t>
      </w:r>
      <w:r w:rsidRPr="009B2655">
        <w:rPr>
          <w:rtl/>
        </w:rPr>
        <w:t xml:space="preserve">בטיפול במסגרת היחידה להתמכרויות. </w:t>
      </w:r>
      <w:r>
        <w:rPr>
          <w:rFonts w:hint="cs"/>
          <w:rtl/>
        </w:rPr>
        <w:t>כפי שצוין לעיל, שירות המבחן הגיש מספר תסקירים ו</w:t>
      </w:r>
      <w:r w:rsidRPr="009B2655">
        <w:rPr>
          <w:rtl/>
        </w:rPr>
        <w:t>המלצות</w:t>
      </w:r>
      <w:r>
        <w:rPr>
          <w:rFonts w:hint="cs"/>
          <w:rtl/>
        </w:rPr>
        <w:t>יו</w:t>
      </w:r>
      <w:r w:rsidRPr="009B2655">
        <w:rPr>
          <w:rtl/>
        </w:rPr>
        <w:t xml:space="preserve"> ידעו תהפוכות</w:t>
      </w:r>
      <w:r>
        <w:rPr>
          <w:rFonts w:hint="cs"/>
          <w:rtl/>
        </w:rPr>
        <w:t xml:space="preserve"> (כפונקציה של שיתוף הפעולה מצד הנאשם) </w:t>
      </w:r>
      <w:r w:rsidRPr="009B2655">
        <w:rPr>
          <w:rtl/>
        </w:rPr>
        <w:t>ולבסוף, נמנע שירות המבחן מהמלצה טיפולית</w:t>
      </w:r>
      <w:r>
        <w:rPr>
          <w:rFonts w:hint="cs"/>
          <w:rtl/>
        </w:rPr>
        <w:t>, אך המליץ</w:t>
      </w:r>
      <w:r w:rsidRPr="009B2655">
        <w:rPr>
          <w:rtl/>
        </w:rPr>
        <w:t xml:space="preserve"> </w:t>
      </w:r>
      <w:r>
        <w:rPr>
          <w:rFonts w:hint="cs"/>
          <w:rtl/>
        </w:rPr>
        <w:t>לבחון אפשרות להטיל על הנאשם עונש מאסר ב</w:t>
      </w:r>
      <w:r w:rsidRPr="009B2655">
        <w:rPr>
          <w:rtl/>
        </w:rPr>
        <w:t>עבודות שירות</w:t>
      </w:r>
      <w:r>
        <w:rPr>
          <w:rFonts w:hint="cs"/>
          <w:rtl/>
        </w:rPr>
        <w:t xml:space="preserve">, בצד </w:t>
      </w:r>
      <w:r w:rsidRPr="009B2655">
        <w:rPr>
          <w:rtl/>
        </w:rPr>
        <w:t>מאסר על תנאי.</w:t>
      </w:r>
    </w:p>
    <w:p w14:paraId="1578563F" w14:textId="77777777" w:rsidR="00771684" w:rsidRPr="009B2655" w:rsidRDefault="00771684" w:rsidP="00771684">
      <w:pPr>
        <w:spacing w:line="360" w:lineRule="auto"/>
        <w:ind w:left="360"/>
        <w:contextualSpacing/>
        <w:jc w:val="both"/>
        <w:rPr>
          <w:rtl/>
        </w:rPr>
      </w:pPr>
    </w:p>
    <w:p w14:paraId="44915F24" w14:textId="77777777" w:rsidR="00771684" w:rsidRPr="009B2655" w:rsidRDefault="00771684" w:rsidP="00771684">
      <w:pPr>
        <w:spacing w:line="360" w:lineRule="auto"/>
        <w:contextualSpacing/>
        <w:jc w:val="both"/>
        <w:rPr>
          <w:b/>
          <w:bCs/>
          <w:u w:val="single"/>
          <w:rtl/>
        </w:rPr>
      </w:pPr>
      <w:r w:rsidRPr="009B2655">
        <w:rPr>
          <w:b/>
          <w:bCs/>
          <w:u w:val="single"/>
          <w:rtl/>
        </w:rPr>
        <w:t>טיעוני הצדדים לעונש</w:t>
      </w:r>
    </w:p>
    <w:p w14:paraId="17FBC105" w14:textId="77777777" w:rsidR="00771684" w:rsidRPr="009B2655" w:rsidRDefault="00771684" w:rsidP="00771684">
      <w:pPr>
        <w:spacing w:line="360" w:lineRule="auto"/>
        <w:ind w:left="720"/>
        <w:contextualSpacing/>
        <w:jc w:val="both"/>
        <w:rPr>
          <w:b/>
          <w:bCs/>
          <w:u w:val="single"/>
          <w:rtl/>
        </w:rPr>
      </w:pPr>
    </w:p>
    <w:p w14:paraId="3028A799" w14:textId="77777777" w:rsidR="00771684" w:rsidRPr="009B2655" w:rsidRDefault="00771684" w:rsidP="00771684">
      <w:pPr>
        <w:spacing w:line="360" w:lineRule="auto"/>
        <w:contextualSpacing/>
        <w:jc w:val="both"/>
      </w:pPr>
      <w:r>
        <w:rPr>
          <w:rFonts w:hint="cs"/>
          <w:rtl/>
        </w:rPr>
        <w:t>3.</w:t>
      </w:r>
      <w:r>
        <w:rPr>
          <w:rFonts w:hint="cs"/>
          <w:rtl/>
        </w:rPr>
        <w:tab/>
      </w:r>
      <w:r w:rsidRPr="009B2655">
        <w:rPr>
          <w:rtl/>
        </w:rPr>
        <w:t xml:space="preserve">ב"כ המאשימה הפנה לחומרת מעשיו של הנאשם </w:t>
      </w:r>
      <w:r>
        <w:rPr>
          <w:rtl/>
        </w:rPr>
        <w:t>ולכמות הסם שנתפסה</w:t>
      </w:r>
      <w:r w:rsidRPr="009B2655">
        <w:rPr>
          <w:rtl/>
        </w:rPr>
        <w:t>. כן הפנה להרשע</w:t>
      </w:r>
      <w:r>
        <w:rPr>
          <w:rFonts w:hint="cs"/>
          <w:rtl/>
        </w:rPr>
        <w:t>ה</w:t>
      </w:r>
      <w:r w:rsidRPr="009B2655">
        <w:rPr>
          <w:rtl/>
        </w:rPr>
        <w:t xml:space="preserve"> קודמת, </w:t>
      </w:r>
      <w:r>
        <w:rPr>
          <w:rFonts w:hint="cs"/>
          <w:rtl/>
        </w:rPr>
        <w:t>אף</w:t>
      </w:r>
      <w:r w:rsidRPr="009B2655">
        <w:rPr>
          <w:rtl/>
        </w:rPr>
        <w:t xml:space="preserve"> היא בעבירה מתחום הסמים, </w:t>
      </w:r>
      <w:r>
        <w:rPr>
          <w:rFonts w:hint="cs"/>
          <w:rtl/>
        </w:rPr>
        <w:t xml:space="preserve">וטען </w:t>
      </w:r>
      <w:r w:rsidRPr="009B2655">
        <w:rPr>
          <w:rtl/>
        </w:rPr>
        <w:t xml:space="preserve">כי ענישה קודמת לא הציבה גבולות </w:t>
      </w:r>
      <w:r>
        <w:rPr>
          <w:rFonts w:hint="cs"/>
          <w:rtl/>
        </w:rPr>
        <w:t xml:space="preserve">לנאשם </w:t>
      </w:r>
      <w:r w:rsidRPr="009B2655">
        <w:rPr>
          <w:rtl/>
        </w:rPr>
        <w:t xml:space="preserve">ולא הרתיעה </w:t>
      </w:r>
      <w:r>
        <w:rPr>
          <w:rFonts w:hint="cs"/>
          <w:rtl/>
        </w:rPr>
        <w:t xml:space="preserve">אותו. ביחס לעונש הראוי לנאשם, נטען כי אין לראות בהמלצות שירות המבחן כחיוביות ולכן, בהתאם להסדר, לא הסכימה המאשימה לעונש מאסר בעבודות שירות, אלא טענה לגבולו העליון של טווח הענישה, עליו הוסכם במסגרת ההסדר, היינו עשרה חודשי מאסר הכוללים הפעלת מאסר מותנה.  כן התבקשה </w:t>
      </w:r>
      <w:r w:rsidRPr="009B2655">
        <w:rPr>
          <w:rtl/>
        </w:rPr>
        <w:t xml:space="preserve">פסילת רישיון </w:t>
      </w:r>
      <w:r>
        <w:rPr>
          <w:rFonts w:hint="cs"/>
          <w:rtl/>
        </w:rPr>
        <w:t xml:space="preserve">הנהיגה, </w:t>
      </w:r>
      <w:r w:rsidRPr="009B2655">
        <w:rPr>
          <w:rtl/>
        </w:rPr>
        <w:t>פסילה על תנאי, קנס והתחייבות להימנע מעבירה.</w:t>
      </w:r>
    </w:p>
    <w:p w14:paraId="22B256B3" w14:textId="77777777" w:rsidR="00771684" w:rsidRPr="00056E62" w:rsidRDefault="00771684" w:rsidP="00771684">
      <w:pPr>
        <w:spacing w:line="360" w:lineRule="auto"/>
        <w:ind w:left="720"/>
        <w:contextualSpacing/>
        <w:jc w:val="both"/>
        <w:rPr>
          <w:rtl/>
        </w:rPr>
      </w:pPr>
    </w:p>
    <w:p w14:paraId="2EB4DAC2" w14:textId="77777777" w:rsidR="00771684" w:rsidRPr="009B2655" w:rsidRDefault="00771684" w:rsidP="00771684">
      <w:pPr>
        <w:spacing w:line="360" w:lineRule="auto"/>
        <w:contextualSpacing/>
        <w:jc w:val="both"/>
      </w:pPr>
      <w:r>
        <w:rPr>
          <w:rFonts w:hint="cs"/>
          <w:rtl/>
        </w:rPr>
        <w:t>4.</w:t>
      </w:r>
      <w:r>
        <w:rPr>
          <w:rFonts w:hint="cs"/>
          <w:rtl/>
        </w:rPr>
        <w:tab/>
        <w:t>ב</w:t>
      </w:r>
      <w:r w:rsidRPr="009B2655">
        <w:rPr>
          <w:rtl/>
        </w:rPr>
        <w:t>"כ הנאשם הפנה לנסיבות חייו הקשות של הנאשם, לז</w:t>
      </w:r>
      <w:r>
        <w:rPr>
          <w:rtl/>
        </w:rPr>
        <w:t>עזוע העמוק שפקד את המשפחה</w:t>
      </w:r>
      <w:r>
        <w:rPr>
          <w:rFonts w:hint="cs"/>
          <w:rtl/>
        </w:rPr>
        <w:t xml:space="preserve"> בעת אירוע האסון שהוזכר בתסקירים</w:t>
      </w:r>
      <w:r>
        <w:rPr>
          <w:rtl/>
        </w:rPr>
        <w:t>, וטען</w:t>
      </w:r>
      <w:r>
        <w:rPr>
          <w:rFonts w:hint="cs"/>
          <w:rtl/>
        </w:rPr>
        <w:t xml:space="preserve"> </w:t>
      </w:r>
      <w:r w:rsidRPr="009B2655">
        <w:rPr>
          <w:rtl/>
        </w:rPr>
        <w:t xml:space="preserve">כי הדבר הוביל להתדרדרות במסלול חייו של הנאשם. לשיטתו, הנאשם הראה ניסיונות כנים לצאת ממעגל הסמים והוכיח </w:t>
      </w:r>
      <w:r>
        <w:rPr>
          <w:rFonts w:hint="cs"/>
          <w:rtl/>
        </w:rPr>
        <w:t>ש</w:t>
      </w:r>
      <w:r w:rsidRPr="009B2655">
        <w:rPr>
          <w:rtl/>
        </w:rPr>
        <w:t xml:space="preserve">קיימים סיכוי שיקום בעניינו. ב"כ הנאשם הדגיש כי משך תקופה ארוכה מאוד לא עשה הנאשם שימוש בסמים, והוא מסר מספר </w:t>
      </w:r>
      <w:r w:rsidRPr="009B2655">
        <w:rPr>
          <w:rtl/>
        </w:rPr>
        <w:lastRenderedPageBreak/>
        <w:t xml:space="preserve">רב של בדיקות שתן </w:t>
      </w:r>
      <w:r>
        <w:rPr>
          <w:rFonts w:hint="cs"/>
          <w:rtl/>
        </w:rPr>
        <w:t xml:space="preserve">אשר נמצאו נקיות מסם, למעט אחת </w:t>
      </w:r>
      <w:r w:rsidRPr="009B2655">
        <w:rPr>
          <w:rtl/>
        </w:rPr>
        <w:t>(ענ/1). ע</w:t>
      </w:r>
      <w:r>
        <w:rPr>
          <w:rtl/>
        </w:rPr>
        <w:t>וד ציין כי הנאשם מבין את טעותו</w:t>
      </w:r>
      <w:r>
        <w:rPr>
          <w:rFonts w:hint="cs"/>
          <w:rtl/>
        </w:rPr>
        <w:t xml:space="preserve"> ועושה מאמצים להיחלץ מעולם הסמים. כן צוין כי הנאשם מתנדב לטובת הציבור (ענ/2). ביחס לעונש הראוי לנאשם, נטען כי עונש מאסר יפגע בנאשם יתר על המידה ולא יסייע לחברה בדבר. לאור כך, ביקש הסנגור להטיל עונש מאסר אשר ניתן לשאת בו בעבודות שירות. </w:t>
      </w:r>
    </w:p>
    <w:p w14:paraId="6B39141F" w14:textId="77777777" w:rsidR="00771684" w:rsidRPr="009B2655" w:rsidRDefault="00771684" w:rsidP="00771684">
      <w:pPr>
        <w:spacing w:line="360" w:lineRule="auto"/>
        <w:contextualSpacing/>
        <w:jc w:val="both"/>
      </w:pPr>
    </w:p>
    <w:p w14:paraId="07C5ECB1" w14:textId="77777777" w:rsidR="00771684" w:rsidRDefault="00771684" w:rsidP="00771684">
      <w:pPr>
        <w:spacing w:line="360" w:lineRule="auto"/>
        <w:contextualSpacing/>
        <w:jc w:val="both"/>
        <w:rPr>
          <w:rtl/>
        </w:rPr>
      </w:pPr>
      <w:r>
        <w:rPr>
          <w:rFonts w:hint="cs"/>
          <w:rtl/>
        </w:rPr>
        <w:t>5.</w:t>
      </w:r>
      <w:r>
        <w:rPr>
          <w:rFonts w:hint="cs"/>
          <w:rtl/>
        </w:rPr>
        <w:tab/>
        <w:t xml:space="preserve">שמעתי אף את אבי הנאשם אשר </w:t>
      </w:r>
      <w:r w:rsidRPr="009B2655">
        <w:rPr>
          <w:rtl/>
        </w:rPr>
        <w:t>העיד כי ניכר שינוי בהתנהגות</w:t>
      </w:r>
      <w:r>
        <w:rPr>
          <w:rFonts w:hint="cs"/>
          <w:rtl/>
        </w:rPr>
        <w:t>ו</w:t>
      </w:r>
      <w:r w:rsidRPr="009B2655">
        <w:rPr>
          <w:rtl/>
        </w:rPr>
        <w:t>, הוא ע</w:t>
      </w:r>
      <w:r>
        <w:rPr>
          <w:rtl/>
        </w:rPr>
        <w:t>וזר לו בעבודתו ואינו עושה שימוש</w:t>
      </w:r>
      <w:r>
        <w:rPr>
          <w:rFonts w:hint="cs"/>
        </w:rPr>
        <w:t xml:space="preserve"> </w:t>
      </w:r>
      <w:r w:rsidRPr="009B2655">
        <w:rPr>
          <w:rtl/>
        </w:rPr>
        <w:t>בסמים</w:t>
      </w:r>
      <w:r>
        <w:rPr>
          <w:rFonts w:hint="cs"/>
          <w:rtl/>
        </w:rPr>
        <w:t xml:space="preserve"> בימים אלו</w:t>
      </w:r>
      <w:r w:rsidRPr="009B2655">
        <w:rPr>
          <w:rtl/>
        </w:rPr>
        <w:t xml:space="preserve">. </w:t>
      </w:r>
    </w:p>
    <w:p w14:paraId="4F15E67E" w14:textId="77777777" w:rsidR="00771684" w:rsidRDefault="00771684" w:rsidP="00771684">
      <w:pPr>
        <w:spacing w:line="360" w:lineRule="auto"/>
        <w:ind w:firstLine="720"/>
        <w:contextualSpacing/>
        <w:jc w:val="both"/>
        <w:rPr>
          <w:rtl/>
        </w:rPr>
      </w:pPr>
    </w:p>
    <w:p w14:paraId="16383F5A" w14:textId="77777777" w:rsidR="00771684" w:rsidRPr="009B2655" w:rsidRDefault="00771684" w:rsidP="00771684">
      <w:pPr>
        <w:spacing w:line="360" w:lineRule="auto"/>
        <w:ind w:firstLine="720"/>
        <w:contextualSpacing/>
        <w:jc w:val="both"/>
        <w:rPr>
          <w:b/>
          <w:bCs/>
          <w:u w:val="single"/>
        </w:rPr>
      </w:pPr>
      <w:r w:rsidRPr="009B2655">
        <w:rPr>
          <w:rtl/>
        </w:rPr>
        <w:t xml:space="preserve">הנאשם בדברו האחרון ציין כי עשה מאמץ </w:t>
      </w:r>
      <w:r>
        <w:rPr>
          <w:rFonts w:hint="cs"/>
          <w:rtl/>
        </w:rPr>
        <w:t xml:space="preserve">לשקם את חייו וכיום הוא מרגיש חזק יותר. כן טען הנאשם כי עבר </w:t>
      </w:r>
      <w:r w:rsidRPr="009B2655">
        <w:rPr>
          <w:rtl/>
        </w:rPr>
        <w:t>סבל רב</w:t>
      </w:r>
      <w:r>
        <w:rPr>
          <w:rFonts w:hint="cs"/>
          <w:rtl/>
        </w:rPr>
        <w:t xml:space="preserve"> במהלך התקופה הארוכה בה שהה בתנאים מגבילים. הנאשם </w:t>
      </w:r>
      <w:r w:rsidRPr="009B2655">
        <w:rPr>
          <w:rtl/>
        </w:rPr>
        <w:t>הביע נכונות לבצע עבודות שירות.</w:t>
      </w:r>
    </w:p>
    <w:p w14:paraId="06E30F6E" w14:textId="77777777" w:rsidR="00771684" w:rsidRPr="009B2655" w:rsidRDefault="00771684" w:rsidP="00771684">
      <w:pPr>
        <w:spacing w:line="360" w:lineRule="auto"/>
        <w:contextualSpacing/>
        <w:jc w:val="both"/>
        <w:rPr>
          <w:b/>
          <w:bCs/>
          <w:u w:val="single"/>
          <w:rtl/>
        </w:rPr>
      </w:pPr>
    </w:p>
    <w:p w14:paraId="4FD3971F" w14:textId="77777777" w:rsidR="00771684" w:rsidRPr="009B2655" w:rsidRDefault="00771684" w:rsidP="00771684">
      <w:pPr>
        <w:spacing w:line="360" w:lineRule="auto"/>
        <w:contextualSpacing/>
        <w:jc w:val="both"/>
        <w:rPr>
          <w:b/>
          <w:bCs/>
          <w:u w:val="single"/>
          <w:rtl/>
        </w:rPr>
      </w:pPr>
      <w:r w:rsidRPr="009B2655">
        <w:rPr>
          <w:b/>
          <w:bCs/>
          <w:u w:val="single"/>
          <w:rtl/>
        </w:rPr>
        <w:t>דיון והכרעה</w:t>
      </w:r>
    </w:p>
    <w:p w14:paraId="035967E4" w14:textId="77777777" w:rsidR="00771684" w:rsidRPr="009B2655" w:rsidRDefault="00771684" w:rsidP="00771684">
      <w:pPr>
        <w:spacing w:line="360" w:lineRule="auto"/>
        <w:contextualSpacing/>
        <w:jc w:val="both"/>
        <w:rPr>
          <w:b/>
          <w:bCs/>
          <w:u w:val="single"/>
          <w:rtl/>
        </w:rPr>
      </w:pPr>
      <w:r w:rsidRPr="009B2655">
        <w:rPr>
          <w:b/>
          <w:bCs/>
          <w:u w:val="single"/>
          <w:rtl/>
        </w:rPr>
        <w:t>קביעת מתחם הענישה</w:t>
      </w:r>
    </w:p>
    <w:p w14:paraId="17F35153" w14:textId="77777777" w:rsidR="00771684" w:rsidRPr="009B2655" w:rsidRDefault="00771684" w:rsidP="00771684">
      <w:pPr>
        <w:spacing w:line="360" w:lineRule="auto"/>
        <w:ind w:left="720"/>
        <w:contextualSpacing/>
        <w:jc w:val="both"/>
        <w:rPr>
          <w:b/>
          <w:bCs/>
          <w:u w:val="single"/>
          <w:rtl/>
        </w:rPr>
      </w:pPr>
    </w:p>
    <w:p w14:paraId="6C83992B" w14:textId="77777777" w:rsidR="00771684" w:rsidRDefault="00771684" w:rsidP="00771684">
      <w:pPr>
        <w:spacing w:line="360" w:lineRule="auto"/>
        <w:contextualSpacing/>
        <w:jc w:val="both"/>
        <w:rPr>
          <w:rtl/>
        </w:rPr>
      </w:pPr>
      <w:r>
        <w:rPr>
          <w:rFonts w:hint="cs"/>
          <w:rtl/>
        </w:rPr>
        <w:t xml:space="preserve">6. </w:t>
      </w:r>
      <w:r>
        <w:rPr>
          <w:rtl/>
        </w:rPr>
        <w:tab/>
      </w:r>
      <w:r w:rsidRPr="009B2655">
        <w:rPr>
          <w:rtl/>
        </w:rPr>
        <w:t>כידוע, עם כניסתו לתוקף של תיקון 113 ל</w:t>
      </w:r>
      <w:hyperlink r:id="rId23" w:history="1">
        <w:r w:rsidR="00664134" w:rsidRPr="00664134">
          <w:rPr>
            <w:color w:val="0000FF"/>
            <w:u w:val="single"/>
            <w:rtl/>
          </w:rPr>
          <w:t>חוק העונשין</w:t>
        </w:r>
      </w:hyperlink>
      <w:r w:rsidRPr="009B2655">
        <w:rPr>
          <w:rtl/>
        </w:rPr>
        <w:t xml:space="preserve"> השתנה האופן בו </w:t>
      </w:r>
      <w:r>
        <w:rPr>
          <w:rFonts w:hint="cs"/>
          <w:rtl/>
        </w:rPr>
        <w:t xml:space="preserve">גוזר </w:t>
      </w:r>
      <w:r w:rsidRPr="009B2655">
        <w:rPr>
          <w:rtl/>
        </w:rPr>
        <w:t xml:space="preserve">בית המשפט </w:t>
      </w:r>
      <w:r>
        <w:rPr>
          <w:rFonts w:hint="cs"/>
          <w:rtl/>
        </w:rPr>
        <w:t>את העונש</w:t>
      </w:r>
      <w:r w:rsidRPr="009B2655">
        <w:rPr>
          <w:rtl/>
        </w:rPr>
        <w:t>. תיקון זה מתווה שלושה שלבים לקביעת</w:t>
      </w:r>
      <w:r>
        <w:rPr>
          <w:rFonts w:hint="cs"/>
          <w:rtl/>
        </w:rPr>
        <w:t xml:space="preserve"> העונש</w:t>
      </w:r>
      <w:r w:rsidRPr="009B2655">
        <w:rPr>
          <w:rtl/>
        </w:rPr>
        <w:t xml:space="preserve">. בשלב הראשון, על בית המשפט לקבוע האם </w:t>
      </w:r>
      <w:r>
        <w:rPr>
          <w:rFonts w:hint="cs"/>
          <w:rtl/>
        </w:rPr>
        <w:t xml:space="preserve">כתב האישום כולל מספר </w:t>
      </w:r>
      <w:r w:rsidRPr="009B2655">
        <w:rPr>
          <w:rtl/>
        </w:rPr>
        <w:t xml:space="preserve">עבירות המהוות אירוע אחד או מספר אירועים, ובהתאם לקבוע מתחם ענישה הולם לכל אירוע בנפרד. בשלב השני, על בית המשפט לקבוע את מתחם הענישה ההולם </w:t>
      </w:r>
      <w:r>
        <w:rPr>
          <w:rFonts w:hint="cs"/>
          <w:rtl/>
        </w:rPr>
        <w:t xml:space="preserve">לכל אירוע </w:t>
      </w:r>
      <w:r w:rsidRPr="009B2655">
        <w:rPr>
          <w:rtl/>
        </w:rPr>
        <w:t>וזאת</w:t>
      </w:r>
      <w:r>
        <w:rPr>
          <w:rFonts w:hint="cs"/>
          <w:rtl/>
        </w:rPr>
        <w:t xml:space="preserve"> בהתאם לעיקרון המנחה בענישה שהוא הלימה, תוך מתן משקל לנסיבות הקשורות בביצוע העבירה, מדיניות הענישה הנוהגת והערכים שנפגעו בשל מעשה העבירה</w:t>
      </w:r>
      <w:r w:rsidRPr="009B2655">
        <w:rPr>
          <w:rtl/>
        </w:rPr>
        <w:t xml:space="preserve">. לבסוף, בשלב השלישי, בית המשפט </w:t>
      </w:r>
      <w:r>
        <w:rPr>
          <w:rFonts w:hint="cs"/>
          <w:rtl/>
        </w:rPr>
        <w:t xml:space="preserve">בוחן </w:t>
      </w:r>
      <w:r w:rsidRPr="009B2655">
        <w:rPr>
          <w:rtl/>
        </w:rPr>
        <w:t xml:space="preserve">האם נכון לחרוג מהמתחם שנקבע, </w:t>
      </w:r>
      <w:r>
        <w:rPr>
          <w:rFonts w:hint="cs"/>
          <w:rtl/>
        </w:rPr>
        <w:t xml:space="preserve">בין לקולה ובין לחומרה, </w:t>
      </w:r>
      <w:r w:rsidRPr="009B2655">
        <w:rPr>
          <w:rtl/>
        </w:rPr>
        <w:t xml:space="preserve">שאחרת </w:t>
      </w:r>
      <w:r>
        <w:rPr>
          <w:rFonts w:hint="cs"/>
          <w:rtl/>
        </w:rPr>
        <w:t xml:space="preserve">ייגזר העונש בגדרי </w:t>
      </w:r>
      <w:r>
        <w:rPr>
          <w:rtl/>
        </w:rPr>
        <w:t>המתחם</w:t>
      </w:r>
      <w:r>
        <w:rPr>
          <w:rFonts w:hint="cs"/>
          <w:rtl/>
        </w:rPr>
        <w:t>, בהתאם לנתוני הנאשם הספציפי</w:t>
      </w:r>
      <w:r w:rsidRPr="009B2655">
        <w:rPr>
          <w:rtl/>
        </w:rPr>
        <w:t>.</w:t>
      </w:r>
      <w:r>
        <w:rPr>
          <w:rFonts w:hint="cs"/>
          <w:rtl/>
        </w:rPr>
        <w:t xml:space="preserve"> </w:t>
      </w:r>
    </w:p>
    <w:p w14:paraId="0F97F36C" w14:textId="77777777" w:rsidR="00771684" w:rsidRDefault="00771684" w:rsidP="00771684">
      <w:pPr>
        <w:spacing w:line="360" w:lineRule="auto"/>
        <w:contextualSpacing/>
        <w:jc w:val="both"/>
        <w:rPr>
          <w:rtl/>
        </w:rPr>
      </w:pPr>
    </w:p>
    <w:p w14:paraId="53621FD2" w14:textId="77777777" w:rsidR="00771684" w:rsidRDefault="00771684" w:rsidP="00771684">
      <w:pPr>
        <w:spacing w:line="360" w:lineRule="auto"/>
        <w:contextualSpacing/>
        <w:jc w:val="both"/>
        <w:rPr>
          <w:rtl/>
        </w:rPr>
      </w:pPr>
      <w:r>
        <w:rPr>
          <w:rFonts w:hint="cs"/>
          <w:rtl/>
        </w:rPr>
        <w:t>7.</w:t>
      </w:r>
      <w:r>
        <w:rPr>
          <w:rFonts w:hint="cs"/>
          <w:rtl/>
        </w:rPr>
        <w:tab/>
        <w:t xml:space="preserve">בעניינו מובן שמדובר באירוע אחד. </w:t>
      </w:r>
      <w:r w:rsidRPr="009B2655">
        <w:rPr>
          <w:rtl/>
        </w:rPr>
        <w:t xml:space="preserve"> </w:t>
      </w:r>
      <w:r>
        <w:rPr>
          <w:rFonts w:hint="cs"/>
          <w:rtl/>
        </w:rPr>
        <w:t xml:space="preserve">שאלה נפרדת היא האם נדרש בית המשפט לקבוע מתחם ענישה מקום בו הצדדים הגיעו להסדר טיעון הכולל ענישה או טווח ענישה. </w:t>
      </w:r>
      <w:r>
        <w:rPr>
          <w:rtl/>
        </w:rPr>
        <w:t>בבית המשפט העליון הובעו דעות שונות בעניין ו"</w:t>
      </w:r>
      <w:r w:rsidRPr="005127A0">
        <w:rPr>
          <w:rFonts w:cs="Miriam" w:hint="eastAsia"/>
          <w:rtl/>
        </w:rPr>
        <w:t>נראה</w:t>
      </w:r>
      <w:r w:rsidRPr="005127A0">
        <w:rPr>
          <w:rFonts w:cs="Miriam"/>
          <w:rtl/>
        </w:rPr>
        <w:t xml:space="preserve"> </w:t>
      </w:r>
      <w:r w:rsidRPr="005127A0">
        <w:rPr>
          <w:rFonts w:cs="Miriam" w:hint="eastAsia"/>
          <w:rtl/>
        </w:rPr>
        <w:t>שטרם</w:t>
      </w:r>
      <w:r w:rsidRPr="005127A0">
        <w:rPr>
          <w:rFonts w:cs="Miriam"/>
          <w:rtl/>
        </w:rPr>
        <w:t xml:space="preserve"> </w:t>
      </w:r>
      <w:r w:rsidRPr="005127A0">
        <w:rPr>
          <w:rFonts w:cs="Miriam" w:hint="eastAsia"/>
          <w:rtl/>
        </w:rPr>
        <w:t>נקבעה</w:t>
      </w:r>
      <w:r w:rsidRPr="005127A0">
        <w:rPr>
          <w:rFonts w:cs="Miriam"/>
          <w:rtl/>
        </w:rPr>
        <w:t xml:space="preserve"> </w:t>
      </w:r>
      <w:r w:rsidRPr="005127A0">
        <w:rPr>
          <w:rFonts w:cs="Miriam" w:hint="eastAsia"/>
          <w:rtl/>
        </w:rPr>
        <w:t>הלכה</w:t>
      </w:r>
      <w:r w:rsidRPr="005127A0">
        <w:rPr>
          <w:rFonts w:cs="Miriam"/>
          <w:rtl/>
        </w:rPr>
        <w:t xml:space="preserve"> </w:t>
      </w:r>
      <w:r w:rsidRPr="005127A0">
        <w:rPr>
          <w:rFonts w:cs="Miriam" w:hint="eastAsia"/>
          <w:rtl/>
        </w:rPr>
        <w:t>מחייבת</w:t>
      </w:r>
      <w:r w:rsidRPr="005127A0">
        <w:rPr>
          <w:rFonts w:cs="Miriam"/>
          <w:rtl/>
        </w:rPr>
        <w:t xml:space="preserve"> </w:t>
      </w:r>
      <w:r w:rsidRPr="005127A0">
        <w:rPr>
          <w:rFonts w:cs="Miriam" w:hint="eastAsia"/>
          <w:rtl/>
        </w:rPr>
        <w:t>בנדון</w:t>
      </w:r>
      <w:r w:rsidRPr="005127A0">
        <w:rPr>
          <w:rtl/>
        </w:rPr>
        <w:t xml:space="preserve">" </w:t>
      </w:r>
      <w:r w:rsidRPr="00163755">
        <w:rPr>
          <w:rtl/>
        </w:rPr>
        <w:t>(</w:t>
      </w:r>
      <w:hyperlink r:id="rId24" w:history="1">
        <w:r w:rsidR="00664134" w:rsidRPr="00664134">
          <w:rPr>
            <w:color w:val="0000FF"/>
            <w:u w:val="single"/>
            <w:rtl/>
          </w:rPr>
          <w:t>ע"פ 8109/15</w:t>
        </w:r>
      </w:hyperlink>
      <w:r w:rsidRPr="00163755">
        <w:rPr>
          <w:rtl/>
        </w:rPr>
        <w:t xml:space="preserve"> </w:t>
      </w:r>
      <w:r w:rsidRPr="005127A0">
        <w:rPr>
          <w:b/>
          <w:bCs/>
          <w:rtl/>
        </w:rPr>
        <w:t xml:space="preserve">אהרון אביטן נ' מדינת ישראל </w:t>
      </w:r>
      <w:r w:rsidRPr="00163755">
        <w:rPr>
          <w:rtl/>
        </w:rPr>
        <w:t>(9.6.16)</w:t>
      </w:r>
      <w:r>
        <w:rPr>
          <w:rtl/>
        </w:rPr>
        <w:t>).</w:t>
      </w:r>
      <w:r w:rsidRPr="005127A0">
        <w:rPr>
          <w:rtl/>
        </w:rPr>
        <w:t xml:space="preserve"> </w:t>
      </w:r>
      <w:r>
        <w:rPr>
          <w:rtl/>
        </w:rPr>
        <w:t xml:space="preserve">עם זאת, מוסכם על הכל שמתחם הענישה ההולם וטווח הענישה המוסכם, אינם מונחים זהים, שהרי הראשון מבטא קביעה נורמטיבית של בית המשפט, בהתאם לשיקולים הקבועים </w:t>
      </w:r>
      <w:hyperlink r:id="rId25" w:history="1">
        <w:r w:rsidR="00AF1A32" w:rsidRPr="00AF1A32">
          <w:rPr>
            <w:color w:val="0000FF"/>
            <w:u w:val="single"/>
            <w:rtl/>
          </w:rPr>
          <w:t>בסעיפים 40א-40ט</w:t>
        </w:r>
      </w:hyperlink>
      <w:r>
        <w:rPr>
          <w:rtl/>
        </w:rPr>
        <w:t xml:space="preserve"> ל</w:t>
      </w:r>
      <w:hyperlink r:id="rId26" w:history="1">
        <w:r w:rsidR="00664134" w:rsidRPr="00664134">
          <w:rPr>
            <w:color w:val="0000FF"/>
            <w:u w:val="single"/>
            <w:rtl/>
          </w:rPr>
          <w:t>חוק העונשין</w:t>
        </w:r>
      </w:hyperlink>
      <w:r>
        <w:rPr>
          <w:rtl/>
        </w:rPr>
        <w:t>, בעוד שטווח הענישה הוא יציר הצדדים ומושפע לא אחת מכוח המיקוח שלהם</w:t>
      </w:r>
      <w:r>
        <w:rPr>
          <w:rFonts w:hint="cs"/>
          <w:rtl/>
        </w:rPr>
        <w:t>,</w:t>
      </w:r>
      <w:r>
        <w:rPr>
          <w:rtl/>
        </w:rPr>
        <w:t xml:space="preserve"> ואינו מבטא בהכרח קביעה ערכית נורמטיבית נכונה (</w:t>
      </w:r>
      <w:hyperlink r:id="rId27" w:history="1">
        <w:r w:rsidR="00664134" w:rsidRPr="00664134">
          <w:rPr>
            <w:color w:val="0000FF"/>
            <w:u w:val="single"/>
            <w:rtl/>
          </w:rPr>
          <w:t>ע"פ 512/13</w:t>
        </w:r>
      </w:hyperlink>
      <w:r w:rsidRPr="00052C8B">
        <w:rPr>
          <w:rtl/>
        </w:rPr>
        <w:t xml:space="preserve"> </w:t>
      </w:r>
      <w:r w:rsidRPr="005127A0">
        <w:rPr>
          <w:b/>
          <w:bCs/>
          <w:rtl/>
        </w:rPr>
        <w:t>פלוני נ' מדינת ישראל</w:t>
      </w:r>
      <w:r w:rsidRPr="00052C8B">
        <w:rPr>
          <w:rtl/>
        </w:rPr>
        <w:t xml:space="preserve"> (4.12.13))</w:t>
      </w:r>
      <w:r>
        <w:rPr>
          <w:rtl/>
        </w:rPr>
        <w:t>. כמו כן ברי כי "</w:t>
      </w:r>
      <w:r w:rsidRPr="005127A0">
        <w:rPr>
          <w:rFonts w:cs="Miriam"/>
          <w:rtl/>
        </w:rPr>
        <w:t>אין בית המשפט כבול לעונש או לטווח ענישה שהוסכם בין הצדדים בהסדר טיעון, ועליו להחליט בהתאם לשיקול דעתו אם לכבד הסכמות אלה אם לאו. זאת, בהתחשב עם סבירות ההקלות שניתנו לנאשם בהסדר הטיעון והשיקולים שעמדו ביסוד הקלות אלה, מבחינת התאמתם לאינטרס הציבורי ולקידום תכליות המשפט הפלילי</w:t>
      </w:r>
      <w:r>
        <w:rPr>
          <w:rFonts w:hint="cs"/>
          <w:rtl/>
        </w:rPr>
        <w:t>"</w:t>
      </w:r>
      <w:r w:rsidRPr="005127A0">
        <w:rPr>
          <w:rtl/>
        </w:rPr>
        <w:t>.(</w:t>
      </w:r>
      <w:hyperlink r:id="rId28" w:history="1">
        <w:r w:rsidR="00664134" w:rsidRPr="00664134">
          <w:rPr>
            <w:color w:val="0000FF"/>
            <w:u w:val="single"/>
            <w:rtl/>
          </w:rPr>
          <w:t>ע"פ 4301/15</w:t>
        </w:r>
      </w:hyperlink>
      <w:r w:rsidRPr="009044A3">
        <w:rPr>
          <w:rtl/>
        </w:rPr>
        <w:t xml:space="preserve"> </w:t>
      </w:r>
      <w:r w:rsidRPr="005127A0">
        <w:rPr>
          <w:b/>
          <w:bCs/>
          <w:rtl/>
        </w:rPr>
        <w:t>יאשיהו יוסף פינטו נ' מדינת ישראל</w:t>
      </w:r>
      <w:r w:rsidRPr="009044A3">
        <w:rPr>
          <w:rtl/>
        </w:rPr>
        <w:t xml:space="preserve"> (5.1.16))</w:t>
      </w:r>
      <w:r w:rsidRPr="006B3C12">
        <w:rPr>
          <w:rtl/>
        </w:rPr>
        <w:t xml:space="preserve">. </w:t>
      </w:r>
      <w:r w:rsidRPr="00257546">
        <w:rPr>
          <w:rtl/>
        </w:rPr>
        <w:t>אציין כי</w:t>
      </w:r>
      <w:r w:rsidRPr="006B3C12">
        <w:rPr>
          <w:rtl/>
        </w:rPr>
        <w:t xml:space="preserve"> בשל הצורך לבחון את סבירות ההקלה לה זכה הנאשם, בעטיו של הסדר הטיעון</w:t>
      </w:r>
      <w:r w:rsidRPr="005127A0">
        <w:rPr>
          <w:rtl/>
        </w:rPr>
        <w:t xml:space="preserve">, </w:t>
      </w:r>
      <w:r w:rsidRPr="006B3C12">
        <w:rPr>
          <w:rtl/>
        </w:rPr>
        <w:t>נומקה העמדה המצדדת בצורך</w:t>
      </w:r>
      <w:r w:rsidRPr="005127A0">
        <w:rPr>
          <w:rtl/>
        </w:rPr>
        <w:t xml:space="preserve"> </w:t>
      </w:r>
      <w:r w:rsidRPr="00A3542C">
        <w:rPr>
          <w:rtl/>
        </w:rPr>
        <w:t xml:space="preserve">בקביעת מתחם ענישה גם במקרה של הסדר טיעון, בכך שהדבר יוצר שקיפות, </w:t>
      </w:r>
      <w:r>
        <w:rPr>
          <w:rtl/>
        </w:rPr>
        <w:t>באופן</w:t>
      </w:r>
      <w:r w:rsidRPr="00A3542C">
        <w:rPr>
          <w:rtl/>
        </w:rPr>
        <w:t xml:space="preserve"> שהציבור זוכה לדעת בבירור את מידת ההקלה לה זכה הנאשם בשל הסדר הטיעון (עמדת השופט מלצר ב</w:t>
      </w:r>
      <w:hyperlink r:id="rId29" w:history="1">
        <w:r w:rsidR="00664134" w:rsidRPr="00664134">
          <w:rPr>
            <w:color w:val="0000FF"/>
            <w:u w:val="single"/>
            <w:rtl/>
          </w:rPr>
          <w:t>ע"פ 512/13</w:t>
        </w:r>
      </w:hyperlink>
      <w:r w:rsidRPr="00052C8B">
        <w:rPr>
          <w:rtl/>
        </w:rPr>
        <w:t xml:space="preserve"> </w:t>
      </w:r>
      <w:r w:rsidRPr="00052C8B">
        <w:rPr>
          <w:b/>
          <w:bCs/>
          <w:rtl/>
        </w:rPr>
        <w:t>פלוני נ' מדינת ישראל</w:t>
      </w:r>
      <w:r w:rsidRPr="00052C8B">
        <w:rPr>
          <w:rtl/>
        </w:rPr>
        <w:t xml:space="preserve"> (4.12.13))</w:t>
      </w:r>
      <w:r>
        <w:rPr>
          <w:rtl/>
        </w:rPr>
        <w:t>. כמו כן</w:t>
      </w:r>
      <w:r>
        <w:rPr>
          <w:rFonts w:hint="cs"/>
          <w:rtl/>
        </w:rPr>
        <w:t>,</w:t>
      </w:r>
      <w:r>
        <w:rPr>
          <w:rtl/>
        </w:rPr>
        <w:t xml:space="preserve"> נומקה עמדה זו בכך שהדבר </w:t>
      </w:r>
      <w:r w:rsidRPr="00A3542C">
        <w:rPr>
          <w:rtl/>
        </w:rPr>
        <w:t>מעמיד בפני בית המשפט כלי מדידה יעיל לבחינת סבירות הסדר הטיעון</w:t>
      </w:r>
      <w:r>
        <w:rPr>
          <w:rFonts w:cs="Miriam"/>
          <w:rtl/>
        </w:rPr>
        <w:t xml:space="preserve"> </w:t>
      </w:r>
      <w:r w:rsidRPr="00A3542C">
        <w:rPr>
          <w:rFonts w:cs="Miriam"/>
          <w:rtl/>
        </w:rPr>
        <w:t>"</w:t>
      </w:r>
      <w:r w:rsidRPr="00917FC8">
        <w:rPr>
          <w:rFonts w:ascii="Calibri" w:hAnsi="Calibri" w:cs="Miriam" w:hint="eastAsia"/>
          <w:rtl/>
        </w:rPr>
        <w:t>לפחות</w:t>
      </w:r>
      <w:r w:rsidRPr="00917FC8">
        <w:rPr>
          <w:rFonts w:ascii="Calibri" w:hAnsi="Calibri" w:cs="Miriam"/>
          <w:rtl/>
        </w:rPr>
        <w:t xml:space="preserve"> </w:t>
      </w:r>
      <w:r w:rsidRPr="00917FC8">
        <w:rPr>
          <w:rFonts w:ascii="Calibri" w:hAnsi="Calibri" w:cs="Miriam" w:hint="eastAsia"/>
          <w:rtl/>
        </w:rPr>
        <w:t>במקרים</w:t>
      </w:r>
      <w:r w:rsidRPr="00917FC8">
        <w:rPr>
          <w:rFonts w:ascii="Calibri" w:hAnsi="Calibri" w:cs="Miriam"/>
          <w:rtl/>
        </w:rPr>
        <w:t xml:space="preserve"> </w:t>
      </w:r>
      <w:r w:rsidRPr="00917FC8">
        <w:rPr>
          <w:rFonts w:ascii="Calibri" w:hAnsi="Calibri" w:cs="Miriam" w:hint="eastAsia"/>
          <w:rtl/>
        </w:rPr>
        <w:t>בהם</w:t>
      </w:r>
      <w:r w:rsidRPr="00917FC8">
        <w:rPr>
          <w:rFonts w:ascii="Calibri" w:hAnsi="Calibri" w:cs="Miriam"/>
          <w:rtl/>
        </w:rPr>
        <w:t xml:space="preserve"> </w:t>
      </w:r>
      <w:r w:rsidRPr="00917FC8">
        <w:rPr>
          <w:rFonts w:ascii="Calibri" w:hAnsi="Calibri" w:cs="Miriam" w:hint="eastAsia"/>
          <w:rtl/>
        </w:rPr>
        <w:t>סבירות</w:t>
      </w:r>
      <w:r w:rsidRPr="00917FC8">
        <w:rPr>
          <w:rFonts w:ascii="Calibri" w:hAnsi="Calibri" w:cs="Miriam"/>
          <w:rtl/>
        </w:rPr>
        <w:t xml:space="preserve"> </w:t>
      </w:r>
      <w:r w:rsidRPr="00917FC8">
        <w:rPr>
          <w:rFonts w:ascii="Calibri" w:hAnsi="Calibri" w:cs="Miriam" w:hint="eastAsia"/>
          <w:rtl/>
        </w:rPr>
        <w:t>הסדר</w:t>
      </w:r>
      <w:r w:rsidRPr="00917FC8">
        <w:rPr>
          <w:rFonts w:ascii="Calibri" w:hAnsi="Calibri" w:cs="Miriam"/>
          <w:rtl/>
        </w:rPr>
        <w:t xml:space="preserve"> </w:t>
      </w:r>
      <w:r w:rsidRPr="00917FC8">
        <w:rPr>
          <w:rFonts w:ascii="Calibri" w:hAnsi="Calibri" w:cs="Miriam" w:hint="eastAsia"/>
          <w:rtl/>
        </w:rPr>
        <w:t>הטיעון</w:t>
      </w:r>
      <w:r w:rsidRPr="00917FC8">
        <w:rPr>
          <w:rFonts w:ascii="Calibri" w:hAnsi="Calibri" w:cs="Miriam"/>
          <w:rtl/>
        </w:rPr>
        <w:t xml:space="preserve"> </w:t>
      </w:r>
      <w:r w:rsidRPr="00917FC8">
        <w:rPr>
          <w:rFonts w:ascii="Calibri" w:hAnsi="Calibri" w:cs="Miriam" w:hint="eastAsia"/>
          <w:rtl/>
        </w:rPr>
        <w:t>אינה</w:t>
      </w:r>
      <w:r w:rsidRPr="00917FC8">
        <w:rPr>
          <w:rFonts w:ascii="Calibri" w:hAnsi="Calibri" w:cs="Miriam"/>
          <w:rtl/>
        </w:rPr>
        <w:t xml:space="preserve"> </w:t>
      </w:r>
      <w:r w:rsidRPr="00917FC8">
        <w:rPr>
          <w:rFonts w:ascii="Calibri" w:hAnsi="Calibri" w:cs="Miriam" w:hint="eastAsia"/>
          <w:rtl/>
        </w:rPr>
        <w:t>ברורה</w:t>
      </w:r>
      <w:r w:rsidRPr="00917FC8">
        <w:rPr>
          <w:rFonts w:ascii="Calibri" w:hAnsi="Calibri" w:cs="Miriam"/>
          <w:rtl/>
        </w:rPr>
        <w:t xml:space="preserve"> </w:t>
      </w:r>
      <w:r w:rsidRPr="00917FC8">
        <w:rPr>
          <w:rFonts w:ascii="Calibri" w:hAnsi="Calibri" w:cs="Miriam" w:hint="eastAsia"/>
          <w:rtl/>
        </w:rPr>
        <w:t>על</w:t>
      </w:r>
      <w:r w:rsidRPr="00917FC8">
        <w:rPr>
          <w:rFonts w:ascii="Calibri" w:hAnsi="Calibri" w:cs="Miriam"/>
          <w:rtl/>
        </w:rPr>
        <w:t xml:space="preserve"> </w:t>
      </w:r>
      <w:r w:rsidRPr="00917FC8">
        <w:rPr>
          <w:rFonts w:ascii="Calibri" w:hAnsi="Calibri" w:cs="Miriam" w:hint="eastAsia"/>
          <w:rtl/>
        </w:rPr>
        <w:t>פניה</w:t>
      </w:r>
      <w:r w:rsidRPr="00A3542C">
        <w:rPr>
          <w:rFonts w:ascii="Calibri" w:hAnsi="Calibri" w:cs="Miriam"/>
          <w:rtl/>
        </w:rPr>
        <w:t>"</w:t>
      </w:r>
      <w:r>
        <w:rPr>
          <w:rFonts w:ascii="Calibri" w:hAnsi="Calibri" w:cs="Arial"/>
          <w:sz w:val="22"/>
          <w:szCs w:val="22"/>
          <w:rtl/>
        </w:rPr>
        <w:t xml:space="preserve"> </w:t>
      </w:r>
      <w:r w:rsidRPr="00A3542C">
        <w:rPr>
          <w:rtl/>
        </w:rPr>
        <w:t>(עמדת השופט מזוז ב</w:t>
      </w:r>
      <w:hyperlink r:id="rId30" w:history="1">
        <w:r w:rsidR="00664134" w:rsidRPr="00664134">
          <w:rPr>
            <w:color w:val="0000FF"/>
            <w:u w:val="single"/>
            <w:rtl/>
          </w:rPr>
          <w:t>ע"פ 4301/15</w:t>
        </w:r>
      </w:hyperlink>
      <w:r w:rsidRPr="009044A3">
        <w:rPr>
          <w:rtl/>
        </w:rPr>
        <w:t xml:space="preserve"> </w:t>
      </w:r>
      <w:r w:rsidRPr="00A3542C">
        <w:rPr>
          <w:b/>
          <w:bCs/>
          <w:rtl/>
        </w:rPr>
        <w:t>יאשיהו יוסף פינטו נ' מדינת ישראל</w:t>
      </w:r>
      <w:r w:rsidRPr="009044A3">
        <w:rPr>
          <w:rtl/>
        </w:rPr>
        <w:t xml:space="preserve"> (5.1.16))</w:t>
      </w:r>
      <w:r w:rsidRPr="006B3C12">
        <w:rPr>
          <w:rtl/>
        </w:rPr>
        <w:t>.</w:t>
      </w:r>
      <w:r w:rsidRPr="00917FC8">
        <w:rPr>
          <w:rFonts w:ascii="Calibri" w:hAnsi="Calibri" w:cs="Arial"/>
          <w:sz w:val="22"/>
          <w:szCs w:val="22"/>
          <w:rtl/>
        </w:rPr>
        <w:t xml:space="preserve"> </w:t>
      </w:r>
      <w:r w:rsidRPr="00917FC8">
        <w:rPr>
          <w:rtl/>
        </w:rPr>
        <w:t xml:space="preserve">וראו גם: אורן איל-גזל </w:t>
      </w:r>
      <w:r w:rsidRPr="00917FC8">
        <w:rPr>
          <w:b/>
          <w:bCs/>
          <w:rtl/>
        </w:rPr>
        <w:t>"העונש ההולם לא תמיד יהלום"</w:t>
      </w:r>
      <w:r>
        <w:rPr>
          <w:rtl/>
        </w:rPr>
        <w:t>,</w:t>
      </w:r>
      <w:r w:rsidRPr="00917FC8">
        <w:rPr>
          <w:rtl/>
        </w:rPr>
        <w:t xml:space="preserve"> עורך הדין 70 (אוקטובר 2013)).</w:t>
      </w:r>
      <w:r>
        <w:rPr>
          <w:rtl/>
        </w:rPr>
        <w:t xml:space="preserve"> עם זאת, כאמור, אין מדובר בהלכה מחייבת והנושא טרם הוכרע. </w:t>
      </w:r>
    </w:p>
    <w:p w14:paraId="766B8DDB" w14:textId="77777777" w:rsidR="00771684" w:rsidRDefault="00771684" w:rsidP="00771684">
      <w:pPr>
        <w:spacing w:line="360" w:lineRule="auto"/>
        <w:contextualSpacing/>
        <w:jc w:val="both"/>
        <w:rPr>
          <w:rtl/>
        </w:rPr>
      </w:pPr>
    </w:p>
    <w:p w14:paraId="172E1135" w14:textId="77777777" w:rsidR="00771684" w:rsidRDefault="00771684" w:rsidP="00771684">
      <w:pPr>
        <w:spacing w:line="360" w:lineRule="auto"/>
        <w:contextualSpacing/>
        <w:jc w:val="both"/>
      </w:pPr>
      <w:r>
        <w:rPr>
          <w:rFonts w:hint="cs"/>
          <w:rtl/>
        </w:rPr>
        <w:t>8.</w:t>
      </w:r>
      <w:r>
        <w:rPr>
          <w:rFonts w:hint="cs"/>
          <w:rtl/>
        </w:rPr>
        <w:tab/>
        <w:t xml:space="preserve">בנסיבות ענייננו, הסכימה המאשימה להגביל עצמה לעונש מאסר בן 10 חודשים, הכוללים עונש מאסר מותנה בן 6 חודשים, בעוד הנאשם טוען "פתוח". בשים לב לעברו הפלילי של הנאשם, גילו ויתר הנסיבות, לא ניתן לומר כי מדובר בטווח ענישה בלתי סביר על פני הדברים. לאור כך, אינני סבור שיש צורך במקרה זה לפרט ולנמק את מתחם הענישה ההולם במקרה זה, כנעשה במקרים בהם אין מדובר בהסדר, אלא אדרש לנושא בקצרה בלבד. </w:t>
      </w:r>
    </w:p>
    <w:p w14:paraId="5D56E177" w14:textId="77777777" w:rsidR="00771684" w:rsidRPr="00F102E9" w:rsidRDefault="00771684" w:rsidP="00771684">
      <w:pPr>
        <w:spacing w:line="360" w:lineRule="auto"/>
        <w:contextualSpacing/>
        <w:jc w:val="both"/>
        <w:rPr>
          <w:rtl/>
        </w:rPr>
      </w:pPr>
    </w:p>
    <w:p w14:paraId="69146972" w14:textId="77777777" w:rsidR="00771684" w:rsidRDefault="00771684" w:rsidP="00771684">
      <w:pPr>
        <w:spacing w:line="360" w:lineRule="auto"/>
        <w:contextualSpacing/>
        <w:jc w:val="both"/>
        <w:rPr>
          <w:rtl/>
        </w:rPr>
      </w:pPr>
      <w:r>
        <w:rPr>
          <w:rFonts w:hint="cs"/>
          <w:rtl/>
        </w:rPr>
        <w:t>9.</w:t>
      </w:r>
      <w:r>
        <w:rPr>
          <w:rFonts w:hint="cs"/>
          <w:rtl/>
        </w:rPr>
        <w:tab/>
        <w:t xml:space="preserve">הערכים המוגנים הנפגעים בעבירות הסמים ידועים לכל. מדובר בפגיעה של ממש בשלום הציבור, בטחונו ורכושו ואף בנאשם עצמו. עבירות סמים והצורך להשיגן, גוררים לרוב עבירות רכוש הפוגעות בציבור, ומעגל הקסמים:  סמים </w:t>
      </w:r>
      <w:r>
        <w:rPr>
          <w:rtl/>
        </w:rPr>
        <w:t>–</w:t>
      </w:r>
      <w:r>
        <w:rPr>
          <w:rFonts w:hint="cs"/>
          <w:rtl/>
        </w:rPr>
        <w:t xml:space="preserve">  עבירות רכוש </w:t>
      </w:r>
      <w:r>
        <w:rPr>
          <w:rtl/>
        </w:rPr>
        <w:t>–</w:t>
      </w:r>
      <w:r>
        <w:rPr>
          <w:rFonts w:hint="cs"/>
          <w:rtl/>
        </w:rPr>
        <w:t xml:space="preserve"> סמים, ידוע לכל העוסקים בנושא. </w:t>
      </w:r>
    </w:p>
    <w:p w14:paraId="4F1E24BD" w14:textId="77777777" w:rsidR="00771684" w:rsidRDefault="00771684" w:rsidP="00771684">
      <w:pPr>
        <w:spacing w:line="360" w:lineRule="auto"/>
        <w:contextualSpacing/>
        <w:jc w:val="both"/>
        <w:rPr>
          <w:rtl/>
        </w:rPr>
      </w:pPr>
    </w:p>
    <w:p w14:paraId="527436D5" w14:textId="77777777" w:rsidR="00771684" w:rsidRPr="005127A0" w:rsidRDefault="00771684" w:rsidP="00771684">
      <w:pPr>
        <w:spacing w:line="360" w:lineRule="auto"/>
        <w:ind w:firstLine="720"/>
        <w:contextualSpacing/>
        <w:jc w:val="both"/>
        <w:rPr>
          <w:rtl/>
        </w:rPr>
      </w:pPr>
      <w:r>
        <w:rPr>
          <w:rFonts w:hint="cs"/>
          <w:rtl/>
        </w:rPr>
        <w:t xml:space="preserve">ביחס לנסיבות הקשורות לביצוע העבירה, אציין כי הסמים הוחזקו בביתו של הנאשם וכי הכמות אינה מועטה. </w:t>
      </w:r>
    </w:p>
    <w:p w14:paraId="4F6870DB" w14:textId="77777777" w:rsidR="00771684" w:rsidRDefault="00771684" w:rsidP="00771684">
      <w:pPr>
        <w:spacing w:line="360" w:lineRule="auto"/>
        <w:ind w:left="360"/>
        <w:contextualSpacing/>
        <w:jc w:val="both"/>
        <w:rPr>
          <w:rtl/>
        </w:rPr>
      </w:pPr>
    </w:p>
    <w:p w14:paraId="74BE557A" w14:textId="77777777" w:rsidR="00771684" w:rsidRPr="009B2655" w:rsidRDefault="00771684" w:rsidP="00771684">
      <w:pPr>
        <w:spacing w:line="360" w:lineRule="auto"/>
        <w:ind w:firstLine="720"/>
        <w:contextualSpacing/>
        <w:jc w:val="both"/>
      </w:pPr>
      <w:r>
        <w:rPr>
          <w:rFonts w:hint="cs"/>
          <w:rtl/>
        </w:rPr>
        <w:t xml:space="preserve">ביחס למדיניות הענישה הנוהגת בעבירות דומות אפנה למקרים הבאים: </w:t>
      </w:r>
      <w:hyperlink r:id="rId31" w:history="1">
        <w:r w:rsidR="00664134" w:rsidRPr="00664134">
          <w:rPr>
            <w:color w:val="0000FF"/>
            <w:u w:val="single"/>
            <w:rtl/>
          </w:rPr>
          <w:t>ת"פ 38865-09-10</w:t>
        </w:r>
      </w:hyperlink>
      <w:r w:rsidRPr="009B2655">
        <w:rPr>
          <w:rtl/>
        </w:rPr>
        <w:t xml:space="preserve"> </w:t>
      </w:r>
      <w:r w:rsidRPr="009B2655">
        <w:rPr>
          <w:b/>
          <w:bCs/>
          <w:rtl/>
        </w:rPr>
        <w:t>מדינת ישראל נ' יחיאל</w:t>
      </w:r>
      <w:r w:rsidRPr="009B2655">
        <w:rPr>
          <w:rtl/>
        </w:rPr>
        <w:t xml:space="preserve"> (31.1.12), </w:t>
      </w:r>
      <w:r>
        <w:rPr>
          <w:rFonts w:hint="cs"/>
          <w:rtl/>
        </w:rPr>
        <w:t xml:space="preserve">בו נידון נאשם בשל </w:t>
      </w:r>
      <w:r w:rsidRPr="009B2655">
        <w:rPr>
          <w:rtl/>
        </w:rPr>
        <w:t xml:space="preserve">החזקת סם </w:t>
      </w:r>
      <w:r>
        <w:rPr>
          <w:rFonts w:hint="cs"/>
          <w:rtl/>
        </w:rPr>
        <w:t xml:space="preserve">מסוג חשיש </w:t>
      </w:r>
      <w:r w:rsidRPr="009B2655">
        <w:rPr>
          <w:rtl/>
        </w:rPr>
        <w:t>שלא לצריכה עצמית</w:t>
      </w:r>
      <w:r>
        <w:rPr>
          <w:rFonts w:hint="cs"/>
          <w:rtl/>
        </w:rPr>
        <w:t>,</w:t>
      </w:r>
      <w:r w:rsidRPr="009B2655">
        <w:rPr>
          <w:rtl/>
        </w:rPr>
        <w:t xml:space="preserve"> במשקל של 481 גרם </w:t>
      </w:r>
      <w:r>
        <w:rPr>
          <w:rFonts w:hint="cs"/>
          <w:rtl/>
        </w:rPr>
        <w:t>(</w:t>
      </w:r>
      <w:r w:rsidRPr="009B2655">
        <w:rPr>
          <w:rtl/>
        </w:rPr>
        <w:t>מחולק ל- 5 פלטות</w:t>
      </w:r>
      <w:r>
        <w:rPr>
          <w:rFonts w:hint="cs"/>
          <w:rtl/>
        </w:rPr>
        <w:t xml:space="preserve">) </w:t>
      </w:r>
      <w:r w:rsidRPr="009B2655">
        <w:rPr>
          <w:rtl/>
        </w:rPr>
        <w:t xml:space="preserve">ל- 4 חודשי עבודות שירות וקנס; </w:t>
      </w:r>
      <w:hyperlink r:id="rId32" w:history="1">
        <w:r w:rsidR="00664134" w:rsidRPr="00664134">
          <w:rPr>
            <w:color w:val="0000FF"/>
            <w:u w:val="single"/>
            <w:rtl/>
          </w:rPr>
          <w:t>ת"פ 51933-05-12</w:t>
        </w:r>
      </w:hyperlink>
      <w:r w:rsidRPr="009B2655">
        <w:rPr>
          <w:rtl/>
        </w:rPr>
        <w:t xml:space="preserve"> </w:t>
      </w:r>
      <w:r w:rsidRPr="009B2655">
        <w:rPr>
          <w:b/>
          <w:bCs/>
          <w:rtl/>
        </w:rPr>
        <w:t>מדינת ישראל נ' בוטבול</w:t>
      </w:r>
      <w:r w:rsidRPr="009B2655">
        <w:rPr>
          <w:rtl/>
        </w:rPr>
        <w:t xml:space="preserve"> (27.3.14), </w:t>
      </w:r>
      <w:r>
        <w:rPr>
          <w:rFonts w:hint="cs"/>
          <w:rtl/>
        </w:rPr>
        <w:t xml:space="preserve">בו נידון </w:t>
      </w:r>
      <w:r w:rsidRPr="009B2655">
        <w:rPr>
          <w:rtl/>
        </w:rPr>
        <w:t xml:space="preserve">נאשם </w:t>
      </w:r>
      <w:r>
        <w:rPr>
          <w:rFonts w:hint="cs"/>
          <w:rtl/>
        </w:rPr>
        <w:t xml:space="preserve">בשל החזקת </w:t>
      </w:r>
      <w:r w:rsidRPr="009B2655">
        <w:rPr>
          <w:rtl/>
        </w:rPr>
        <w:t>סם מסוג קנאבוס במשקל כולל של 254.66 גרם נטו</w:t>
      </w:r>
      <w:r>
        <w:rPr>
          <w:rFonts w:hint="cs"/>
          <w:rtl/>
        </w:rPr>
        <w:t xml:space="preserve"> </w:t>
      </w:r>
      <w:r w:rsidRPr="009B2655">
        <w:rPr>
          <w:rtl/>
        </w:rPr>
        <w:t xml:space="preserve"> </w:t>
      </w:r>
      <w:r>
        <w:rPr>
          <w:rFonts w:hint="cs"/>
          <w:rtl/>
        </w:rPr>
        <w:t>ל</w:t>
      </w:r>
      <w:r w:rsidRPr="009B2655">
        <w:rPr>
          <w:rtl/>
        </w:rPr>
        <w:t xml:space="preserve">חודשיים </w:t>
      </w:r>
      <w:r>
        <w:rPr>
          <w:rFonts w:hint="cs"/>
          <w:rtl/>
        </w:rPr>
        <w:t>מאסר ב</w:t>
      </w:r>
      <w:r w:rsidRPr="009B2655">
        <w:rPr>
          <w:rtl/>
        </w:rPr>
        <w:t xml:space="preserve">עבודות שירות ועונשים נלווים; </w:t>
      </w:r>
      <w:hyperlink r:id="rId33" w:history="1">
        <w:r w:rsidR="00664134" w:rsidRPr="00664134">
          <w:rPr>
            <w:color w:val="0000FF"/>
            <w:u w:val="single"/>
            <w:rtl/>
          </w:rPr>
          <w:t>ת"פ 19158-06-11</w:t>
        </w:r>
      </w:hyperlink>
      <w:r w:rsidRPr="009B2655">
        <w:rPr>
          <w:rtl/>
        </w:rPr>
        <w:t xml:space="preserve"> </w:t>
      </w:r>
      <w:r w:rsidRPr="009B2655">
        <w:rPr>
          <w:b/>
          <w:bCs/>
          <w:rtl/>
        </w:rPr>
        <w:t>מדינת ישראל נ' ברנס</w:t>
      </w:r>
      <w:r w:rsidRPr="009B2655">
        <w:rPr>
          <w:rtl/>
        </w:rPr>
        <w:t xml:space="preserve"> (17.9.11), </w:t>
      </w:r>
      <w:r>
        <w:rPr>
          <w:rFonts w:hint="cs"/>
          <w:rtl/>
        </w:rPr>
        <w:t xml:space="preserve">בו נידון </w:t>
      </w:r>
      <w:r w:rsidRPr="009B2655">
        <w:rPr>
          <w:rtl/>
        </w:rPr>
        <w:t xml:space="preserve">נאשם </w:t>
      </w:r>
      <w:r>
        <w:rPr>
          <w:rFonts w:hint="cs"/>
          <w:rtl/>
        </w:rPr>
        <w:t>ש</w:t>
      </w:r>
      <w:r w:rsidRPr="009B2655">
        <w:rPr>
          <w:rtl/>
        </w:rPr>
        <w:t>החזיק סם מסוכן מסוג חשיש במשקל של 2,357 גרם</w:t>
      </w:r>
      <w:r>
        <w:rPr>
          <w:rFonts w:hint="cs"/>
          <w:rtl/>
        </w:rPr>
        <w:t xml:space="preserve"> לחמישה </w:t>
      </w:r>
      <w:r w:rsidRPr="009B2655">
        <w:rPr>
          <w:rtl/>
        </w:rPr>
        <w:t xml:space="preserve">חודשי מאסר בפועל; </w:t>
      </w:r>
      <w:hyperlink r:id="rId34" w:history="1">
        <w:r w:rsidR="00664134" w:rsidRPr="00664134">
          <w:rPr>
            <w:color w:val="0000FF"/>
            <w:u w:val="single"/>
            <w:rtl/>
          </w:rPr>
          <w:t>ת"פ 16576-06-14</w:t>
        </w:r>
      </w:hyperlink>
      <w:r w:rsidRPr="009B2655">
        <w:rPr>
          <w:rtl/>
        </w:rPr>
        <w:t xml:space="preserve"> </w:t>
      </w:r>
      <w:r w:rsidRPr="009B2655">
        <w:rPr>
          <w:b/>
          <w:bCs/>
          <w:rtl/>
        </w:rPr>
        <w:t>מדינת ישראל נ' אבו טראש</w:t>
      </w:r>
      <w:r w:rsidRPr="009B2655">
        <w:rPr>
          <w:rtl/>
        </w:rPr>
        <w:t xml:space="preserve"> (19.10.14), </w:t>
      </w:r>
      <w:r>
        <w:rPr>
          <w:rFonts w:hint="cs"/>
          <w:rtl/>
        </w:rPr>
        <w:t xml:space="preserve">בו נידון </w:t>
      </w:r>
      <w:r w:rsidRPr="009B2655">
        <w:rPr>
          <w:rtl/>
        </w:rPr>
        <w:t xml:space="preserve">נאשם בעבירה של החזקת סם מסוג חשיש במשקל 599 ג' שלא לצריכה עצמית </w:t>
      </w:r>
      <w:r>
        <w:rPr>
          <w:rFonts w:hint="cs"/>
          <w:rtl/>
        </w:rPr>
        <w:t xml:space="preserve">לחמישה </w:t>
      </w:r>
      <w:r w:rsidRPr="009B2655">
        <w:rPr>
          <w:rtl/>
        </w:rPr>
        <w:t xml:space="preserve">חודשי מאסר בפועל, מאסר מותנה וקנס; </w:t>
      </w:r>
      <w:hyperlink r:id="rId35" w:history="1">
        <w:r w:rsidR="00664134" w:rsidRPr="00664134">
          <w:rPr>
            <w:color w:val="0000FF"/>
            <w:u w:val="single"/>
            <w:rtl/>
          </w:rPr>
          <w:t>ת"פ 12111-12-12</w:t>
        </w:r>
      </w:hyperlink>
      <w:r w:rsidRPr="009B2655">
        <w:rPr>
          <w:rtl/>
        </w:rPr>
        <w:t xml:space="preserve">  </w:t>
      </w:r>
      <w:r w:rsidRPr="009B2655">
        <w:rPr>
          <w:b/>
          <w:bCs/>
          <w:rtl/>
        </w:rPr>
        <w:t>מדינת ישראל נ' אמיר נאסר</w:t>
      </w:r>
      <w:r w:rsidRPr="009B2655">
        <w:rPr>
          <w:rtl/>
        </w:rPr>
        <w:t xml:space="preserve"> (02.09.13), </w:t>
      </w:r>
      <w:r>
        <w:rPr>
          <w:rFonts w:hint="cs"/>
          <w:rtl/>
        </w:rPr>
        <w:t xml:space="preserve">בו נידון </w:t>
      </w:r>
      <w:r w:rsidRPr="009B2655">
        <w:rPr>
          <w:rtl/>
        </w:rPr>
        <w:t xml:space="preserve">נאשם </w:t>
      </w:r>
      <w:r>
        <w:rPr>
          <w:rFonts w:hint="cs"/>
          <w:rtl/>
        </w:rPr>
        <w:t>ש</w:t>
      </w:r>
      <w:r w:rsidRPr="009B2655">
        <w:rPr>
          <w:rtl/>
        </w:rPr>
        <w:t>הורשע בהחזקת סם מסוג חשיש, שלא לצריכתו העצמית, במשקל של כ-254 גרם ובעבירה של שיבוש הליכי חקירה</w:t>
      </w:r>
      <w:r>
        <w:rPr>
          <w:rFonts w:hint="cs"/>
          <w:rtl/>
        </w:rPr>
        <w:t xml:space="preserve"> לשישה חודשי מאסר בעבודות שירות (אגב הפעלת מאסר מותנה)</w:t>
      </w:r>
      <w:r w:rsidRPr="009B2655">
        <w:rPr>
          <w:rtl/>
        </w:rPr>
        <w:t>.</w:t>
      </w:r>
      <w:r>
        <w:rPr>
          <w:rFonts w:hint="cs"/>
          <w:rtl/>
        </w:rPr>
        <w:t xml:space="preserve"> אציין כי במקרה זה </w:t>
      </w:r>
      <w:r w:rsidRPr="009B2655">
        <w:rPr>
          <w:rtl/>
        </w:rPr>
        <w:t xml:space="preserve">נקבע מתחם </w:t>
      </w:r>
      <w:r>
        <w:rPr>
          <w:rFonts w:hint="cs"/>
          <w:rtl/>
        </w:rPr>
        <w:t>ענישה ה</w:t>
      </w:r>
      <w:r w:rsidRPr="009B2655">
        <w:rPr>
          <w:rtl/>
        </w:rPr>
        <w:t>נע בין 6 חודשי מאסר ועד ל-18 חודשי מאסר.</w:t>
      </w:r>
    </w:p>
    <w:p w14:paraId="44E213F1" w14:textId="77777777" w:rsidR="00771684" w:rsidRDefault="00771684" w:rsidP="00771684">
      <w:pPr>
        <w:spacing w:before="100" w:beforeAutospacing="1" w:line="360" w:lineRule="auto"/>
        <w:jc w:val="both"/>
        <w:rPr>
          <w:rtl/>
        </w:rPr>
      </w:pPr>
      <w:r>
        <w:rPr>
          <w:rtl/>
        </w:rPr>
        <w:tab/>
      </w:r>
      <w:r w:rsidRPr="009B2655">
        <w:rPr>
          <w:rtl/>
        </w:rPr>
        <w:t xml:space="preserve">לאור כך, </w:t>
      </w:r>
      <w:r>
        <w:rPr>
          <w:rFonts w:hint="cs"/>
          <w:rtl/>
        </w:rPr>
        <w:t xml:space="preserve">אני בדעה </w:t>
      </w:r>
      <w:r w:rsidRPr="009B2655">
        <w:rPr>
          <w:rtl/>
        </w:rPr>
        <w:t xml:space="preserve">כי מתחם הענישה ההולם </w:t>
      </w:r>
      <w:r>
        <w:rPr>
          <w:rFonts w:hint="cs"/>
          <w:rtl/>
        </w:rPr>
        <w:t xml:space="preserve">את </w:t>
      </w:r>
      <w:r w:rsidRPr="009B2655">
        <w:rPr>
          <w:rtl/>
        </w:rPr>
        <w:t>נסיבותיו של מקרה זה</w:t>
      </w:r>
      <w:r>
        <w:rPr>
          <w:rFonts w:hint="cs"/>
          <w:rtl/>
        </w:rPr>
        <w:t>,</w:t>
      </w:r>
      <w:r w:rsidRPr="009B2655">
        <w:rPr>
          <w:rtl/>
        </w:rPr>
        <w:t xml:space="preserve"> נע בין מספר </w:t>
      </w:r>
      <w:r>
        <w:rPr>
          <w:rFonts w:hint="cs"/>
          <w:rtl/>
        </w:rPr>
        <w:t>ח</w:t>
      </w:r>
      <w:r w:rsidRPr="009B2655">
        <w:rPr>
          <w:rtl/>
        </w:rPr>
        <w:t xml:space="preserve">ודשי מאסר </w:t>
      </w:r>
      <w:r>
        <w:rPr>
          <w:rFonts w:hint="cs"/>
          <w:rtl/>
        </w:rPr>
        <w:t xml:space="preserve">שניתן לשאת בהם </w:t>
      </w:r>
      <w:r w:rsidRPr="009B2655">
        <w:rPr>
          <w:rtl/>
        </w:rPr>
        <w:t xml:space="preserve">בעבודות שירות ועד </w:t>
      </w:r>
      <w:r>
        <w:rPr>
          <w:rFonts w:hint="cs"/>
          <w:rtl/>
        </w:rPr>
        <w:t>18</w:t>
      </w:r>
      <w:r w:rsidRPr="009B2655">
        <w:rPr>
          <w:rtl/>
        </w:rPr>
        <w:t xml:space="preserve"> חודשי מאסר בפועל.</w:t>
      </w:r>
      <w:r>
        <w:rPr>
          <w:rFonts w:hint="cs"/>
          <w:rtl/>
        </w:rPr>
        <w:t xml:space="preserve"> </w:t>
      </w:r>
    </w:p>
    <w:p w14:paraId="3023F0AC" w14:textId="77777777" w:rsidR="00771684" w:rsidRDefault="00771684" w:rsidP="00771684">
      <w:pPr>
        <w:spacing w:before="100" w:beforeAutospacing="1" w:line="360" w:lineRule="auto"/>
        <w:jc w:val="both"/>
        <w:rPr>
          <w:rtl/>
        </w:rPr>
      </w:pPr>
    </w:p>
    <w:p w14:paraId="6DD4D471" w14:textId="77777777" w:rsidR="00771684" w:rsidRDefault="00771684" w:rsidP="00771684">
      <w:pPr>
        <w:spacing w:before="100" w:beforeAutospacing="1" w:line="360" w:lineRule="auto"/>
        <w:jc w:val="both"/>
        <w:rPr>
          <w:rtl/>
        </w:rPr>
      </w:pPr>
    </w:p>
    <w:p w14:paraId="18E6EAB7" w14:textId="77777777" w:rsidR="00771684" w:rsidRPr="009B2655" w:rsidRDefault="00771684" w:rsidP="00771684">
      <w:pPr>
        <w:spacing w:before="100" w:beforeAutospacing="1" w:line="360" w:lineRule="auto"/>
        <w:jc w:val="both"/>
        <w:rPr>
          <w:rtl/>
        </w:rPr>
      </w:pPr>
    </w:p>
    <w:p w14:paraId="6DC7251A" w14:textId="77777777" w:rsidR="00771684" w:rsidRDefault="00771684" w:rsidP="00771684">
      <w:pPr>
        <w:spacing w:before="100" w:beforeAutospacing="1" w:line="360" w:lineRule="auto"/>
        <w:jc w:val="both"/>
        <w:rPr>
          <w:b/>
          <w:bCs/>
          <w:u w:val="single"/>
          <w:rtl/>
        </w:rPr>
      </w:pPr>
      <w:r w:rsidRPr="009B2655">
        <w:rPr>
          <w:b/>
          <w:bCs/>
          <w:u w:val="single"/>
          <w:rtl/>
        </w:rPr>
        <w:t>קביעת עונשו של הנאשם</w:t>
      </w:r>
    </w:p>
    <w:p w14:paraId="0BE7403F" w14:textId="77777777" w:rsidR="00771684" w:rsidRDefault="00771684" w:rsidP="00771684">
      <w:pPr>
        <w:spacing w:before="100" w:beforeAutospacing="1" w:line="360" w:lineRule="auto"/>
        <w:jc w:val="both"/>
        <w:rPr>
          <w:rtl/>
        </w:rPr>
      </w:pPr>
      <w:r w:rsidRPr="00AF030C">
        <w:rPr>
          <w:rFonts w:hint="cs"/>
          <w:rtl/>
        </w:rPr>
        <w:t>10.</w:t>
      </w:r>
      <w:r w:rsidRPr="00AF030C">
        <w:rPr>
          <w:rFonts w:hint="cs"/>
          <w:rtl/>
        </w:rPr>
        <w:tab/>
      </w:r>
      <w:r>
        <w:rPr>
          <w:rFonts w:hint="cs"/>
          <w:rtl/>
        </w:rPr>
        <w:t xml:space="preserve">טרם דיון בשאלת עונשו של הנאשם, אציין כי טווח הענישה אליו הגיעו הצדדים במסגרת הסדר הטיעון מצוי בחלקו בתוך מתחם הענישה שקבעתי (ובעיקר הרף העליון, שהוא ההקלה לה זכה הנאשם בשל הודאתו). בשים לב לנסיבותיו האישיות של הנאשם, עברו הפלילי, האמור בתסקירים, ויתר הנסיבות, ראיתי לכבד את הסדר הטיעון בהיותו מאוזן וראוי. השאלה בה עלי להכריע היא מהו העונש שיש להטיל על הנאשם, בתוך טווח הענישה המוסכם ,ולכך אעבור כעת. </w:t>
      </w:r>
    </w:p>
    <w:p w14:paraId="419876A5" w14:textId="77777777" w:rsidR="00771684" w:rsidRDefault="00771684" w:rsidP="00771684">
      <w:pPr>
        <w:spacing w:before="100" w:beforeAutospacing="1" w:line="360" w:lineRule="auto"/>
        <w:jc w:val="both"/>
        <w:rPr>
          <w:rtl/>
        </w:rPr>
      </w:pPr>
      <w:r>
        <w:rPr>
          <w:rFonts w:hint="cs"/>
          <w:rtl/>
        </w:rPr>
        <w:t>11.</w:t>
      </w:r>
      <w:r>
        <w:rPr>
          <w:rFonts w:hint="cs"/>
          <w:rtl/>
        </w:rPr>
        <w:tab/>
        <w:t>הנאשם הוא צעיר כבן 27. בעת ביצוע העבירה היה כבן 25. משך תקופה לא מבוטלת הוא שיתף פעולה עם גורמי הטיפול אשר התרשמו כי הוא "</w:t>
      </w:r>
      <w:r w:rsidRPr="008E1CD4">
        <w:rPr>
          <w:rFonts w:cs="Miriam" w:hint="cs"/>
          <w:rtl/>
        </w:rPr>
        <w:t>עושה שינויים קטנים ומדודים בהתנהגותו</w:t>
      </w:r>
      <w:r>
        <w:rPr>
          <w:rFonts w:hint="cs"/>
          <w:rtl/>
        </w:rPr>
        <w:t xml:space="preserve">" ואף בדיקות שתן לא מעטות שמסר העידו על ניקיון מסמים, תקופה לא קצרה. לאור כך המליץ שירות המבחן בתחילה על הטלת צו מבחן, אך בהמשך, לאחר בדיקה שהעידה על שימוש בסם, השתנתה ההמלצה (בין היתר לאור כך שהנאשם לא הסכים להליך גמילה ארוך בקהילה טיפולית) ולא ניתנה עוד בעניינו המלצה טיפולית. מסקנה זו מצערת, שכן ברי שהנאשם יכול היה להיתרם מהליך טיפולי, לא רק בהיבט הצר הקשור בענישה בתיק זה, אלא בעיקר בהשפעה על איכות חייו. </w:t>
      </w:r>
    </w:p>
    <w:p w14:paraId="110C75E8" w14:textId="77777777" w:rsidR="00771684" w:rsidRDefault="00771684" w:rsidP="00771684">
      <w:pPr>
        <w:spacing w:before="100" w:beforeAutospacing="1" w:line="360" w:lineRule="auto"/>
        <w:jc w:val="both"/>
        <w:rPr>
          <w:rtl/>
        </w:rPr>
      </w:pPr>
      <w:r>
        <w:rPr>
          <w:rFonts w:hint="cs"/>
          <w:rtl/>
        </w:rPr>
        <w:t>12.</w:t>
      </w:r>
      <w:r>
        <w:rPr>
          <w:rtl/>
        </w:rPr>
        <w:tab/>
      </w:r>
      <w:r>
        <w:rPr>
          <w:rFonts w:hint="cs"/>
          <w:rtl/>
        </w:rPr>
        <w:t xml:space="preserve">עם זאת, וחרף היעדר המלצה טיפולית, סברתי כי נכון להימנע בעניינו של הנאשם מעונש מאסר בכליאה ולאמץ את המלצת שירות המבחן למאסר בעבודות שירות (וקיימת חוות דעת חיובית של הממונה לאחר בדיקות סמים שנמצאו נקיות). מסקנה זו מתחדדת לאור ההכרה ההולכת וגוברת בדבר ההשפעות השליליות של עונש מאסר בכליאה, לרבות הטמעת ערכים עברייניים (אפקט קרימינוגני). דומה כי שירות המבחן לא התרשם מאדם בעל דפוסי התנהגות עברייניים, אלא התמכרותיים, וכך גם הייתה התרשמותי שלי. נקבע לא אחת כי ראוי להימנע מהטלת עונש מאסר בכליאה ביחס למי שאינו בעל דפוסי עבריינות מובהקים (ראה </w:t>
      </w:r>
      <w:hyperlink r:id="rId36" w:history="1">
        <w:r w:rsidR="00664134" w:rsidRPr="00664134">
          <w:rPr>
            <w:color w:val="0000FF"/>
            <w:u w:val="single"/>
            <w:rtl/>
          </w:rPr>
          <w:t>ע"פ 4318-10-11</w:t>
        </w:r>
      </w:hyperlink>
      <w:r>
        <w:rPr>
          <w:rFonts w:hint="cs"/>
          <w:rtl/>
        </w:rPr>
        <w:t xml:space="preserve"> </w:t>
      </w:r>
      <w:r>
        <w:rPr>
          <w:rFonts w:hint="cs"/>
          <w:b/>
          <w:bCs/>
          <w:rtl/>
        </w:rPr>
        <w:t>מדינת ישראל נ' רפאילוב ואח'</w:t>
      </w:r>
      <w:r>
        <w:rPr>
          <w:rFonts w:hint="cs"/>
          <w:rtl/>
        </w:rPr>
        <w:t xml:space="preserve"> (5.1.12), חוות דעתו של כב' השופט (כתוארו אז) ר. שפירא; כן ראה גם </w:t>
      </w:r>
      <w:r>
        <w:rPr>
          <w:rFonts w:hint="cs"/>
          <w:b/>
          <w:bCs/>
          <w:rtl/>
        </w:rPr>
        <w:t>דו"ח הועדה הציבורית לבחינת מדיניות הענישה והטיפול בעבריינים, 2015</w:t>
      </w:r>
      <w:r>
        <w:rPr>
          <w:rFonts w:hint="cs"/>
          <w:rtl/>
        </w:rPr>
        <w:t xml:space="preserve"> (המכונה "דו"ח ועדת דורנר")). ראו גם: </w:t>
      </w:r>
    </w:p>
    <w:p w14:paraId="2613F038" w14:textId="77777777" w:rsidR="00771684" w:rsidRDefault="00771684" w:rsidP="00771684">
      <w:pPr>
        <w:spacing w:before="100" w:beforeAutospacing="1" w:line="360" w:lineRule="auto"/>
        <w:contextualSpacing/>
        <w:jc w:val="both"/>
        <w:rPr>
          <w:b/>
          <w:bCs/>
          <w:u w:val="single"/>
          <w:rtl/>
        </w:rPr>
      </w:pPr>
      <w:r w:rsidRPr="00771684">
        <w:rPr>
          <w:rFonts w:ascii="Calibri" w:hAnsi="Calibri"/>
          <w:rtl/>
        </w:rPr>
        <w:tab/>
      </w:r>
    </w:p>
    <w:p w14:paraId="65F34AE4" w14:textId="77777777" w:rsidR="00771684" w:rsidRPr="00F6704E" w:rsidRDefault="00771684" w:rsidP="00771684">
      <w:pPr>
        <w:autoSpaceDE w:val="0"/>
        <w:autoSpaceDN w:val="0"/>
        <w:spacing w:line="360" w:lineRule="auto"/>
        <w:ind w:left="720" w:right="1134"/>
        <w:jc w:val="both"/>
        <w:rPr>
          <w:rFonts w:cs="Times New Roman"/>
          <w:sz w:val="20"/>
          <w:szCs w:val="20"/>
          <w:rtl/>
        </w:rPr>
      </w:pPr>
      <w:r>
        <w:rPr>
          <w:rFonts w:cs="Miriam" w:hint="cs"/>
          <w:spacing w:val="10"/>
          <w:rtl/>
        </w:rPr>
        <w:t>"</w:t>
      </w:r>
      <w:r w:rsidRPr="00F6704E">
        <w:rPr>
          <w:rFonts w:cs="Miriam" w:hint="cs"/>
          <w:spacing w:val="10"/>
          <w:rtl/>
        </w:rPr>
        <w:t xml:space="preserve">העבירה בה המערער הורשע בוצעה בשנת 2012, במועד בו המערער היה צעיר כבן 23. .... בצד זאת, קיים במקרה דנן חשש להשפעה שלילית שתהא לשליחתו של המערער למאסר בשלב זה – תוך קטיעת מגמת השיפור החיובית בעניינו (ראו: </w:t>
      </w:r>
      <w:hyperlink r:id="rId37" w:history="1">
        <w:r w:rsidR="00664134" w:rsidRPr="00664134">
          <w:rPr>
            <w:rFonts w:cs="Miriam"/>
            <w:color w:val="0000FF"/>
            <w:spacing w:val="10"/>
            <w:u w:val="single"/>
            <w:rtl/>
          </w:rPr>
          <w:t>ע"פ 1964/16</w:t>
        </w:r>
      </w:hyperlink>
      <w:r w:rsidRPr="00F6704E">
        <w:rPr>
          <w:rFonts w:cs="Miriam" w:hint="cs"/>
          <w:spacing w:val="10"/>
          <w:rtl/>
        </w:rPr>
        <w:t xml:space="preserve"> </w:t>
      </w:r>
      <w:r w:rsidRPr="00F6704E">
        <w:rPr>
          <w:rFonts w:cs="Miriam" w:hint="cs"/>
          <w:rtl/>
        </w:rPr>
        <w:t>בושנאק נ' מדינת ישראל</w:t>
      </w:r>
      <w:r w:rsidRPr="00F6704E">
        <w:rPr>
          <w:rFonts w:cs="Miriam" w:hint="cs"/>
          <w:spacing w:val="10"/>
          <w:rtl/>
        </w:rPr>
        <w:t>, פיסקה 9 (25.05.2017); "הוועדה</w:t>
      </w:r>
      <w:r w:rsidRPr="00F6704E">
        <w:rPr>
          <w:rFonts w:ascii="Century" w:hAnsi="Century" w:cs="Miriam"/>
          <w:spacing w:val="10"/>
        </w:rPr>
        <w:t xml:space="preserve"> </w:t>
      </w:r>
      <w:r w:rsidRPr="00F6704E">
        <w:rPr>
          <w:rFonts w:cs="Miriam" w:hint="cs"/>
          <w:spacing w:val="10"/>
          <w:rtl/>
        </w:rPr>
        <w:t>הציבורית לבחינת</w:t>
      </w:r>
      <w:r w:rsidRPr="00F6704E">
        <w:rPr>
          <w:rFonts w:ascii="Century" w:hAnsi="Century" w:cs="Miriam"/>
          <w:spacing w:val="10"/>
        </w:rPr>
        <w:t xml:space="preserve"> </w:t>
      </w:r>
      <w:r w:rsidRPr="00F6704E">
        <w:rPr>
          <w:rFonts w:cs="Miriam" w:hint="cs"/>
          <w:spacing w:val="10"/>
          <w:rtl/>
        </w:rPr>
        <w:t>מדיניות הענישה</w:t>
      </w:r>
      <w:r w:rsidRPr="00F6704E">
        <w:rPr>
          <w:rFonts w:ascii="Century" w:hAnsi="Century" w:cs="Miriam"/>
          <w:spacing w:val="10"/>
        </w:rPr>
        <w:t xml:space="preserve"> </w:t>
      </w:r>
      <w:r w:rsidRPr="00F6704E">
        <w:rPr>
          <w:rFonts w:cs="Miriam" w:hint="cs"/>
          <w:spacing w:val="10"/>
          <w:rtl/>
        </w:rPr>
        <w:t xml:space="preserve">והטיפול בעבריינים" </w:t>
      </w:r>
      <w:r w:rsidRPr="00F6704E">
        <w:rPr>
          <w:rFonts w:cs="Miriam" w:hint="cs"/>
          <w:rtl/>
        </w:rPr>
        <w:t>דין</w:t>
      </w:r>
      <w:r w:rsidRPr="00F6704E">
        <w:rPr>
          <w:rFonts w:ascii="Century" w:hAnsi="Century" w:cs="Miriam"/>
          <w:b/>
          <w:bCs/>
        </w:rPr>
        <w:t xml:space="preserve"> </w:t>
      </w:r>
      <w:r w:rsidRPr="00F6704E">
        <w:rPr>
          <w:rFonts w:cs="Miriam" w:hint="cs"/>
          <w:rtl/>
        </w:rPr>
        <w:t xml:space="preserve">וחשבון </w:t>
      </w:r>
      <w:r w:rsidRPr="00F6704E">
        <w:rPr>
          <w:rFonts w:cs="Miriam" w:hint="cs"/>
          <w:spacing w:val="10"/>
          <w:rtl/>
        </w:rPr>
        <w:t>21 (2015))</w:t>
      </w:r>
      <w:r>
        <w:rPr>
          <w:rFonts w:cs="Miriam" w:hint="cs"/>
          <w:spacing w:val="10"/>
          <w:rtl/>
        </w:rPr>
        <w:t>"</w:t>
      </w:r>
      <w:r w:rsidRPr="00F6704E">
        <w:rPr>
          <w:rFonts w:cs="Miriam" w:hint="cs"/>
          <w:spacing w:val="10"/>
          <w:rtl/>
        </w:rPr>
        <w:t>.</w:t>
      </w:r>
      <w:r>
        <w:rPr>
          <w:rFonts w:cs="FrankRuehl" w:hint="cs"/>
          <w:spacing w:val="10"/>
          <w:sz w:val="28"/>
          <w:szCs w:val="28"/>
          <w:rtl/>
        </w:rPr>
        <w:t xml:space="preserve"> </w:t>
      </w:r>
      <w:r>
        <w:rPr>
          <w:rFonts w:cs="Times New Roman" w:hint="cs"/>
          <w:sz w:val="20"/>
          <w:szCs w:val="20"/>
          <w:rtl/>
        </w:rPr>
        <w:t>(</w:t>
      </w:r>
      <w:hyperlink r:id="rId38" w:history="1">
        <w:r w:rsidR="00664134" w:rsidRPr="00664134">
          <w:rPr>
            <w:color w:val="0000FF"/>
            <w:u w:val="single"/>
            <w:rtl/>
          </w:rPr>
          <w:t>רע"פ 356/14</w:t>
        </w:r>
      </w:hyperlink>
      <w:r w:rsidRPr="00C71982">
        <w:rPr>
          <w:rFonts w:hint="cs"/>
          <w:rtl/>
        </w:rPr>
        <w:t xml:space="preserve"> </w:t>
      </w:r>
      <w:r w:rsidRPr="00C71982">
        <w:rPr>
          <w:rFonts w:hint="cs"/>
          <w:b/>
          <w:bCs/>
          <w:rtl/>
        </w:rPr>
        <w:t xml:space="preserve">עמנואל קפרוב נ' מדינת ישראל </w:t>
      </w:r>
      <w:r w:rsidRPr="00C71982">
        <w:rPr>
          <w:rFonts w:hint="cs"/>
          <w:rtl/>
        </w:rPr>
        <w:t xml:space="preserve">(3.10.17)). </w:t>
      </w:r>
    </w:p>
    <w:p w14:paraId="418CEFA9" w14:textId="77777777" w:rsidR="00771684" w:rsidRDefault="00771684" w:rsidP="00771684">
      <w:pPr>
        <w:spacing w:before="100" w:beforeAutospacing="1" w:line="360" w:lineRule="auto"/>
        <w:jc w:val="both"/>
        <w:rPr>
          <w:rtl/>
        </w:rPr>
      </w:pPr>
    </w:p>
    <w:p w14:paraId="56D2F046" w14:textId="77777777" w:rsidR="00771684" w:rsidRDefault="00771684" w:rsidP="00771684">
      <w:pPr>
        <w:spacing w:before="100" w:beforeAutospacing="1" w:line="360" w:lineRule="auto"/>
        <w:jc w:val="both"/>
        <w:rPr>
          <w:rtl/>
        </w:rPr>
      </w:pPr>
      <w:r>
        <w:rPr>
          <w:rFonts w:hint="cs"/>
          <w:rtl/>
        </w:rPr>
        <w:t>13.</w:t>
      </w:r>
      <w:r>
        <w:rPr>
          <w:rFonts w:hint="cs"/>
          <w:rtl/>
        </w:rPr>
        <w:tab/>
        <w:t>לכך יש להוסיף כי התרשמתי מהנאשם כאדם חלש יחסית, הסובל אף מקשיים נפשיים כאמור בתסקיר שירות המבחן. ברי בעיני כי עונש מאסר בכליאה יהיה קשה ביותר עבורו ואפשר שאף יגרום לו נזק של ממש. כן, "</w:t>
      </w:r>
      <w:r>
        <w:rPr>
          <w:rFonts w:cs="Miriam" w:hint="cs"/>
          <w:spacing w:val="10"/>
          <w:rtl/>
        </w:rPr>
        <w:t>עלינו לזכור כי המאסר אינו אלא אמצעי, ולא תכלית – אמצעי לגמול, להרתעה ולשיקום העבריין... המטרה היא להצביע על כיווני חשיבה נוספים מעבר לבניית מתקני מאסר ומעצר נוספים, וכאמור הממשלה למעשה כבר בחרה לילך בדרך זו כאשר אימצה את דו"ח ועדת דורנר; מסקנתה העיקרית של ועדה זו היתה כי "יש לפעול לצמצום השימוש במאסרים במקרים בהם המאסר אינו הכרחי להגבלת יכולת של עבריינים שהמסוכנות שלהם לחברה גבוהה, והרחבת השימוש בעונשים זולים יותר ויעילים יותר העומדים בעקרון ההלימה, ובכך להביא להקצאה יעילה ונכונה יותר של המשאבים המופנים לטובת הנושא" (</w:t>
      </w:r>
      <w:r>
        <w:rPr>
          <w:rFonts w:cs="Miriam" w:hint="cs"/>
          <w:rtl/>
        </w:rPr>
        <w:t>שם</w:t>
      </w:r>
      <w:r>
        <w:rPr>
          <w:rFonts w:cs="Miriam" w:hint="cs"/>
          <w:spacing w:val="10"/>
          <w:rtl/>
        </w:rPr>
        <w:t>, בעמ' ד'), ואין לי אלא להצטרף לאמור, גם בצו השכל הישר</w:t>
      </w:r>
      <w:r>
        <w:rPr>
          <w:rFonts w:cs="Miriam" w:hint="cs"/>
          <w:rtl/>
        </w:rPr>
        <w:t>"</w:t>
      </w:r>
      <w:r>
        <w:rPr>
          <w:rFonts w:hint="cs"/>
          <w:rtl/>
        </w:rPr>
        <w:t xml:space="preserve"> (</w:t>
      </w:r>
      <w:hyperlink r:id="rId39" w:history="1">
        <w:r w:rsidR="00664134" w:rsidRPr="00664134">
          <w:rPr>
            <w:color w:val="0000FF"/>
            <w:u w:val="single"/>
            <w:rtl/>
          </w:rPr>
          <w:t>בג"צ 1892/14</w:t>
        </w:r>
      </w:hyperlink>
      <w:r>
        <w:rPr>
          <w:rFonts w:hint="cs"/>
          <w:rtl/>
        </w:rPr>
        <w:t xml:space="preserve"> </w:t>
      </w:r>
      <w:r>
        <w:rPr>
          <w:rFonts w:hint="cs"/>
          <w:b/>
          <w:bCs/>
          <w:rtl/>
        </w:rPr>
        <w:t>האגודה לזכויות האדם בישראל ואח' נ' השר לבטחון פנים ואח'</w:t>
      </w:r>
      <w:r>
        <w:rPr>
          <w:rFonts w:hint="cs"/>
          <w:rtl/>
        </w:rPr>
        <w:t xml:space="preserve"> (13.6.17), פסקה קכו' לפסק דינו של המשנה לנשיאה רובינשטיין).</w:t>
      </w:r>
    </w:p>
    <w:p w14:paraId="75588B03" w14:textId="77777777" w:rsidR="00771684" w:rsidRDefault="00771684" w:rsidP="00771684">
      <w:pPr>
        <w:spacing w:before="100" w:beforeAutospacing="1" w:line="360" w:lineRule="auto"/>
        <w:jc w:val="both"/>
        <w:rPr>
          <w:rtl/>
        </w:rPr>
      </w:pPr>
      <w:r>
        <w:rPr>
          <w:rFonts w:hint="cs"/>
          <w:rtl/>
        </w:rPr>
        <w:t>14.</w:t>
      </w:r>
      <w:r>
        <w:rPr>
          <w:rFonts w:hint="cs"/>
          <w:rtl/>
        </w:rPr>
        <w:tab/>
        <w:t xml:space="preserve">אל מול חוסר התאמתו של עונש מאסר בכליאה לנתוניו של נאשם זה, עונש מאסר בעבודות שירות יהא בו מחד גיסא להוות עונש מוחשי, ארוך וקשה, אך מאידך גיסא לא יחשוף את הנאשם להשפעות השליליות שבכליאה מאחורי סורג ובריח. השפעות שיפגעו הן בנאשם והן בחברה (בעקיפין). בנסיבות ענייננו, ראיתי עונש זה כהולם ונכון. אדגיש כי למעשה עונש זה מצוי בגדרי טווח הענישה שקבעו הצדדים, שהרי להגנה הותר לטעון באופן "פתוח" ורק המאשימה הגבילה עצמה לעונש מאסר בן 10 חודשים (הכולל את המאסר המותנה). </w:t>
      </w:r>
    </w:p>
    <w:p w14:paraId="60D9ED45" w14:textId="77777777" w:rsidR="00771684" w:rsidRPr="00F6704E" w:rsidRDefault="00771684" w:rsidP="00771684">
      <w:pPr>
        <w:spacing w:before="100" w:beforeAutospacing="1" w:line="360" w:lineRule="auto"/>
        <w:jc w:val="both"/>
        <w:rPr>
          <w:rFonts w:cs="Times New Roman"/>
          <w:sz w:val="20"/>
          <w:szCs w:val="20"/>
          <w:rtl/>
        </w:rPr>
      </w:pPr>
      <w:r>
        <w:rPr>
          <w:rFonts w:hint="cs"/>
          <w:rtl/>
        </w:rPr>
        <w:t>15.</w:t>
      </w:r>
      <w:r>
        <w:rPr>
          <w:rFonts w:hint="cs"/>
          <w:rtl/>
        </w:rPr>
        <w:tab/>
        <w:t xml:space="preserve">שקלתי שמא יש בעובדה שכנגד הנאשם תלוי ועומד עונש מאסר מותנה בן שישה חודשים, למנוע ענישה בעבודות שירות. ההתלבטות מקורה בהלכה לפיה, ככלל, יש להפעיל עונש מותנה במצטבר לעונש המוטל, כאמור </w:t>
      </w:r>
      <w:hyperlink r:id="rId40" w:history="1">
        <w:r w:rsidR="00AF1A32" w:rsidRPr="00AF1A32">
          <w:rPr>
            <w:color w:val="0000FF"/>
            <w:u w:val="single"/>
            <w:rtl/>
          </w:rPr>
          <w:t>בסעיף 58</w:t>
        </w:r>
      </w:hyperlink>
      <w:r>
        <w:rPr>
          <w:rFonts w:hint="cs"/>
          <w:rtl/>
        </w:rPr>
        <w:t xml:space="preserve"> ל</w:t>
      </w:r>
      <w:hyperlink r:id="rId41" w:history="1">
        <w:r w:rsidR="00664134" w:rsidRPr="00664134">
          <w:rPr>
            <w:color w:val="0000FF"/>
            <w:u w:val="single"/>
            <w:rtl/>
          </w:rPr>
          <w:t>חוק העונשין</w:t>
        </w:r>
      </w:hyperlink>
      <w:r>
        <w:rPr>
          <w:rFonts w:hint="cs"/>
          <w:rtl/>
        </w:rPr>
        <w:t xml:space="preserve">, אלא אם קיימים נימוקים מיוחדים להימנע מכך, וכאמור קיים מאסר מותנה בן שישה חודשים, שהוא הגבול העליון של עונש שניתן לשאת בו בעבודות שירות. בענייננו, סברתי כי קיימים נתונים לחפיפת העונש שאטיל בתיק זה לעונש המאסר המותנה שיש להפעיל. נימוקים אלו קשורים בגילו הצעיר של הנאשם; במצבו הנפשי; בתקופת מעצרו ובתקופה הארוכה בה שהה בתנאים מגבילים קשים; במאמציו לשקם את חייו כעולה מתסקיר שירות המבחן; ובמשמעות של צבירת העונשים המחייבת למעשה את שליחת הנאשם למאסר בכליאה, עונש שראוי לדעתי להימנע ממנו בנסיבות העניין. </w:t>
      </w:r>
    </w:p>
    <w:p w14:paraId="23706196" w14:textId="77777777" w:rsidR="00771684" w:rsidRDefault="00771684" w:rsidP="00771684">
      <w:pPr>
        <w:spacing w:line="360" w:lineRule="auto"/>
        <w:ind w:left="720"/>
        <w:contextualSpacing/>
        <w:jc w:val="both"/>
        <w:rPr>
          <w:rtl/>
        </w:rPr>
      </w:pPr>
    </w:p>
    <w:p w14:paraId="295C7216" w14:textId="77777777" w:rsidR="00771684" w:rsidRDefault="00771684" w:rsidP="00771684">
      <w:pPr>
        <w:spacing w:line="360" w:lineRule="auto"/>
        <w:ind w:left="720"/>
        <w:contextualSpacing/>
        <w:jc w:val="both"/>
        <w:rPr>
          <w:rtl/>
        </w:rPr>
      </w:pPr>
    </w:p>
    <w:p w14:paraId="5A91917A" w14:textId="77777777" w:rsidR="00771684" w:rsidRDefault="00771684" w:rsidP="00771684">
      <w:pPr>
        <w:spacing w:line="360" w:lineRule="auto"/>
        <w:ind w:left="720"/>
        <w:contextualSpacing/>
        <w:jc w:val="both"/>
      </w:pPr>
    </w:p>
    <w:p w14:paraId="1D86ED35" w14:textId="77777777" w:rsidR="00771684" w:rsidRPr="00771684" w:rsidRDefault="00771684" w:rsidP="00771684">
      <w:pPr>
        <w:spacing w:before="100" w:beforeAutospacing="1" w:line="360" w:lineRule="auto"/>
        <w:ind w:left="360"/>
        <w:contextualSpacing/>
        <w:jc w:val="both"/>
        <w:rPr>
          <w:rFonts w:ascii="Calibri" w:hAnsi="Calibri"/>
          <w:rtl/>
        </w:rPr>
      </w:pPr>
    </w:p>
    <w:p w14:paraId="5C46D5B5" w14:textId="77777777" w:rsidR="00771684" w:rsidRPr="008668BA" w:rsidRDefault="00771684" w:rsidP="00771684">
      <w:pPr>
        <w:spacing w:before="120" w:after="120" w:line="360" w:lineRule="auto"/>
        <w:contextualSpacing/>
        <w:jc w:val="both"/>
        <w:rPr>
          <w:rtl/>
        </w:rPr>
      </w:pPr>
      <w:r>
        <w:rPr>
          <w:rFonts w:hint="cs"/>
          <w:rtl/>
        </w:rPr>
        <w:t>16</w:t>
      </w:r>
      <w:r w:rsidRPr="008668BA">
        <w:rPr>
          <w:rFonts w:hint="cs"/>
          <w:rtl/>
        </w:rPr>
        <w:t>.</w:t>
      </w:r>
      <w:r w:rsidRPr="008668BA">
        <w:rPr>
          <w:rtl/>
        </w:rPr>
        <w:tab/>
      </w:r>
      <w:r>
        <w:rPr>
          <w:rFonts w:hint="cs"/>
          <w:rtl/>
        </w:rPr>
        <w:t>אשר על כן, ולאחר שנתתי דעתי למכלול טיעוני הצדדים, א</w:t>
      </w:r>
      <w:r w:rsidRPr="008668BA">
        <w:rPr>
          <w:rtl/>
        </w:rPr>
        <w:t>ני מטיל על הנאשם את העונשים הבאים:</w:t>
      </w:r>
    </w:p>
    <w:p w14:paraId="24815739" w14:textId="77777777" w:rsidR="00771684" w:rsidRPr="009B2655" w:rsidRDefault="00771684" w:rsidP="00771684">
      <w:pPr>
        <w:spacing w:before="120" w:after="120" w:line="360" w:lineRule="auto"/>
        <w:contextualSpacing/>
        <w:jc w:val="both"/>
        <w:rPr>
          <w:u w:val="single"/>
        </w:rPr>
      </w:pPr>
    </w:p>
    <w:p w14:paraId="10FBF0B7" w14:textId="77777777" w:rsidR="00771684" w:rsidRPr="00771684" w:rsidRDefault="00771684" w:rsidP="00771684">
      <w:pPr>
        <w:spacing w:before="100" w:beforeAutospacing="1" w:line="360" w:lineRule="auto"/>
        <w:ind w:firstLine="720"/>
        <w:contextualSpacing/>
        <w:jc w:val="both"/>
        <w:rPr>
          <w:rFonts w:ascii="Calibri" w:hAnsi="Calibri"/>
        </w:rPr>
      </w:pPr>
      <w:r w:rsidRPr="00771684">
        <w:rPr>
          <w:rFonts w:ascii="Calibri" w:hAnsi="Calibri" w:hint="cs"/>
          <w:rtl/>
        </w:rPr>
        <w:t>א.</w:t>
      </w:r>
      <w:r w:rsidRPr="00771684">
        <w:rPr>
          <w:rFonts w:ascii="Calibri" w:hAnsi="Calibri"/>
          <w:rtl/>
        </w:rPr>
        <w:tab/>
      </w:r>
      <w:r w:rsidRPr="00771684">
        <w:rPr>
          <w:rFonts w:ascii="Calibri" w:hAnsi="Calibri" w:hint="cs"/>
          <w:rtl/>
        </w:rPr>
        <w:t xml:space="preserve">3 </w:t>
      </w:r>
      <w:r w:rsidRPr="00771684">
        <w:rPr>
          <w:rFonts w:ascii="Calibri" w:hAnsi="Calibri" w:hint="eastAsia"/>
          <w:rtl/>
        </w:rPr>
        <w:t>חודשי</w:t>
      </w:r>
      <w:r w:rsidRPr="00771684">
        <w:rPr>
          <w:rFonts w:ascii="Calibri" w:hAnsi="Calibri" w:hint="cs"/>
          <w:rtl/>
        </w:rPr>
        <w:t xml:space="preserve"> </w:t>
      </w:r>
      <w:r w:rsidRPr="00771684">
        <w:rPr>
          <w:rFonts w:ascii="Calibri" w:hAnsi="Calibri"/>
          <w:rtl/>
        </w:rPr>
        <w:t xml:space="preserve"> </w:t>
      </w:r>
      <w:r w:rsidRPr="00771684">
        <w:rPr>
          <w:rFonts w:ascii="Calibri" w:hAnsi="Calibri" w:hint="eastAsia"/>
          <w:rtl/>
        </w:rPr>
        <w:t>מאסר</w:t>
      </w:r>
      <w:r w:rsidRPr="00771684">
        <w:rPr>
          <w:rFonts w:ascii="Calibri" w:hAnsi="Calibri"/>
          <w:rtl/>
        </w:rPr>
        <w:t xml:space="preserve"> </w:t>
      </w:r>
      <w:r w:rsidRPr="00771684">
        <w:rPr>
          <w:rFonts w:ascii="Calibri" w:hAnsi="Calibri" w:hint="eastAsia"/>
          <w:rtl/>
        </w:rPr>
        <w:t>בפועל</w:t>
      </w:r>
      <w:r w:rsidRPr="00771684">
        <w:rPr>
          <w:rFonts w:ascii="Calibri" w:hAnsi="Calibri" w:hint="cs"/>
          <w:rtl/>
        </w:rPr>
        <w:t xml:space="preserve">. </w:t>
      </w:r>
      <w:r w:rsidRPr="00771684">
        <w:rPr>
          <w:rFonts w:ascii="Calibri" w:hAnsi="Calibri"/>
          <w:rtl/>
        </w:rPr>
        <w:t xml:space="preserve"> </w:t>
      </w:r>
    </w:p>
    <w:p w14:paraId="2C4E4924" w14:textId="77777777" w:rsidR="00771684" w:rsidRPr="00771684" w:rsidRDefault="00771684" w:rsidP="00771684">
      <w:pPr>
        <w:spacing w:before="100" w:beforeAutospacing="1" w:line="360" w:lineRule="auto"/>
        <w:ind w:left="360"/>
        <w:contextualSpacing/>
        <w:jc w:val="both"/>
        <w:rPr>
          <w:rFonts w:ascii="Calibri" w:hAnsi="Calibri"/>
          <w:rtl/>
        </w:rPr>
      </w:pPr>
    </w:p>
    <w:p w14:paraId="5258A772" w14:textId="77777777" w:rsidR="00771684" w:rsidRPr="00771684" w:rsidRDefault="00771684" w:rsidP="00771684">
      <w:pPr>
        <w:spacing w:before="100" w:beforeAutospacing="1" w:line="360" w:lineRule="auto"/>
        <w:ind w:left="1440" w:hanging="720"/>
        <w:contextualSpacing/>
        <w:jc w:val="both"/>
        <w:rPr>
          <w:rFonts w:ascii="Calibri" w:hAnsi="Calibri"/>
          <w:rtl/>
        </w:rPr>
      </w:pPr>
      <w:r w:rsidRPr="00771684">
        <w:rPr>
          <w:rFonts w:ascii="Calibri" w:hAnsi="Calibri" w:hint="cs"/>
          <w:rtl/>
        </w:rPr>
        <w:t xml:space="preserve">ב. </w:t>
      </w:r>
      <w:r w:rsidRPr="00771684">
        <w:rPr>
          <w:rFonts w:ascii="Calibri" w:hAnsi="Calibri"/>
          <w:rtl/>
        </w:rPr>
        <w:tab/>
      </w:r>
      <w:r w:rsidRPr="00771684">
        <w:rPr>
          <w:rFonts w:ascii="Calibri" w:hAnsi="Calibri" w:hint="eastAsia"/>
          <w:rtl/>
        </w:rPr>
        <w:t>אני</w:t>
      </w:r>
      <w:r w:rsidRPr="00771684">
        <w:rPr>
          <w:rFonts w:ascii="Calibri" w:hAnsi="Calibri"/>
          <w:rtl/>
        </w:rPr>
        <w:t xml:space="preserve"> </w:t>
      </w:r>
      <w:r w:rsidRPr="00771684">
        <w:rPr>
          <w:rFonts w:ascii="Calibri" w:hAnsi="Calibri" w:hint="eastAsia"/>
          <w:rtl/>
        </w:rPr>
        <w:t>מורה</w:t>
      </w:r>
      <w:r w:rsidRPr="00771684">
        <w:rPr>
          <w:rFonts w:ascii="Calibri" w:hAnsi="Calibri"/>
          <w:rtl/>
        </w:rPr>
        <w:t xml:space="preserve"> </w:t>
      </w:r>
      <w:r w:rsidRPr="00771684">
        <w:rPr>
          <w:rFonts w:ascii="Calibri" w:hAnsi="Calibri" w:hint="eastAsia"/>
          <w:rtl/>
        </w:rPr>
        <w:t>על</w:t>
      </w:r>
      <w:r w:rsidRPr="00771684">
        <w:rPr>
          <w:rFonts w:ascii="Calibri" w:hAnsi="Calibri"/>
          <w:rtl/>
        </w:rPr>
        <w:t xml:space="preserve"> </w:t>
      </w:r>
      <w:r w:rsidRPr="00771684">
        <w:rPr>
          <w:rFonts w:ascii="Calibri" w:hAnsi="Calibri" w:hint="eastAsia"/>
          <w:rtl/>
        </w:rPr>
        <w:t>הפעלת</w:t>
      </w:r>
      <w:r w:rsidRPr="00771684">
        <w:rPr>
          <w:rFonts w:ascii="Calibri" w:hAnsi="Calibri"/>
          <w:rtl/>
        </w:rPr>
        <w:t xml:space="preserve"> </w:t>
      </w:r>
      <w:r w:rsidRPr="00771684">
        <w:rPr>
          <w:rFonts w:ascii="Calibri" w:hAnsi="Calibri" w:hint="cs"/>
          <w:rtl/>
        </w:rPr>
        <w:t xml:space="preserve">עונש </w:t>
      </w:r>
      <w:r w:rsidRPr="00771684">
        <w:rPr>
          <w:rFonts w:ascii="Calibri" w:hAnsi="Calibri" w:hint="eastAsia"/>
          <w:rtl/>
        </w:rPr>
        <w:t>המאסר</w:t>
      </w:r>
      <w:r w:rsidRPr="00771684">
        <w:rPr>
          <w:rFonts w:ascii="Calibri" w:hAnsi="Calibri"/>
          <w:rtl/>
        </w:rPr>
        <w:t xml:space="preserve"> </w:t>
      </w:r>
      <w:r w:rsidRPr="00771684">
        <w:rPr>
          <w:rFonts w:ascii="Calibri" w:hAnsi="Calibri" w:hint="cs"/>
          <w:rtl/>
        </w:rPr>
        <w:t xml:space="preserve">המותנה בן ששת החודשים </w:t>
      </w:r>
      <w:r w:rsidRPr="00771684">
        <w:rPr>
          <w:rFonts w:ascii="Calibri" w:hAnsi="Calibri" w:hint="eastAsia"/>
          <w:rtl/>
        </w:rPr>
        <w:t>שהוטל</w:t>
      </w:r>
      <w:r w:rsidRPr="00771684">
        <w:rPr>
          <w:rFonts w:ascii="Calibri" w:hAnsi="Calibri"/>
          <w:rtl/>
        </w:rPr>
        <w:t xml:space="preserve"> </w:t>
      </w:r>
      <w:r w:rsidRPr="00771684">
        <w:rPr>
          <w:rFonts w:ascii="Calibri" w:hAnsi="Calibri" w:hint="eastAsia"/>
          <w:rtl/>
        </w:rPr>
        <w:t>על</w:t>
      </w:r>
      <w:r w:rsidRPr="00771684">
        <w:rPr>
          <w:rFonts w:ascii="Calibri" w:hAnsi="Calibri"/>
          <w:rtl/>
        </w:rPr>
        <w:t xml:space="preserve"> </w:t>
      </w:r>
      <w:r w:rsidRPr="00771684">
        <w:rPr>
          <w:rFonts w:ascii="Calibri" w:hAnsi="Calibri" w:hint="eastAsia"/>
          <w:rtl/>
        </w:rPr>
        <w:t>הנאשם</w:t>
      </w:r>
      <w:r w:rsidRPr="00771684">
        <w:rPr>
          <w:rFonts w:ascii="Calibri" w:hAnsi="Calibri"/>
          <w:rtl/>
        </w:rPr>
        <w:t xml:space="preserve"> </w:t>
      </w:r>
      <w:r w:rsidRPr="00771684">
        <w:rPr>
          <w:rFonts w:ascii="Calibri" w:hAnsi="Calibri" w:hint="eastAsia"/>
          <w:rtl/>
        </w:rPr>
        <w:t>ב</w:t>
      </w:r>
      <w:hyperlink r:id="rId42" w:history="1">
        <w:r w:rsidR="00664134" w:rsidRPr="00664134">
          <w:rPr>
            <w:rFonts w:ascii="Calibri" w:hAnsi="Calibri" w:hint="eastAsia"/>
            <w:color w:val="0000FF"/>
            <w:u w:val="single"/>
            <w:rtl/>
          </w:rPr>
          <w:t>ת</w:t>
        </w:r>
        <w:r w:rsidR="00664134" w:rsidRPr="00664134">
          <w:rPr>
            <w:rFonts w:ascii="Calibri" w:hAnsi="Calibri"/>
            <w:color w:val="0000FF"/>
            <w:u w:val="single"/>
            <w:rtl/>
          </w:rPr>
          <w:t>"</w:t>
        </w:r>
        <w:r w:rsidR="00664134" w:rsidRPr="00664134">
          <w:rPr>
            <w:rFonts w:ascii="Calibri" w:hAnsi="Calibri" w:hint="eastAsia"/>
            <w:color w:val="0000FF"/>
            <w:u w:val="single"/>
            <w:rtl/>
          </w:rPr>
          <w:t>פ</w:t>
        </w:r>
        <w:r w:rsidR="00664134" w:rsidRPr="00664134">
          <w:rPr>
            <w:rFonts w:ascii="Calibri" w:hAnsi="Calibri"/>
            <w:color w:val="0000FF"/>
            <w:u w:val="single"/>
            <w:rtl/>
          </w:rPr>
          <w:t xml:space="preserve"> (</w:t>
        </w:r>
        <w:r w:rsidR="00664134" w:rsidRPr="00664134">
          <w:rPr>
            <w:rFonts w:ascii="Calibri" w:hAnsi="Calibri" w:hint="eastAsia"/>
            <w:color w:val="0000FF"/>
            <w:u w:val="single"/>
            <w:rtl/>
          </w:rPr>
          <w:t>ק</w:t>
        </w:r>
        <w:r w:rsidR="00664134" w:rsidRPr="00664134">
          <w:rPr>
            <w:rFonts w:ascii="Calibri" w:hAnsi="Calibri"/>
            <w:color w:val="0000FF"/>
            <w:u w:val="single"/>
            <w:rtl/>
          </w:rPr>
          <w:t>"</w:t>
        </w:r>
        <w:r w:rsidR="00664134" w:rsidRPr="00664134">
          <w:rPr>
            <w:rFonts w:ascii="Calibri" w:hAnsi="Calibri" w:hint="eastAsia"/>
            <w:color w:val="0000FF"/>
            <w:u w:val="single"/>
            <w:rtl/>
          </w:rPr>
          <w:t>ש</w:t>
        </w:r>
        <w:r w:rsidR="00664134" w:rsidRPr="00664134">
          <w:rPr>
            <w:rFonts w:ascii="Calibri" w:hAnsi="Calibri"/>
            <w:color w:val="0000FF"/>
            <w:u w:val="single"/>
            <w:rtl/>
          </w:rPr>
          <w:t>) 24484-04-14</w:t>
        </w:r>
      </w:hyperlink>
      <w:r w:rsidRPr="00771684">
        <w:rPr>
          <w:rFonts w:ascii="Calibri" w:hAnsi="Calibri"/>
          <w:rtl/>
        </w:rPr>
        <w:t xml:space="preserve"> </w:t>
      </w:r>
      <w:r w:rsidRPr="00771684">
        <w:rPr>
          <w:rFonts w:ascii="Calibri" w:hAnsi="Calibri" w:hint="cs"/>
          <w:rtl/>
        </w:rPr>
        <w:t xml:space="preserve">מיום </w:t>
      </w:r>
      <w:r w:rsidRPr="00771684">
        <w:rPr>
          <w:rFonts w:ascii="Calibri" w:hAnsi="Calibri"/>
          <w:rtl/>
        </w:rPr>
        <w:t>13.04.</w:t>
      </w:r>
      <w:r w:rsidRPr="00771684">
        <w:rPr>
          <w:rFonts w:ascii="Calibri" w:hAnsi="Calibri" w:hint="cs"/>
          <w:rtl/>
        </w:rPr>
        <w:t>14</w:t>
      </w:r>
      <w:r w:rsidRPr="00771684">
        <w:rPr>
          <w:rFonts w:ascii="Calibri" w:hAnsi="Calibri"/>
          <w:rtl/>
        </w:rPr>
        <w:t xml:space="preserve">. </w:t>
      </w:r>
    </w:p>
    <w:p w14:paraId="2E1C9130" w14:textId="77777777" w:rsidR="00771684" w:rsidRPr="00771684" w:rsidRDefault="00771684" w:rsidP="00771684">
      <w:pPr>
        <w:spacing w:before="100" w:beforeAutospacing="1" w:line="360" w:lineRule="auto"/>
        <w:ind w:left="1440" w:hanging="720"/>
        <w:contextualSpacing/>
        <w:jc w:val="both"/>
        <w:rPr>
          <w:rFonts w:ascii="Calibri" w:hAnsi="Calibri"/>
          <w:rtl/>
        </w:rPr>
      </w:pPr>
    </w:p>
    <w:p w14:paraId="18FAB0F0" w14:textId="77777777" w:rsidR="00771684" w:rsidRPr="00771684" w:rsidRDefault="00771684" w:rsidP="00771684">
      <w:pPr>
        <w:spacing w:before="100" w:beforeAutospacing="1" w:line="360" w:lineRule="auto"/>
        <w:ind w:left="1440" w:hanging="720"/>
        <w:contextualSpacing/>
        <w:jc w:val="both"/>
        <w:rPr>
          <w:rFonts w:ascii="Calibri" w:hAnsi="Calibri"/>
          <w:rtl/>
        </w:rPr>
      </w:pPr>
      <w:r w:rsidRPr="00771684">
        <w:rPr>
          <w:rFonts w:ascii="Calibri" w:hAnsi="Calibri" w:hint="cs"/>
          <w:rtl/>
        </w:rPr>
        <w:tab/>
        <w:t xml:space="preserve">הנאשם יישא בעונש המאסר אותו הטלתי ובעונש המאסר המותנה אותו הפעלתי, בחופף, </w:t>
      </w:r>
      <w:r w:rsidRPr="00771684">
        <w:rPr>
          <w:rFonts w:ascii="Calibri" w:hAnsi="Calibri" w:hint="eastAsia"/>
          <w:b/>
          <w:bCs/>
          <w:rtl/>
        </w:rPr>
        <w:t>כך</w:t>
      </w:r>
      <w:r w:rsidRPr="00771684">
        <w:rPr>
          <w:rFonts w:ascii="Calibri" w:hAnsi="Calibri"/>
          <w:b/>
          <w:bCs/>
          <w:rtl/>
        </w:rPr>
        <w:t xml:space="preserve"> </w:t>
      </w:r>
      <w:r w:rsidRPr="00771684">
        <w:rPr>
          <w:rFonts w:ascii="Calibri" w:hAnsi="Calibri" w:hint="eastAsia"/>
          <w:b/>
          <w:bCs/>
          <w:rtl/>
        </w:rPr>
        <w:t>שסה</w:t>
      </w:r>
      <w:r w:rsidRPr="00771684">
        <w:rPr>
          <w:rFonts w:ascii="Calibri" w:hAnsi="Calibri"/>
          <w:b/>
          <w:bCs/>
          <w:rtl/>
        </w:rPr>
        <w:t>"</w:t>
      </w:r>
      <w:r w:rsidRPr="00771684">
        <w:rPr>
          <w:rFonts w:ascii="Calibri" w:hAnsi="Calibri" w:hint="eastAsia"/>
          <w:b/>
          <w:bCs/>
          <w:rtl/>
        </w:rPr>
        <w:t>כ</w:t>
      </w:r>
      <w:r w:rsidRPr="00771684">
        <w:rPr>
          <w:rFonts w:ascii="Calibri" w:hAnsi="Calibri"/>
          <w:b/>
          <w:bCs/>
          <w:rtl/>
        </w:rPr>
        <w:t xml:space="preserve"> </w:t>
      </w:r>
      <w:r w:rsidRPr="00771684">
        <w:rPr>
          <w:rFonts w:ascii="Calibri" w:hAnsi="Calibri" w:hint="cs"/>
          <w:b/>
          <w:bCs/>
          <w:rtl/>
        </w:rPr>
        <w:t xml:space="preserve">מוטלים על </w:t>
      </w:r>
      <w:r w:rsidRPr="00771684">
        <w:rPr>
          <w:rFonts w:ascii="Calibri" w:hAnsi="Calibri" w:hint="eastAsia"/>
          <w:b/>
          <w:bCs/>
          <w:rtl/>
        </w:rPr>
        <w:t>הנאשם</w:t>
      </w:r>
      <w:r w:rsidRPr="00771684">
        <w:rPr>
          <w:rFonts w:ascii="Calibri" w:hAnsi="Calibri"/>
          <w:b/>
          <w:bCs/>
          <w:rtl/>
        </w:rPr>
        <w:t xml:space="preserve"> </w:t>
      </w:r>
      <w:r w:rsidRPr="00771684">
        <w:rPr>
          <w:rFonts w:ascii="Calibri" w:hAnsi="Calibri" w:hint="cs"/>
          <w:b/>
          <w:bCs/>
          <w:rtl/>
        </w:rPr>
        <w:t xml:space="preserve">שישה </w:t>
      </w:r>
      <w:r w:rsidRPr="00771684">
        <w:rPr>
          <w:rFonts w:ascii="Calibri" w:hAnsi="Calibri" w:hint="eastAsia"/>
          <w:b/>
          <w:bCs/>
          <w:rtl/>
        </w:rPr>
        <w:t>חודשי</w:t>
      </w:r>
      <w:r w:rsidRPr="00771684">
        <w:rPr>
          <w:rFonts w:ascii="Calibri" w:hAnsi="Calibri"/>
          <w:b/>
          <w:bCs/>
          <w:rtl/>
        </w:rPr>
        <w:t xml:space="preserve"> </w:t>
      </w:r>
      <w:r w:rsidRPr="00771684">
        <w:rPr>
          <w:rFonts w:ascii="Calibri" w:hAnsi="Calibri" w:hint="cs"/>
          <w:b/>
          <w:bCs/>
          <w:rtl/>
        </w:rPr>
        <w:t>מאסר, אותם יישא ב</w:t>
      </w:r>
      <w:r w:rsidRPr="00771684">
        <w:rPr>
          <w:rFonts w:ascii="Calibri" w:hAnsi="Calibri" w:hint="eastAsia"/>
          <w:b/>
          <w:bCs/>
          <w:rtl/>
        </w:rPr>
        <w:t>עבודות</w:t>
      </w:r>
      <w:r w:rsidRPr="00771684">
        <w:rPr>
          <w:rFonts w:ascii="Calibri" w:hAnsi="Calibri"/>
          <w:b/>
          <w:bCs/>
          <w:rtl/>
        </w:rPr>
        <w:t xml:space="preserve"> </w:t>
      </w:r>
      <w:r w:rsidRPr="00771684">
        <w:rPr>
          <w:rFonts w:ascii="Calibri" w:hAnsi="Calibri" w:hint="eastAsia"/>
          <w:b/>
          <w:bCs/>
          <w:rtl/>
        </w:rPr>
        <w:t>שירות</w:t>
      </w:r>
      <w:r w:rsidRPr="00771684">
        <w:rPr>
          <w:rFonts w:ascii="Calibri" w:hAnsi="Calibri"/>
          <w:rtl/>
        </w:rPr>
        <w:t xml:space="preserve">. </w:t>
      </w:r>
      <w:r w:rsidRPr="00771684">
        <w:rPr>
          <w:rFonts w:ascii="Calibri" w:hAnsi="Calibri" w:hint="eastAsia"/>
          <w:rtl/>
        </w:rPr>
        <w:t>עבודות</w:t>
      </w:r>
      <w:r w:rsidRPr="00771684">
        <w:rPr>
          <w:rFonts w:ascii="Calibri" w:hAnsi="Calibri"/>
          <w:rtl/>
        </w:rPr>
        <w:t xml:space="preserve"> </w:t>
      </w:r>
      <w:r w:rsidRPr="00771684">
        <w:rPr>
          <w:rFonts w:ascii="Calibri" w:hAnsi="Calibri" w:hint="eastAsia"/>
          <w:rtl/>
        </w:rPr>
        <w:t>השירות</w:t>
      </w:r>
      <w:r w:rsidRPr="00771684">
        <w:rPr>
          <w:rFonts w:ascii="Calibri" w:hAnsi="Calibri"/>
          <w:rtl/>
        </w:rPr>
        <w:t xml:space="preserve"> </w:t>
      </w:r>
      <w:r w:rsidRPr="00771684">
        <w:rPr>
          <w:rFonts w:ascii="Calibri" w:hAnsi="Calibri" w:hint="eastAsia"/>
          <w:rtl/>
        </w:rPr>
        <w:t>תבוצענה</w:t>
      </w:r>
      <w:r w:rsidRPr="00771684">
        <w:rPr>
          <w:rFonts w:ascii="Calibri" w:hAnsi="Calibri"/>
          <w:rtl/>
        </w:rPr>
        <w:t xml:space="preserve"> </w:t>
      </w:r>
      <w:r w:rsidRPr="00771684">
        <w:rPr>
          <w:rFonts w:ascii="Calibri" w:hAnsi="Calibri" w:hint="eastAsia"/>
          <w:rtl/>
        </w:rPr>
        <w:t>בהתאם</w:t>
      </w:r>
      <w:r w:rsidRPr="00771684">
        <w:rPr>
          <w:rFonts w:ascii="Calibri" w:hAnsi="Calibri"/>
          <w:rtl/>
        </w:rPr>
        <w:t xml:space="preserve"> </w:t>
      </w:r>
      <w:r w:rsidRPr="00771684">
        <w:rPr>
          <w:rFonts w:ascii="Calibri" w:hAnsi="Calibri" w:hint="eastAsia"/>
          <w:rtl/>
        </w:rPr>
        <w:t>להמלצת</w:t>
      </w:r>
      <w:r w:rsidRPr="00771684">
        <w:rPr>
          <w:rFonts w:ascii="Calibri" w:hAnsi="Calibri"/>
          <w:rtl/>
        </w:rPr>
        <w:t xml:space="preserve"> </w:t>
      </w:r>
      <w:r w:rsidRPr="00771684">
        <w:rPr>
          <w:rFonts w:ascii="Calibri" w:hAnsi="Calibri" w:hint="eastAsia"/>
          <w:rtl/>
        </w:rPr>
        <w:t>הממונה</w:t>
      </w:r>
      <w:r w:rsidRPr="00771684">
        <w:rPr>
          <w:rFonts w:ascii="Calibri" w:hAnsi="Calibri"/>
          <w:rtl/>
        </w:rPr>
        <w:t xml:space="preserve"> </w:t>
      </w:r>
      <w:r w:rsidRPr="00771684">
        <w:rPr>
          <w:rFonts w:ascii="Calibri" w:hAnsi="Calibri" w:hint="eastAsia"/>
          <w:rtl/>
        </w:rPr>
        <w:t>על</w:t>
      </w:r>
      <w:r w:rsidRPr="00771684">
        <w:rPr>
          <w:rFonts w:ascii="Calibri" w:hAnsi="Calibri"/>
          <w:rtl/>
        </w:rPr>
        <w:t xml:space="preserve"> </w:t>
      </w:r>
      <w:r w:rsidRPr="00771684">
        <w:rPr>
          <w:rFonts w:ascii="Calibri" w:hAnsi="Calibri" w:hint="eastAsia"/>
          <w:rtl/>
        </w:rPr>
        <w:t>עבודות</w:t>
      </w:r>
      <w:r w:rsidRPr="00771684">
        <w:rPr>
          <w:rFonts w:ascii="Calibri" w:hAnsi="Calibri"/>
          <w:rtl/>
        </w:rPr>
        <w:t xml:space="preserve"> </w:t>
      </w:r>
      <w:r w:rsidRPr="00771684">
        <w:rPr>
          <w:rFonts w:ascii="Calibri" w:hAnsi="Calibri" w:hint="eastAsia"/>
          <w:rtl/>
        </w:rPr>
        <w:t>השירות</w:t>
      </w:r>
      <w:r w:rsidRPr="00771684">
        <w:rPr>
          <w:rFonts w:ascii="Calibri" w:hAnsi="Calibri"/>
          <w:rtl/>
        </w:rPr>
        <w:t xml:space="preserve"> </w:t>
      </w:r>
      <w:r w:rsidRPr="00771684">
        <w:rPr>
          <w:rFonts w:ascii="Calibri" w:hAnsi="Calibri" w:hint="eastAsia"/>
          <w:rtl/>
        </w:rPr>
        <w:t>במועצה</w:t>
      </w:r>
      <w:r w:rsidRPr="00771684">
        <w:rPr>
          <w:rFonts w:ascii="Calibri" w:hAnsi="Calibri"/>
          <w:rtl/>
        </w:rPr>
        <w:t xml:space="preserve"> </w:t>
      </w:r>
      <w:r w:rsidRPr="00771684">
        <w:rPr>
          <w:rFonts w:ascii="Calibri" w:hAnsi="Calibri" w:hint="eastAsia"/>
          <w:rtl/>
        </w:rPr>
        <w:t>הדתית</w:t>
      </w:r>
      <w:r w:rsidRPr="00771684">
        <w:rPr>
          <w:rFonts w:ascii="Calibri" w:hAnsi="Calibri"/>
          <w:rtl/>
        </w:rPr>
        <w:t xml:space="preserve"> </w:t>
      </w:r>
      <w:r w:rsidRPr="00771684">
        <w:rPr>
          <w:rFonts w:ascii="Calibri" w:hAnsi="Calibri" w:hint="eastAsia"/>
          <w:rtl/>
        </w:rPr>
        <w:t>נשר</w:t>
      </w:r>
      <w:r w:rsidRPr="00771684">
        <w:rPr>
          <w:rFonts w:ascii="Calibri" w:hAnsi="Calibri"/>
          <w:rtl/>
        </w:rPr>
        <w:t xml:space="preserve">, </w:t>
      </w:r>
      <w:r w:rsidRPr="00771684">
        <w:rPr>
          <w:rFonts w:ascii="Calibri" w:hAnsi="Calibri" w:hint="eastAsia"/>
          <w:rtl/>
        </w:rPr>
        <w:t>תחילת</w:t>
      </w:r>
      <w:r w:rsidRPr="00771684">
        <w:rPr>
          <w:rFonts w:ascii="Calibri" w:hAnsi="Calibri"/>
          <w:rtl/>
        </w:rPr>
        <w:t xml:space="preserve"> </w:t>
      </w:r>
      <w:r w:rsidRPr="00771684">
        <w:rPr>
          <w:rFonts w:ascii="Calibri" w:hAnsi="Calibri" w:hint="eastAsia"/>
          <w:rtl/>
        </w:rPr>
        <w:t>עבודות</w:t>
      </w:r>
      <w:r w:rsidRPr="00771684">
        <w:rPr>
          <w:rFonts w:ascii="Calibri" w:hAnsi="Calibri"/>
          <w:rtl/>
        </w:rPr>
        <w:t xml:space="preserve"> </w:t>
      </w:r>
      <w:r w:rsidRPr="00771684">
        <w:rPr>
          <w:rFonts w:ascii="Calibri" w:hAnsi="Calibri" w:hint="eastAsia"/>
          <w:rtl/>
        </w:rPr>
        <w:t>השירות</w:t>
      </w:r>
      <w:r w:rsidRPr="00771684">
        <w:rPr>
          <w:rFonts w:ascii="Calibri" w:hAnsi="Calibri"/>
          <w:rtl/>
        </w:rPr>
        <w:t xml:space="preserve"> </w:t>
      </w:r>
      <w:r w:rsidRPr="00771684">
        <w:rPr>
          <w:rFonts w:ascii="Calibri" w:hAnsi="Calibri" w:hint="eastAsia"/>
          <w:rtl/>
        </w:rPr>
        <w:t>ביום</w:t>
      </w:r>
      <w:r w:rsidRPr="00771684">
        <w:rPr>
          <w:rFonts w:ascii="Calibri" w:hAnsi="Calibri"/>
          <w:rtl/>
        </w:rPr>
        <w:t xml:space="preserve"> 20.08.2018. </w:t>
      </w:r>
      <w:r w:rsidRPr="00771684">
        <w:rPr>
          <w:rFonts w:ascii="Calibri" w:hAnsi="Calibri" w:hint="cs"/>
          <w:rtl/>
        </w:rPr>
        <w:t xml:space="preserve">מובהר לנאשם כי עליו לבצע את עבודות השירות לשביעות רצון הממונה וכי אם לא יעשה כן ניתן יהיה להפקיען והוא יישא ביתרת התקופה בבית מאסר. </w:t>
      </w:r>
    </w:p>
    <w:p w14:paraId="64629A23" w14:textId="77777777" w:rsidR="00771684" w:rsidRPr="00771684" w:rsidRDefault="00771684" w:rsidP="00771684">
      <w:pPr>
        <w:spacing w:before="100" w:beforeAutospacing="1" w:line="360" w:lineRule="auto"/>
        <w:ind w:left="360" w:firstLine="360"/>
        <w:contextualSpacing/>
        <w:jc w:val="both"/>
        <w:rPr>
          <w:rFonts w:ascii="Calibri" w:hAnsi="Calibri"/>
          <w:rtl/>
        </w:rPr>
      </w:pPr>
    </w:p>
    <w:p w14:paraId="35C01E56" w14:textId="77777777" w:rsidR="00771684" w:rsidRPr="00771684" w:rsidRDefault="00771684" w:rsidP="00771684">
      <w:pPr>
        <w:spacing w:before="100" w:beforeAutospacing="1" w:line="360" w:lineRule="auto"/>
        <w:ind w:left="1440" w:hanging="720"/>
        <w:contextualSpacing/>
        <w:jc w:val="both"/>
        <w:rPr>
          <w:rFonts w:ascii="Calibri" w:hAnsi="Calibri"/>
          <w:rtl/>
        </w:rPr>
      </w:pPr>
      <w:r w:rsidRPr="00771684">
        <w:rPr>
          <w:rFonts w:ascii="Calibri" w:hAnsi="Calibri" w:hint="cs"/>
          <w:rtl/>
        </w:rPr>
        <w:t>ג.</w:t>
      </w:r>
      <w:r w:rsidRPr="00771684">
        <w:rPr>
          <w:rFonts w:ascii="Calibri" w:hAnsi="Calibri" w:hint="cs"/>
          <w:rtl/>
        </w:rPr>
        <w:tab/>
        <w:t xml:space="preserve">3 </w:t>
      </w:r>
      <w:r w:rsidRPr="00771684">
        <w:rPr>
          <w:rFonts w:ascii="Calibri" w:hAnsi="Calibri" w:hint="eastAsia"/>
          <w:rtl/>
        </w:rPr>
        <w:t>חודשי</w:t>
      </w:r>
      <w:r w:rsidRPr="00771684">
        <w:rPr>
          <w:rFonts w:ascii="Calibri" w:hAnsi="Calibri"/>
          <w:rtl/>
        </w:rPr>
        <w:t xml:space="preserve"> </w:t>
      </w:r>
      <w:r w:rsidRPr="00771684">
        <w:rPr>
          <w:rFonts w:ascii="Calibri" w:hAnsi="Calibri" w:hint="eastAsia"/>
          <w:rtl/>
        </w:rPr>
        <w:t>מאסר</w:t>
      </w:r>
      <w:r w:rsidRPr="00771684">
        <w:rPr>
          <w:rFonts w:ascii="Calibri" w:hAnsi="Calibri"/>
          <w:rtl/>
        </w:rPr>
        <w:t xml:space="preserve"> </w:t>
      </w:r>
      <w:r w:rsidRPr="00771684">
        <w:rPr>
          <w:rFonts w:ascii="Calibri" w:hAnsi="Calibri" w:hint="eastAsia"/>
          <w:rtl/>
        </w:rPr>
        <w:t>על</w:t>
      </w:r>
      <w:r w:rsidRPr="00771684">
        <w:rPr>
          <w:rFonts w:ascii="Calibri" w:hAnsi="Calibri"/>
          <w:rtl/>
        </w:rPr>
        <w:t xml:space="preserve"> </w:t>
      </w:r>
      <w:r w:rsidRPr="00771684">
        <w:rPr>
          <w:rFonts w:ascii="Calibri" w:hAnsi="Calibri" w:hint="eastAsia"/>
          <w:rtl/>
        </w:rPr>
        <w:t>תנאי</w:t>
      </w:r>
      <w:r w:rsidRPr="00771684">
        <w:rPr>
          <w:rFonts w:ascii="Calibri" w:hAnsi="Calibri"/>
          <w:rtl/>
        </w:rPr>
        <w:t xml:space="preserve">, </w:t>
      </w:r>
      <w:r w:rsidRPr="00771684">
        <w:rPr>
          <w:rFonts w:ascii="Calibri" w:hAnsi="Calibri" w:hint="eastAsia"/>
          <w:rtl/>
        </w:rPr>
        <w:t>לבל</w:t>
      </w:r>
      <w:r w:rsidRPr="00771684">
        <w:rPr>
          <w:rFonts w:ascii="Calibri" w:hAnsi="Calibri"/>
          <w:rtl/>
        </w:rPr>
        <w:t xml:space="preserve"> </w:t>
      </w:r>
      <w:r w:rsidRPr="00771684">
        <w:rPr>
          <w:rFonts w:ascii="Calibri" w:hAnsi="Calibri" w:hint="eastAsia"/>
          <w:rtl/>
        </w:rPr>
        <w:t>יעבור</w:t>
      </w:r>
      <w:r w:rsidRPr="00771684">
        <w:rPr>
          <w:rFonts w:ascii="Calibri" w:hAnsi="Calibri"/>
          <w:rtl/>
        </w:rPr>
        <w:t xml:space="preserve"> </w:t>
      </w:r>
      <w:r w:rsidRPr="00771684">
        <w:rPr>
          <w:rFonts w:ascii="Calibri" w:hAnsi="Calibri" w:hint="eastAsia"/>
          <w:rtl/>
        </w:rPr>
        <w:t>הנאשם</w:t>
      </w:r>
      <w:r w:rsidRPr="00771684">
        <w:rPr>
          <w:rFonts w:ascii="Calibri" w:hAnsi="Calibri"/>
          <w:rtl/>
        </w:rPr>
        <w:t xml:space="preserve"> </w:t>
      </w:r>
      <w:r w:rsidRPr="00771684">
        <w:rPr>
          <w:rFonts w:ascii="Calibri" w:hAnsi="Calibri" w:hint="eastAsia"/>
          <w:rtl/>
        </w:rPr>
        <w:t>במשך</w:t>
      </w:r>
      <w:r w:rsidRPr="00771684">
        <w:rPr>
          <w:rFonts w:ascii="Calibri" w:hAnsi="Calibri"/>
          <w:rtl/>
        </w:rPr>
        <w:t xml:space="preserve"> 3 </w:t>
      </w:r>
      <w:r w:rsidRPr="00771684">
        <w:rPr>
          <w:rFonts w:ascii="Calibri" w:hAnsi="Calibri" w:hint="eastAsia"/>
          <w:rtl/>
        </w:rPr>
        <w:t>שנים</w:t>
      </w:r>
      <w:r w:rsidRPr="00771684">
        <w:rPr>
          <w:rFonts w:ascii="Calibri" w:hAnsi="Calibri"/>
          <w:rtl/>
        </w:rPr>
        <w:t xml:space="preserve"> </w:t>
      </w:r>
      <w:r w:rsidRPr="00771684">
        <w:rPr>
          <w:rFonts w:ascii="Calibri" w:hAnsi="Calibri" w:hint="eastAsia"/>
          <w:rtl/>
        </w:rPr>
        <w:t>מהיום</w:t>
      </w:r>
      <w:r w:rsidRPr="00771684">
        <w:rPr>
          <w:rFonts w:ascii="Calibri" w:hAnsi="Calibri"/>
          <w:rtl/>
        </w:rPr>
        <w:t xml:space="preserve"> </w:t>
      </w:r>
      <w:r w:rsidRPr="00771684">
        <w:rPr>
          <w:rFonts w:ascii="Calibri" w:hAnsi="Calibri" w:hint="eastAsia"/>
          <w:rtl/>
        </w:rPr>
        <w:t>כל</w:t>
      </w:r>
      <w:r w:rsidRPr="00771684">
        <w:rPr>
          <w:rFonts w:ascii="Calibri" w:hAnsi="Calibri"/>
          <w:rtl/>
        </w:rPr>
        <w:t xml:space="preserve"> </w:t>
      </w:r>
      <w:r w:rsidRPr="00771684">
        <w:rPr>
          <w:rFonts w:ascii="Calibri" w:hAnsi="Calibri" w:hint="eastAsia"/>
          <w:rtl/>
        </w:rPr>
        <w:t>עבירה</w:t>
      </w:r>
      <w:r w:rsidRPr="00771684">
        <w:rPr>
          <w:rFonts w:ascii="Calibri" w:hAnsi="Calibri"/>
          <w:rtl/>
        </w:rPr>
        <w:t xml:space="preserve"> </w:t>
      </w:r>
      <w:r w:rsidRPr="00771684">
        <w:rPr>
          <w:rFonts w:ascii="Calibri" w:hAnsi="Calibri" w:hint="cs"/>
          <w:rtl/>
        </w:rPr>
        <w:t>על פקודת הסמים שהיא פשע.</w:t>
      </w:r>
      <w:r w:rsidRPr="00771684">
        <w:rPr>
          <w:rFonts w:ascii="Calibri" w:hAnsi="Calibri"/>
          <w:rtl/>
        </w:rPr>
        <w:t xml:space="preserve"> </w:t>
      </w:r>
    </w:p>
    <w:p w14:paraId="2658991E" w14:textId="77777777" w:rsidR="00771684" w:rsidRPr="00771684" w:rsidRDefault="00771684" w:rsidP="00771684">
      <w:pPr>
        <w:spacing w:before="100" w:beforeAutospacing="1" w:line="360" w:lineRule="auto"/>
        <w:ind w:firstLine="360"/>
        <w:contextualSpacing/>
        <w:jc w:val="both"/>
        <w:rPr>
          <w:rFonts w:ascii="Calibri" w:hAnsi="Calibri"/>
          <w:rtl/>
        </w:rPr>
      </w:pPr>
    </w:p>
    <w:p w14:paraId="2FF6DF81" w14:textId="77777777" w:rsidR="00771684" w:rsidRPr="00771684" w:rsidRDefault="00771684" w:rsidP="00771684">
      <w:pPr>
        <w:spacing w:before="100" w:beforeAutospacing="1" w:line="360" w:lineRule="auto"/>
        <w:ind w:left="1440" w:hanging="720"/>
        <w:contextualSpacing/>
        <w:jc w:val="both"/>
        <w:rPr>
          <w:rFonts w:ascii="Calibri" w:hAnsi="Calibri"/>
          <w:rtl/>
        </w:rPr>
      </w:pPr>
      <w:r w:rsidRPr="00771684">
        <w:rPr>
          <w:rFonts w:ascii="Calibri" w:hAnsi="Calibri" w:hint="cs"/>
          <w:rtl/>
        </w:rPr>
        <w:t>ד.</w:t>
      </w:r>
      <w:r w:rsidRPr="00771684">
        <w:rPr>
          <w:rFonts w:ascii="Calibri" w:hAnsi="Calibri" w:hint="cs"/>
          <w:rtl/>
        </w:rPr>
        <w:tab/>
      </w:r>
      <w:r w:rsidRPr="00771684">
        <w:rPr>
          <w:rFonts w:ascii="Calibri" w:hAnsi="Calibri" w:hint="eastAsia"/>
          <w:rtl/>
        </w:rPr>
        <w:t>קנס</w:t>
      </w:r>
      <w:r w:rsidRPr="00771684">
        <w:rPr>
          <w:rFonts w:ascii="Calibri" w:hAnsi="Calibri"/>
          <w:rtl/>
        </w:rPr>
        <w:t xml:space="preserve"> </w:t>
      </w:r>
      <w:r w:rsidRPr="00771684">
        <w:rPr>
          <w:rFonts w:ascii="Calibri" w:hAnsi="Calibri" w:hint="eastAsia"/>
          <w:rtl/>
        </w:rPr>
        <w:t>בסך</w:t>
      </w:r>
      <w:r w:rsidRPr="00771684">
        <w:rPr>
          <w:rFonts w:ascii="Calibri" w:hAnsi="Calibri"/>
          <w:rtl/>
        </w:rPr>
        <w:t xml:space="preserve"> </w:t>
      </w:r>
      <w:r w:rsidRPr="00771684">
        <w:rPr>
          <w:rFonts w:ascii="Calibri" w:hAnsi="Calibri" w:hint="eastAsia"/>
          <w:rtl/>
        </w:rPr>
        <w:t>של</w:t>
      </w:r>
      <w:r w:rsidRPr="00771684">
        <w:rPr>
          <w:rFonts w:ascii="Calibri" w:hAnsi="Calibri"/>
          <w:rtl/>
        </w:rPr>
        <w:t xml:space="preserve"> 3,000 </w:t>
      </w:r>
      <w:r w:rsidRPr="00771684">
        <w:rPr>
          <w:rFonts w:ascii="Calibri" w:hAnsi="Calibri" w:hint="eastAsia"/>
          <w:rtl/>
        </w:rPr>
        <w:t>₪</w:t>
      </w:r>
      <w:r w:rsidRPr="00771684">
        <w:rPr>
          <w:rFonts w:ascii="Calibri" w:hAnsi="Calibri"/>
          <w:rtl/>
        </w:rPr>
        <w:t xml:space="preserve"> </w:t>
      </w:r>
      <w:r w:rsidRPr="00771684">
        <w:rPr>
          <w:rFonts w:ascii="Calibri" w:hAnsi="Calibri" w:hint="eastAsia"/>
          <w:rtl/>
        </w:rPr>
        <w:t>או</w:t>
      </w:r>
      <w:r w:rsidRPr="00771684">
        <w:rPr>
          <w:rFonts w:ascii="Calibri" w:hAnsi="Calibri"/>
          <w:rtl/>
        </w:rPr>
        <w:t xml:space="preserve"> 10 </w:t>
      </w:r>
      <w:r w:rsidRPr="00771684">
        <w:rPr>
          <w:rFonts w:ascii="Calibri" w:hAnsi="Calibri" w:hint="eastAsia"/>
          <w:rtl/>
        </w:rPr>
        <w:t>ימי</w:t>
      </w:r>
      <w:r w:rsidRPr="00771684">
        <w:rPr>
          <w:rFonts w:ascii="Calibri" w:hAnsi="Calibri"/>
          <w:rtl/>
        </w:rPr>
        <w:t xml:space="preserve"> </w:t>
      </w:r>
      <w:r w:rsidRPr="00771684">
        <w:rPr>
          <w:rFonts w:ascii="Calibri" w:hAnsi="Calibri" w:hint="eastAsia"/>
          <w:rtl/>
        </w:rPr>
        <w:t>מאסר</w:t>
      </w:r>
      <w:r w:rsidRPr="00771684">
        <w:rPr>
          <w:rFonts w:ascii="Calibri" w:hAnsi="Calibri"/>
          <w:rtl/>
        </w:rPr>
        <w:t xml:space="preserve"> </w:t>
      </w:r>
      <w:r w:rsidRPr="00771684">
        <w:rPr>
          <w:rFonts w:ascii="Calibri" w:hAnsi="Calibri" w:hint="eastAsia"/>
          <w:rtl/>
        </w:rPr>
        <w:t>תמורתו</w:t>
      </w:r>
      <w:r w:rsidRPr="00771684">
        <w:rPr>
          <w:rFonts w:ascii="Calibri" w:hAnsi="Calibri"/>
          <w:rtl/>
        </w:rPr>
        <w:t xml:space="preserve">. </w:t>
      </w:r>
      <w:r w:rsidRPr="00771684">
        <w:rPr>
          <w:rFonts w:ascii="Calibri" w:hAnsi="Calibri" w:hint="eastAsia"/>
          <w:rtl/>
        </w:rPr>
        <w:t>הקנס</w:t>
      </w:r>
      <w:r w:rsidRPr="00771684">
        <w:rPr>
          <w:rFonts w:ascii="Calibri" w:hAnsi="Calibri"/>
          <w:rtl/>
        </w:rPr>
        <w:t xml:space="preserve"> </w:t>
      </w:r>
      <w:r w:rsidRPr="00771684">
        <w:rPr>
          <w:rFonts w:ascii="Calibri" w:hAnsi="Calibri" w:hint="eastAsia"/>
          <w:rtl/>
        </w:rPr>
        <w:t>ישולם</w:t>
      </w:r>
      <w:r w:rsidRPr="00771684">
        <w:rPr>
          <w:rFonts w:ascii="Calibri" w:hAnsi="Calibri"/>
          <w:rtl/>
        </w:rPr>
        <w:t xml:space="preserve"> </w:t>
      </w:r>
      <w:r w:rsidRPr="00771684">
        <w:rPr>
          <w:rFonts w:ascii="Calibri" w:hAnsi="Calibri" w:hint="eastAsia"/>
          <w:rtl/>
        </w:rPr>
        <w:t>ב</w:t>
      </w:r>
      <w:r w:rsidRPr="00771684">
        <w:rPr>
          <w:rFonts w:ascii="Calibri" w:hAnsi="Calibri"/>
          <w:rtl/>
        </w:rPr>
        <w:t xml:space="preserve">- 6 </w:t>
      </w:r>
      <w:r w:rsidRPr="00771684">
        <w:rPr>
          <w:rFonts w:ascii="Calibri" w:hAnsi="Calibri" w:hint="eastAsia"/>
          <w:rtl/>
        </w:rPr>
        <w:t>תשלומים</w:t>
      </w:r>
      <w:r w:rsidRPr="00771684">
        <w:rPr>
          <w:rFonts w:ascii="Calibri" w:hAnsi="Calibri"/>
          <w:rtl/>
        </w:rPr>
        <w:t xml:space="preserve"> </w:t>
      </w:r>
      <w:r w:rsidRPr="00771684">
        <w:rPr>
          <w:rFonts w:ascii="Calibri" w:hAnsi="Calibri" w:hint="eastAsia"/>
          <w:rtl/>
        </w:rPr>
        <w:t>חודשיים</w:t>
      </w:r>
      <w:r w:rsidRPr="00771684">
        <w:rPr>
          <w:rFonts w:ascii="Calibri" w:hAnsi="Calibri"/>
          <w:rtl/>
        </w:rPr>
        <w:t xml:space="preserve"> </w:t>
      </w:r>
      <w:r w:rsidRPr="00771684">
        <w:rPr>
          <w:rFonts w:ascii="Calibri" w:hAnsi="Calibri" w:hint="eastAsia"/>
          <w:rtl/>
        </w:rPr>
        <w:t>רצופים</w:t>
      </w:r>
      <w:r w:rsidRPr="00771684">
        <w:rPr>
          <w:rFonts w:ascii="Calibri" w:hAnsi="Calibri"/>
          <w:rtl/>
        </w:rPr>
        <w:t xml:space="preserve"> </w:t>
      </w:r>
      <w:r w:rsidRPr="00771684">
        <w:rPr>
          <w:rFonts w:ascii="Calibri" w:hAnsi="Calibri" w:hint="eastAsia"/>
          <w:rtl/>
        </w:rPr>
        <w:t>ושווים</w:t>
      </w:r>
      <w:r w:rsidRPr="00771684">
        <w:rPr>
          <w:rFonts w:ascii="Calibri" w:hAnsi="Calibri"/>
          <w:rtl/>
        </w:rPr>
        <w:t xml:space="preserve"> </w:t>
      </w:r>
      <w:r w:rsidRPr="00771684">
        <w:rPr>
          <w:rFonts w:ascii="Calibri" w:hAnsi="Calibri" w:hint="eastAsia"/>
          <w:rtl/>
        </w:rPr>
        <w:t>החל</w:t>
      </w:r>
      <w:r w:rsidRPr="00771684">
        <w:rPr>
          <w:rFonts w:ascii="Calibri" w:hAnsi="Calibri"/>
          <w:rtl/>
        </w:rPr>
        <w:t xml:space="preserve"> </w:t>
      </w:r>
      <w:r w:rsidRPr="00771684">
        <w:rPr>
          <w:rFonts w:ascii="Calibri" w:hAnsi="Calibri" w:hint="eastAsia"/>
          <w:rtl/>
        </w:rPr>
        <w:t>מיום</w:t>
      </w:r>
      <w:r w:rsidRPr="00771684">
        <w:rPr>
          <w:rFonts w:ascii="Calibri" w:hAnsi="Calibri"/>
          <w:rtl/>
        </w:rPr>
        <w:t xml:space="preserve"> 01.08.2018. </w:t>
      </w:r>
      <w:r w:rsidRPr="00771684">
        <w:rPr>
          <w:rFonts w:ascii="Calibri" w:hAnsi="Calibri" w:hint="eastAsia"/>
          <w:rtl/>
        </w:rPr>
        <w:t>היה</w:t>
      </w:r>
      <w:r w:rsidRPr="00771684">
        <w:rPr>
          <w:rFonts w:ascii="Calibri" w:hAnsi="Calibri"/>
          <w:rtl/>
        </w:rPr>
        <w:t xml:space="preserve"> </w:t>
      </w:r>
      <w:r w:rsidRPr="00771684">
        <w:rPr>
          <w:rFonts w:ascii="Calibri" w:hAnsi="Calibri" w:hint="eastAsia"/>
          <w:rtl/>
        </w:rPr>
        <w:t>והקנס</w:t>
      </w:r>
      <w:r w:rsidRPr="00771684">
        <w:rPr>
          <w:rFonts w:ascii="Calibri" w:hAnsi="Calibri"/>
          <w:rtl/>
        </w:rPr>
        <w:t xml:space="preserve"> </w:t>
      </w:r>
      <w:r w:rsidRPr="00771684">
        <w:rPr>
          <w:rFonts w:ascii="Calibri" w:hAnsi="Calibri" w:hint="eastAsia"/>
          <w:rtl/>
        </w:rPr>
        <w:t>או</w:t>
      </w:r>
      <w:r w:rsidRPr="00771684">
        <w:rPr>
          <w:rFonts w:ascii="Calibri" w:hAnsi="Calibri"/>
          <w:rtl/>
        </w:rPr>
        <w:t xml:space="preserve"> </w:t>
      </w:r>
      <w:r w:rsidRPr="00771684">
        <w:rPr>
          <w:rFonts w:ascii="Calibri" w:hAnsi="Calibri" w:hint="eastAsia"/>
          <w:rtl/>
        </w:rPr>
        <w:t>שיעור</w:t>
      </w:r>
      <w:r w:rsidRPr="00771684">
        <w:rPr>
          <w:rFonts w:ascii="Calibri" w:hAnsi="Calibri"/>
          <w:rtl/>
        </w:rPr>
        <w:t xml:space="preserve"> </w:t>
      </w:r>
      <w:r w:rsidRPr="00771684">
        <w:rPr>
          <w:rFonts w:ascii="Calibri" w:hAnsi="Calibri" w:hint="eastAsia"/>
          <w:rtl/>
        </w:rPr>
        <w:t>משיעוריו</w:t>
      </w:r>
      <w:r w:rsidRPr="00771684">
        <w:rPr>
          <w:rFonts w:ascii="Calibri" w:hAnsi="Calibri"/>
          <w:rtl/>
        </w:rPr>
        <w:t xml:space="preserve"> </w:t>
      </w:r>
      <w:r w:rsidRPr="00771684">
        <w:rPr>
          <w:rFonts w:ascii="Calibri" w:hAnsi="Calibri" w:hint="eastAsia"/>
          <w:rtl/>
        </w:rPr>
        <w:t>לא</w:t>
      </w:r>
      <w:r w:rsidRPr="00771684">
        <w:rPr>
          <w:rFonts w:ascii="Calibri" w:hAnsi="Calibri"/>
          <w:rtl/>
        </w:rPr>
        <w:t xml:space="preserve"> </w:t>
      </w:r>
      <w:r w:rsidRPr="00771684">
        <w:rPr>
          <w:rFonts w:ascii="Calibri" w:hAnsi="Calibri" w:hint="eastAsia"/>
          <w:rtl/>
        </w:rPr>
        <w:t>ישולם</w:t>
      </w:r>
      <w:r w:rsidRPr="00771684">
        <w:rPr>
          <w:rFonts w:ascii="Calibri" w:hAnsi="Calibri"/>
          <w:rtl/>
        </w:rPr>
        <w:t xml:space="preserve"> </w:t>
      </w:r>
      <w:r w:rsidRPr="00771684">
        <w:rPr>
          <w:rFonts w:ascii="Calibri" w:hAnsi="Calibri" w:hint="eastAsia"/>
          <w:rtl/>
        </w:rPr>
        <w:t>במועד</w:t>
      </w:r>
      <w:r w:rsidRPr="00771684">
        <w:rPr>
          <w:rFonts w:ascii="Calibri" w:hAnsi="Calibri"/>
          <w:rtl/>
        </w:rPr>
        <w:t xml:space="preserve"> – </w:t>
      </w:r>
      <w:r w:rsidRPr="00771684">
        <w:rPr>
          <w:rFonts w:ascii="Calibri" w:hAnsi="Calibri" w:hint="eastAsia"/>
          <w:rtl/>
        </w:rPr>
        <w:t>תעמוד</w:t>
      </w:r>
      <w:r w:rsidRPr="00771684">
        <w:rPr>
          <w:rFonts w:ascii="Calibri" w:hAnsi="Calibri"/>
          <w:rtl/>
        </w:rPr>
        <w:t xml:space="preserve"> </w:t>
      </w:r>
      <w:r w:rsidRPr="00771684">
        <w:rPr>
          <w:rFonts w:ascii="Calibri" w:hAnsi="Calibri" w:hint="eastAsia"/>
          <w:rtl/>
        </w:rPr>
        <w:t>יתרת</w:t>
      </w:r>
      <w:r w:rsidRPr="00771684">
        <w:rPr>
          <w:rFonts w:ascii="Calibri" w:hAnsi="Calibri"/>
          <w:rtl/>
        </w:rPr>
        <w:t xml:space="preserve"> </w:t>
      </w:r>
      <w:r w:rsidRPr="00771684">
        <w:rPr>
          <w:rFonts w:ascii="Calibri" w:hAnsi="Calibri" w:hint="eastAsia"/>
          <w:rtl/>
        </w:rPr>
        <w:t>הקנס</w:t>
      </w:r>
      <w:r w:rsidRPr="00771684">
        <w:rPr>
          <w:rFonts w:ascii="Calibri" w:hAnsi="Calibri"/>
          <w:rtl/>
        </w:rPr>
        <w:t xml:space="preserve"> </w:t>
      </w:r>
      <w:r w:rsidRPr="00771684">
        <w:rPr>
          <w:rFonts w:ascii="Calibri" w:hAnsi="Calibri" w:hint="eastAsia"/>
          <w:rtl/>
        </w:rPr>
        <w:t>לתשלום</w:t>
      </w:r>
      <w:r w:rsidRPr="00771684">
        <w:rPr>
          <w:rFonts w:ascii="Calibri" w:hAnsi="Calibri"/>
          <w:rtl/>
        </w:rPr>
        <w:t xml:space="preserve"> </w:t>
      </w:r>
      <w:r w:rsidRPr="00771684">
        <w:rPr>
          <w:rFonts w:ascii="Calibri" w:hAnsi="Calibri" w:hint="eastAsia"/>
          <w:rtl/>
        </w:rPr>
        <w:t>מידי</w:t>
      </w:r>
      <w:r w:rsidRPr="00771684">
        <w:rPr>
          <w:rFonts w:ascii="Calibri" w:hAnsi="Calibri"/>
          <w:rtl/>
        </w:rPr>
        <w:t>.</w:t>
      </w:r>
    </w:p>
    <w:p w14:paraId="2CE915E8" w14:textId="77777777" w:rsidR="00771684" w:rsidRPr="00771684" w:rsidRDefault="00771684" w:rsidP="00771684">
      <w:pPr>
        <w:spacing w:before="100" w:beforeAutospacing="1" w:line="360" w:lineRule="auto"/>
        <w:ind w:left="1440" w:hanging="720"/>
        <w:contextualSpacing/>
        <w:jc w:val="both"/>
        <w:rPr>
          <w:rFonts w:ascii="Calibri" w:hAnsi="Calibri"/>
          <w:rtl/>
        </w:rPr>
      </w:pPr>
    </w:p>
    <w:p w14:paraId="04FA280C" w14:textId="77777777" w:rsidR="00771684" w:rsidRPr="00771684" w:rsidRDefault="00771684" w:rsidP="00771684">
      <w:pPr>
        <w:spacing w:before="100" w:beforeAutospacing="1" w:line="360" w:lineRule="auto"/>
        <w:ind w:left="1440" w:hanging="720"/>
        <w:contextualSpacing/>
        <w:jc w:val="both"/>
        <w:rPr>
          <w:rFonts w:ascii="Calibri" w:hAnsi="Calibri"/>
          <w:rtl/>
        </w:rPr>
      </w:pPr>
      <w:r w:rsidRPr="00771684">
        <w:rPr>
          <w:rFonts w:ascii="Calibri" w:hAnsi="Calibri" w:hint="cs"/>
          <w:rtl/>
        </w:rPr>
        <w:t>ה.</w:t>
      </w:r>
      <w:r w:rsidRPr="00771684">
        <w:rPr>
          <w:rFonts w:ascii="Calibri" w:hAnsi="Calibri"/>
          <w:rtl/>
        </w:rPr>
        <w:tab/>
      </w:r>
      <w:r w:rsidRPr="00771684">
        <w:rPr>
          <w:rFonts w:ascii="Calibri" w:hAnsi="Calibri" w:hint="cs"/>
          <w:rtl/>
        </w:rPr>
        <w:t xml:space="preserve">אני פוסל את הנאשם מלקבל או להחזיק רישיון נהיגה וזאת לתקופה בת 4 חודשים. מובהר לנאשם כי עליו להפקיד את רישיון הנהיגה שברשותו, או תחליף, על מנת שמניין הפסילה יחל ואולם מובהר כי תחילת הפסילה היא מידית. </w:t>
      </w:r>
    </w:p>
    <w:p w14:paraId="0BDF01C5" w14:textId="77777777" w:rsidR="00771684" w:rsidRPr="00771684" w:rsidRDefault="00664134" w:rsidP="00771684">
      <w:pPr>
        <w:spacing w:before="100" w:beforeAutospacing="1" w:line="360" w:lineRule="auto"/>
        <w:ind w:firstLine="720"/>
        <w:jc w:val="both"/>
        <w:rPr>
          <w:rFonts w:ascii="Calibri" w:hAnsi="Calibri"/>
          <w:b/>
          <w:bCs/>
          <w:u w:val="single"/>
          <w:rtl/>
        </w:rPr>
      </w:pPr>
      <w:r w:rsidRPr="00664134">
        <w:rPr>
          <w:rFonts w:ascii="Calibri" w:hAnsi="Calibri"/>
          <w:b/>
          <w:bCs/>
          <w:color w:val="FFFFFF"/>
          <w:sz w:val="2"/>
          <w:szCs w:val="2"/>
          <w:u w:val="single"/>
          <w:rtl/>
        </w:rPr>
        <w:t>5129371</w:t>
      </w:r>
      <w:r w:rsidR="00771684" w:rsidRPr="00771684">
        <w:rPr>
          <w:rFonts w:ascii="Calibri" w:hAnsi="Calibri" w:hint="eastAsia"/>
          <w:b/>
          <w:bCs/>
          <w:u w:val="single"/>
          <w:rtl/>
        </w:rPr>
        <w:t>בחלוף</w:t>
      </w:r>
      <w:r w:rsidR="00771684" w:rsidRPr="00771684">
        <w:rPr>
          <w:rFonts w:ascii="Calibri" w:hAnsi="Calibri"/>
          <w:b/>
          <w:bCs/>
          <w:u w:val="single"/>
          <w:rtl/>
        </w:rPr>
        <w:t xml:space="preserve"> </w:t>
      </w:r>
      <w:r w:rsidR="00771684" w:rsidRPr="00771684">
        <w:rPr>
          <w:rFonts w:ascii="Calibri" w:hAnsi="Calibri" w:hint="eastAsia"/>
          <w:b/>
          <w:bCs/>
          <w:u w:val="single"/>
          <w:rtl/>
        </w:rPr>
        <w:t>תקופת</w:t>
      </w:r>
      <w:r w:rsidR="00771684" w:rsidRPr="00771684">
        <w:rPr>
          <w:rFonts w:ascii="Calibri" w:hAnsi="Calibri"/>
          <w:b/>
          <w:bCs/>
          <w:u w:val="single"/>
          <w:rtl/>
        </w:rPr>
        <w:t xml:space="preserve"> </w:t>
      </w:r>
      <w:r w:rsidR="00771684" w:rsidRPr="00771684">
        <w:rPr>
          <w:rFonts w:ascii="Calibri" w:hAnsi="Calibri" w:hint="eastAsia"/>
          <w:b/>
          <w:bCs/>
          <w:u w:val="single"/>
          <w:rtl/>
        </w:rPr>
        <w:t>הערעור</w:t>
      </w:r>
      <w:r w:rsidR="00771684" w:rsidRPr="00771684">
        <w:rPr>
          <w:rFonts w:ascii="Calibri" w:hAnsi="Calibri"/>
          <w:b/>
          <w:bCs/>
          <w:u w:val="single"/>
          <w:rtl/>
        </w:rPr>
        <w:t xml:space="preserve">, </w:t>
      </w:r>
      <w:r w:rsidR="00771684" w:rsidRPr="00771684">
        <w:rPr>
          <w:rFonts w:ascii="Calibri" w:hAnsi="Calibri" w:hint="eastAsia"/>
          <w:b/>
          <w:bCs/>
          <w:u w:val="single"/>
          <w:rtl/>
        </w:rPr>
        <w:t>אני</w:t>
      </w:r>
      <w:r w:rsidR="00771684" w:rsidRPr="00771684">
        <w:rPr>
          <w:rFonts w:ascii="Calibri" w:hAnsi="Calibri"/>
          <w:b/>
          <w:bCs/>
          <w:u w:val="single"/>
          <w:rtl/>
        </w:rPr>
        <w:t xml:space="preserve"> </w:t>
      </w:r>
      <w:r w:rsidR="00771684" w:rsidRPr="00771684">
        <w:rPr>
          <w:rFonts w:ascii="Calibri" w:hAnsi="Calibri" w:hint="eastAsia"/>
          <w:b/>
          <w:bCs/>
          <w:u w:val="single"/>
          <w:rtl/>
        </w:rPr>
        <w:t>מורה</w:t>
      </w:r>
      <w:r w:rsidR="00771684" w:rsidRPr="00771684">
        <w:rPr>
          <w:rFonts w:ascii="Calibri" w:hAnsi="Calibri"/>
          <w:b/>
          <w:bCs/>
          <w:u w:val="single"/>
          <w:rtl/>
        </w:rPr>
        <w:t xml:space="preserve"> </w:t>
      </w:r>
      <w:r w:rsidR="00771684" w:rsidRPr="00771684">
        <w:rPr>
          <w:rFonts w:ascii="Calibri" w:hAnsi="Calibri" w:hint="eastAsia"/>
          <w:b/>
          <w:bCs/>
          <w:u w:val="single"/>
          <w:rtl/>
        </w:rPr>
        <w:t>על</w:t>
      </w:r>
      <w:r w:rsidR="00771684" w:rsidRPr="00771684">
        <w:rPr>
          <w:rFonts w:ascii="Calibri" w:hAnsi="Calibri"/>
          <w:b/>
          <w:bCs/>
          <w:u w:val="single"/>
          <w:rtl/>
        </w:rPr>
        <w:t xml:space="preserve"> </w:t>
      </w:r>
      <w:r w:rsidR="00771684" w:rsidRPr="00771684">
        <w:rPr>
          <w:rFonts w:ascii="Calibri" w:hAnsi="Calibri" w:hint="eastAsia"/>
          <w:b/>
          <w:bCs/>
          <w:u w:val="single"/>
          <w:rtl/>
        </w:rPr>
        <w:t>השמדת</w:t>
      </w:r>
      <w:r w:rsidR="00771684" w:rsidRPr="00771684">
        <w:rPr>
          <w:rFonts w:ascii="Calibri" w:hAnsi="Calibri"/>
          <w:b/>
          <w:bCs/>
          <w:u w:val="single"/>
          <w:rtl/>
        </w:rPr>
        <w:t xml:space="preserve"> </w:t>
      </w:r>
      <w:r w:rsidR="00771684" w:rsidRPr="00771684">
        <w:rPr>
          <w:rFonts w:ascii="Calibri" w:hAnsi="Calibri" w:hint="eastAsia"/>
          <w:b/>
          <w:bCs/>
          <w:u w:val="single"/>
          <w:rtl/>
        </w:rPr>
        <w:t>המוצגים</w:t>
      </w:r>
      <w:r w:rsidR="00771684" w:rsidRPr="00771684">
        <w:rPr>
          <w:rFonts w:ascii="Calibri" w:hAnsi="Calibri"/>
          <w:b/>
          <w:bCs/>
          <w:u w:val="single"/>
          <w:rtl/>
        </w:rPr>
        <w:t xml:space="preserve"> – </w:t>
      </w:r>
      <w:r w:rsidR="00771684" w:rsidRPr="00771684">
        <w:rPr>
          <w:rFonts w:ascii="Calibri" w:hAnsi="Calibri" w:hint="eastAsia"/>
          <w:b/>
          <w:bCs/>
          <w:u w:val="single"/>
          <w:rtl/>
        </w:rPr>
        <w:t>סמים</w:t>
      </w:r>
      <w:r w:rsidR="00771684" w:rsidRPr="00771684">
        <w:rPr>
          <w:rFonts w:ascii="Calibri" w:hAnsi="Calibri" w:hint="cs"/>
          <w:b/>
          <w:bCs/>
          <w:u w:val="single"/>
          <w:rtl/>
        </w:rPr>
        <w:t xml:space="preserve"> ומשקל</w:t>
      </w:r>
      <w:r w:rsidR="00771684" w:rsidRPr="00771684">
        <w:rPr>
          <w:rFonts w:ascii="Calibri" w:hAnsi="Calibri"/>
          <w:b/>
          <w:bCs/>
          <w:u w:val="single"/>
          <w:rtl/>
        </w:rPr>
        <w:t xml:space="preserve">. </w:t>
      </w:r>
    </w:p>
    <w:p w14:paraId="055398E5" w14:textId="77777777" w:rsidR="00771684" w:rsidRPr="00771684" w:rsidRDefault="00664134" w:rsidP="00771684">
      <w:pPr>
        <w:spacing w:before="100" w:beforeAutospacing="1" w:line="360" w:lineRule="auto"/>
        <w:ind w:firstLine="720"/>
        <w:jc w:val="both"/>
        <w:rPr>
          <w:rFonts w:ascii="Calibri" w:hAnsi="Calibri"/>
          <w:b/>
          <w:bCs/>
          <w:u w:val="single"/>
        </w:rPr>
      </w:pPr>
      <w:r w:rsidRPr="00664134">
        <w:rPr>
          <w:rFonts w:ascii="Calibri" w:hAnsi="Calibri"/>
          <w:b/>
          <w:bCs/>
          <w:color w:val="FFFFFF"/>
          <w:sz w:val="2"/>
          <w:szCs w:val="2"/>
          <w:u w:val="single"/>
          <w:rtl/>
        </w:rPr>
        <w:t>54678313</w:t>
      </w:r>
      <w:r w:rsidR="00771684" w:rsidRPr="00771684">
        <w:rPr>
          <w:rFonts w:ascii="Calibri" w:hAnsi="Calibri" w:hint="eastAsia"/>
          <w:b/>
          <w:bCs/>
          <w:u w:val="single"/>
          <w:rtl/>
        </w:rPr>
        <w:t>זכות</w:t>
      </w:r>
      <w:r w:rsidR="00771684" w:rsidRPr="00771684">
        <w:rPr>
          <w:rFonts w:ascii="Calibri" w:hAnsi="Calibri"/>
          <w:b/>
          <w:bCs/>
          <w:u w:val="single"/>
          <w:rtl/>
        </w:rPr>
        <w:t xml:space="preserve"> </w:t>
      </w:r>
      <w:r w:rsidR="00771684" w:rsidRPr="00771684">
        <w:rPr>
          <w:rFonts w:ascii="Calibri" w:hAnsi="Calibri" w:hint="eastAsia"/>
          <w:b/>
          <w:bCs/>
          <w:u w:val="single"/>
          <w:rtl/>
        </w:rPr>
        <w:t>ערעור</w:t>
      </w:r>
      <w:r w:rsidR="00771684" w:rsidRPr="00771684">
        <w:rPr>
          <w:rFonts w:ascii="Calibri" w:hAnsi="Calibri"/>
          <w:b/>
          <w:bCs/>
          <w:u w:val="single"/>
          <w:rtl/>
        </w:rPr>
        <w:t xml:space="preserve"> </w:t>
      </w:r>
      <w:r w:rsidR="00771684" w:rsidRPr="00771684">
        <w:rPr>
          <w:rFonts w:ascii="Calibri" w:hAnsi="Calibri" w:hint="eastAsia"/>
          <w:b/>
          <w:bCs/>
          <w:u w:val="single"/>
          <w:rtl/>
        </w:rPr>
        <w:t>בתוך</w:t>
      </w:r>
      <w:r w:rsidR="00771684" w:rsidRPr="00771684">
        <w:rPr>
          <w:rFonts w:ascii="Calibri" w:hAnsi="Calibri"/>
          <w:b/>
          <w:bCs/>
          <w:u w:val="single"/>
          <w:rtl/>
        </w:rPr>
        <w:t xml:space="preserve"> 45 </w:t>
      </w:r>
      <w:r w:rsidR="00771684" w:rsidRPr="00771684">
        <w:rPr>
          <w:rFonts w:ascii="Calibri" w:hAnsi="Calibri" w:hint="eastAsia"/>
          <w:b/>
          <w:bCs/>
          <w:u w:val="single"/>
          <w:rtl/>
        </w:rPr>
        <w:t>יום</w:t>
      </w:r>
      <w:r w:rsidR="00771684" w:rsidRPr="00771684">
        <w:rPr>
          <w:rFonts w:ascii="Calibri" w:hAnsi="Calibri"/>
          <w:b/>
          <w:bCs/>
          <w:u w:val="single"/>
          <w:rtl/>
        </w:rPr>
        <w:t>.</w:t>
      </w:r>
    </w:p>
    <w:p w14:paraId="731D30C0" w14:textId="77777777" w:rsidR="00771684" w:rsidRPr="00B05847" w:rsidRDefault="00771684" w:rsidP="00771684">
      <w:pPr>
        <w:rPr>
          <w:rtl/>
        </w:rPr>
      </w:pPr>
    </w:p>
    <w:p w14:paraId="41E4325B" w14:textId="77777777" w:rsidR="00771684" w:rsidRPr="004C7788" w:rsidRDefault="00664134" w:rsidP="00771684">
      <w:pPr>
        <w:rPr>
          <w:rFonts w:cs="FrankRuehl"/>
          <w:sz w:val="28"/>
          <w:szCs w:val="28"/>
          <w:rtl/>
        </w:rPr>
      </w:pPr>
      <w:r>
        <w:rPr>
          <w:rFonts w:ascii="Arial" w:hAnsi="Arial"/>
          <w:rtl/>
        </w:rPr>
        <w:t xml:space="preserve">ניתן היום,  י"א תמוז תשע"ח, 24 יוני 2018, במעמד הצדדים. </w:t>
      </w:r>
    </w:p>
    <w:p w14:paraId="6A6CA998" w14:textId="77777777" w:rsidR="00771684" w:rsidRDefault="00771684" w:rsidP="0077168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5B31292" w14:textId="77777777" w:rsidR="00771684" w:rsidRDefault="00771684" w:rsidP="00771684">
      <w:pPr>
        <w:jc w:val="center"/>
        <w:rPr>
          <w:rFonts w:ascii="Arial" w:hAnsi="Arial" w:cs="FrankRuehl"/>
          <w:sz w:val="28"/>
          <w:szCs w:val="28"/>
          <w:rtl/>
        </w:rPr>
      </w:pPr>
    </w:p>
    <w:p w14:paraId="21DC4987" w14:textId="77777777" w:rsidR="00510A8D" w:rsidRPr="00664134" w:rsidRDefault="00510A8D" w:rsidP="00664134">
      <w:pPr>
        <w:keepNext/>
        <w:rPr>
          <w:rFonts w:ascii="David" w:hAnsi="David"/>
          <w:color w:val="000000"/>
          <w:sz w:val="22"/>
          <w:szCs w:val="22"/>
          <w:rtl/>
        </w:rPr>
      </w:pPr>
    </w:p>
    <w:p w14:paraId="1AFD7565" w14:textId="77777777" w:rsidR="00664134" w:rsidRPr="00664134" w:rsidRDefault="00664134" w:rsidP="00664134">
      <w:pPr>
        <w:keepNext/>
        <w:rPr>
          <w:rFonts w:ascii="David" w:hAnsi="David"/>
          <w:color w:val="000000"/>
          <w:sz w:val="22"/>
          <w:szCs w:val="22"/>
          <w:rtl/>
        </w:rPr>
      </w:pPr>
      <w:r w:rsidRPr="00664134">
        <w:rPr>
          <w:rFonts w:ascii="David" w:hAnsi="David"/>
          <w:color w:val="000000"/>
          <w:sz w:val="22"/>
          <w:szCs w:val="22"/>
          <w:rtl/>
        </w:rPr>
        <w:t>יוסי טורס 54678313</w:t>
      </w:r>
    </w:p>
    <w:p w14:paraId="088D63C2" w14:textId="77777777" w:rsidR="00664134" w:rsidRDefault="00664134" w:rsidP="00664134">
      <w:r w:rsidRPr="00664134">
        <w:rPr>
          <w:color w:val="000000"/>
          <w:rtl/>
        </w:rPr>
        <w:t>נוסח מסמך זה כפוף לשינויי ניסוח ועריכה</w:t>
      </w:r>
    </w:p>
    <w:p w14:paraId="3338C891" w14:textId="77777777" w:rsidR="00664134" w:rsidRDefault="00664134" w:rsidP="00664134">
      <w:pPr>
        <w:rPr>
          <w:rtl/>
        </w:rPr>
      </w:pPr>
    </w:p>
    <w:p w14:paraId="24733A45" w14:textId="77777777" w:rsidR="00664134" w:rsidRDefault="00664134" w:rsidP="0066413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9F55A8">
        <w:rPr>
          <w:rFonts w:hint="cs"/>
          <w:color w:val="0000FF"/>
          <w:u w:val="single"/>
          <w:rtl/>
        </w:rPr>
        <w:t xml:space="preserve"> </w:t>
      </w:r>
    </w:p>
    <w:p w14:paraId="738F2980" w14:textId="77777777" w:rsidR="00664134" w:rsidRPr="00664134" w:rsidRDefault="00664134" w:rsidP="00664134">
      <w:pPr>
        <w:jc w:val="center"/>
        <w:rPr>
          <w:color w:val="0000FF"/>
          <w:u w:val="single"/>
        </w:rPr>
      </w:pPr>
    </w:p>
    <w:sectPr w:rsidR="00664134" w:rsidRPr="00664134" w:rsidSect="0066413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B73EA" w14:textId="77777777" w:rsidR="009378C6" w:rsidRDefault="009378C6" w:rsidP="00CC2452">
      <w:r>
        <w:separator/>
      </w:r>
    </w:p>
  </w:endnote>
  <w:endnote w:type="continuationSeparator" w:id="0">
    <w:p w14:paraId="0E500B06" w14:textId="77777777" w:rsidR="009378C6" w:rsidRDefault="009378C6" w:rsidP="00CC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0B72" w14:textId="77777777" w:rsidR="00664134" w:rsidRDefault="00664134" w:rsidP="006641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54E0423" w14:textId="77777777" w:rsidR="00DB4E02" w:rsidRPr="00664134" w:rsidRDefault="00664134" w:rsidP="006641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D42DA" w14:textId="77777777" w:rsidR="00664134" w:rsidRDefault="00664134" w:rsidP="006641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9AA">
      <w:rPr>
        <w:rFonts w:ascii="FrankRuehl" w:hAnsi="FrankRuehl" w:cs="FrankRuehl"/>
        <w:noProof/>
        <w:rtl/>
      </w:rPr>
      <w:t>2</w:t>
    </w:r>
    <w:r>
      <w:rPr>
        <w:rFonts w:ascii="FrankRuehl" w:hAnsi="FrankRuehl" w:cs="FrankRuehl"/>
        <w:rtl/>
      </w:rPr>
      <w:fldChar w:fldCharType="end"/>
    </w:r>
  </w:p>
  <w:p w14:paraId="3FBA901E" w14:textId="77777777" w:rsidR="00DB4E02" w:rsidRPr="00664134" w:rsidRDefault="00664134" w:rsidP="006641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73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F242C" w14:textId="77777777" w:rsidR="009378C6" w:rsidRDefault="009378C6" w:rsidP="00CC2452">
      <w:r>
        <w:separator/>
      </w:r>
    </w:p>
  </w:footnote>
  <w:footnote w:type="continuationSeparator" w:id="0">
    <w:p w14:paraId="547E7DE7" w14:textId="77777777" w:rsidR="009378C6" w:rsidRDefault="009378C6" w:rsidP="00CC2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FCB6" w14:textId="77777777" w:rsidR="00664134" w:rsidRPr="00664134" w:rsidRDefault="00664134" w:rsidP="006641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20685-11-16</w:t>
    </w:r>
    <w:r>
      <w:rPr>
        <w:rFonts w:ascii="David" w:hAnsi="David"/>
        <w:color w:val="000000"/>
        <w:sz w:val="22"/>
        <w:szCs w:val="22"/>
        <w:rtl/>
      </w:rPr>
      <w:tab/>
      <w:t xml:space="preserve"> מדינת ישראל נ' הלל לי לאופר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56FA3" w14:textId="77777777" w:rsidR="00664134" w:rsidRPr="00664134" w:rsidRDefault="00664134" w:rsidP="006641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20685-11-16</w:t>
    </w:r>
    <w:r>
      <w:rPr>
        <w:rFonts w:ascii="David" w:hAnsi="David"/>
        <w:color w:val="000000"/>
        <w:sz w:val="22"/>
        <w:szCs w:val="22"/>
        <w:rtl/>
      </w:rPr>
      <w:tab/>
      <w:t xml:space="preserve"> מדינת ישראל נ' הלל לי לאופר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1684"/>
    <w:rsid w:val="00510A8D"/>
    <w:rsid w:val="00572E02"/>
    <w:rsid w:val="00664134"/>
    <w:rsid w:val="00771684"/>
    <w:rsid w:val="009378C6"/>
    <w:rsid w:val="00975D06"/>
    <w:rsid w:val="009F55A8"/>
    <w:rsid w:val="00AF1A32"/>
    <w:rsid w:val="00C25E26"/>
    <w:rsid w:val="00CC2452"/>
    <w:rsid w:val="00CC4B0D"/>
    <w:rsid w:val="00DB4E02"/>
    <w:rsid w:val="00DD59AA"/>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CC62CE5"/>
  <w15:chartTrackingRefBased/>
  <w15:docId w15:val="{8067015C-1406-4B06-84EF-C869D6AD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16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1684"/>
    <w:pPr>
      <w:tabs>
        <w:tab w:val="center" w:pos="4153"/>
        <w:tab w:val="right" w:pos="8306"/>
      </w:tabs>
    </w:pPr>
  </w:style>
  <w:style w:type="character" w:customStyle="1" w:styleId="a4">
    <w:name w:val="כותרת עליונה תו"/>
    <w:link w:val="a3"/>
    <w:rsid w:val="00771684"/>
    <w:rPr>
      <w:rFonts w:ascii="Times New Roman" w:eastAsia="Times New Roman" w:hAnsi="Times New Roman" w:cs="David"/>
      <w:sz w:val="24"/>
      <w:szCs w:val="24"/>
    </w:rPr>
  </w:style>
  <w:style w:type="paragraph" w:styleId="a5">
    <w:name w:val="footer"/>
    <w:basedOn w:val="a"/>
    <w:link w:val="a6"/>
    <w:rsid w:val="00771684"/>
    <w:pPr>
      <w:tabs>
        <w:tab w:val="center" w:pos="4153"/>
        <w:tab w:val="right" w:pos="8306"/>
      </w:tabs>
    </w:pPr>
  </w:style>
  <w:style w:type="character" w:customStyle="1" w:styleId="a6">
    <w:name w:val="כותרת תחתונה תו"/>
    <w:link w:val="a5"/>
    <w:rsid w:val="00771684"/>
    <w:rPr>
      <w:rFonts w:ascii="Times New Roman" w:eastAsia="Times New Roman" w:hAnsi="Times New Roman" w:cs="David"/>
      <w:sz w:val="24"/>
      <w:szCs w:val="24"/>
    </w:rPr>
  </w:style>
  <w:style w:type="table" w:styleId="a7">
    <w:name w:val="Table Grid"/>
    <w:basedOn w:val="a1"/>
    <w:rsid w:val="007716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1684"/>
  </w:style>
  <w:style w:type="character" w:styleId="Hyperlink">
    <w:name w:val="Hyperlink"/>
    <w:rsid w:val="006641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40.i"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3055183"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6989465" TargetMode="External"/><Relationship Id="rId42" Type="http://schemas.openxmlformats.org/officeDocument/2006/relationships/hyperlink" Target="http://www.nevo.co.il/case/16877313" TargetMode="External"/><Relationship Id="rId47" Type="http://schemas.openxmlformats.org/officeDocument/2006/relationships/footer" Target="footer2.xml"/><Relationship Id="rId7" Type="http://schemas.openxmlformats.org/officeDocument/2006/relationships/hyperlink" Target="http://www.nevo.co.il/law/4216/7.a.c" TargetMode="External"/><Relationship Id="rId2" Type="http://schemas.openxmlformats.org/officeDocument/2006/relationships/settings" Target="settings.xml"/><Relationship Id="rId16" Type="http://schemas.openxmlformats.org/officeDocument/2006/relationships/hyperlink" Target="http://www.nevo.co.il/law/70301/40.g." TargetMode="External"/><Relationship Id="rId29" Type="http://schemas.openxmlformats.org/officeDocument/2006/relationships/hyperlink" Target="http://www.nevo.co.il/case/5569233"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20683368" TargetMode="External"/><Relationship Id="rId32" Type="http://schemas.openxmlformats.org/officeDocument/2006/relationships/hyperlink" Target="http://www.nevo.co.il/case/5074126" TargetMode="External"/><Relationship Id="rId37" Type="http://schemas.openxmlformats.org/officeDocument/2006/relationships/hyperlink" Target="http://www.nevo.co.il/case/21021192" TargetMode="External"/><Relationship Id="rId40" Type="http://schemas.openxmlformats.org/officeDocument/2006/relationships/hyperlink" Target="http://www.nevo.co.il/law/70301/58"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f."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371840" TargetMode="External"/><Relationship Id="rId36" Type="http://schemas.openxmlformats.org/officeDocument/2006/relationships/hyperlink" Target="http://www.nevo.co.il/case/2894643" TargetMode="External"/><Relationship Id="rId49" Type="http://schemas.openxmlformats.org/officeDocument/2006/relationships/theme" Target="theme/theme1.xml"/><Relationship Id="rId10" Type="http://schemas.openxmlformats.org/officeDocument/2006/relationships/hyperlink" Target="http://www.nevo.co.il/law/70301/40.a." TargetMode="External"/><Relationship Id="rId19" Type="http://schemas.openxmlformats.org/officeDocument/2006/relationships/hyperlink" Target="http://www.nevo.co.il/law/70301/58" TargetMode="External"/><Relationship Id="rId31" Type="http://schemas.openxmlformats.org/officeDocument/2006/relationships/hyperlink" Target="http://www.nevo.co.il/case/4569822"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5569233" TargetMode="External"/><Relationship Id="rId30" Type="http://schemas.openxmlformats.org/officeDocument/2006/relationships/hyperlink" Target="http://www.nevo.co.il/case/20371840" TargetMode="External"/><Relationship Id="rId35" Type="http://schemas.openxmlformats.org/officeDocument/2006/relationships/hyperlink" Target="http://www.nevo.co.il/case/408734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0" TargetMode="External"/><Relationship Id="rId3" Type="http://schemas.openxmlformats.org/officeDocument/2006/relationships/webSettings" Target="webSettings.xml"/><Relationship Id="rId12" Type="http://schemas.openxmlformats.org/officeDocument/2006/relationships/hyperlink" Target="http://www.nevo.co.il/law/70301/40.c."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70301/40.a.;40.b.;40.c.;40.d.;40.e.;40.f.;40.g.;40.h.;40.i" TargetMode="External"/><Relationship Id="rId33" Type="http://schemas.openxmlformats.org/officeDocument/2006/relationships/hyperlink" Target="http://www.nevo.co.il/case/3606459" TargetMode="External"/><Relationship Id="rId38" Type="http://schemas.openxmlformats.org/officeDocument/2006/relationships/hyperlink" Target="http://www.nevo.co.il/case/11206078" TargetMode="External"/><Relationship Id="rId46" Type="http://schemas.openxmlformats.org/officeDocument/2006/relationships/footer" Target="footer1.xml"/><Relationship Id="rId20" Type="http://schemas.openxmlformats.org/officeDocument/2006/relationships/hyperlink" Target="http://www.nevo.co.il/law/4216/7.a.c"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2562</Words>
  <Characters>12810</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15342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4128886</vt:i4>
      </vt:variant>
      <vt:variant>
        <vt:i4>108</vt:i4>
      </vt:variant>
      <vt:variant>
        <vt:i4>0</vt:i4>
      </vt:variant>
      <vt:variant>
        <vt:i4>5</vt:i4>
      </vt:variant>
      <vt:variant>
        <vt:lpwstr>http://www.nevo.co.il/case/16877313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7143520</vt:i4>
      </vt:variant>
      <vt:variant>
        <vt:i4>102</vt:i4>
      </vt:variant>
      <vt:variant>
        <vt:i4>0</vt:i4>
      </vt:variant>
      <vt:variant>
        <vt:i4>5</vt:i4>
      </vt:variant>
      <vt:variant>
        <vt:lpwstr>http://www.nevo.co.il/law/70301/58</vt:lpwstr>
      </vt:variant>
      <vt:variant>
        <vt:lpwstr/>
      </vt:variant>
      <vt:variant>
        <vt:i4>3932275</vt:i4>
      </vt:variant>
      <vt:variant>
        <vt:i4>99</vt:i4>
      </vt:variant>
      <vt:variant>
        <vt:i4>0</vt:i4>
      </vt:variant>
      <vt:variant>
        <vt:i4>5</vt:i4>
      </vt:variant>
      <vt:variant>
        <vt:lpwstr>http://www.nevo.co.il/case/13055183</vt:lpwstr>
      </vt:variant>
      <vt:variant>
        <vt:lpwstr/>
      </vt:variant>
      <vt:variant>
        <vt:i4>3276917</vt:i4>
      </vt:variant>
      <vt:variant>
        <vt:i4>96</vt:i4>
      </vt:variant>
      <vt:variant>
        <vt:i4>0</vt:i4>
      </vt:variant>
      <vt:variant>
        <vt:i4>5</vt:i4>
      </vt:variant>
      <vt:variant>
        <vt:lpwstr>http://www.nevo.co.il/case/11206078</vt:lpwstr>
      </vt:variant>
      <vt:variant>
        <vt:lpwstr/>
      </vt:variant>
      <vt:variant>
        <vt:i4>3801206</vt:i4>
      </vt:variant>
      <vt:variant>
        <vt:i4>93</vt:i4>
      </vt:variant>
      <vt:variant>
        <vt:i4>0</vt:i4>
      </vt:variant>
      <vt:variant>
        <vt:i4>5</vt:i4>
      </vt:variant>
      <vt:variant>
        <vt:lpwstr>http://www.nevo.co.il/case/21021192</vt:lpwstr>
      </vt:variant>
      <vt:variant>
        <vt:lpwstr/>
      </vt:variant>
      <vt:variant>
        <vt:i4>4063356</vt:i4>
      </vt:variant>
      <vt:variant>
        <vt:i4>90</vt:i4>
      </vt:variant>
      <vt:variant>
        <vt:i4>0</vt:i4>
      </vt:variant>
      <vt:variant>
        <vt:i4>5</vt:i4>
      </vt:variant>
      <vt:variant>
        <vt:lpwstr>http://www.nevo.co.il/case/2894643</vt:lpwstr>
      </vt:variant>
      <vt:variant>
        <vt:lpwstr/>
      </vt:variant>
      <vt:variant>
        <vt:i4>4063351</vt:i4>
      </vt:variant>
      <vt:variant>
        <vt:i4>87</vt:i4>
      </vt:variant>
      <vt:variant>
        <vt:i4>0</vt:i4>
      </vt:variant>
      <vt:variant>
        <vt:i4>5</vt:i4>
      </vt:variant>
      <vt:variant>
        <vt:lpwstr>http://www.nevo.co.il/case/4087341</vt:lpwstr>
      </vt:variant>
      <vt:variant>
        <vt:lpwstr/>
      </vt:variant>
      <vt:variant>
        <vt:i4>3604606</vt:i4>
      </vt:variant>
      <vt:variant>
        <vt:i4>84</vt:i4>
      </vt:variant>
      <vt:variant>
        <vt:i4>0</vt:i4>
      </vt:variant>
      <vt:variant>
        <vt:i4>5</vt:i4>
      </vt:variant>
      <vt:variant>
        <vt:lpwstr>http://www.nevo.co.il/case/16989465</vt:lpwstr>
      </vt:variant>
      <vt:variant>
        <vt:lpwstr/>
      </vt:variant>
      <vt:variant>
        <vt:i4>4063345</vt:i4>
      </vt:variant>
      <vt:variant>
        <vt:i4>81</vt:i4>
      </vt:variant>
      <vt:variant>
        <vt:i4>0</vt:i4>
      </vt:variant>
      <vt:variant>
        <vt:i4>5</vt:i4>
      </vt:variant>
      <vt:variant>
        <vt:lpwstr>http://www.nevo.co.il/case/3606459</vt:lpwstr>
      </vt:variant>
      <vt:variant>
        <vt:lpwstr/>
      </vt:variant>
      <vt:variant>
        <vt:i4>3473522</vt:i4>
      </vt:variant>
      <vt:variant>
        <vt:i4>78</vt:i4>
      </vt:variant>
      <vt:variant>
        <vt:i4>0</vt:i4>
      </vt:variant>
      <vt:variant>
        <vt:i4>5</vt:i4>
      </vt:variant>
      <vt:variant>
        <vt:lpwstr>http://www.nevo.co.il/case/5074126</vt:lpwstr>
      </vt:variant>
      <vt:variant>
        <vt:lpwstr/>
      </vt:variant>
      <vt:variant>
        <vt:i4>3670138</vt:i4>
      </vt:variant>
      <vt:variant>
        <vt:i4>75</vt:i4>
      </vt:variant>
      <vt:variant>
        <vt:i4>0</vt:i4>
      </vt:variant>
      <vt:variant>
        <vt:i4>5</vt:i4>
      </vt:variant>
      <vt:variant>
        <vt:lpwstr>http://www.nevo.co.il/case/4569822</vt:lpwstr>
      </vt:variant>
      <vt:variant>
        <vt:lpwstr/>
      </vt:variant>
      <vt:variant>
        <vt:i4>3407995</vt:i4>
      </vt:variant>
      <vt:variant>
        <vt:i4>72</vt:i4>
      </vt:variant>
      <vt:variant>
        <vt:i4>0</vt:i4>
      </vt:variant>
      <vt:variant>
        <vt:i4>5</vt:i4>
      </vt:variant>
      <vt:variant>
        <vt:lpwstr>http://www.nevo.co.il/case/20371840</vt:lpwstr>
      </vt:variant>
      <vt:variant>
        <vt:lpwstr/>
      </vt:variant>
      <vt:variant>
        <vt:i4>3276923</vt:i4>
      </vt:variant>
      <vt:variant>
        <vt:i4>69</vt:i4>
      </vt:variant>
      <vt:variant>
        <vt:i4>0</vt:i4>
      </vt:variant>
      <vt:variant>
        <vt:i4>5</vt:i4>
      </vt:variant>
      <vt:variant>
        <vt:lpwstr>http://www.nevo.co.il/case/5569233</vt:lpwstr>
      </vt:variant>
      <vt:variant>
        <vt:lpwstr/>
      </vt:variant>
      <vt:variant>
        <vt:i4>3407995</vt:i4>
      </vt:variant>
      <vt:variant>
        <vt:i4>66</vt:i4>
      </vt:variant>
      <vt:variant>
        <vt:i4>0</vt:i4>
      </vt:variant>
      <vt:variant>
        <vt:i4>5</vt:i4>
      </vt:variant>
      <vt:variant>
        <vt:lpwstr>http://www.nevo.co.il/case/20371840</vt:lpwstr>
      </vt:variant>
      <vt:variant>
        <vt:lpwstr/>
      </vt:variant>
      <vt:variant>
        <vt:i4>3276923</vt:i4>
      </vt:variant>
      <vt:variant>
        <vt:i4>63</vt:i4>
      </vt:variant>
      <vt:variant>
        <vt:i4>0</vt:i4>
      </vt:variant>
      <vt:variant>
        <vt:i4>5</vt:i4>
      </vt:variant>
      <vt:variant>
        <vt:lpwstr>http://www.nevo.co.il/case/5569233</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262223</vt:i4>
      </vt:variant>
      <vt:variant>
        <vt:i4>57</vt:i4>
      </vt:variant>
      <vt:variant>
        <vt:i4>0</vt:i4>
      </vt:variant>
      <vt:variant>
        <vt:i4>5</vt:i4>
      </vt:variant>
      <vt:variant>
        <vt:lpwstr>http://www.nevo.co.il/law/70301/40.a.;40.b.;40.c.;40.d.;40.e.;40.f.;40.g.;40.h.;40.i</vt:lpwstr>
      </vt:variant>
      <vt:variant>
        <vt:lpwstr/>
      </vt:variant>
      <vt:variant>
        <vt:i4>3211391</vt:i4>
      </vt:variant>
      <vt:variant>
        <vt:i4>54</vt:i4>
      </vt:variant>
      <vt:variant>
        <vt:i4>0</vt:i4>
      </vt:variant>
      <vt:variant>
        <vt:i4>5</vt:i4>
      </vt:variant>
      <vt:variant>
        <vt:lpwstr>http://www.nevo.co.il/case/20683368</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5177418</vt:i4>
      </vt:variant>
      <vt:variant>
        <vt:i4>48</vt:i4>
      </vt:variant>
      <vt:variant>
        <vt:i4>0</vt:i4>
      </vt:variant>
      <vt:variant>
        <vt:i4>5</vt:i4>
      </vt:variant>
      <vt:variant>
        <vt:lpwstr>http://www.nevo.co.il/law/4216/10</vt:lpwstr>
      </vt:variant>
      <vt:variant>
        <vt:lpwstr/>
      </vt:variant>
      <vt:variant>
        <vt:i4>8257637</vt:i4>
      </vt:variant>
      <vt:variant>
        <vt:i4>45</vt:i4>
      </vt:variant>
      <vt:variant>
        <vt:i4>0</vt:i4>
      </vt:variant>
      <vt:variant>
        <vt:i4>5</vt:i4>
      </vt:variant>
      <vt:variant>
        <vt:lpwstr>http://www.nevo.co.il/law/4216</vt:lpwstr>
      </vt:variant>
      <vt:variant>
        <vt:lpwstr/>
      </vt:variant>
      <vt:variant>
        <vt:i4>4915274</vt:i4>
      </vt:variant>
      <vt:variant>
        <vt:i4>42</vt:i4>
      </vt:variant>
      <vt:variant>
        <vt:i4>0</vt:i4>
      </vt:variant>
      <vt:variant>
        <vt:i4>5</vt:i4>
      </vt:variant>
      <vt:variant>
        <vt:lpwstr>http://www.nevo.co.il/law/4216/7.a.c</vt:lpwstr>
      </vt:variant>
      <vt:variant>
        <vt:lpwstr/>
      </vt:variant>
      <vt:variant>
        <vt:i4>7143520</vt:i4>
      </vt:variant>
      <vt:variant>
        <vt:i4>39</vt:i4>
      </vt:variant>
      <vt:variant>
        <vt:i4>0</vt:i4>
      </vt:variant>
      <vt:variant>
        <vt:i4>5</vt:i4>
      </vt:variant>
      <vt:variant>
        <vt:lpwstr>http://www.nevo.co.il/law/70301/58</vt:lpwstr>
      </vt:variant>
      <vt:variant>
        <vt:lpwstr/>
      </vt:variant>
      <vt:variant>
        <vt:i4>786511</vt:i4>
      </vt:variant>
      <vt:variant>
        <vt:i4>36</vt:i4>
      </vt:variant>
      <vt:variant>
        <vt:i4>0</vt:i4>
      </vt:variant>
      <vt:variant>
        <vt:i4>5</vt:i4>
      </vt:variant>
      <vt:variant>
        <vt:lpwstr>http://www.nevo.co.il/law/70301/40.i</vt:lpwstr>
      </vt:variant>
      <vt:variant>
        <vt:lpwstr/>
      </vt:variant>
      <vt:variant>
        <vt:i4>852047</vt:i4>
      </vt:variant>
      <vt:variant>
        <vt:i4>33</vt:i4>
      </vt:variant>
      <vt:variant>
        <vt:i4>0</vt:i4>
      </vt:variant>
      <vt:variant>
        <vt:i4>5</vt:i4>
      </vt:variant>
      <vt:variant>
        <vt:lpwstr>http://www.nevo.co.il/law/70301/40.h.</vt:lpwstr>
      </vt:variant>
      <vt:variant>
        <vt:lpwstr/>
      </vt:variant>
      <vt:variant>
        <vt:i4>131151</vt:i4>
      </vt:variant>
      <vt:variant>
        <vt:i4>30</vt:i4>
      </vt:variant>
      <vt:variant>
        <vt:i4>0</vt:i4>
      </vt:variant>
      <vt:variant>
        <vt:i4>5</vt:i4>
      </vt:variant>
      <vt:variant>
        <vt:lpwstr>http://www.nevo.co.il/law/70301/40.g.</vt:lpwstr>
      </vt:variant>
      <vt:variant>
        <vt:lpwstr/>
      </vt:variant>
      <vt:variant>
        <vt:i4>196687</vt:i4>
      </vt:variant>
      <vt:variant>
        <vt:i4>27</vt:i4>
      </vt:variant>
      <vt:variant>
        <vt:i4>0</vt:i4>
      </vt:variant>
      <vt:variant>
        <vt:i4>5</vt:i4>
      </vt:variant>
      <vt:variant>
        <vt:lpwstr>http://www.nevo.co.il/law/70301/40.f.</vt:lpwstr>
      </vt:variant>
      <vt:variant>
        <vt:lpwstr/>
      </vt:variant>
      <vt:variant>
        <vt:i4>79</vt:i4>
      </vt:variant>
      <vt:variant>
        <vt:i4>24</vt:i4>
      </vt:variant>
      <vt:variant>
        <vt:i4>0</vt:i4>
      </vt:variant>
      <vt:variant>
        <vt:i4>5</vt:i4>
      </vt:variant>
      <vt:variant>
        <vt:lpwstr>http://www.nevo.co.il/law/70301/40.e.</vt:lpwstr>
      </vt:variant>
      <vt:variant>
        <vt:lpwstr/>
      </vt:variant>
      <vt:variant>
        <vt:i4>65615</vt:i4>
      </vt:variant>
      <vt:variant>
        <vt:i4>21</vt:i4>
      </vt:variant>
      <vt:variant>
        <vt:i4>0</vt:i4>
      </vt:variant>
      <vt:variant>
        <vt:i4>5</vt:i4>
      </vt:variant>
      <vt:variant>
        <vt:lpwstr>http://www.nevo.co.il/law/70301/40.d.</vt:lpwstr>
      </vt:variant>
      <vt:variant>
        <vt:lpwstr/>
      </vt:variant>
      <vt:variant>
        <vt:i4>393295</vt:i4>
      </vt:variant>
      <vt:variant>
        <vt:i4>18</vt:i4>
      </vt:variant>
      <vt:variant>
        <vt:i4>0</vt:i4>
      </vt:variant>
      <vt:variant>
        <vt:i4>5</vt:i4>
      </vt:variant>
      <vt:variant>
        <vt:lpwstr>http://www.nevo.co.il/law/70301/40.c.</vt:lpwstr>
      </vt:variant>
      <vt:variant>
        <vt:lpwstr/>
      </vt:variant>
      <vt:variant>
        <vt:i4>458831</vt:i4>
      </vt:variant>
      <vt:variant>
        <vt:i4>15</vt:i4>
      </vt:variant>
      <vt:variant>
        <vt:i4>0</vt:i4>
      </vt:variant>
      <vt:variant>
        <vt:i4>5</vt:i4>
      </vt:variant>
      <vt:variant>
        <vt:lpwstr>http://www.nevo.co.il/law/70301/40.b.</vt:lpwstr>
      </vt:variant>
      <vt:variant>
        <vt:lpwstr/>
      </vt:variant>
      <vt:variant>
        <vt:i4>262223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20685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הלל לי לאופר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20180624</vt:lpwstr>
  </property>
  <property fmtid="{D5CDD505-2E9C-101B-9397-08002B2CF9AE}" pid="13" name="TYPE_N_DATE">
    <vt:lpwstr>38020180624</vt:lpwstr>
  </property>
  <property fmtid="{D5CDD505-2E9C-101B-9397-08002B2CF9AE}" pid="14" name="CASESLISTTMP1">
    <vt:lpwstr>20683368;5569233:2;20371840:2;4569822;5074126;3606459;16989465;4087341;2894643;21021192;11206078;13055183;16877313</vt:lpwstr>
  </property>
  <property fmtid="{D5CDD505-2E9C-101B-9397-08002B2CF9AE}" pid="15" name="WORDNUMPAGES">
    <vt:lpwstr>8</vt:lpwstr>
  </property>
  <property fmtid="{D5CDD505-2E9C-101B-9397-08002B2CF9AE}" pid="16" name="TYPE_ABS_DATE">
    <vt:lpwstr>380020180624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4216/007.a.c;010</vt:lpwstr>
  </property>
  <property fmtid="{D5CDD505-2E9C-101B-9397-08002B2CF9AE}" pid="37" name="LAWLISTTMP2">
    <vt:lpwstr>70301/040.a;040.b;040.c;040.d;040.e;040.f;040.g;040.h;040.i;058</vt:lpwstr>
  </property>
</Properties>
</file>