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E96567" w:rsidRPr="00430FEE" w14:paraId="787DABCE" w14:textId="77777777" w:rsidTr="00692EE4">
        <w:trPr>
          <w:trHeight w:hRule="exact" w:val="418"/>
          <w:jc w:val="center"/>
        </w:trPr>
        <w:tc>
          <w:tcPr>
            <w:tcW w:w="8861" w:type="dxa"/>
            <w:gridSpan w:val="2"/>
          </w:tcPr>
          <w:p w14:paraId="2D8593A3" w14:textId="77777777" w:rsidR="00E96567" w:rsidRPr="00430FEE" w:rsidRDefault="00E96567" w:rsidP="00692EE4">
            <w:pPr>
              <w:pStyle w:val="a3"/>
              <w:jc w:val="center"/>
              <w:rPr>
                <w:rFonts w:ascii="Tahoma" w:hAnsi="Tahoma"/>
                <w:color w:val="000080"/>
                <w:sz w:val="32"/>
                <w:szCs w:val="32"/>
                <w:rtl/>
              </w:rPr>
            </w:pPr>
            <w:bookmarkStart w:id="0" w:name="LastJudge"/>
            <w:r w:rsidRPr="00430FEE">
              <w:rPr>
                <w:rFonts w:ascii="Tahoma" w:hAnsi="Tahoma"/>
                <w:b/>
                <w:bCs/>
                <w:color w:val="000080"/>
                <w:sz w:val="32"/>
                <w:szCs w:val="32"/>
                <w:rtl/>
              </w:rPr>
              <w:t>בית משפט השלום בתל אביב - יפו</w:t>
            </w:r>
          </w:p>
        </w:tc>
      </w:tr>
      <w:tr w:rsidR="00E96567" w:rsidRPr="00430FEE" w14:paraId="61DDCD35" w14:textId="77777777" w:rsidTr="00692EE4">
        <w:trPr>
          <w:trHeight w:val="337"/>
          <w:jc w:val="center"/>
        </w:trPr>
        <w:tc>
          <w:tcPr>
            <w:tcW w:w="5131" w:type="dxa"/>
          </w:tcPr>
          <w:p w14:paraId="0834E4A4" w14:textId="77777777" w:rsidR="00E96567" w:rsidRPr="00430FEE" w:rsidRDefault="00E96567" w:rsidP="00692EE4">
            <w:pPr>
              <w:rPr>
                <w:sz w:val="26"/>
                <w:szCs w:val="26"/>
                <w:rtl/>
              </w:rPr>
            </w:pPr>
            <w:r w:rsidRPr="00430FEE">
              <w:rPr>
                <w:sz w:val="26"/>
                <w:szCs w:val="26"/>
                <w:rtl/>
              </w:rPr>
              <w:t>ת"פ</w:t>
            </w:r>
            <w:r w:rsidRPr="00430FEE">
              <w:rPr>
                <w:rFonts w:hint="cs"/>
                <w:sz w:val="26"/>
                <w:szCs w:val="26"/>
                <w:rtl/>
              </w:rPr>
              <w:t xml:space="preserve"> </w:t>
            </w:r>
            <w:r w:rsidRPr="00430FEE">
              <w:rPr>
                <w:sz w:val="26"/>
                <w:szCs w:val="26"/>
                <w:rtl/>
              </w:rPr>
              <w:t>28236-11-16</w:t>
            </w:r>
            <w:r w:rsidRPr="00430FEE">
              <w:rPr>
                <w:rFonts w:hint="cs"/>
                <w:sz w:val="26"/>
                <w:szCs w:val="26"/>
                <w:rtl/>
              </w:rPr>
              <w:t xml:space="preserve"> </w:t>
            </w:r>
            <w:r w:rsidRPr="00430FEE">
              <w:rPr>
                <w:sz w:val="26"/>
                <w:szCs w:val="26"/>
                <w:rtl/>
              </w:rPr>
              <w:t>פרקליטות מחוז תל אביב  פלילי נ' לוי(עציר)</w:t>
            </w:r>
          </w:p>
          <w:p w14:paraId="70342325" w14:textId="77777777" w:rsidR="00E96567" w:rsidRPr="00430FEE" w:rsidRDefault="00E96567" w:rsidP="00692EE4">
            <w:pPr>
              <w:pStyle w:val="a3"/>
              <w:rPr>
                <w:rFonts w:cs="FrankRuehl"/>
                <w:sz w:val="28"/>
                <w:szCs w:val="28"/>
                <w:rtl/>
              </w:rPr>
            </w:pPr>
          </w:p>
        </w:tc>
        <w:tc>
          <w:tcPr>
            <w:tcW w:w="3730" w:type="dxa"/>
          </w:tcPr>
          <w:p w14:paraId="1B352BCB" w14:textId="77777777" w:rsidR="00E96567" w:rsidRPr="00430FEE" w:rsidRDefault="00E96567" w:rsidP="00692EE4">
            <w:pPr>
              <w:pStyle w:val="a3"/>
              <w:jc w:val="right"/>
              <w:rPr>
                <w:rFonts w:cs="FrankRuehl"/>
                <w:sz w:val="28"/>
                <w:szCs w:val="28"/>
                <w:rtl/>
              </w:rPr>
            </w:pPr>
          </w:p>
        </w:tc>
      </w:tr>
    </w:tbl>
    <w:p w14:paraId="15164884" w14:textId="77777777" w:rsidR="00E96567" w:rsidRPr="00430FEE" w:rsidRDefault="00E96567" w:rsidP="00E96567">
      <w:pPr>
        <w:pStyle w:val="a3"/>
        <w:rPr>
          <w:rtl/>
        </w:rPr>
      </w:pPr>
      <w:r w:rsidRPr="00430FEE">
        <w:rPr>
          <w:rFonts w:hint="cs"/>
          <w:rtl/>
        </w:rPr>
        <w:t xml:space="preserve"> </w:t>
      </w:r>
    </w:p>
    <w:p w14:paraId="12E8B6C3" w14:textId="77777777" w:rsidR="00E96567" w:rsidRPr="00430FEE" w:rsidRDefault="00E96567" w:rsidP="00E96567">
      <w:pPr>
        <w:spacing w:line="360" w:lineRule="auto"/>
        <w:ind w:left="-1276" w:firstLine="1276"/>
        <w:jc w:val="both"/>
        <w:rPr>
          <w:rtl/>
        </w:rPr>
      </w:pPr>
    </w:p>
    <w:tbl>
      <w:tblPr>
        <w:bidiVisual/>
        <w:tblW w:w="91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
        <w:gridCol w:w="4548"/>
        <w:gridCol w:w="3306"/>
      </w:tblGrid>
      <w:tr w:rsidR="00E96567" w:rsidRPr="00430FEE" w14:paraId="309377B4" w14:textId="77777777" w:rsidTr="00E96567">
        <w:trPr>
          <w:trHeight w:val="295"/>
          <w:jc w:val="center"/>
        </w:trPr>
        <w:tc>
          <w:tcPr>
            <w:tcW w:w="1295" w:type="dxa"/>
            <w:tcBorders>
              <w:top w:val="nil"/>
              <w:left w:val="nil"/>
              <w:bottom w:val="nil"/>
              <w:right w:val="nil"/>
            </w:tcBorders>
            <w:shd w:val="clear" w:color="auto" w:fill="auto"/>
          </w:tcPr>
          <w:p w14:paraId="04B82345" w14:textId="77777777" w:rsidR="00E96567" w:rsidRPr="00430FEE" w:rsidRDefault="00E96567" w:rsidP="00E96567">
            <w:pPr>
              <w:spacing w:line="360" w:lineRule="auto"/>
              <w:jc w:val="both"/>
              <w:rPr>
                <w:rFonts w:ascii="Arial" w:hAnsi="Arial"/>
                <w:b/>
                <w:bCs/>
                <w:sz w:val="26"/>
                <w:szCs w:val="26"/>
              </w:rPr>
            </w:pPr>
            <w:r w:rsidRPr="00430FEE">
              <w:rPr>
                <w:rFonts w:ascii="Arial" w:hAnsi="Arial" w:hint="cs"/>
                <w:b/>
                <w:bCs/>
                <w:sz w:val="26"/>
                <w:szCs w:val="26"/>
                <w:rtl/>
              </w:rPr>
              <w:t>ל</w:t>
            </w:r>
            <w:r w:rsidRPr="00430FEE">
              <w:rPr>
                <w:rFonts w:ascii="Arial" w:hAnsi="Arial"/>
                <w:b/>
                <w:bCs/>
                <w:sz w:val="26"/>
                <w:szCs w:val="26"/>
                <w:rtl/>
              </w:rPr>
              <w:t xml:space="preserve">פני </w:t>
            </w:r>
          </w:p>
        </w:tc>
        <w:tc>
          <w:tcPr>
            <w:tcW w:w="7854" w:type="dxa"/>
            <w:gridSpan w:val="2"/>
            <w:tcBorders>
              <w:top w:val="nil"/>
              <w:left w:val="nil"/>
              <w:bottom w:val="nil"/>
              <w:right w:val="nil"/>
            </w:tcBorders>
            <w:shd w:val="clear" w:color="auto" w:fill="auto"/>
          </w:tcPr>
          <w:p w14:paraId="272DCC09" w14:textId="77777777" w:rsidR="00E96567" w:rsidRPr="00430FEE" w:rsidRDefault="00E96567" w:rsidP="00E96567">
            <w:pPr>
              <w:spacing w:line="360" w:lineRule="auto"/>
              <w:jc w:val="both"/>
              <w:rPr>
                <w:rFonts w:ascii="Arial" w:hAnsi="Arial"/>
                <w:b/>
                <w:bCs/>
                <w:sz w:val="26"/>
                <w:szCs w:val="26"/>
                <w:rtl/>
              </w:rPr>
            </w:pPr>
            <w:r w:rsidRPr="00430FEE">
              <w:rPr>
                <w:rFonts w:ascii="Arial" w:hAnsi="Arial" w:hint="cs"/>
                <w:b/>
                <w:bCs/>
                <w:sz w:val="26"/>
                <w:szCs w:val="26"/>
                <w:rtl/>
              </w:rPr>
              <w:t>כבוד ה</w:t>
            </w:r>
            <w:r w:rsidRPr="00430FEE">
              <w:rPr>
                <w:rFonts w:ascii="Arial" w:hAnsi="Arial"/>
                <w:b/>
                <w:bCs/>
                <w:sz w:val="26"/>
                <w:szCs w:val="26"/>
                <w:rtl/>
              </w:rPr>
              <w:t>שופט</w:t>
            </w:r>
            <w:r w:rsidRPr="00430FEE">
              <w:rPr>
                <w:rFonts w:ascii="Arial" w:hAnsi="Arial" w:hint="cs"/>
                <w:b/>
                <w:bCs/>
                <w:sz w:val="26"/>
                <w:szCs w:val="26"/>
                <w:rtl/>
              </w:rPr>
              <w:t xml:space="preserve">  </w:t>
            </w:r>
            <w:r w:rsidRPr="00430FEE">
              <w:rPr>
                <w:rFonts w:ascii="Arial" w:hAnsi="Arial"/>
                <w:b/>
                <w:bCs/>
                <w:sz w:val="26"/>
                <w:szCs w:val="26"/>
                <w:rtl/>
              </w:rPr>
              <w:t>רועי פרי</w:t>
            </w:r>
          </w:p>
          <w:p w14:paraId="22F93110" w14:textId="77777777" w:rsidR="00E96567" w:rsidRPr="00430FEE" w:rsidRDefault="00E96567" w:rsidP="00E96567">
            <w:pPr>
              <w:spacing w:line="360" w:lineRule="auto"/>
              <w:jc w:val="both"/>
              <w:rPr>
                <w:sz w:val="26"/>
                <w:szCs w:val="26"/>
                <w:rtl/>
              </w:rPr>
            </w:pPr>
          </w:p>
          <w:p w14:paraId="4CDC0AB4" w14:textId="77777777" w:rsidR="00E96567" w:rsidRPr="00430FEE" w:rsidRDefault="00E96567" w:rsidP="00E96567">
            <w:pPr>
              <w:spacing w:line="360" w:lineRule="auto"/>
              <w:jc w:val="both"/>
              <w:rPr>
                <w:rFonts w:ascii="Arial" w:hAnsi="Arial"/>
                <w:sz w:val="26"/>
                <w:szCs w:val="26"/>
              </w:rPr>
            </w:pPr>
          </w:p>
        </w:tc>
      </w:tr>
      <w:tr w:rsidR="00E96567" w:rsidRPr="00430FEE" w14:paraId="1E3F708A" w14:textId="77777777" w:rsidTr="00E96567">
        <w:trPr>
          <w:trHeight w:val="355"/>
          <w:jc w:val="center"/>
        </w:trPr>
        <w:tc>
          <w:tcPr>
            <w:tcW w:w="1295" w:type="dxa"/>
            <w:tcBorders>
              <w:top w:val="nil"/>
              <w:left w:val="nil"/>
              <w:bottom w:val="nil"/>
              <w:right w:val="nil"/>
            </w:tcBorders>
            <w:shd w:val="clear" w:color="auto" w:fill="auto"/>
          </w:tcPr>
          <w:p w14:paraId="246405D7" w14:textId="77777777" w:rsidR="00E96567" w:rsidRPr="00430FEE" w:rsidRDefault="00E96567" w:rsidP="00E96567">
            <w:pPr>
              <w:spacing w:line="360" w:lineRule="auto"/>
              <w:jc w:val="both"/>
              <w:rPr>
                <w:rFonts w:ascii="Arial" w:hAnsi="Arial"/>
                <w:b/>
                <w:bCs/>
                <w:sz w:val="26"/>
                <w:szCs w:val="26"/>
              </w:rPr>
            </w:pPr>
            <w:bookmarkStart w:id="1" w:name="FirstAppellant"/>
            <w:bookmarkStart w:id="2" w:name="FirstLawyer"/>
            <w:r w:rsidRPr="00430FEE">
              <w:rPr>
                <w:rFonts w:ascii="Arial" w:hAnsi="Arial" w:hint="cs"/>
                <w:sz w:val="26"/>
                <w:szCs w:val="26"/>
                <w:rtl/>
              </w:rPr>
              <w:t>ה</w:t>
            </w:r>
            <w:r w:rsidRPr="00430FEE">
              <w:rPr>
                <w:rFonts w:ascii="Arial" w:hAnsi="Arial"/>
                <w:sz w:val="26"/>
                <w:szCs w:val="26"/>
                <w:rtl/>
              </w:rPr>
              <w:t>מאשימה</w:t>
            </w:r>
            <w:r w:rsidRPr="00430FEE">
              <w:rPr>
                <w:rFonts w:ascii="Arial" w:hAnsi="Arial" w:hint="cs"/>
                <w:sz w:val="26"/>
                <w:szCs w:val="26"/>
                <w:rtl/>
              </w:rPr>
              <w:t>:</w:t>
            </w:r>
          </w:p>
        </w:tc>
        <w:tc>
          <w:tcPr>
            <w:tcW w:w="4548" w:type="dxa"/>
            <w:tcBorders>
              <w:top w:val="nil"/>
              <w:left w:val="nil"/>
              <w:bottom w:val="nil"/>
              <w:right w:val="nil"/>
            </w:tcBorders>
            <w:shd w:val="clear" w:color="auto" w:fill="auto"/>
          </w:tcPr>
          <w:p w14:paraId="2C40CD97" w14:textId="77777777" w:rsidR="00E96567" w:rsidRPr="00430FEE" w:rsidRDefault="00E96567" w:rsidP="00E96567">
            <w:pPr>
              <w:spacing w:line="360" w:lineRule="auto"/>
              <w:jc w:val="both"/>
              <w:rPr>
                <w:sz w:val="26"/>
                <w:szCs w:val="26"/>
                <w:rtl/>
              </w:rPr>
            </w:pPr>
            <w:r w:rsidRPr="00430FEE">
              <w:rPr>
                <w:rFonts w:ascii="Arial" w:hAnsi="Arial"/>
                <w:sz w:val="26"/>
                <w:szCs w:val="26"/>
                <w:rtl/>
              </w:rPr>
              <w:t>פרקליטות מחוז תל אביב  פלילי</w:t>
            </w:r>
          </w:p>
          <w:p w14:paraId="4D1BF471" w14:textId="77777777" w:rsidR="00E96567" w:rsidRPr="00430FEE" w:rsidRDefault="00E96567" w:rsidP="00E96567">
            <w:pPr>
              <w:spacing w:line="360" w:lineRule="auto"/>
              <w:jc w:val="both"/>
              <w:rPr>
                <w:sz w:val="26"/>
                <w:szCs w:val="26"/>
              </w:rPr>
            </w:pPr>
            <w:r w:rsidRPr="00430FEE">
              <w:rPr>
                <w:rFonts w:hint="cs"/>
                <w:sz w:val="26"/>
                <w:szCs w:val="26"/>
                <w:rtl/>
              </w:rPr>
              <w:t>ע"י ב"כ עו"ד דיה בן אסא</w:t>
            </w:r>
          </w:p>
        </w:tc>
        <w:tc>
          <w:tcPr>
            <w:tcW w:w="3306" w:type="dxa"/>
            <w:tcBorders>
              <w:top w:val="nil"/>
              <w:left w:val="nil"/>
              <w:bottom w:val="nil"/>
              <w:right w:val="nil"/>
            </w:tcBorders>
            <w:shd w:val="clear" w:color="auto" w:fill="auto"/>
          </w:tcPr>
          <w:p w14:paraId="447D840B" w14:textId="77777777" w:rsidR="00E96567" w:rsidRPr="00430FEE" w:rsidRDefault="00E96567" w:rsidP="00E96567">
            <w:pPr>
              <w:spacing w:line="360" w:lineRule="auto"/>
              <w:jc w:val="both"/>
              <w:rPr>
                <w:rFonts w:ascii="Arial" w:hAnsi="Arial"/>
                <w:sz w:val="26"/>
                <w:szCs w:val="26"/>
              </w:rPr>
            </w:pPr>
          </w:p>
        </w:tc>
      </w:tr>
      <w:bookmarkEnd w:id="1"/>
      <w:bookmarkEnd w:id="2"/>
      <w:tr w:rsidR="00E96567" w:rsidRPr="00430FEE" w14:paraId="2BD80D2D" w14:textId="77777777" w:rsidTr="00E96567">
        <w:trPr>
          <w:trHeight w:val="355"/>
          <w:jc w:val="center"/>
        </w:trPr>
        <w:tc>
          <w:tcPr>
            <w:tcW w:w="1295" w:type="dxa"/>
            <w:tcBorders>
              <w:top w:val="nil"/>
              <w:left w:val="nil"/>
              <w:bottom w:val="nil"/>
              <w:right w:val="nil"/>
            </w:tcBorders>
            <w:shd w:val="clear" w:color="auto" w:fill="auto"/>
          </w:tcPr>
          <w:p w14:paraId="02CD301C" w14:textId="77777777" w:rsidR="00E96567" w:rsidRPr="00430FEE" w:rsidRDefault="00E96567" w:rsidP="00E96567">
            <w:pPr>
              <w:spacing w:line="360" w:lineRule="auto"/>
              <w:jc w:val="both"/>
              <w:rPr>
                <w:rFonts w:ascii="Arial" w:hAnsi="Arial"/>
                <w:sz w:val="26"/>
                <w:szCs w:val="26"/>
                <w:rtl/>
              </w:rPr>
            </w:pPr>
          </w:p>
        </w:tc>
        <w:tc>
          <w:tcPr>
            <w:tcW w:w="4548" w:type="dxa"/>
            <w:tcBorders>
              <w:top w:val="nil"/>
              <w:left w:val="nil"/>
              <w:bottom w:val="nil"/>
              <w:right w:val="nil"/>
            </w:tcBorders>
            <w:shd w:val="clear" w:color="auto" w:fill="auto"/>
          </w:tcPr>
          <w:p w14:paraId="14BB4AB6" w14:textId="77777777" w:rsidR="00E96567" w:rsidRPr="00430FEE" w:rsidRDefault="00E96567" w:rsidP="00E96567">
            <w:pPr>
              <w:spacing w:line="360" w:lineRule="auto"/>
              <w:jc w:val="both"/>
              <w:rPr>
                <w:rFonts w:ascii="Arial" w:hAnsi="Arial"/>
                <w:sz w:val="26"/>
                <w:szCs w:val="26"/>
                <w:rtl/>
              </w:rPr>
            </w:pPr>
          </w:p>
        </w:tc>
        <w:tc>
          <w:tcPr>
            <w:tcW w:w="3306" w:type="dxa"/>
            <w:tcBorders>
              <w:top w:val="nil"/>
              <w:left w:val="nil"/>
              <w:bottom w:val="nil"/>
              <w:right w:val="nil"/>
            </w:tcBorders>
            <w:shd w:val="clear" w:color="auto" w:fill="auto"/>
          </w:tcPr>
          <w:p w14:paraId="702DE5DC" w14:textId="77777777" w:rsidR="00E96567" w:rsidRPr="00430FEE" w:rsidRDefault="00E96567" w:rsidP="00E96567">
            <w:pPr>
              <w:spacing w:line="360" w:lineRule="auto"/>
              <w:jc w:val="both"/>
              <w:rPr>
                <w:rFonts w:ascii="Arial" w:hAnsi="Arial"/>
                <w:sz w:val="26"/>
                <w:szCs w:val="26"/>
                <w:rtl/>
              </w:rPr>
            </w:pPr>
          </w:p>
        </w:tc>
      </w:tr>
      <w:tr w:rsidR="00E96567" w:rsidRPr="00430FEE" w14:paraId="56B29A23" w14:textId="77777777" w:rsidTr="00E96567">
        <w:trPr>
          <w:trHeight w:val="355"/>
          <w:jc w:val="center"/>
        </w:trPr>
        <w:tc>
          <w:tcPr>
            <w:tcW w:w="1295" w:type="dxa"/>
            <w:tcBorders>
              <w:top w:val="nil"/>
              <w:left w:val="nil"/>
              <w:bottom w:val="nil"/>
              <w:right w:val="nil"/>
            </w:tcBorders>
            <w:shd w:val="clear" w:color="auto" w:fill="auto"/>
          </w:tcPr>
          <w:p w14:paraId="1A7E52B0" w14:textId="77777777" w:rsidR="00E96567" w:rsidRPr="00430FEE" w:rsidRDefault="00E96567" w:rsidP="00E96567">
            <w:pPr>
              <w:spacing w:line="360" w:lineRule="auto"/>
              <w:jc w:val="both"/>
              <w:rPr>
                <w:rFonts w:ascii="Arial" w:hAnsi="Arial"/>
                <w:sz w:val="26"/>
                <w:szCs w:val="26"/>
                <w:rtl/>
              </w:rPr>
            </w:pPr>
          </w:p>
        </w:tc>
        <w:tc>
          <w:tcPr>
            <w:tcW w:w="7854" w:type="dxa"/>
            <w:gridSpan w:val="2"/>
            <w:tcBorders>
              <w:top w:val="nil"/>
              <w:left w:val="nil"/>
              <w:bottom w:val="nil"/>
              <w:right w:val="nil"/>
            </w:tcBorders>
            <w:shd w:val="clear" w:color="auto" w:fill="auto"/>
          </w:tcPr>
          <w:p w14:paraId="7B36ED85" w14:textId="77777777" w:rsidR="00E96567" w:rsidRPr="00430FEE" w:rsidRDefault="00E96567" w:rsidP="00E96567">
            <w:pPr>
              <w:spacing w:line="360" w:lineRule="auto"/>
              <w:jc w:val="both"/>
              <w:rPr>
                <w:rFonts w:ascii="Arial" w:hAnsi="Arial"/>
                <w:b/>
                <w:bCs/>
                <w:sz w:val="26"/>
                <w:szCs w:val="26"/>
                <w:rtl/>
              </w:rPr>
            </w:pPr>
          </w:p>
          <w:p w14:paraId="05430161" w14:textId="77777777" w:rsidR="00E96567" w:rsidRPr="00430FEE" w:rsidRDefault="00E96567" w:rsidP="00E96567">
            <w:pPr>
              <w:spacing w:line="360" w:lineRule="auto"/>
              <w:jc w:val="both"/>
              <w:rPr>
                <w:rFonts w:ascii="Arial" w:hAnsi="Arial"/>
                <w:b/>
                <w:bCs/>
                <w:sz w:val="26"/>
                <w:szCs w:val="26"/>
                <w:rtl/>
              </w:rPr>
            </w:pPr>
            <w:r w:rsidRPr="00430FEE">
              <w:rPr>
                <w:rFonts w:ascii="Arial" w:hAnsi="Arial"/>
                <w:b/>
                <w:bCs/>
                <w:sz w:val="26"/>
                <w:szCs w:val="26"/>
                <w:rtl/>
              </w:rPr>
              <w:t>נגד</w:t>
            </w:r>
          </w:p>
          <w:p w14:paraId="769895AA" w14:textId="77777777" w:rsidR="00E96567" w:rsidRPr="00430FEE" w:rsidRDefault="00E96567" w:rsidP="00E96567">
            <w:pPr>
              <w:spacing w:line="360" w:lineRule="auto"/>
              <w:jc w:val="both"/>
              <w:rPr>
                <w:rFonts w:ascii="Arial" w:hAnsi="Arial"/>
                <w:sz w:val="26"/>
                <w:szCs w:val="26"/>
              </w:rPr>
            </w:pPr>
          </w:p>
        </w:tc>
      </w:tr>
      <w:tr w:rsidR="00E96567" w:rsidRPr="00430FEE" w14:paraId="775412A5" w14:textId="77777777" w:rsidTr="00E96567">
        <w:trPr>
          <w:trHeight w:val="355"/>
          <w:jc w:val="center"/>
        </w:trPr>
        <w:tc>
          <w:tcPr>
            <w:tcW w:w="1295" w:type="dxa"/>
            <w:tcBorders>
              <w:top w:val="nil"/>
              <w:left w:val="nil"/>
              <w:bottom w:val="nil"/>
              <w:right w:val="nil"/>
            </w:tcBorders>
            <w:shd w:val="clear" w:color="auto" w:fill="auto"/>
          </w:tcPr>
          <w:p w14:paraId="1CD00277" w14:textId="77777777" w:rsidR="00E96567" w:rsidRPr="00430FEE" w:rsidRDefault="00E96567" w:rsidP="00E96567">
            <w:pPr>
              <w:spacing w:line="360" w:lineRule="auto"/>
              <w:jc w:val="both"/>
              <w:rPr>
                <w:rFonts w:ascii="Arial" w:hAnsi="Arial"/>
                <w:sz w:val="26"/>
                <w:szCs w:val="26"/>
                <w:rtl/>
              </w:rPr>
            </w:pPr>
            <w:r w:rsidRPr="00430FEE">
              <w:rPr>
                <w:rFonts w:ascii="Arial" w:hAnsi="Arial" w:hint="cs"/>
                <w:sz w:val="26"/>
                <w:szCs w:val="26"/>
                <w:rtl/>
              </w:rPr>
              <w:t>ה</w:t>
            </w:r>
            <w:r w:rsidRPr="00430FEE">
              <w:rPr>
                <w:rFonts w:ascii="Arial" w:hAnsi="Arial"/>
                <w:sz w:val="26"/>
                <w:szCs w:val="26"/>
                <w:rtl/>
              </w:rPr>
              <w:t>נאש</w:t>
            </w:r>
            <w:r w:rsidRPr="00430FEE">
              <w:rPr>
                <w:rFonts w:ascii="Arial" w:hAnsi="Arial" w:hint="cs"/>
                <w:sz w:val="26"/>
                <w:szCs w:val="26"/>
                <w:rtl/>
              </w:rPr>
              <w:t>ם:</w:t>
            </w:r>
          </w:p>
        </w:tc>
        <w:tc>
          <w:tcPr>
            <w:tcW w:w="4548" w:type="dxa"/>
            <w:tcBorders>
              <w:top w:val="nil"/>
              <w:left w:val="nil"/>
              <w:bottom w:val="nil"/>
              <w:right w:val="nil"/>
            </w:tcBorders>
            <w:shd w:val="clear" w:color="auto" w:fill="auto"/>
          </w:tcPr>
          <w:p w14:paraId="72FB4939" w14:textId="77777777" w:rsidR="00E96567" w:rsidRPr="00430FEE" w:rsidRDefault="00E96567" w:rsidP="00E96567">
            <w:pPr>
              <w:spacing w:line="360" w:lineRule="auto"/>
              <w:jc w:val="both"/>
              <w:rPr>
                <w:sz w:val="26"/>
                <w:szCs w:val="26"/>
                <w:rtl/>
              </w:rPr>
            </w:pPr>
            <w:r w:rsidRPr="00430FEE">
              <w:rPr>
                <w:rFonts w:ascii="Arial" w:hAnsi="Arial"/>
                <w:sz w:val="26"/>
                <w:szCs w:val="26"/>
                <w:rtl/>
              </w:rPr>
              <w:t xml:space="preserve">שלמה לוי </w:t>
            </w:r>
          </w:p>
          <w:p w14:paraId="2D35002D" w14:textId="77777777" w:rsidR="00E96567" w:rsidRPr="00430FEE" w:rsidRDefault="00E96567" w:rsidP="00E96567">
            <w:pPr>
              <w:spacing w:line="360" w:lineRule="auto"/>
              <w:jc w:val="both"/>
              <w:rPr>
                <w:sz w:val="26"/>
                <w:szCs w:val="26"/>
                <w:rtl/>
              </w:rPr>
            </w:pPr>
            <w:r w:rsidRPr="00430FEE">
              <w:rPr>
                <w:rFonts w:hint="cs"/>
                <w:sz w:val="26"/>
                <w:szCs w:val="26"/>
                <w:rtl/>
              </w:rPr>
              <w:t>ע"י ב"כ עו"ד קובי מרגולוב ועו"ד מיכאל סיבוני</w:t>
            </w:r>
          </w:p>
        </w:tc>
        <w:tc>
          <w:tcPr>
            <w:tcW w:w="3306" w:type="dxa"/>
            <w:tcBorders>
              <w:top w:val="nil"/>
              <w:left w:val="nil"/>
              <w:bottom w:val="nil"/>
              <w:right w:val="nil"/>
            </w:tcBorders>
            <w:shd w:val="clear" w:color="auto" w:fill="auto"/>
          </w:tcPr>
          <w:p w14:paraId="65548A8C" w14:textId="77777777" w:rsidR="00E96567" w:rsidRPr="00430FEE" w:rsidRDefault="00E96567" w:rsidP="00E96567">
            <w:pPr>
              <w:spacing w:line="360" w:lineRule="auto"/>
              <w:jc w:val="both"/>
              <w:rPr>
                <w:rFonts w:ascii="Arial" w:hAnsi="Arial"/>
                <w:sz w:val="26"/>
                <w:szCs w:val="26"/>
              </w:rPr>
            </w:pPr>
          </w:p>
        </w:tc>
      </w:tr>
    </w:tbl>
    <w:p w14:paraId="6F5C3275" w14:textId="77777777" w:rsidR="00430FEE" w:rsidRPr="00430FEE" w:rsidRDefault="00430FEE" w:rsidP="00430FEE">
      <w:pPr>
        <w:spacing w:after="120" w:line="240" w:lineRule="exact"/>
        <w:ind w:left="283" w:hanging="283"/>
        <w:jc w:val="both"/>
        <w:rPr>
          <w:rFonts w:ascii="FrankRuehl" w:hAnsi="FrankRuehl" w:cs="FrankRuehl"/>
          <w:rtl/>
        </w:rPr>
      </w:pPr>
    </w:p>
    <w:p w14:paraId="3F08AFB6" w14:textId="77777777" w:rsidR="001D703B" w:rsidRPr="001D703B" w:rsidRDefault="001D703B" w:rsidP="001D703B">
      <w:pPr>
        <w:spacing w:after="120" w:line="240" w:lineRule="exact"/>
        <w:ind w:left="283" w:hanging="283"/>
        <w:jc w:val="both"/>
        <w:rPr>
          <w:rFonts w:ascii="FrankRuehl" w:hAnsi="FrankRuehl" w:cs="FrankRuehl"/>
          <w:rtl/>
        </w:rPr>
      </w:pPr>
      <w:bookmarkStart w:id="3" w:name="LawTable"/>
      <w:bookmarkEnd w:id="3"/>
      <w:r w:rsidRPr="001D703B">
        <w:rPr>
          <w:rFonts w:ascii="FrankRuehl" w:hAnsi="FrankRuehl" w:cs="FrankRuehl"/>
          <w:rtl/>
        </w:rPr>
        <w:t xml:space="preserve">חקיקה שאוזכרה: </w:t>
      </w:r>
    </w:p>
    <w:p w14:paraId="4B49A0AC" w14:textId="77777777" w:rsidR="001D703B" w:rsidRPr="001D703B" w:rsidRDefault="001D703B" w:rsidP="001D703B">
      <w:pPr>
        <w:spacing w:after="120" w:line="240" w:lineRule="exact"/>
        <w:ind w:left="283" w:hanging="283"/>
        <w:jc w:val="both"/>
        <w:rPr>
          <w:rFonts w:ascii="FrankRuehl" w:hAnsi="FrankRuehl" w:cs="FrankRuehl"/>
          <w:rtl/>
        </w:rPr>
      </w:pPr>
      <w:hyperlink r:id="rId6" w:history="1">
        <w:r w:rsidRPr="001D703B">
          <w:rPr>
            <w:rFonts w:ascii="FrankRuehl" w:hAnsi="FrankRuehl" w:cs="FrankRuehl"/>
            <w:color w:val="0000FF"/>
            <w:u w:val="single"/>
            <w:rtl/>
          </w:rPr>
          <w:t>פקודת הסמים המסוכנים [נוסח חדש], תשל"ג-1973</w:t>
        </w:r>
      </w:hyperlink>
      <w:r w:rsidRPr="001D703B">
        <w:rPr>
          <w:rFonts w:ascii="FrankRuehl" w:hAnsi="FrankRuehl" w:cs="FrankRuehl"/>
          <w:rtl/>
        </w:rPr>
        <w:t xml:space="preserve">: סע'  </w:t>
      </w:r>
      <w:hyperlink r:id="rId7" w:history="1">
        <w:r w:rsidRPr="001D703B">
          <w:rPr>
            <w:rFonts w:ascii="FrankRuehl" w:hAnsi="FrankRuehl" w:cs="FrankRuehl"/>
            <w:color w:val="0000FF"/>
            <w:u w:val="single"/>
            <w:rtl/>
          </w:rPr>
          <w:t>6</w:t>
        </w:r>
      </w:hyperlink>
      <w:r w:rsidRPr="001D703B">
        <w:rPr>
          <w:rFonts w:ascii="FrankRuehl" w:hAnsi="FrankRuehl" w:cs="FrankRuehl"/>
          <w:rtl/>
        </w:rPr>
        <w:t xml:space="preserve">, </w:t>
      </w:r>
      <w:hyperlink r:id="rId8" w:history="1">
        <w:r w:rsidRPr="001D703B">
          <w:rPr>
            <w:rFonts w:ascii="FrankRuehl" w:hAnsi="FrankRuehl" w:cs="FrankRuehl"/>
            <w:color w:val="0000FF"/>
            <w:u w:val="single"/>
            <w:rtl/>
          </w:rPr>
          <w:t>7.א.</w:t>
        </w:r>
      </w:hyperlink>
      <w:r w:rsidRPr="001D703B">
        <w:rPr>
          <w:rFonts w:ascii="FrankRuehl" w:hAnsi="FrankRuehl" w:cs="FrankRuehl"/>
          <w:rtl/>
        </w:rPr>
        <w:t xml:space="preserve">, </w:t>
      </w:r>
      <w:hyperlink r:id="rId9" w:history="1">
        <w:r w:rsidRPr="001D703B">
          <w:rPr>
            <w:rFonts w:ascii="FrankRuehl" w:hAnsi="FrankRuehl" w:cs="FrankRuehl"/>
            <w:color w:val="0000FF"/>
            <w:u w:val="single"/>
            <w:rtl/>
          </w:rPr>
          <w:t>7.ג</w:t>
        </w:r>
      </w:hyperlink>
      <w:r w:rsidRPr="001D703B">
        <w:rPr>
          <w:rFonts w:ascii="FrankRuehl" w:hAnsi="FrankRuehl" w:cs="FrankRuehl"/>
          <w:rtl/>
        </w:rPr>
        <w:t xml:space="preserve">, </w:t>
      </w:r>
      <w:hyperlink r:id="rId10" w:history="1">
        <w:r w:rsidRPr="001D703B">
          <w:rPr>
            <w:rFonts w:ascii="FrankRuehl" w:hAnsi="FrankRuehl" w:cs="FrankRuehl"/>
            <w:color w:val="0000FF"/>
            <w:u w:val="single"/>
            <w:rtl/>
          </w:rPr>
          <w:t>9(א)</w:t>
        </w:r>
      </w:hyperlink>
      <w:r w:rsidRPr="001D703B">
        <w:rPr>
          <w:rFonts w:ascii="FrankRuehl" w:hAnsi="FrankRuehl" w:cs="FrankRuehl"/>
          <w:rtl/>
        </w:rPr>
        <w:t xml:space="preserve">, </w:t>
      </w:r>
      <w:hyperlink r:id="rId11" w:history="1">
        <w:r w:rsidRPr="001D703B">
          <w:rPr>
            <w:rFonts w:ascii="FrankRuehl" w:hAnsi="FrankRuehl" w:cs="FrankRuehl"/>
            <w:color w:val="0000FF"/>
            <w:u w:val="single"/>
            <w:rtl/>
          </w:rPr>
          <w:t>(ד)</w:t>
        </w:r>
      </w:hyperlink>
      <w:r w:rsidRPr="001D703B">
        <w:rPr>
          <w:rFonts w:ascii="FrankRuehl" w:hAnsi="FrankRuehl" w:cs="FrankRuehl"/>
          <w:rtl/>
        </w:rPr>
        <w:t xml:space="preserve">, </w:t>
      </w:r>
      <w:hyperlink r:id="rId12" w:history="1">
        <w:r w:rsidRPr="001D703B">
          <w:rPr>
            <w:rFonts w:ascii="FrankRuehl" w:hAnsi="FrankRuehl" w:cs="FrankRuehl"/>
            <w:color w:val="0000FF"/>
            <w:u w:val="single"/>
            <w:rtl/>
          </w:rPr>
          <w:t>10</w:t>
        </w:r>
      </w:hyperlink>
    </w:p>
    <w:p w14:paraId="62A5D23B" w14:textId="77777777" w:rsidR="001D703B" w:rsidRPr="001D703B" w:rsidRDefault="001D703B" w:rsidP="001D703B">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96567" w:rsidRPr="00575AD7" w14:paraId="3E52B5AF" w14:textId="77777777" w:rsidTr="00E96567">
        <w:trPr>
          <w:trHeight w:val="355"/>
          <w:jc w:val="center"/>
        </w:trPr>
        <w:tc>
          <w:tcPr>
            <w:tcW w:w="8820" w:type="dxa"/>
            <w:tcBorders>
              <w:top w:val="nil"/>
              <w:left w:val="nil"/>
              <w:bottom w:val="nil"/>
              <w:right w:val="nil"/>
            </w:tcBorders>
            <w:shd w:val="clear" w:color="auto" w:fill="auto"/>
          </w:tcPr>
          <w:p w14:paraId="0E7F02EB" w14:textId="77777777" w:rsidR="00430FEE" w:rsidRPr="00430FEE" w:rsidRDefault="00430FEE" w:rsidP="00430FEE">
            <w:pPr>
              <w:spacing w:line="360" w:lineRule="auto"/>
              <w:jc w:val="center"/>
              <w:rPr>
                <w:rFonts w:ascii="Arial" w:hAnsi="Arial"/>
                <w:b/>
                <w:bCs/>
                <w:sz w:val="32"/>
                <w:szCs w:val="32"/>
                <w:u w:val="single"/>
                <w:rtl/>
              </w:rPr>
            </w:pPr>
            <w:bookmarkStart w:id="4" w:name="LawTable_End"/>
            <w:bookmarkStart w:id="5" w:name="PsakDin" w:colFirst="0" w:colLast="0"/>
            <w:bookmarkEnd w:id="0"/>
            <w:bookmarkEnd w:id="4"/>
            <w:r w:rsidRPr="00430FEE">
              <w:rPr>
                <w:rFonts w:ascii="Arial" w:hAnsi="Arial"/>
                <w:b/>
                <w:bCs/>
                <w:sz w:val="32"/>
                <w:szCs w:val="32"/>
                <w:u w:val="single"/>
                <w:rtl/>
              </w:rPr>
              <w:t>גזר דין</w:t>
            </w:r>
          </w:p>
          <w:p w14:paraId="399FB0E9" w14:textId="77777777" w:rsidR="00E96567" w:rsidRPr="00430FEE" w:rsidRDefault="00E96567" w:rsidP="00430FEE">
            <w:pPr>
              <w:spacing w:line="360" w:lineRule="auto"/>
              <w:jc w:val="center"/>
              <w:rPr>
                <w:rFonts w:ascii="Arial" w:hAnsi="Arial"/>
                <w:bCs/>
                <w:sz w:val="32"/>
                <w:szCs w:val="32"/>
                <w:u w:val="single"/>
                <w:rtl/>
              </w:rPr>
            </w:pPr>
          </w:p>
        </w:tc>
      </w:tr>
      <w:bookmarkEnd w:id="5"/>
    </w:tbl>
    <w:p w14:paraId="0610C8A7" w14:textId="77777777" w:rsidR="00E96567" w:rsidRPr="00575AD7" w:rsidRDefault="00E96567" w:rsidP="00E96567">
      <w:pPr>
        <w:spacing w:line="360" w:lineRule="auto"/>
        <w:jc w:val="both"/>
        <w:rPr>
          <w:rFonts w:ascii="Arial" w:hAnsi="Arial"/>
          <w:rtl/>
        </w:rPr>
      </w:pPr>
    </w:p>
    <w:p w14:paraId="4CEE6C7C" w14:textId="77777777" w:rsidR="00E96567" w:rsidRPr="00575AD7" w:rsidRDefault="00E96567" w:rsidP="00E96567">
      <w:pPr>
        <w:spacing w:line="360" w:lineRule="auto"/>
        <w:jc w:val="both"/>
        <w:rPr>
          <w:rFonts w:ascii="Arial" w:hAnsi="Arial"/>
          <w:rtl/>
        </w:rPr>
      </w:pPr>
    </w:p>
    <w:p w14:paraId="71C4A543" w14:textId="77777777" w:rsidR="00E96567" w:rsidRDefault="00E96567" w:rsidP="00E96567">
      <w:pPr>
        <w:spacing w:line="360" w:lineRule="auto"/>
        <w:ind w:left="720" w:hanging="720"/>
        <w:jc w:val="both"/>
        <w:rPr>
          <w:rtl/>
        </w:rPr>
      </w:pPr>
      <w:r>
        <w:rPr>
          <w:rFonts w:hint="cs"/>
          <w:rtl/>
        </w:rPr>
        <w:t>1.</w:t>
      </w:r>
      <w:r>
        <w:rPr>
          <w:rtl/>
        </w:rPr>
        <w:tab/>
      </w:r>
      <w:bookmarkStart w:id="6" w:name="ABSTRACT_START"/>
      <w:bookmarkEnd w:id="6"/>
      <w:r>
        <w:rPr>
          <w:rFonts w:hint="cs"/>
          <w:rtl/>
        </w:rPr>
        <w:t xml:space="preserve">הנאשם הורשע, עפ"י הודאתו, במסגרת הסדר טיעון דיוני, בכתב האישום המתוקן בעבירות של ייצור סם מסוכן בניגוד </w:t>
      </w:r>
      <w:hyperlink r:id="rId13" w:history="1">
        <w:r w:rsidR="001D703B" w:rsidRPr="001D703B">
          <w:rPr>
            <w:color w:val="0000FF"/>
            <w:u w:val="single"/>
            <w:rtl/>
          </w:rPr>
          <w:t>לסעיף 6</w:t>
        </w:r>
      </w:hyperlink>
      <w:r>
        <w:rPr>
          <w:rFonts w:hint="cs"/>
          <w:rtl/>
        </w:rPr>
        <w:t xml:space="preserve"> ל</w:t>
      </w:r>
      <w:hyperlink r:id="rId14" w:history="1">
        <w:r w:rsidR="00430FEE" w:rsidRPr="00430FEE">
          <w:rPr>
            <w:color w:val="0000FF"/>
            <w:u w:val="single"/>
            <w:rtl/>
          </w:rPr>
          <w:t>פקודת הסמים המסוכנים</w:t>
        </w:r>
      </w:hyperlink>
      <w:r>
        <w:rPr>
          <w:rFonts w:hint="cs"/>
          <w:rtl/>
        </w:rPr>
        <w:t xml:space="preserve"> [נוסח משולב], תשל"ג </w:t>
      </w:r>
      <w:r>
        <w:rPr>
          <w:rtl/>
        </w:rPr>
        <w:t>–</w:t>
      </w:r>
      <w:r>
        <w:rPr>
          <w:rFonts w:hint="cs"/>
          <w:rtl/>
        </w:rPr>
        <w:t xml:space="preserve"> 1973 (להלן: </w:t>
      </w:r>
      <w:r>
        <w:rPr>
          <w:rFonts w:hint="cs"/>
          <w:b/>
          <w:bCs/>
          <w:rtl/>
        </w:rPr>
        <w:t>"הפקודה"</w:t>
      </w:r>
      <w:r>
        <w:rPr>
          <w:rFonts w:hint="cs"/>
          <w:rtl/>
        </w:rPr>
        <w:t xml:space="preserve">), החזקת סם שלא לצריכה עצמית, בניגוד </w:t>
      </w:r>
      <w:hyperlink r:id="rId15" w:history="1">
        <w:r w:rsidR="001D703B" w:rsidRPr="001D703B">
          <w:rPr>
            <w:color w:val="0000FF"/>
            <w:u w:val="single"/>
            <w:rtl/>
          </w:rPr>
          <w:t>לסעיפים 7(א) ו-(ג)</w:t>
        </w:r>
      </w:hyperlink>
      <w:r>
        <w:rPr>
          <w:rFonts w:hint="cs"/>
          <w:rtl/>
        </w:rPr>
        <w:t xml:space="preserve"> רישא לפקודה, החזקת כלים לשם הכנת סם, לפי </w:t>
      </w:r>
      <w:hyperlink r:id="rId16" w:history="1">
        <w:r w:rsidR="001D703B" w:rsidRPr="001D703B">
          <w:rPr>
            <w:color w:val="0000FF"/>
            <w:u w:val="single"/>
            <w:rtl/>
          </w:rPr>
          <w:t>סעיף 10</w:t>
        </w:r>
      </w:hyperlink>
      <w:r>
        <w:rPr>
          <w:rFonts w:hint="cs"/>
          <w:rtl/>
        </w:rPr>
        <w:t xml:space="preserve"> לפקודה והחזקת חצרים לשם הכנת סם </w:t>
      </w:r>
      <w:r>
        <w:rPr>
          <w:rtl/>
        </w:rPr>
        <w:t>–</w:t>
      </w:r>
      <w:r>
        <w:rPr>
          <w:rFonts w:hint="cs"/>
          <w:rtl/>
        </w:rPr>
        <w:t xml:space="preserve"> עבירה עלי </w:t>
      </w:r>
      <w:hyperlink r:id="rId17" w:history="1">
        <w:r w:rsidR="001D703B" w:rsidRPr="001D703B">
          <w:rPr>
            <w:color w:val="0000FF"/>
            <w:u w:val="single"/>
            <w:rtl/>
          </w:rPr>
          <w:t>סעיפים 9(א)</w:t>
        </w:r>
      </w:hyperlink>
      <w:r>
        <w:rPr>
          <w:rFonts w:hint="cs"/>
          <w:rtl/>
        </w:rPr>
        <w:t xml:space="preserve"> ו-</w:t>
      </w:r>
      <w:hyperlink r:id="rId18" w:history="1">
        <w:r w:rsidR="001D703B" w:rsidRPr="001D703B">
          <w:rPr>
            <w:color w:val="0000FF"/>
            <w:u w:val="single"/>
            <w:rtl/>
          </w:rPr>
          <w:t>(ד)</w:t>
        </w:r>
      </w:hyperlink>
      <w:r>
        <w:rPr>
          <w:rFonts w:hint="cs"/>
          <w:rtl/>
        </w:rPr>
        <w:t xml:space="preserve"> רישא לפקודה.</w:t>
      </w:r>
    </w:p>
    <w:p w14:paraId="200501D7" w14:textId="77777777" w:rsidR="00E96567" w:rsidRDefault="00E96567" w:rsidP="00E96567">
      <w:pPr>
        <w:spacing w:line="360" w:lineRule="auto"/>
        <w:ind w:left="720" w:hanging="720"/>
        <w:jc w:val="both"/>
        <w:rPr>
          <w:rtl/>
        </w:rPr>
      </w:pPr>
      <w:bookmarkStart w:id="7" w:name="ABSTRACT_END"/>
      <w:bookmarkEnd w:id="7"/>
    </w:p>
    <w:p w14:paraId="7B244A60" w14:textId="77777777" w:rsidR="00E96567" w:rsidRDefault="00E96567" w:rsidP="00E96567">
      <w:pPr>
        <w:spacing w:line="360" w:lineRule="auto"/>
        <w:ind w:left="720" w:hanging="720"/>
        <w:jc w:val="both"/>
        <w:rPr>
          <w:rtl/>
        </w:rPr>
      </w:pPr>
      <w:r>
        <w:rPr>
          <w:rFonts w:hint="cs"/>
          <w:rtl/>
        </w:rPr>
        <w:lastRenderedPageBreak/>
        <w:t>2.</w:t>
      </w:r>
      <w:r>
        <w:rPr>
          <w:rFonts w:hint="cs"/>
          <w:rtl/>
        </w:rPr>
        <w:tab/>
        <w:t>למקרא כתב האישום המתוקן,  עולה כי ביום 18.8.15 שכר הנאשם דירה ברחוב כיכר ויצמן בחולון ולשם גידול וייצור סם מסוכן החזיק הנאשם בדירה,  בין היתר, במערכת השקיה ומערכת חשמל ותאורה, אדניות עם אדמה ודשן, מאווררים ומזגן.</w:t>
      </w:r>
    </w:p>
    <w:p w14:paraId="3A464AB3" w14:textId="77777777" w:rsidR="00E96567" w:rsidRDefault="00E96567" w:rsidP="00E96567">
      <w:pPr>
        <w:spacing w:line="360" w:lineRule="auto"/>
        <w:ind w:left="720"/>
        <w:jc w:val="both"/>
        <w:rPr>
          <w:rtl/>
        </w:rPr>
      </w:pPr>
      <w:r>
        <w:rPr>
          <w:rFonts w:hint="cs"/>
          <w:rtl/>
        </w:rPr>
        <w:t>החל מהחודשים אפריל-מאי 2016 ועד ליום 1.11.16 גידל הנאשם וייצר, שלא כדין, סם מסוכן מסוג קנבוס, בכמויות של עשרות ק"ג, באמצעות גידול הסם בעשרות צמחים באדניות.</w:t>
      </w:r>
    </w:p>
    <w:p w14:paraId="35AC7864" w14:textId="77777777" w:rsidR="00E96567" w:rsidRDefault="00E96567" w:rsidP="00E96567">
      <w:pPr>
        <w:spacing w:line="360" w:lineRule="auto"/>
        <w:ind w:left="720"/>
        <w:jc w:val="both"/>
        <w:rPr>
          <w:rtl/>
        </w:rPr>
      </w:pPr>
      <w:r>
        <w:rPr>
          <w:rFonts w:hint="cs"/>
          <w:rtl/>
        </w:rPr>
        <w:t>ביום 1.11.16 החזיק הנאשם סם מסוכן מסוג קנבוס, במשקל כולל של 32 ק"ג נטו.</w:t>
      </w:r>
    </w:p>
    <w:p w14:paraId="3493531E" w14:textId="77777777" w:rsidR="00E96567" w:rsidRDefault="00E96567" w:rsidP="00E96567">
      <w:pPr>
        <w:spacing w:line="360" w:lineRule="auto"/>
        <w:jc w:val="both"/>
        <w:rPr>
          <w:rtl/>
        </w:rPr>
      </w:pPr>
    </w:p>
    <w:p w14:paraId="12E887FC" w14:textId="77777777" w:rsidR="00E96567" w:rsidRDefault="00E96567" w:rsidP="00E96567">
      <w:pPr>
        <w:spacing w:line="360" w:lineRule="auto"/>
        <w:ind w:left="720" w:hanging="720"/>
        <w:jc w:val="both"/>
        <w:rPr>
          <w:rtl/>
        </w:rPr>
      </w:pPr>
      <w:r>
        <w:rPr>
          <w:rFonts w:hint="cs"/>
          <w:rtl/>
        </w:rPr>
        <w:t>3.</w:t>
      </w:r>
      <w:r>
        <w:rPr>
          <w:rFonts w:hint="cs"/>
          <w:rtl/>
        </w:rPr>
        <w:tab/>
        <w:t xml:space="preserve">הצדדים לא הגיעו לידי הסכמה לעניין העונש, וכמצוות החוק, נשלח הנאשם בטרם נשמעו הטיעונים לעונש לקבלת תסקיר מאת שירות המבחן, מפאת גילו במועד ביצוע העבירה </w:t>
      </w:r>
      <w:r>
        <w:rPr>
          <w:rtl/>
        </w:rPr>
        <w:t>–</w:t>
      </w:r>
      <w:r>
        <w:rPr>
          <w:rFonts w:hint="cs"/>
          <w:rtl/>
        </w:rPr>
        <w:t xml:space="preserve"> מתחת לגיל 21.</w:t>
      </w:r>
    </w:p>
    <w:p w14:paraId="7DB5791A" w14:textId="77777777" w:rsidR="00E96567" w:rsidRDefault="00E96567" w:rsidP="00E96567">
      <w:pPr>
        <w:spacing w:line="360" w:lineRule="auto"/>
        <w:ind w:left="720" w:hanging="720"/>
        <w:jc w:val="both"/>
        <w:rPr>
          <w:rtl/>
        </w:rPr>
      </w:pPr>
    </w:p>
    <w:p w14:paraId="35F3E13E" w14:textId="77777777" w:rsidR="00E96567" w:rsidRDefault="00E96567" w:rsidP="00E96567">
      <w:pPr>
        <w:spacing w:line="360" w:lineRule="auto"/>
        <w:ind w:left="720" w:hanging="720"/>
        <w:jc w:val="both"/>
        <w:rPr>
          <w:rtl/>
        </w:rPr>
      </w:pPr>
      <w:r>
        <w:rPr>
          <w:rFonts w:hint="cs"/>
          <w:rtl/>
        </w:rPr>
        <w:t>4.</w:t>
      </w:r>
      <w:r>
        <w:rPr>
          <w:rFonts w:hint="cs"/>
          <w:rtl/>
        </w:rPr>
        <w:tab/>
        <w:t>שירות המבחן בתסקירו מגולל את נסיבות חייו של הנאשם. מפאת צנעת הפרט לא אפרט את הדברים, אך אציין בקצירת האומר כי המדובר בבחור צעיר, רווק, כבן 22.</w:t>
      </w:r>
    </w:p>
    <w:p w14:paraId="6814D8AB" w14:textId="77777777" w:rsidR="00E96567" w:rsidRDefault="00E96567" w:rsidP="00E96567">
      <w:pPr>
        <w:spacing w:line="360" w:lineRule="auto"/>
        <w:ind w:left="720"/>
        <w:jc w:val="both"/>
        <w:rPr>
          <w:rtl/>
        </w:rPr>
      </w:pPr>
      <w:r>
        <w:rPr>
          <w:rFonts w:hint="cs"/>
          <w:rtl/>
        </w:rPr>
        <w:t xml:space="preserve">התגורר עד למעצרו בבית אביו בבת ים ועבד עמו בחנות ירקות. הורי הנאשם התגרשו עת היה בגיל 8, וניכר כי הנאשם חווה משבר רגשי עקב הפרידה, בהינתן המרחק הגאוגרפי שבין מגורי הוריו. </w:t>
      </w:r>
    </w:p>
    <w:p w14:paraId="02C90D76" w14:textId="77777777" w:rsidR="00E96567" w:rsidRDefault="00E96567" w:rsidP="00E96567">
      <w:pPr>
        <w:spacing w:line="360" w:lineRule="auto"/>
        <w:ind w:left="720"/>
        <w:jc w:val="both"/>
        <w:rPr>
          <w:rtl/>
        </w:rPr>
      </w:pPr>
      <w:r>
        <w:rPr>
          <w:rFonts w:hint="cs"/>
          <w:rtl/>
        </w:rPr>
        <w:t>אמו של הנאשם התגוררה ביישוב שלומי שבצפון, ולימים עברה לאזור המרכז.</w:t>
      </w:r>
    </w:p>
    <w:p w14:paraId="76162C93" w14:textId="77777777" w:rsidR="00E96567" w:rsidRDefault="00E96567" w:rsidP="00E96567">
      <w:pPr>
        <w:spacing w:line="360" w:lineRule="auto"/>
        <w:ind w:left="720"/>
        <w:jc w:val="both"/>
        <w:rPr>
          <w:rtl/>
        </w:rPr>
      </w:pPr>
      <w:r>
        <w:rPr>
          <w:rFonts w:hint="cs"/>
          <w:rtl/>
        </w:rPr>
        <w:t>מגיל צעיר נדרש הנאשם להתנהל באופן עצמאי. הנאשם  ציין בפני השירות בדבר חובותיו הגבוהים, פרי הימורים וסמים.</w:t>
      </w:r>
    </w:p>
    <w:p w14:paraId="4BB8F2E6" w14:textId="77777777" w:rsidR="00E96567" w:rsidRDefault="00E96567" w:rsidP="00E96567">
      <w:pPr>
        <w:spacing w:line="360" w:lineRule="auto"/>
        <w:ind w:left="720"/>
        <w:jc w:val="both"/>
        <w:rPr>
          <w:rtl/>
        </w:rPr>
      </w:pPr>
      <w:r>
        <w:rPr>
          <w:rFonts w:hint="cs"/>
          <w:rtl/>
        </w:rPr>
        <w:t>שירות המבחן מתאר הפניות קודמות של הנאשם לשירות, לרבות שימוש בסמים על רקע המשבר המשפחתי המתואר.</w:t>
      </w:r>
    </w:p>
    <w:p w14:paraId="114B36E7" w14:textId="77777777" w:rsidR="00E96567" w:rsidRDefault="00E96567" w:rsidP="00E96567">
      <w:pPr>
        <w:spacing w:line="360" w:lineRule="auto"/>
        <w:ind w:left="720"/>
        <w:jc w:val="both"/>
        <w:rPr>
          <w:rtl/>
        </w:rPr>
      </w:pPr>
      <w:r>
        <w:rPr>
          <w:rFonts w:hint="cs"/>
          <w:rtl/>
        </w:rPr>
        <w:t>הנאשם הביע חרטה על מעשיו וגילה מודעות ראשונית באשר לשורשי קשייו ודפוסי התנהגותו. העבירה מושא תיקנו מוסברת על ידו ברקע לחצים כספיים סביב חובותיו בשוק האפור.</w:t>
      </w:r>
    </w:p>
    <w:p w14:paraId="0D85EB20" w14:textId="77777777" w:rsidR="00E96567" w:rsidRDefault="00E96567" w:rsidP="00E96567">
      <w:pPr>
        <w:spacing w:line="360" w:lineRule="auto"/>
        <w:ind w:left="720"/>
        <w:jc w:val="both"/>
        <w:rPr>
          <w:rtl/>
        </w:rPr>
      </w:pPr>
      <w:r>
        <w:rPr>
          <w:rFonts w:hint="cs"/>
          <w:rtl/>
        </w:rPr>
        <w:t>באחרית התסקיר, ממליץ שירות המבחן על שילוב הנאשם במסגרת טיפולית התואמת את צרכיו ואשר תוכל לסייע בידיו לזהות מצבי סיכון.</w:t>
      </w:r>
    </w:p>
    <w:p w14:paraId="6599EEBC" w14:textId="77777777" w:rsidR="00E96567" w:rsidRDefault="00E96567" w:rsidP="00E96567">
      <w:pPr>
        <w:spacing w:line="360" w:lineRule="auto"/>
        <w:jc w:val="both"/>
        <w:rPr>
          <w:rtl/>
        </w:rPr>
      </w:pPr>
    </w:p>
    <w:p w14:paraId="5D688068" w14:textId="77777777" w:rsidR="00E96567" w:rsidRDefault="00E96567" w:rsidP="00E96567">
      <w:pPr>
        <w:spacing w:line="360" w:lineRule="auto"/>
        <w:ind w:left="720" w:hanging="720"/>
        <w:jc w:val="both"/>
        <w:rPr>
          <w:rtl/>
        </w:rPr>
      </w:pPr>
      <w:r>
        <w:rPr>
          <w:rFonts w:hint="cs"/>
          <w:rtl/>
        </w:rPr>
        <w:t>5.</w:t>
      </w:r>
      <w:r>
        <w:rPr>
          <w:rFonts w:hint="cs"/>
          <w:rtl/>
        </w:rPr>
        <w:tab/>
        <w:t>לנאשם עבר בפלילים, הכולל רישום בעבירה של החזקת סם לצריכה עצמית מתקופת נערותו, והרשעה בעבירות תקיפה ואיומים מפברואר השנה, בגינה נדון למאסר לתקופה של 3 חודשים וענישה נלווית. המדובר בעבירות שנעברו בשלהי שנת 2015.</w:t>
      </w:r>
    </w:p>
    <w:p w14:paraId="0D12F505" w14:textId="77777777" w:rsidR="00E96567" w:rsidRDefault="00E96567" w:rsidP="00E96567">
      <w:pPr>
        <w:spacing w:line="360" w:lineRule="auto"/>
        <w:ind w:left="720" w:hanging="720"/>
        <w:jc w:val="both"/>
        <w:rPr>
          <w:rtl/>
        </w:rPr>
      </w:pPr>
    </w:p>
    <w:p w14:paraId="2B4E6F20" w14:textId="77777777" w:rsidR="00E96567" w:rsidRDefault="00E96567" w:rsidP="00E96567">
      <w:pPr>
        <w:spacing w:line="360" w:lineRule="auto"/>
        <w:ind w:left="720" w:hanging="720"/>
        <w:jc w:val="both"/>
        <w:rPr>
          <w:rtl/>
        </w:rPr>
      </w:pPr>
      <w:r>
        <w:rPr>
          <w:rFonts w:hint="cs"/>
          <w:rtl/>
        </w:rPr>
        <w:t>6.</w:t>
      </w:r>
      <w:r>
        <w:rPr>
          <w:rtl/>
        </w:rPr>
        <w:tab/>
      </w:r>
      <w:r>
        <w:rPr>
          <w:rFonts w:hint="cs"/>
          <w:rtl/>
        </w:rPr>
        <w:t>התובעת המלומדת עמדה על נסיבות ביצוע העבירות, הפנתה לרישום הפלילי ולתסקיר שירות המבחן, ובתוך כך עתרה למתחם עונשי שבין 24 ל- 48 חודשי מאסר, לצד קנס כספי ומאסר מותנה. התובעת ביקשה למקם את הנאשם בחציו התחתון של המתחם, תוך הפניה לפסיקה.</w:t>
      </w:r>
    </w:p>
    <w:p w14:paraId="7B09DBD7" w14:textId="77777777" w:rsidR="00E96567" w:rsidRDefault="00E96567" w:rsidP="00E96567">
      <w:pPr>
        <w:spacing w:line="360" w:lineRule="auto"/>
        <w:jc w:val="both"/>
        <w:rPr>
          <w:rtl/>
        </w:rPr>
      </w:pPr>
    </w:p>
    <w:p w14:paraId="4443B04E" w14:textId="77777777" w:rsidR="00E96567" w:rsidRDefault="00E96567" w:rsidP="00E96567">
      <w:pPr>
        <w:spacing w:line="360" w:lineRule="auto"/>
        <w:jc w:val="both"/>
        <w:rPr>
          <w:rtl/>
        </w:rPr>
      </w:pPr>
      <w:r>
        <w:rPr>
          <w:rFonts w:hint="cs"/>
          <w:rtl/>
        </w:rPr>
        <w:t>7.</w:t>
      </w:r>
      <w:r>
        <w:rPr>
          <w:rtl/>
        </w:rPr>
        <w:tab/>
      </w:r>
      <w:r>
        <w:rPr>
          <w:rFonts w:hint="cs"/>
          <w:rtl/>
        </w:rPr>
        <w:t>הסנגורים המלומדים, עשו ככל הניתן לטובת הנאשם, ולימדו עליו סנגוריה רהוטה.</w:t>
      </w:r>
    </w:p>
    <w:p w14:paraId="73CF7B12" w14:textId="77777777" w:rsidR="00E96567" w:rsidRDefault="00E96567" w:rsidP="00E96567">
      <w:pPr>
        <w:spacing w:line="360" w:lineRule="auto"/>
        <w:ind w:left="720"/>
        <w:jc w:val="both"/>
        <w:rPr>
          <w:rtl/>
        </w:rPr>
      </w:pPr>
      <w:r>
        <w:rPr>
          <w:rFonts w:hint="cs"/>
          <w:rtl/>
        </w:rPr>
        <w:lastRenderedPageBreak/>
        <w:t>הפנו לתסקיר שירות המבחן והאופק השיקומי, עדותה של אמו של הנאשם בשלב הטיעונים לעונש, הודייתו של הנאשם ולקיחת האחריות, נסיבותיו האישיות והרקע למעשיו בעטיה של הסתבכות בבעיית הימורים והחובות.</w:t>
      </w:r>
    </w:p>
    <w:p w14:paraId="79B16077" w14:textId="77777777" w:rsidR="00E96567" w:rsidRDefault="00E96567" w:rsidP="00E96567">
      <w:pPr>
        <w:spacing w:line="360" w:lineRule="auto"/>
        <w:ind w:left="720"/>
        <w:jc w:val="both"/>
        <w:rPr>
          <w:rtl/>
        </w:rPr>
      </w:pPr>
      <w:r>
        <w:rPr>
          <w:rFonts w:hint="cs"/>
          <w:rtl/>
        </w:rPr>
        <w:t>הסנגורים הסבירו כי הנאשם מעוניין בשיקום, עם זאת האמביוולנטי</w:t>
      </w:r>
      <w:r>
        <w:rPr>
          <w:rFonts w:hint="eastAsia"/>
          <w:rtl/>
        </w:rPr>
        <w:t>ות</w:t>
      </w:r>
      <w:r>
        <w:rPr>
          <w:rFonts w:hint="cs"/>
          <w:rtl/>
        </w:rPr>
        <w:t xml:space="preserve"> שתוארה עלי התסקיר, נובעת מהעובדה כי הנאשם שוהה כתשעה חודשים במעצר, ומכאן מעוניין הוא לשאת בעונשו ולסיים את התיק. הסנגורים טענו והטעימו תוך הפנייה לפסיקה מרובה ולדוח הוועדה הציבורית לבחינת מדיניות הענישה והטיפול בעבריינים בראשותה של כב' השופטת (בדימוס) דליה דורנר.</w:t>
      </w:r>
    </w:p>
    <w:p w14:paraId="24CEAA0C" w14:textId="77777777" w:rsidR="00E96567" w:rsidRDefault="00E96567" w:rsidP="00E96567">
      <w:pPr>
        <w:spacing w:line="360" w:lineRule="auto"/>
        <w:ind w:left="720"/>
        <w:jc w:val="both"/>
        <w:rPr>
          <w:rtl/>
        </w:rPr>
      </w:pPr>
      <w:r>
        <w:rPr>
          <w:rFonts w:hint="cs"/>
          <w:rtl/>
        </w:rPr>
        <w:t>הסנגורים עתרו להשתת עונש מאסר מתון, בשים לב לגילו של הנאשם, נסיבותיו, האמור בתסקיר, סוג הסם, שאינו סם נקי אלא שתילי קנבוס והעובדה שאין המדובר בסם המוכן להפצה. ההגנה ביקשה לקבוע מתחם שבין 6 חודשי מאסר ל- 24 חודשים.</w:t>
      </w:r>
    </w:p>
    <w:p w14:paraId="275E48BB" w14:textId="77777777" w:rsidR="00E96567" w:rsidRDefault="00E96567" w:rsidP="00E96567">
      <w:pPr>
        <w:spacing w:line="360" w:lineRule="auto"/>
        <w:jc w:val="both"/>
        <w:rPr>
          <w:rtl/>
        </w:rPr>
      </w:pPr>
    </w:p>
    <w:p w14:paraId="6718F484" w14:textId="77777777" w:rsidR="00E96567" w:rsidRDefault="00E96567" w:rsidP="00E96567">
      <w:pPr>
        <w:spacing w:line="360" w:lineRule="auto"/>
        <w:ind w:left="720" w:hanging="720"/>
        <w:jc w:val="both"/>
        <w:rPr>
          <w:rtl/>
        </w:rPr>
      </w:pPr>
      <w:r>
        <w:rPr>
          <w:rFonts w:hint="cs"/>
          <w:rtl/>
        </w:rPr>
        <w:t>8.</w:t>
      </w:r>
      <w:r>
        <w:rPr>
          <w:rFonts w:hint="cs"/>
          <w:rtl/>
        </w:rPr>
        <w:tab/>
        <w:t>הנאשם בדברו האחרון, דיבר מדם לבו. הנאשם הביע חרטה מלאה על מעשיו והסביר את הרקע למעשים לאור הסתבכותו עם נושיו עקב הימורים.</w:t>
      </w:r>
    </w:p>
    <w:p w14:paraId="436949D7" w14:textId="77777777" w:rsidR="00E96567" w:rsidRPr="00B72ED8" w:rsidRDefault="00E96567" w:rsidP="00E96567">
      <w:pPr>
        <w:spacing w:line="360" w:lineRule="auto"/>
        <w:ind w:left="720"/>
        <w:jc w:val="both"/>
        <w:rPr>
          <w:b/>
          <w:bCs/>
          <w:rtl/>
        </w:rPr>
      </w:pPr>
      <w:r w:rsidRPr="00B72ED8">
        <w:rPr>
          <w:rFonts w:hint="cs"/>
          <w:b/>
          <w:bCs/>
          <w:rtl/>
        </w:rPr>
        <w:t>"עשיתי מה שעשיתי ואני מצטער מאוד. אני רוצה להתחיל דרך חדשה בחיים. אני בן 21 ועצור 8 חודשים. ביקשתי טיפולים בבית הסוהר ולא נתנו לי. הייתי בקבוצה שלא עזרה לי. אני סגור 23 שעות ביממה עם אנשים שאני לא מסתדר איתם".</w:t>
      </w:r>
    </w:p>
    <w:p w14:paraId="3942876F" w14:textId="77777777" w:rsidR="00E96567" w:rsidRDefault="00E96567" w:rsidP="00E96567">
      <w:pPr>
        <w:spacing w:line="360" w:lineRule="auto"/>
        <w:jc w:val="both"/>
        <w:rPr>
          <w:rtl/>
        </w:rPr>
      </w:pPr>
      <w:r>
        <w:rPr>
          <w:rtl/>
        </w:rPr>
        <w:tab/>
      </w:r>
    </w:p>
    <w:p w14:paraId="48528E5B" w14:textId="77777777" w:rsidR="00E96567" w:rsidRPr="00530434" w:rsidRDefault="00E96567" w:rsidP="00E96567">
      <w:pPr>
        <w:spacing w:line="360" w:lineRule="auto"/>
        <w:jc w:val="both"/>
        <w:rPr>
          <w:b/>
          <w:bCs/>
          <w:u w:val="single"/>
          <w:rtl/>
        </w:rPr>
      </w:pPr>
      <w:r w:rsidRPr="00530434">
        <w:rPr>
          <w:rFonts w:hint="cs"/>
          <w:b/>
          <w:bCs/>
          <w:u w:val="single"/>
          <w:rtl/>
        </w:rPr>
        <w:t>דיון והכרעה</w:t>
      </w:r>
    </w:p>
    <w:p w14:paraId="222C1B84" w14:textId="77777777" w:rsidR="00E96567" w:rsidRDefault="00E96567" w:rsidP="00E96567">
      <w:pPr>
        <w:spacing w:line="360" w:lineRule="auto"/>
        <w:jc w:val="both"/>
        <w:rPr>
          <w:rtl/>
        </w:rPr>
      </w:pPr>
    </w:p>
    <w:p w14:paraId="1128645B" w14:textId="77777777" w:rsidR="00E96567" w:rsidRDefault="00E96567" w:rsidP="00E96567">
      <w:pPr>
        <w:spacing w:line="360" w:lineRule="auto"/>
        <w:ind w:left="720" w:hanging="720"/>
        <w:jc w:val="both"/>
        <w:rPr>
          <w:rtl/>
        </w:rPr>
      </w:pPr>
      <w:r>
        <w:rPr>
          <w:rFonts w:hint="cs"/>
          <w:rtl/>
        </w:rPr>
        <w:t>9.</w:t>
      </w:r>
      <w:r>
        <w:rPr>
          <w:rtl/>
        </w:rPr>
        <w:tab/>
      </w:r>
      <w:r>
        <w:rPr>
          <w:rFonts w:hint="cs"/>
          <w:rtl/>
        </w:rPr>
        <w:t>גידול סמים מסוכנים הינן עבירות המשתייכות למשפחת עבירות הפצת הסמים, וככאלה קיימת בגינן חזקת מסוכנות סטטוטורית לשלום הציבור. ככל שכמות הסם המוחזקת או המיוצרת גדולה כך קיים סיכון רב שסם מסוכן בהיקף נרחב יגיע לציבור ורבים יעשו בו שימוש.</w:t>
      </w:r>
    </w:p>
    <w:p w14:paraId="559EC2E3" w14:textId="77777777" w:rsidR="00E96567" w:rsidRDefault="00E96567" w:rsidP="00E96567">
      <w:pPr>
        <w:spacing w:line="360" w:lineRule="auto"/>
        <w:ind w:left="720"/>
        <w:jc w:val="both"/>
        <w:rPr>
          <w:rtl/>
        </w:rPr>
      </w:pPr>
      <w:r>
        <w:rPr>
          <w:rFonts w:hint="cs"/>
          <w:rtl/>
        </w:rPr>
        <w:t>לעבירות מסוג דא מניעים כלכליים, בין אם המגדל או המחזיק עושה זאת לעצמו או לטובת אחר.</w:t>
      </w:r>
    </w:p>
    <w:p w14:paraId="46A75169" w14:textId="77777777" w:rsidR="00E96567" w:rsidRDefault="00E96567" w:rsidP="00E96567">
      <w:pPr>
        <w:spacing w:line="360" w:lineRule="auto"/>
        <w:ind w:left="720"/>
        <w:jc w:val="both"/>
        <w:rPr>
          <w:rtl/>
        </w:rPr>
      </w:pPr>
      <w:r>
        <w:rPr>
          <w:rFonts w:hint="cs"/>
          <w:rtl/>
        </w:rPr>
        <w:t>עבירות הסמים הינן "רעה חולה" בחברתנו, מכלות בה כל חלקה טובה ובהקשר זה יש לזכור את הסכנות הגלומות בשימוש והפצת סמים מסוכנים.</w:t>
      </w:r>
    </w:p>
    <w:p w14:paraId="1BEB05E9" w14:textId="77777777" w:rsidR="00E96567" w:rsidRPr="009B7574" w:rsidRDefault="00E96567" w:rsidP="00E96567">
      <w:pPr>
        <w:spacing w:line="360" w:lineRule="auto"/>
        <w:ind w:left="720"/>
        <w:jc w:val="both"/>
        <w:rPr>
          <w:b/>
          <w:bCs/>
          <w:rtl/>
        </w:rPr>
      </w:pPr>
      <w:r>
        <w:rPr>
          <w:rFonts w:hint="cs"/>
          <w:rtl/>
        </w:rPr>
        <w:t xml:space="preserve">ראו, בין היתר: </w:t>
      </w:r>
      <w:hyperlink r:id="rId19" w:history="1">
        <w:r w:rsidR="00430FEE" w:rsidRPr="00430FEE">
          <w:rPr>
            <w:b/>
            <w:bCs/>
            <w:color w:val="0000FF"/>
            <w:u w:val="single"/>
            <w:rtl/>
          </w:rPr>
          <w:t>ע"פ 1932/15</w:t>
        </w:r>
      </w:hyperlink>
      <w:r w:rsidRPr="009B7574">
        <w:rPr>
          <w:rFonts w:hint="cs"/>
          <w:b/>
          <w:bCs/>
          <w:rtl/>
        </w:rPr>
        <w:t xml:space="preserve"> בן סעדון נ' מדינת ישראל (17.4.16).</w:t>
      </w:r>
    </w:p>
    <w:p w14:paraId="224E6A2D" w14:textId="77777777" w:rsidR="00E96567" w:rsidRDefault="00E96567" w:rsidP="00E96567">
      <w:pPr>
        <w:spacing w:line="360" w:lineRule="auto"/>
        <w:ind w:left="720"/>
        <w:jc w:val="both"/>
        <w:rPr>
          <w:b/>
          <w:bCs/>
          <w:rtl/>
        </w:rPr>
      </w:pPr>
      <w:r>
        <w:rPr>
          <w:rFonts w:hint="cs"/>
          <w:rtl/>
        </w:rPr>
        <w:t xml:space="preserve">הערכים המוגנים שבבסיס העבירות הינם בהגנה על שלום הציבור ובטחונו. סמים מסוכנים מהווים מחוללי פשיעה ולא בכדי נאמר כי יש להילחם בעבירות מתחום ההפצה, </w:t>
      </w:r>
      <w:r w:rsidRPr="00071E6D">
        <w:rPr>
          <w:rFonts w:hint="cs"/>
          <w:b/>
          <w:bCs/>
          <w:rtl/>
        </w:rPr>
        <w:t>"כמלחמת ישראל בעמלק"</w:t>
      </w:r>
      <w:r>
        <w:rPr>
          <w:rFonts w:hint="cs"/>
          <w:rtl/>
        </w:rPr>
        <w:t xml:space="preserve"> </w:t>
      </w:r>
      <w:r>
        <w:rPr>
          <w:rtl/>
        </w:rPr>
        <w:t>–</w:t>
      </w:r>
      <w:r>
        <w:rPr>
          <w:rFonts w:hint="cs"/>
          <w:rtl/>
        </w:rPr>
        <w:t xml:space="preserve"> ראו דבריו של כב' השופט חשין ז"ל במסגרת </w:t>
      </w:r>
      <w:hyperlink r:id="rId20" w:history="1">
        <w:r w:rsidR="00430FEE" w:rsidRPr="00430FEE">
          <w:rPr>
            <w:b/>
            <w:bCs/>
            <w:color w:val="0000FF"/>
            <w:u w:val="single"/>
            <w:rtl/>
          </w:rPr>
          <w:t>בש"פ 2566/92</w:t>
        </w:r>
      </w:hyperlink>
      <w:r w:rsidRPr="00071E6D">
        <w:rPr>
          <w:rFonts w:hint="cs"/>
          <w:b/>
          <w:bCs/>
          <w:rtl/>
        </w:rPr>
        <w:t xml:space="preserve"> אבורקייק נ' מדינת ישראל (27.5.92).</w:t>
      </w:r>
    </w:p>
    <w:p w14:paraId="354C1278" w14:textId="77777777" w:rsidR="00E96567" w:rsidRDefault="00E96567" w:rsidP="00E96567">
      <w:pPr>
        <w:spacing w:line="360" w:lineRule="auto"/>
        <w:ind w:left="720"/>
        <w:jc w:val="both"/>
        <w:rPr>
          <w:rtl/>
        </w:rPr>
      </w:pPr>
      <w:r>
        <w:rPr>
          <w:rFonts w:hint="cs"/>
          <w:rtl/>
        </w:rPr>
        <w:t>יש לתת את הדעת להשלכות ההרסניות של נגע הסמים על חברתנו, כאשר המכורים לסם לעיתים מבצעים עבירות רכוש או עבירות אחרות לצורך מימון רכישת הסם. בקביעת המתחם יש לקחת בחשבון את סוג הסם וכמותו וחלקו של הנאשם. עניין לנו במי שגידל בעצמו את הסמים ומכאן חלקו משמעותי.</w:t>
      </w:r>
    </w:p>
    <w:p w14:paraId="426D626E" w14:textId="77777777" w:rsidR="00E96567" w:rsidRDefault="00E96567" w:rsidP="00E96567">
      <w:pPr>
        <w:spacing w:line="360" w:lineRule="auto"/>
        <w:jc w:val="both"/>
        <w:rPr>
          <w:rtl/>
        </w:rPr>
      </w:pPr>
    </w:p>
    <w:p w14:paraId="7965F1D2" w14:textId="77777777" w:rsidR="00E96567" w:rsidRDefault="00E96567" w:rsidP="00E96567">
      <w:pPr>
        <w:spacing w:line="360" w:lineRule="auto"/>
        <w:ind w:left="720" w:hanging="720"/>
        <w:jc w:val="both"/>
        <w:rPr>
          <w:rtl/>
        </w:rPr>
      </w:pPr>
      <w:r>
        <w:rPr>
          <w:rFonts w:hint="cs"/>
          <w:rtl/>
        </w:rPr>
        <w:t>10.</w:t>
      </w:r>
      <w:r>
        <w:rPr>
          <w:rFonts w:hint="cs"/>
          <w:rtl/>
        </w:rPr>
        <w:tab/>
        <w:t>הנאשם שלפני, בחור צעיר, ביצע את העבירות עלי כתב האישום המתוקן, כבגיר-צעיר, עוד לפני שמלאו לו 21 שנים, עם זאת עסקינן בכמות נכבדת של סמים, בדמות שתילי קנבוס, במשקל כולל של 32 ק"ג, תוך שכירת דירה לשם כך, רכישת ציוד והתקנתו.</w:t>
      </w:r>
    </w:p>
    <w:p w14:paraId="56FAF9A7" w14:textId="77777777" w:rsidR="00E96567" w:rsidRPr="00071E6D" w:rsidRDefault="00E96567" w:rsidP="00E96567">
      <w:pPr>
        <w:spacing w:line="360" w:lineRule="auto"/>
        <w:ind w:left="720"/>
        <w:jc w:val="both"/>
        <w:rPr>
          <w:b/>
          <w:bCs/>
          <w:rtl/>
        </w:rPr>
      </w:pPr>
    </w:p>
    <w:p w14:paraId="754858F3" w14:textId="77777777" w:rsidR="00E96567" w:rsidRDefault="00E96567" w:rsidP="00E96567">
      <w:pPr>
        <w:spacing w:line="360" w:lineRule="auto"/>
        <w:ind w:left="720" w:hanging="720"/>
        <w:jc w:val="both"/>
        <w:rPr>
          <w:rtl/>
        </w:rPr>
      </w:pPr>
      <w:r>
        <w:rPr>
          <w:rtl/>
        </w:rPr>
        <w:tab/>
      </w:r>
      <w:r>
        <w:rPr>
          <w:rFonts w:hint="cs"/>
          <w:rtl/>
        </w:rPr>
        <w:t xml:space="preserve">עיינתי בפסיקה אליה הפנו ב"כ הצדדים. הפסיקה מגוונת מאוד, לכאן ולכאן. </w:t>
      </w:r>
    </w:p>
    <w:p w14:paraId="738967F2" w14:textId="77777777" w:rsidR="00E96567" w:rsidRDefault="00E96567" w:rsidP="00E96567">
      <w:pPr>
        <w:spacing w:line="360" w:lineRule="auto"/>
        <w:ind w:left="720"/>
        <w:jc w:val="both"/>
        <w:rPr>
          <w:rtl/>
        </w:rPr>
      </w:pPr>
      <w:r>
        <w:rPr>
          <w:rFonts w:hint="cs"/>
          <w:rtl/>
        </w:rPr>
        <w:t xml:space="preserve">סבורני כי מתחם העונש ההולם, בעבירות מסוג דא, שעניינן גידול סמים מסוג קנבוס בדירה, במשקל מושא תיקנו, ללא ראיות לסחר בסמים נע בין </w:t>
      </w:r>
      <w:r w:rsidRPr="00813D6B">
        <w:rPr>
          <w:rFonts w:hint="cs"/>
          <w:b/>
          <w:bCs/>
          <w:rtl/>
        </w:rPr>
        <w:t>16 חודשי מאסר ל- 30 חודשי מאסר</w:t>
      </w:r>
      <w:r>
        <w:rPr>
          <w:rFonts w:hint="cs"/>
          <w:rtl/>
        </w:rPr>
        <w:t>, לצד מאסר מותנה מרתיע וקנס הולם, בשים לב לתועלת הכלכלית הצפויה בעטין של עבירות אלה.</w:t>
      </w:r>
    </w:p>
    <w:p w14:paraId="7965B0E9" w14:textId="77777777" w:rsidR="00E96567" w:rsidRDefault="00E96567" w:rsidP="00E96567">
      <w:pPr>
        <w:spacing w:line="360" w:lineRule="auto"/>
        <w:ind w:left="720" w:hanging="720"/>
        <w:jc w:val="both"/>
        <w:rPr>
          <w:b/>
          <w:bCs/>
          <w:rtl/>
        </w:rPr>
      </w:pPr>
      <w:r>
        <w:rPr>
          <w:rtl/>
        </w:rPr>
        <w:tab/>
      </w:r>
      <w:r>
        <w:rPr>
          <w:rFonts w:hint="cs"/>
          <w:rtl/>
        </w:rPr>
        <w:t xml:space="preserve">ראו בין היתר, פסק דינו של סגן הנשיא, כב' השופט עוזיאל, במסגרת </w:t>
      </w:r>
      <w:hyperlink r:id="rId21" w:history="1">
        <w:r w:rsidR="00430FEE" w:rsidRPr="00430FEE">
          <w:rPr>
            <w:b/>
            <w:bCs/>
            <w:color w:val="0000FF"/>
            <w:u w:val="single"/>
            <w:rtl/>
          </w:rPr>
          <w:t>ת"פ (תל אביב) 42857-11-16</w:t>
        </w:r>
      </w:hyperlink>
      <w:r>
        <w:rPr>
          <w:rFonts w:hint="cs"/>
          <w:b/>
          <w:bCs/>
          <w:rtl/>
        </w:rPr>
        <w:t xml:space="preserve"> מדינת ישראל נ' הנס (27.2.17).</w:t>
      </w:r>
    </w:p>
    <w:p w14:paraId="4D40E08A" w14:textId="77777777" w:rsidR="00E96567" w:rsidRDefault="00E96567" w:rsidP="00E96567">
      <w:pPr>
        <w:spacing w:line="360" w:lineRule="auto"/>
        <w:ind w:left="720" w:hanging="720"/>
        <w:jc w:val="both"/>
        <w:rPr>
          <w:b/>
          <w:bCs/>
          <w:rtl/>
        </w:rPr>
      </w:pPr>
    </w:p>
    <w:p w14:paraId="4CF2FEC0" w14:textId="77777777" w:rsidR="00E96567" w:rsidRDefault="00E96567" w:rsidP="00E96567">
      <w:pPr>
        <w:spacing w:line="360" w:lineRule="auto"/>
        <w:ind w:left="720" w:hanging="720"/>
        <w:jc w:val="both"/>
        <w:rPr>
          <w:b/>
          <w:bCs/>
          <w:rtl/>
        </w:rPr>
      </w:pPr>
      <w:r>
        <w:rPr>
          <w:b/>
          <w:bCs/>
          <w:rtl/>
        </w:rPr>
        <w:tab/>
      </w:r>
      <w:r w:rsidRPr="00C37130">
        <w:rPr>
          <w:rFonts w:hint="cs"/>
          <w:rtl/>
        </w:rPr>
        <w:t>וגם:</w:t>
      </w:r>
      <w:r>
        <w:rPr>
          <w:rFonts w:hint="cs"/>
          <w:b/>
          <w:bCs/>
          <w:rtl/>
        </w:rPr>
        <w:t xml:space="preserve"> </w:t>
      </w:r>
      <w:hyperlink r:id="rId22" w:history="1">
        <w:r w:rsidR="00430FEE" w:rsidRPr="00430FEE">
          <w:rPr>
            <w:b/>
            <w:bCs/>
            <w:color w:val="0000FF"/>
            <w:u w:val="single"/>
            <w:rtl/>
          </w:rPr>
          <w:t>רע"פ 6987/13</w:t>
        </w:r>
      </w:hyperlink>
      <w:r w:rsidRPr="00C37130">
        <w:rPr>
          <w:rFonts w:hint="cs"/>
          <w:b/>
          <w:bCs/>
          <w:rtl/>
        </w:rPr>
        <w:t xml:space="preserve"> אנטוני אברמוב נ' מדינת ישראל (21.10.13)</w:t>
      </w:r>
      <w:r>
        <w:rPr>
          <w:rFonts w:hint="cs"/>
          <w:b/>
          <w:bCs/>
          <w:rtl/>
        </w:rPr>
        <w:t>;</w:t>
      </w:r>
      <w:r w:rsidRPr="00C37130">
        <w:rPr>
          <w:rFonts w:hint="cs"/>
          <w:b/>
          <w:bCs/>
          <w:rtl/>
        </w:rPr>
        <w:t xml:space="preserve"> </w:t>
      </w:r>
      <w:hyperlink r:id="rId23" w:history="1">
        <w:r w:rsidR="00430FEE" w:rsidRPr="00430FEE">
          <w:rPr>
            <w:b/>
            <w:bCs/>
            <w:color w:val="0000FF"/>
            <w:u w:val="single"/>
            <w:rtl/>
          </w:rPr>
          <w:t>ע"פ (חי) 20712-03-13</w:t>
        </w:r>
      </w:hyperlink>
      <w:r>
        <w:rPr>
          <w:rFonts w:hint="cs"/>
          <w:b/>
          <w:bCs/>
          <w:rtl/>
        </w:rPr>
        <w:t xml:space="preserve"> </w:t>
      </w:r>
      <w:r w:rsidRPr="00C37130">
        <w:rPr>
          <w:rFonts w:hint="cs"/>
          <w:b/>
          <w:bCs/>
          <w:rtl/>
        </w:rPr>
        <w:t>בן רחמים נ' מדינת ישראל (16.5.13)</w:t>
      </w:r>
      <w:r>
        <w:rPr>
          <w:rFonts w:hint="cs"/>
          <w:b/>
          <w:bCs/>
          <w:rtl/>
        </w:rPr>
        <w:t>;</w:t>
      </w:r>
      <w:r w:rsidRPr="00C37130">
        <w:rPr>
          <w:rFonts w:hint="cs"/>
          <w:b/>
          <w:bCs/>
          <w:rtl/>
        </w:rPr>
        <w:t xml:space="preserve"> </w:t>
      </w:r>
      <w:hyperlink r:id="rId24" w:history="1">
        <w:r w:rsidR="00430FEE" w:rsidRPr="00430FEE">
          <w:rPr>
            <w:b/>
            <w:bCs/>
            <w:color w:val="0000FF"/>
            <w:u w:val="single"/>
            <w:rtl/>
          </w:rPr>
          <w:t>עפ"ג (מחוזי תל אביב) 46738-09-14</w:t>
        </w:r>
      </w:hyperlink>
      <w:r w:rsidRPr="00C37130">
        <w:rPr>
          <w:rFonts w:hint="cs"/>
          <w:b/>
          <w:bCs/>
          <w:rtl/>
        </w:rPr>
        <w:t xml:space="preserve"> צקבשווילי נ' מדינת ישראל (31.12.14).</w:t>
      </w:r>
    </w:p>
    <w:p w14:paraId="2123E5D1" w14:textId="77777777" w:rsidR="00E96567" w:rsidRDefault="00E96567" w:rsidP="00E96567">
      <w:pPr>
        <w:spacing w:line="360" w:lineRule="auto"/>
        <w:ind w:left="720" w:hanging="720"/>
        <w:jc w:val="both"/>
        <w:rPr>
          <w:b/>
          <w:bCs/>
          <w:rtl/>
        </w:rPr>
      </w:pPr>
    </w:p>
    <w:p w14:paraId="79344323" w14:textId="77777777" w:rsidR="00E96567" w:rsidRPr="00E60696" w:rsidRDefault="00E96567" w:rsidP="00E96567">
      <w:pPr>
        <w:spacing w:line="360" w:lineRule="auto"/>
        <w:ind w:left="720" w:hanging="720"/>
        <w:jc w:val="both"/>
        <w:rPr>
          <w:rtl/>
        </w:rPr>
      </w:pPr>
      <w:r>
        <w:rPr>
          <w:b/>
          <w:bCs/>
          <w:rtl/>
        </w:rPr>
        <w:tab/>
      </w:r>
      <w:r w:rsidRPr="00E60696">
        <w:rPr>
          <w:rFonts w:hint="cs"/>
          <w:rtl/>
        </w:rPr>
        <w:t xml:space="preserve">עוד </w:t>
      </w:r>
      <w:r>
        <w:rPr>
          <w:rFonts w:hint="cs"/>
          <w:rtl/>
        </w:rPr>
        <w:t xml:space="preserve"> </w:t>
      </w:r>
      <w:r w:rsidRPr="00E60696">
        <w:rPr>
          <w:rFonts w:hint="cs"/>
          <w:rtl/>
        </w:rPr>
        <w:t xml:space="preserve">ראו, </w:t>
      </w:r>
      <w:hyperlink r:id="rId25" w:history="1">
        <w:r w:rsidR="00430FEE" w:rsidRPr="00430FEE">
          <w:rPr>
            <w:b/>
            <w:bCs/>
            <w:color w:val="0000FF"/>
            <w:u w:val="single"/>
            <w:rtl/>
          </w:rPr>
          <w:t>ע"פ 2194/14</w:t>
        </w:r>
      </w:hyperlink>
      <w:r w:rsidRPr="00E60696">
        <w:rPr>
          <w:rFonts w:hint="cs"/>
          <w:b/>
          <w:bCs/>
          <w:rtl/>
        </w:rPr>
        <w:t xml:space="preserve"> בן שמעון נ' מדינת ישראל (10.9.14),</w:t>
      </w:r>
      <w:r w:rsidRPr="00E60696">
        <w:rPr>
          <w:rFonts w:hint="cs"/>
          <w:rtl/>
        </w:rPr>
        <w:t xml:space="preserve"> שם </w:t>
      </w:r>
      <w:r>
        <w:rPr>
          <w:rFonts w:hint="cs"/>
          <w:rtl/>
        </w:rPr>
        <w:t xml:space="preserve">התערב בית המשפט העליון בעונשו </w:t>
      </w:r>
      <w:r w:rsidRPr="00E60696">
        <w:rPr>
          <w:rFonts w:hint="cs"/>
          <w:rtl/>
        </w:rPr>
        <w:t>של המערער, שהורשע בעבירות של גידול סם מסוכן, בהיקף של 33.5 ק"ג של שיחי קנב</w:t>
      </w:r>
      <w:r>
        <w:rPr>
          <w:rFonts w:hint="cs"/>
          <w:rtl/>
        </w:rPr>
        <w:t>ו</w:t>
      </w:r>
      <w:r w:rsidRPr="00E60696">
        <w:rPr>
          <w:rFonts w:hint="cs"/>
          <w:rtl/>
        </w:rPr>
        <w:t xml:space="preserve">ס, </w:t>
      </w:r>
      <w:r>
        <w:rPr>
          <w:rFonts w:hint="cs"/>
          <w:rtl/>
        </w:rPr>
        <w:t>כ</w:t>
      </w:r>
      <w:r w:rsidRPr="00E60696">
        <w:rPr>
          <w:rFonts w:hint="cs"/>
          <w:rtl/>
        </w:rPr>
        <w:t>שבעברו עבר בסמים ומאסר מותנה בן 8 חודשים, משיקולי שיקום, כך שעונשו הועמד על 20 חודשי מאסר.</w:t>
      </w:r>
    </w:p>
    <w:p w14:paraId="6500891A" w14:textId="77777777" w:rsidR="00E96567" w:rsidRPr="00E60696" w:rsidRDefault="00E96567" w:rsidP="00E96567">
      <w:pPr>
        <w:spacing w:line="360" w:lineRule="auto"/>
        <w:ind w:left="720" w:hanging="720"/>
        <w:jc w:val="both"/>
        <w:rPr>
          <w:rtl/>
        </w:rPr>
      </w:pPr>
    </w:p>
    <w:p w14:paraId="6098A028" w14:textId="77777777" w:rsidR="00E96567" w:rsidRPr="006541D9" w:rsidRDefault="00E96567" w:rsidP="00E96567">
      <w:pPr>
        <w:spacing w:line="360" w:lineRule="auto"/>
        <w:ind w:left="720" w:hanging="720"/>
        <w:jc w:val="both"/>
        <w:rPr>
          <w:b/>
          <w:bCs/>
          <w:rtl/>
        </w:rPr>
      </w:pPr>
      <w:r w:rsidRPr="00871053">
        <w:rPr>
          <w:rFonts w:hint="cs"/>
          <w:rtl/>
        </w:rPr>
        <w:t>11.</w:t>
      </w:r>
      <w:r>
        <w:rPr>
          <w:rtl/>
        </w:rPr>
        <w:tab/>
      </w:r>
      <w:r>
        <w:rPr>
          <w:rFonts w:hint="cs"/>
          <w:rtl/>
        </w:rPr>
        <w:t xml:space="preserve">הנסיבות שאינן קשורות בביצוע העבירה, הינן גילו הצעיר של הנאשם, נטילת האחריות, הבעת החרטה המלאה, כפי שהתרשמתי באופן בלתי אמצעי, מדבריו של הנאשם בפני, חסכון בזמן שיפוטי יקר ובזמנם של עדי התביעה, עברו הפלילי של הנאשם ואפיק השיקום הניכר מתסקיר שירות המבחן, כמו גם נסיבותיו האישיות של הנאשם וההשפעה על משפחתו, כמפורט עלי תסקיר ובעדותה של אמו של הנאשם בפני </w:t>
      </w:r>
      <w:r>
        <w:rPr>
          <w:rtl/>
        </w:rPr>
        <w:t>–</w:t>
      </w:r>
      <w:r>
        <w:rPr>
          <w:rFonts w:hint="cs"/>
          <w:rtl/>
        </w:rPr>
        <w:t xml:space="preserve"> </w:t>
      </w:r>
      <w:r w:rsidRPr="006541D9">
        <w:rPr>
          <w:rFonts w:hint="cs"/>
          <w:b/>
          <w:bCs/>
          <w:rtl/>
        </w:rPr>
        <w:t>ראו ע' 8 לפרוטוקול.</w:t>
      </w:r>
    </w:p>
    <w:p w14:paraId="5A450615" w14:textId="77777777" w:rsidR="00E96567" w:rsidRPr="00E30BDB" w:rsidRDefault="00E96567" w:rsidP="00E96567">
      <w:pPr>
        <w:spacing w:line="360" w:lineRule="auto"/>
        <w:ind w:left="720" w:hanging="720"/>
        <w:jc w:val="both"/>
        <w:rPr>
          <w:b/>
          <w:bCs/>
          <w:rtl/>
        </w:rPr>
      </w:pPr>
    </w:p>
    <w:p w14:paraId="25072E85" w14:textId="77777777" w:rsidR="00E96567" w:rsidRDefault="00E96567" w:rsidP="00E96567">
      <w:pPr>
        <w:spacing w:line="360" w:lineRule="auto"/>
        <w:ind w:left="720" w:hanging="720"/>
        <w:jc w:val="both"/>
        <w:rPr>
          <w:b/>
          <w:bCs/>
          <w:rtl/>
        </w:rPr>
      </w:pPr>
      <w:r>
        <w:rPr>
          <w:rFonts w:hint="cs"/>
          <w:rtl/>
        </w:rPr>
        <w:t>12.</w:t>
      </w:r>
      <w:r>
        <w:rPr>
          <w:rtl/>
        </w:rPr>
        <w:tab/>
      </w:r>
      <w:r>
        <w:rPr>
          <w:rFonts w:hint="cs"/>
          <w:rtl/>
        </w:rPr>
        <w:t xml:space="preserve">לאחר שנתתי דעתי לטיעוני הצדדים, למכלול הדברים לרבות דברי הנאשם בפני, האמור בתסקיר, לצד הרישום הפלילי, נראה כי יש למקם את הנאשם במצרף הדברים לקראת חלקו התחתון של המתחם, בעיקר בשים לב לגילו הצעיר, האופק השיקומי המסתמן מהתסקיר, נטילת האחריות והחרטה </w:t>
      </w:r>
      <w:r w:rsidRPr="000A65D1">
        <w:rPr>
          <w:rFonts w:hint="cs"/>
          <w:rtl/>
        </w:rPr>
        <w:t>הכֵנה</w:t>
      </w:r>
      <w:r>
        <w:rPr>
          <w:rFonts w:hint="cs"/>
          <w:rtl/>
        </w:rPr>
        <w:t xml:space="preserve"> </w:t>
      </w:r>
      <w:r>
        <w:rPr>
          <w:rtl/>
        </w:rPr>
        <w:t>–</w:t>
      </w:r>
      <w:r>
        <w:rPr>
          <w:rFonts w:hint="cs"/>
          <w:rtl/>
        </w:rPr>
        <w:t xml:space="preserve"> אודות השיקולים המיוחדים שיש לשקול בעניין "בגיר-צעיר", ראו, בין היתר: </w:t>
      </w:r>
    </w:p>
    <w:p w14:paraId="1F906475" w14:textId="77777777" w:rsidR="00E96567" w:rsidRPr="009B7574" w:rsidRDefault="00430FEE" w:rsidP="00E96567">
      <w:pPr>
        <w:spacing w:line="360" w:lineRule="auto"/>
        <w:ind w:left="720"/>
        <w:jc w:val="both"/>
        <w:rPr>
          <w:b/>
          <w:bCs/>
          <w:rtl/>
        </w:rPr>
      </w:pPr>
      <w:hyperlink r:id="rId26" w:history="1">
        <w:r w:rsidRPr="00430FEE">
          <w:rPr>
            <w:b/>
            <w:bCs/>
            <w:color w:val="0000FF"/>
            <w:u w:val="single"/>
            <w:rtl/>
          </w:rPr>
          <w:t>ע"פ 5832/13</w:t>
        </w:r>
      </w:hyperlink>
      <w:r w:rsidR="00E96567">
        <w:rPr>
          <w:rFonts w:hint="cs"/>
          <w:b/>
          <w:bCs/>
          <w:rtl/>
        </w:rPr>
        <w:t xml:space="preserve"> ניסים רובין נ' מדינת ישראל (8.4.14).</w:t>
      </w:r>
    </w:p>
    <w:p w14:paraId="016AA291" w14:textId="77777777" w:rsidR="00E96567" w:rsidRDefault="00E96567" w:rsidP="00E96567">
      <w:pPr>
        <w:spacing w:line="360" w:lineRule="auto"/>
        <w:jc w:val="both"/>
        <w:rPr>
          <w:rtl/>
        </w:rPr>
      </w:pPr>
    </w:p>
    <w:p w14:paraId="72EB41C8" w14:textId="77777777" w:rsidR="00E96567" w:rsidRPr="00795A53" w:rsidRDefault="00E96567" w:rsidP="00E96567">
      <w:pPr>
        <w:spacing w:line="360" w:lineRule="auto"/>
        <w:ind w:left="720" w:hanging="720"/>
        <w:jc w:val="both"/>
        <w:rPr>
          <w:b/>
          <w:bCs/>
          <w:rtl/>
        </w:rPr>
      </w:pPr>
      <w:r>
        <w:rPr>
          <w:rFonts w:hint="cs"/>
          <w:rtl/>
        </w:rPr>
        <w:t xml:space="preserve">13. </w:t>
      </w:r>
      <w:r>
        <w:rPr>
          <w:rtl/>
        </w:rPr>
        <w:tab/>
      </w:r>
      <w:r>
        <w:rPr>
          <w:rFonts w:hint="cs"/>
          <w:rtl/>
        </w:rPr>
        <w:t xml:space="preserve">מכלל הטעמים לעיל, לאחר שבחנתי נסיבות ביצוע העבירה, הערכים המוגנים שבבסיס העבירות, מדיניות הענישה הנוהגת והנסיבות שאינן קשורות בביצוע העבירה, לרבות נסיבותיו האישיות של הנאשם, גילו והאמור בתסקיר שירות המבחן, ובשים לב לאופק השיקומי, </w:t>
      </w:r>
      <w:r w:rsidRPr="00795A53">
        <w:rPr>
          <w:rFonts w:hint="cs"/>
          <w:b/>
          <w:bCs/>
          <w:rtl/>
        </w:rPr>
        <w:t>באתי לגזור על הנאשם את העונשים הבאים:</w:t>
      </w:r>
    </w:p>
    <w:p w14:paraId="46477CD5" w14:textId="77777777" w:rsidR="00E96567" w:rsidRDefault="00E96567" w:rsidP="00E96567">
      <w:pPr>
        <w:spacing w:line="360" w:lineRule="auto"/>
        <w:jc w:val="both"/>
        <w:rPr>
          <w:rtl/>
        </w:rPr>
      </w:pPr>
    </w:p>
    <w:p w14:paraId="3F8CE167" w14:textId="77777777" w:rsidR="00E96567" w:rsidRDefault="00E96567" w:rsidP="00E96567">
      <w:pPr>
        <w:spacing w:line="360" w:lineRule="auto"/>
        <w:jc w:val="both"/>
        <w:rPr>
          <w:rtl/>
        </w:rPr>
      </w:pPr>
    </w:p>
    <w:p w14:paraId="1AB00715" w14:textId="77777777" w:rsidR="00E96567" w:rsidRDefault="00E96567" w:rsidP="00E96567">
      <w:pPr>
        <w:spacing w:line="360" w:lineRule="auto"/>
        <w:jc w:val="both"/>
        <w:rPr>
          <w:rtl/>
        </w:rPr>
      </w:pPr>
    </w:p>
    <w:p w14:paraId="6E0C8239" w14:textId="77777777" w:rsidR="00E96567" w:rsidRDefault="00E96567" w:rsidP="00E96567">
      <w:pPr>
        <w:spacing w:line="360" w:lineRule="auto"/>
        <w:jc w:val="both"/>
        <w:rPr>
          <w:rtl/>
        </w:rPr>
      </w:pPr>
      <w:r>
        <w:rPr>
          <w:rFonts w:hint="cs"/>
          <w:rtl/>
        </w:rPr>
        <w:t xml:space="preserve">א. </w:t>
      </w:r>
      <w:r>
        <w:rPr>
          <w:rtl/>
        </w:rPr>
        <w:tab/>
      </w:r>
      <w:r>
        <w:rPr>
          <w:rFonts w:hint="cs"/>
          <w:rtl/>
        </w:rPr>
        <w:t xml:space="preserve">מאסר בפועל לתקופה של 18 חודשים, שמניינם מיום המעצר </w:t>
      </w:r>
      <w:r>
        <w:rPr>
          <w:rtl/>
        </w:rPr>
        <w:t>–</w:t>
      </w:r>
      <w:r>
        <w:rPr>
          <w:rFonts w:hint="cs"/>
          <w:rtl/>
        </w:rPr>
        <w:t xml:space="preserve"> 5.11.16 ואילך.</w:t>
      </w:r>
    </w:p>
    <w:p w14:paraId="70ECBD7D" w14:textId="77777777" w:rsidR="00E96567" w:rsidRDefault="00E96567" w:rsidP="00E96567">
      <w:pPr>
        <w:spacing w:line="360" w:lineRule="auto"/>
        <w:jc w:val="both"/>
        <w:rPr>
          <w:rtl/>
        </w:rPr>
      </w:pPr>
    </w:p>
    <w:p w14:paraId="452E5D1F" w14:textId="77777777" w:rsidR="00E96567" w:rsidRDefault="00E96567" w:rsidP="00E96567">
      <w:pPr>
        <w:spacing w:line="360" w:lineRule="auto"/>
        <w:ind w:left="720" w:hanging="720"/>
        <w:jc w:val="both"/>
        <w:rPr>
          <w:rtl/>
        </w:rPr>
      </w:pPr>
      <w:r>
        <w:rPr>
          <w:rFonts w:hint="cs"/>
          <w:rtl/>
        </w:rPr>
        <w:t xml:space="preserve">ב. </w:t>
      </w:r>
      <w:r>
        <w:rPr>
          <w:rtl/>
        </w:rPr>
        <w:tab/>
      </w:r>
      <w:r>
        <w:rPr>
          <w:rFonts w:hint="cs"/>
          <w:rtl/>
        </w:rPr>
        <w:t xml:space="preserve">מאסר מותנה בן 10 חודשים למשך 3 שנים והתנאי שלא יעבור בתקופה זו עבירה על </w:t>
      </w:r>
      <w:hyperlink r:id="rId27" w:history="1">
        <w:r w:rsidR="00430FEE" w:rsidRPr="00430FEE">
          <w:rPr>
            <w:color w:val="0000FF"/>
            <w:u w:val="single"/>
            <w:rtl/>
          </w:rPr>
          <w:t>פקודת הסמים המסוכנים</w:t>
        </w:r>
      </w:hyperlink>
      <w:r>
        <w:rPr>
          <w:rFonts w:hint="cs"/>
          <w:rtl/>
        </w:rPr>
        <w:t>, למעט עבירה של שימוש בסם לצריכה עצמית.</w:t>
      </w:r>
    </w:p>
    <w:p w14:paraId="1EB739B8" w14:textId="77777777" w:rsidR="00E96567" w:rsidRDefault="00E96567" w:rsidP="00E96567">
      <w:pPr>
        <w:spacing w:line="360" w:lineRule="auto"/>
        <w:ind w:left="720" w:hanging="720"/>
        <w:jc w:val="both"/>
        <w:rPr>
          <w:rtl/>
        </w:rPr>
      </w:pPr>
    </w:p>
    <w:p w14:paraId="762DF7F2" w14:textId="77777777" w:rsidR="00E96567" w:rsidRPr="0083269A" w:rsidRDefault="00E96567" w:rsidP="00E96567">
      <w:pPr>
        <w:spacing w:line="360" w:lineRule="auto"/>
        <w:ind w:left="720" w:hanging="720"/>
        <w:jc w:val="both"/>
        <w:rPr>
          <w:rtl/>
        </w:rPr>
      </w:pPr>
      <w:r>
        <w:rPr>
          <w:rFonts w:hint="cs"/>
          <w:rtl/>
        </w:rPr>
        <w:t>ג</w:t>
      </w:r>
      <w:r w:rsidRPr="0083269A">
        <w:rPr>
          <w:rFonts w:hint="cs"/>
          <w:rtl/>
        </w:rPr>
        <w:t xml:space="preserve">. </w:t>
      </w:r>
      <w:r>
        <w:rPr>
          <w:rtl/>
        </w:rPr>
        <w:tab/>
      </w:r>
      <w:r w:rsidRPr="0083269A">
        <w:rPr>
          <w:rFonts w:hint="cs"/>
          <w:rtl/>
        </w:rPr>
        <w:t>מאסר מותנה בן</w:t>
      </w:r>
      <w:r>
        <w:rPr>
          <w:rFonts w:hint="cs"/>
          <w:rtl/>
        </w:rPr>
        <w:t xml:space="preserve"> 6</w:t>
      </w:r>
      <w:r w:rsidRPr="0083269A">
        <w:rPr>
          <w:rFonts w:hint="cs"/>
          <w:rtl/>
        </w:rPr>
        <w:t xml:space="preserve"> חודשים למשך 3 שנים והתנאי שלא יעבור בתקופה זו עבירה </w:t>
      </w:r>
      <w:r>
        <w:rPr>
          <w:rFonts w:hint="cs"/>
          <w:rtl/>
        </w:rPr>
        <w:t>של שימוש בסם לצריכה עצמית.</w:t>
      </w:r>
    </w:p>
    <w:p w14:paraId="5C8DF047" w14:textId="77777777" w:rsidR="00E96567" w:rsidRDefault="00E96567" w:rsidP="00E96567">
      <w:pPr>
        <w:spacing w:line="360" w:lineRule="auto"/>
        <w:jc w:val="both"/>
        <w:rPr>
          <w:rtl/>
        </w:rPr>
      </w:pPr>
    </w:p>
    <w:p w14:paraId="4C47CD40" w14:textId="77777777" w:rsidR="00E96567" w:rsidRDefault="00E96567" w:rsidP="00E96567">
      <w:pPr>
        <w:spacing w:line="360" w:lineRule="auto"/>
        <w:jc w:val="both"/>
        <w:rPr>
          <w:rtl/>
        </w:rPr>
      </w:pPr>
    </w:p>
    <w:p w14:paraId="7999FAF2" w14:textId="77777777" w:rsidR="00E96567" w:rsidRDefault="00E96567" w:rsidP="00E96567">
      <w:pPr>
        <w:spacing w:line="360" w:lineRule="auto"/>
        <w:ind w:left="720" w:hanging="720"/>
        <w:jc w:val="both"/>
        <w:rPr>
          <w:rtl/>
        </w:rPr>
      </w:pPr>
      <w:r>
        <w:rPr>
          <w:rFonts w:hint="cs"/>
          <w:rtl/>
        </w:rPr>
        <w:t>ד.</w:t>
      </w:r>
      <w:r>
        <w:rPr>
          <w:rtl/>
        </w:rPr>
        <w:tab/>
      </w:r>
      <w:r>
        <w:rPr>
          <w:rFonts w:hint="cs"/>
          <w:rtl/>
        </w:rPr>
        <w:t>קנס בסך  8,000 ₪ או  40 ימי מאסר תמורתם. הקנס ישולם ב- 8 תשלומים, חודשיים, שווים ורצופים, החל מיום 20.8.17 ואילך. אי תשלום במועד יגרור העמדת מלוא היתרה לפירעו</w:t>
      </w:r>
      <w:r>
        <w:rPr>
          <w:rFonts w:hint="eastAsia"/>
          <w:rtl/>
        </w:rPr>
        <w:t>ן</w:t>
      </w:r>
      <w:r>
        <w:rPr>
          <w:rFonts w:hint="cs"/>
          <w:rtl/>
        </w:rPr>
        <w:t xml:space="preserve"> מיידי, בתוספת ריבית פיגורים כחוק.</w:t>
      </w:r>
    </w:p>
    <w:p w14:paraId="233D08EE" w14:textId="77777777" w:rsidR="00E96567" w:rsidRDefault="00E96567" w:rsidP="00E96567">
      <w:pPr>
        <w:spacing w:line="360" w:lineRule="auto"/>
        <w:ind w:left="720" w:hanging="720"/>
        <w:jc w:val="both"/>
        <w:rPr>
          <w:rtl/>
        </w:rPr>
      </w:pPr>
    </w:p>
    <w:p w14:paraId="778C6567" w14:textId="77777777" w:rsidR="00E96567" w:rsidRDefault="00E96567" w:rsidP="00E96567">
      <w:pPr>
        <w:spacing w:line="360" w:lineRule="auto"/>
        <w:ind w:left="720" w:hanging="720"/>
        <w:jc w:val="both"/>
        <w:rPr>
          <w:rtl/>
        </w:rPr>
      </w:pPr>
      <w:r>
        <w:rPr>
          <w:rFonts w:hint="cs"/>
          <w:rtl/>
        </w:rPr>
        <w:t>ה.</w:t>
      </w:r>
      <w:r>
        <w:rPr>
          <w:rtl/>
        </w:rPr>
        <w:tab/>
      </w:r>
      <w:r>
        <w:rPr>
          <w:rFonts w:hint="cs"/>
          <w:rtl/>
        </w:rPr>
        <w:t>אני מורה בזאת על השמדת הסמים שנתפסו וכל הציוד, הקשור בגידול הסם.</w:t>
      </w:r>
    </w:p>
    <w:p w14:paraId="601B238A" w14:textId="77777777" w:rsidR="00E96567" w:rsidRDefault="00E96567" w:rsidP="00E96567">
      <w:pPr>
        <w:spacing w:line="360" w:lineRule="auto"/>
        <w:jc w:val="both"/>
        <w:rPr>
          <w:rtl/>
        </w:rPr>
      </w:pPr>
    </w:p>
    <w:p w14:paraId="0C2F608B" w14:textId="77777777" w:rsidR="00E96567" w:rsidRDefault="00E96567" w:rsidP="00E96567">
      <w:pPr>
        <w:spacing w:line="360" w:lineRule="auto"/>
        <w:jc w:val="both"/>
        <w:rPr>
          <w:rtl/>
        </w:rPr>
      </w:pPr>
    </w:p>
    <w:p w14:paraId="10976E32" w14:textId="77777777" w:rsidR="00E96567" w:rsidRPr="00DE2265" w:rsidRDefault="00E96567" w:rsidP="00E96567">
      <w:pPr>
        <w:spacing w:line="360" w:lineRule="auto"/>
        <w:jc w:val="both"/>
        <w:rPr>
          <w:b/>
          <w:bCs/>
          <w:rtl/>
        </w:rPr>
      </w:pPr>
      <w:r w:rsidRPr="00DE2265">
        <w:rPr>
          <w:rFonts w:hint="cs"/>
          <w:b/>
          <w:bCs/>
          <w:rtl/>
        </w:rPr>
        <w:t>זכות ערעור לבית המשפט המחוזי בתל אביב, בתוך 45 ימים מהיום.</w:t>
      </w:r>
    </w:p>
    <w:p w14:paraId="1C6B2266" w14:textId="77777777" w:rsidR="00E96567" w:rsidRDefault="00E96567" w:rsidP="00E96567">
      <w:pPr>
        <w:spacing w:line="360" w:lineRule="auto"/>
        <w:jc w:val="both"/>
        <w:rPr>
          <w:rtl/>
        </w:rPr>
      </w:pPr>
    </w:p>
    <w:p w14:paraId="5513594D" w14:textId="77777777" w:rsidR="00E96567" w:rsidRDefault="00E96567" w:rsidP="00E96567">
      <w:pPr>
        <w:spacing w:line="360" w:lineRule="auto"/>
        <w:jc w:val="both"/>
        <w:rPr>
          <w:rtl/>
        </w:rPr>
      </w:pPr>
      <w:r>
        <w:rPr>
          <w:rFonts w:hint="cs"/>
          <w:rtl/>
        </w:rPr>
        <w:t>אמליץ בפני שלטונות שב"ס, לאור האמור בתסקיר שירות המבחן, לנסות ולשלב את הנאשם, במסגרת אפיק טיפולי, בתקופת המאסר.</w:t>
      </w:r>
    </w:p>
    <w:p w14:paraId="6255CC4B" w14:textId="77777777" w:rsidR="00E96567" w:rsidRPr="00DE2265" w:rsidRDefault="00E96567" w:rsidP="00E96567">
      <w:pPr>
        <w:spacing w:line="360" w:lineRule="auto"/>
        <w:jc w:val="both"/>
        <w:rPr>
          <w:b/>
          <w:bCs/>
          <w:u w:val="single"/>
          <w:rtl/>
        </w:rPr>
      </w:pPr>
      <w:r w:rsidRPr="00DE2265">
        <w:rPr>
          <w:rFonts w:hint="cs"/>
          <w:b/>
          <w:bCs/>
          <w:u w:val="single"/>
          <w:rtl/>
        </w:rPr>
        <w:t>המזכירות תעביר העתק מגזר הדין לשב"ס ולש</w:t>
      </w:r>
      <w:r>
        <w:rPr>
          <w:rFonts w:hint="cs"/>
          <w:b/>
          <w:bCs/>
          <w:u w:val="single"/>
          <w:rtl/>
        </w:rPr>
        <w:t>ירות</w:t>
      </w:r>
      <w:r w:rsidRPr="00DE2265">
        <w:rPr>
          <w:rFonts w:hint="cs"/>
          <w:b/>
          <w:bCs/>
          <w:u w:val="single"/>
          <w:rtl/>
        </w:rPr>
        <w:t xml:space="preserve"> המבחן למבוגרים.</w:t>
      </w:r>
    </w:p>
    <w:p w14:paraId="108B339D" w14:textId="77777777" w:rsidR="00E96567" w:rsidRPr="00575AD7" w:rsidRDefault="00E96567" w:rsidP="00E96567">
      <w:pPr>
        <w:spacing w:line="360" w:lineRule="auto"/>
        <w:jc w:val="both"/>
        <w:rPr>
          <w:rtl/>
        </w:rPr>
      </w:pPr>
    </w:p>
    <w:p w14:paraId="4747C3C2" w14:textId="77777777" w:rsidR="00E96567" w:rsidRPr="00430FEE" w:rsidRDefault="00430FEE" w:rsidP="00E96567">
      <w:pPr>
        <w:spacing w:line="360" w:lineRule="auto"/>
        <w:jc w:val="both"/>
        <w:rPr>
          <w:color w:val="FFFFFF"/>
          <w:sz w:val="2"/>
          <w:szCs w:val="2"/>
          <w:rtl/>
        </w:rPr>
      </w:pPr>
      <w:r w:rsidRPr="00430FEE">
        <w:rPr>
          <w:color w:val="FFFFFF"/>
          <w:sz w:val="2"/>
          <w:szCs w:val="2"/>
          <w:rtl/>
        </w:rPr>
        <w:t>5129371</w:t>
      </w:r>
    </w:p>
    <w:p w14:paraId="272DCC62" w14:textId="77777777" w:rsidR="00E96567" w:rsidRPr="00575AD7" w:rsidRDefault="00430FEE" w:rsidP="00E96567">
      <w:pPr>
        <w:spacing w:line="360" w:lineRule="auto"/>
        <w:jc w:val="both"/>
        <w:rPr>
          <w:rtl/>
        </w:rPr>
      </w:pPr>
      <w:r w:rsidRPr="00430FEE">
        <w:rPr>
          <w:rFonts w:ascii="Arial" w:hAnsi="Arial"/>
          <w:color w:val="FFFFFF"/>
          <w:sz w:val="2"/>
          <w:szCs w:val="2"/>
          <w:rtl/>
        </w:rPr>
        <w:t>54678313</w:t>
      </w:r>
      <w:r>
        <w:rPr>
          <w:rFonts w:ascii="Arial" w:hAnsi="Arial"/>
          <w:rtl/>
        </w:rPr>
        <w:t xml:space="preserve">ניתן היום,  כ"ה תמוז תשע"ז, 19 יולי 2017, במעמד הצדדים. </w:t>
      </w:r>
    </w:p>
    <w:p w14:paraId="23069C74" w14:textId="77777777" w:rsidR="00E96567" w:rsidRPr="00575AD7" w:rsidRDefault="00E96567" w:rsidP="00E96567">
      <w:pPr>
        <w:spacing w:line="360" w:lineRule="auto"/>
        <w:jc w:val="right"/>
      </w:pPr>
      <w:r w:rsidRPr="00575AD7">
        <w:rPr>
          <w:rFonts w:hint="cs"/>
          <w:rtl/>
        </w:rPr>
        <w:t xml:space="preserve">   </w:t>
      </w:r>
      <w:r w:rsidRPr="00575AD7">
        <w:rPr>
          <w:rFonts w:hint="cs"/>
          <w:rtl/>
        </w:rPr>
        <w:tab/>
      </w:r>
      <w:r w:rsidRPr="00575AD7">
        <w:rPr>
          <w:rFonts w:hint="cs"/>
          <w:rtl/>
        </w:rPr>
        <w:tab/>
      </w:r>
      <w:r w:rsidRPr="00575AD7">
        <w:rPr>
          <w:rFonts w:hint="cs"/>
          <w:rtl/>
        </w:rPr>
        <w:tab/>
      </w:r>
      <w:r w:rsidRPr="00575AD7">
        <w:rPr>
          <w:rFonts w:hint="cs"/>
          <w:rtl/>
        </w:rPr>
        <w:tab/>
      </w:r>
      <w:r w:rsidRPr="00575AD7">
        <w:rPr>
          <w:rFonts w:hint="cs"/>
          <w:rtl/>
        </w:rPr>
        <w:tab/>
      </w:r>
      <w:r>
        <w:rPr>
          <w:rtl/>
        </w:rPr>
        <w:t xml:space="preserve">     </w:t>
      </w:r>
    </w:p>
    <w:p w14:paraId="4FACC13E" w14:textId="77777777" w:rsidR="00E96567" w:rsidRPr="001D703B" w:rsidRDefault="001D703B" w:rsidP="00E96567">
      <w:pPr>
        <w:pStyle w:val="a3"/>
        <w:spacing w:line="360" w:lineRule="auto"/>
        <w:jc w:val="both"/>
        <w:rPr>
          <w:color w:val="FFFFFF"/>
          <w:sz w:val="2"/>
          <w:szCs w:val="2"/>
          <w:rtl/>
        </w:rPr>
      </w:pPr>
      <w:r w:rsidRPr="001D703B">
        <w:rPr>
          <w:color w:val="FFFFFF"/>
          <w:sz w:val="2"/>
          <w:szCs w:val="2"/>
          <w:rtl/>
        </w:rPr>
        <w:t>5129371</w:t>
      </w:r>
    </w:p>
    <w:p w14:paraId="317E3CB8" w14:textId="77777777" w:rsidR="002D7B2F" w:rsidRPr="001D703B" w:rsidRDefault="001D703B" w:rsidP="00430FEE">
      <w:pPr>
        <w:keepNext/>
        <w:rPr>
          <w:rFonts w:ascii="David" w:hAnsi="David"/>
          <w:color w:val="FFFFFF"/>
          <w:sz w:val="2"/>
          <w:szCs w:val="2"/>
          <w:rtl/>
        </w:rPr>
      </w:pPr>
      <w:r w:rsidRPr="001D703B">
        <w:rPr>
          <w:rFonts w:ascii="David" w:hAnsi="David"/>
          <w:color w:val="FFFFFF"/>
          <w:sz w:val="2"/>
          <w:szCs w:val="2"/>
          <w:rtl/>
        </w:rPr>
        <w:t>54678313</w:t>
      </w:r>
    </w:p>
    <w:p w14:paraId="52EC2679" w14:textId="77777777" w:rsidR="00430FEE" w:rsidRPr="00430FEE" w:rsidRDefault="00430FEE" w:rsidP="00430FEE">
      <w:pPr>
        <w:keepNext/>
        <w:rPr>
          <w:rFonts w:ascii="David" w:hAnsi="David"/>
          <w:color w:val="000000"/>
          <w:sz w:val="22"/>
          <w:szCs w:val="22"/>
          <w:rtl/>
        </w:rPr>
      </w:pPr>
      <w:r w:rsidRPr="00430FEE">
        <w:rPr>
          <w:rFonts w:ascii="David" w:hAnsi="David"/>
          <w:color w:val="000000"/>
          <w:sz w:val="22"/>
          <w:szCs w:val="22"/>
          <w:rtl/>
        </w:rPr>
        <w:t>רועי פרי 54678313</w:t>
      </w:r>
    </w:p>
    <w:p w14:paraId="488CE2AC" w14:textId="77777777" w:rsidR="00430FEE" w:rsidRDefault="00430FEE" w:rsidP="00430FEE">
      <w:r w:rsidRPr="00430FEE">
        <w:rPr>
          <w:color w:val="000000"/>
          <w:rtl/>
        </w:rPr>
        <w:t>נוסח מסמך זה כפוף לשינויי ניסוח ועריכה</w:t>
      </w:r>
    </w:p>
    <w:p w14:paraId="5FE0BDD8" w14:textId="77777777" w:rsidR="00430FEE" w:rsidRDefault="00430FEE" w:rsidP="00430FEE">
      <w:pPr>
        <w:rPr>
          <w:rtl/>
        </w:rPr>
      </w:pPr>
    </w:p>
    <w:p w14:paraId="4BDFEDBF" w14:textId="77777777" w:rsidR="00430FEE" w:rsidRDefault="00430FEE" w:rsidP="00430FEE">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68B08FE7" w14:textId="77777777" w:rsidR="001D703B" w:rsidRPr="001D703B" w:rsidRDefault="001D703B" w:rsidP="001D703B">
      <w:pPr>
        <w:keepNext/>
        <w:rPr>
          <w:rFonts w:ascii="David" w:hAnsi="David"/>
          <w:color w:val="000000"/>
          <w:sz w:val="22"/>
          <w:szCs w:val="22"/>
          <w:rtl/>
        </w:rPr>
      </w:pPr>
    </w:p>
    <w:sectPr w:rsidR="001D703B" w:rsidRPr="001D703B" w:rsidSect="001D703B">
      <w:headerReference w:type="even" r:id="rId29"/>
      <w:headerReference w:type="default" r:id="rId30"/>
      <w:footerReference w:type="even" r:id="rId31"/>
      <w:footerReference w:type="default" r:id="rId32"/>
      <w:pgSz w:w="11907" w:h="16840" w:code="9"/>
      <w:pgMar w:top="1701" w:right="1134"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F2B20" w14:textId="77777777" w:rsidR="001D0347" w:rsidRDefault="001D0347" w:rsidP="009B0E82">
      <w:r>
        <w:separator/>
      </w:r>
    </w:p>
  </w:endnote>
  <w:endnote w:type="continuationSeparator" w:id="0">
    <w:p w14:paraId="2961D72B" w14:textId="77777777" w:rsidR="001D0347" w:rsidRDefault="001D0347" w:rsidP="009B0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227E5" w14:textId="77777777" w:rsidR="001D0347" w:rsidRDefault="001D0347" w:rsidP="001D703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DF14C10" w14:textId="77777777" w:rsidR="001D0347" w:rsidRPr="001D703B" w:rsidRDefault="001D0347" w:rsidP="001D703B">
    <w:pPr>
      <w:pStyle w:val="a5"/>
      <w:pBdr>
        <w:top w:val="single" w:sz="4" w:space="1" w:color="auto"/>
        <w:between w:val="single" w:sz="4" w:space="0" w:color="auto"/>
      </w:pBdr>
      <w:spacing w:after="60"/>
      <w:jc w:val="center"/>
      <w:rPr>
        <w:rFonts w:ascii="FrankRuehl" w:hAnsi="FrankRuehl" w:cs="FrankRuehl"/>
        <w:color w:val="000000"/>
      </w:rPr>
    </w:pPr>
    <w:r w:rsidRPr="001D703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7FDB2" w14:textId="77777777" w:rsidR="001D0347" w:rsidRDefault="001D0347" w:rsidP="001D703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F7FBD">
      <w:rPr>
        <w:rFonts w:ascii="FrankRuehl" w:hAnsi="FrankRuehl" w:cs="FrankRuehl"/>
        <w:noProof/>
        <w:rtl/>
      </w:rPr>
      <w:t>1</w:t>
    </w:r>
    <w:r>
      <w:rPr>
        <w:rFonts w:ascii="FrankRuehl" w:hAnsi="FrankRuehl" w:cs="FrankRuehl"/>
        <w:rtl/>
      </w:rPr>
      <w:fldChar w:fldCharType="end"/>
    </w:r>
  </w:p>
  <w:p w14:paraId="490C7ECA" w14:textId="77777777" w:rsidR="001D0347" w:rsidRPr="001D703B" w:rsidRDefault="001D0347" w:rsidP="001D703B">
    <w:pPr>
      <w:pStyle w:val="a5"/>
      <w:pBdr>
        <w:top w:val="single" w:sz="4" w:space="1" w:color="auto"/>
        <w:between w:val="single" w:sz="4" w:space="0" w:color="auto"/>
      </w:pBdr>
      <w:spacing w:after="60"/>
      <w:jc w:val="center"/>
      <w:rPr>
        <w:rFonts w:ascii="FrankRuehl" w:hAnsi="FrankRuehl" w:cs="FrankRuehl"/>
        <w:color w:val="000000"/>
      </w:rPr>
    </w:pPr>
    <w:r w:rsidRPr="001D703B">
      <w:rPr>
        <w:rFonts w:ascii="FrankRuehl" w:hAnsi="FrankRuehl" w:cs="FrankRuehl"/>
        <w:color w:val="000000"/>
      </w:rPr>
      <w:pict w14:anchorId="0EAB1A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B5BCD" w14:textId="77777777" w:rsidR="001D0347" w:rsidRDefault="001D0347" w:rsidP="009B0E82">
      <w:r>
        <w:separator/>
      </w:r>
    </w:p>
  </w:footnote>
  <w:footnote w:type="continuationSeparator" w:id="0">
    <w:p w14:paraId="2A16F19D" w14:textId="77777777" w:rsidR="001D0347" w:rsidRDefault="001D0347" w:rsidP="009B0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48B6F" w14:textId="77777777" w:rsidR="001D0347" w:rsidRPr="001D703B" w:rsidRDefault="001D0347" w:rsidP="001D70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28236-11-16</w:t>
    </w:r>
    <w:r>
      <w:rPr>
        <w:rFonts w:ascii="David" w:hAnsi="David"/>
        <w:color w:val="000000"/>
        <w:sz w:val="22"/>
        <w:szCs w:val="22"/>
        <w:rtl/>
      </w:rPr>
      <w:tab/>
      <w:t xml:space="preserve"> פרקליטות מחוז תל אביב פלילי נ' שלמה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F0DA" w14:textId="77777777" w:rsidR="001D0347" w:rsidRPr="001D703B" w:rsidRDefault="001D0347" w:rsidP="001D70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28236-11-16</w:t>
    </w:r>
    <w:r>
      <w:rPr>
        <w:rFonts w:ascii="David" w:hAnsi="David"/>
        <w:color w:val="000000"/>
        <w:sz w:val="22"/>
        <w:szCs w:val="22"/>
        <w:rtl/>
      </w:rPr>
      <w:tab/>
      <w:t xml:space="preserve"> פרקליטות מחוז תל אביב פלילי נ' שלמה לוי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96567"/>
    <w:rsid w:val="001D0347"/>
    <w:rsid w:val="001D703B"/>
    <w:rsid w:val="001E63BA"/>
    <w:rsid w:val="002D7B2F"/>
    <w:rsid w:val="004206DA"/>
    <w:rsid w:val="00430FEE"/>
    <w:rsid w:val="00655251"/>
    <w:rsid w:val="00692EE4"/>
    <w:rsid w:val="009B0E82"/>
    <w:rsid w:val="00BA16A0"/>
    <w:rsid w:val="00BF7FBD"/>
    <w:rsid w:val="00E96567"/>
    <w:rsid w:val="00F444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A36861B"/>
  <w15:chartTrackingRefBased/>
  <w15:docId w15:val="{3CA15B37-ADAA-437E-A728-8369E633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656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96567"/>
    <w:pPr>
      <w:tabs>
        <w:tab w:val="center" w:pos="4153"/>
        <w:tab w:val="right" w:pos="8306"/>
      </w:tabs>
    </w:pPr>
  </w:style>
  <w:style w:type="character" w:customStyle="1" w:styleId="a4">
    <w:name w:val="כותרת עליונה תו"/>
    <w:link w:val="a3"/>
    <w:rsid w:val="00E96567"/>
    <w:rPr>
      <w:rFonts w:ascii="Times New Roman" w:eastAsia="Times New Roman" w:hAnsi="Times New Roman" w:cs="David"/>
      <w:sz w:val="24"/>
      <w:szCs w:val="24"/>
    </w:rPr>
  </w:style>
  <w:style w:type="paragraph" w:styleId="a5">
    <w:name w:val="footer"/>
    <w:basedOn w:val="a"/>
    <w:link w:val="a6"/>
    <w:rsid w:val="00E96567"/>
    <w:pPr>
      <w:tabs>
        <w:tab w:val="center" w:pos="4153"/>
        <w:tab w:val="right" w:pos="8306"/>
      </w:tabs>
    </w:pPr>
  </w:style>
  <w:style w:type="character" w:customStyle="1" w:styleId="a6">
    <w:name w:val="כותרת תחתונה תו"/>
    <w:link w:val="a5"/>
    <w:rsid w:val="00E96567"/>
    <w:rPr>
      <w:rFonts w:ascii="Times New Roman" w:eastAsia="Times New Roman" w:hAnsi="Times New Roman" w:cs="David"/>
      <w:sz w:val="24"/>
      <w:szCs w:val="24"/>
    </w:rPr>
  </w:style>
  <w:style w:type="table" w:styleId="a7">
    <w:name w:val="Table Grid"/>
    <w:basedOn w:val="a1"/>
    <w:rsid w:val="00E9656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96567"/>
  </w:style>
  <w:style w:type="character" w:styleId="Hyperlink">
    <w:name w:val="Hyperlink"/>
    <w:rsid w:val="00430FEE"/>
    <w:rPr>
      <w:color w:val="0563C1"/>
      <w:u w:val="single"/>
    </w:rPr>
  </w:style>
  <w:style w:type="character" w:styleId="a9">
    <w:name w:val="Unresolved Mention"/>
    <w:rsid w:val="00430F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law/4216/9.d" TargetMode="External"/><Relationship Id="rId26" Type="http://schemas.openxmlformats.org/officeDocument/2006/relationships/hyperlink" Target="http://www.nevo.co.il/case/7980226" TargetMode="External"/><Relationship Id="rId3" Type="http://schemas.openxmlformats.org/officeDocument/2006/relationships/webSettings" Target="webSettings.xml"/><Relationship Id="rId21" Type="http://schemas.openxmlformats.org/officeDocument/2006/relationships/hyperlink" Target="http://www.nevo.co.il/case/22021509" TargetMode="External"/><Relationship Id="rId34" Type="http://schemas.openxmlformats.org/officeDocument/2006/relationships/theme" Target="theme/theme1.xml"/><Relationship Id="rId7" Type="http://schemas.openxmlformats.org/officeDocument/2006/relationships/hyperlink" Target="http://www.nevo.co.il/law/4216/6" TargetMode="External"/><Relationship Id="rId12" Type="http://schemas.openxmlformats.org/officeDocument/2006/relationships/hyperlink" Target="http://www.nevo.co.il/law/4216/10" TargetMode="External"/><Relationship Id="rId17" Type="http://schemas.openxmlformats.org/officeDocument/2006/relationships/hyperlink" Target="http://www.nevo.co.il/law/4216/9.a" TargetMode="External"/><Relationship Id="rId25" Type="http://schemas.openxmlformats.org/officeDocument/2006/relationships/hyperlink" Target="http://www.nevo.co.il/case/13070717"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4216/10" TargetMode="External"/><Relationship Id="rId20" Type="http://schemas.openxmlformats.org/officeDocument/2006/relationships/hyperlink" Target="http://www.nevo.co.il/case/17916448"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9.d" TargetMode="External"/><Relationship Id="rId24" Type="http://schemas.openxmlformats.org/officeDocument/2006/relationships/hyperlink" Target="http://www.nevo.co.il/case/18045843"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4216/7.a.;7.c" TargetMode="External"/><Relationship Id="rId23" Type="http://schemas.openxmlformats.org/officeDocument/2006/relationships/hyperlink" Target="http://www.nevo.co.il/case/6782092"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9.a" TargetMode="External"/><Relationship Id="rId19" Type="http://schemas.openxmlformats.org/officeDocument/2006/relationships/hyperlink" Target="http://www.nevo.co.il/case/20118363"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8291661" TargetMode="External"/><Relationship Id="rId27" Type="http://schemas.openxmlformats.org/officeDocument/2006/relationships/hyperlink" Target="http://www.nevo.co.il/law/4216" TargetMode="External"/><Relationship Id="rId30" Type="http://schemas.openxmlformats.org/officeDocument/2006/relationships/header" Target="header2.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1535</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9197</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8257637</vt:i4>
      </vt:variant>
      <vt:variant>
        <vt:i4>63</vt:i4>
      </vt:variant>
      <vt:variant>
        <vt:i4>0</vt:i4>
      </vt:variant>
      <vt:variant>
        <vt:i4>5</vt:i4>
      </vt:variant>
      <vt:variant>
        <vt:lpwstr>http://www.nevo.co.il/law/4216</vt:lpwstr>
      </vt:variant>
      <vt:variant>
        <vt:lpwstr/>
      </vt:variant>
      <vt:variant>
        <vt:i4>3866751</vt:i4>
      </vt:variant>
      <vt:variant>
        <vt:i4>60</vt:i4>
      </vt:variant>
      <vt:variant>
        <vt:i4>0</vt:i4>
      </vt:variant>
      <vt:variant>
        <vt:i4>5</vt:i4>
      </vt:variant>
      <vt:variant>
        <vt:lpwstr>http://www.nevo.co.il/case/7980226</vt:lpwstr>
      </vt:variant>
      <vt:variant>
        <vt:lpwstr/>
      </vt:variant>
      <vt:variant>
        <vt:i4>3145847</vt:i4>
      </vt:variant>
      <vt:variant>
        <vt:i4>57</vt:i4>
      </vt:variant>
      <vt:variant>
        <vt:i4>0</vt:i4>
      </vt:variant>
      <vt:variant>
        <vt:i4>5</vt:i4>
      </vt:variant>
      <vt:variant>
        <vt:lpwstr>http://www.nevo.co.il/case/13070717</vt:lpwstr>
      </vt:variant>
      <vt:variant>
        <vt:lpwstr/>
      </vt:variant>
      <vt:variant>
        <vt:i4>3145840</vt:i4>
      </vt:variant>
      <vt:variant>
        <vt:i4>54</vt:i4>
      </vt:variant>
      <vt:variant>
        <vt:i4>0</vt:i4>
      </vt:variant>
      <vt:variant>
        <vt:i4>5</vt:i4>
      </vt:variant>
      <vt:variant>
        <vt:lpwstr>http://www.nevo.co.il/case/18045843</vt:lpwstr>
      </vt:variant>
      <vt:variant>
        <vt:lpwstr/>
      </vt:variant>
      <vt:variant>
        <vt:i4>3932280</vt:i4>
      </vt:variant>
      <vt:variant>
        <vt:i4>51</vt:i4>
      </vt:variant>
      <vt:variant>
        <vt:i4>0</vt:i4>
      </vt:variant>
      <vt:variant>
        <vt:i4>5</vt:i4>
      </vt:variant>
      <vt:variant>
        <vt:lpwstr>http://www.nevo.co.il/case/6782092</vt:lpwstr>
      </vt:variant>
      <vt:variant>
        <vt:lpwstr/>
      </vt:variant>
      <vt:variant>
        <vt:i4>3539057</vt:i4>
      </vt:variant>
      <vt:variant>
        <vt:i4>48</vt:i4>
      </vt:variant>
      <vt:variant>
        <vt:i4>0</vt:i4>
      </vt:variant>
      <vt:variant>
        <vt:i4>5</vt:i4>
      </vt:variant>
      <vt:variant>
        <vt:lpwstr>http://www.nevo.co.il/case/8291661</vt:lpwstr>
      </vt:variant>
      <vt:variant>
        <vt:lpwstr/>
      </vt:variant>
      <vt:variant>
        <vt:i4>3342449</vt:i4>
      </vt:variant>
      <vt:variant>
        <vt:i4>45</vt:i4>
      </vt:variant>
      <vt:variant>
        <vt:i4>0</vt:i4>
      </vt:variant>
      <vt:variant>
        <vt:i4>5</vt:i4>
      </vt:variant>
      <vt:variant>
        <vt:lpwstr>http://www.nevo.co.il/case/22021509</vt:lpwstr>
      </vt:variant>
      <vt:variant>
        <vt:lpwstr/>
      </vt:variant>
      <vt:variant>
        <vt:i4>3801206</vt:i4>
      </vt:variant>
      <vt:variant>
        <vt:i4>42</vt:i4>
      </vt:variant>
      <vt:variant>
        <vt:i4>0</vt:i4>
      </vt:variant>
      <vt:variant>
        <vt:i4>5</vt:i4>
      </vt:variant>
      <vt:variant>
        <vt:lpwstr>http://www.nevo.co.il/case/17916448</vt:lpwstr>
      </vt:variant>
      <vt:variant>
        <vt:lpwstr/>
      </vt:variant>
      <vt:variant>
        <vt:i4>3997814</vt:i4>
      </vt:variant>
      <vt:variant>
        <vt:i4>39</vt:i4>
      </vt:variant>
      <vt:variant>
        <vt:i4>0</vt:i4>
      </vt:variant>
      <vt:variant>
        <vt:i4>5</vt:i4>
      </vt:variant>
      <vt:variant>
        <vt:lpwstr>http://www.nevo.co.il/case/20118363</vt:lpwstr>
      </vt:variant>
      <vt:variant>
        <vt:lpwstr/>
      </vt:variant>
      <vt:variant>
        <vt:i4>2293860</vt:i4>
      </vt:variant>
      <vt:variant>
        <vt:i4>36</vt:i4>
      </vt:variant>
      <vt:variant>
        <vt:i4>0</vt:i4>
      </vt:variant>
      <vt:variant>
        <vt:i4>5</vt:i4>
      </vt:variant>
      <vt:variant>
        <vt:lpwstr>http://www.nevo.co.il/law/4216/9.d</vt:lpwstr>
      </vt:variant>
      <vt:variant>
        <vt:lpwstr/>
      </vt:variant>
      <vt:variant>
        <vt:i4>2490468</vt:i4>
      </vt:variant>
      <vt:variant>
        <vt:i4>33</vt:i4>
      </vt:variant>
      <vt:variant>
        <vt:i4>0</vt:i4>
      </vt:variant>
      <vt:variant>
        <vt:i4>5</vt:i4>
      </vt:variant>
      <vt:variant>
        <vt:lpwstr>http://www.nevo.co.il/law/4216/9.a</vt:lpwstr>
      </vt:variant>
      <vt:variant>
        <vt:lpwstr/>
      </vt:variant>
      <vt:variant>
        <vt:i4>5177418</vt:i4>
      </vt:variant>
      <vt:variant>
        <vt:i4>30</vt:i4>
      </vt:variant>
      <vt:variant>
        <vt:i4>0</vt:i4>
      </vt:variant>
      <vt:variant>
        <vt:i4>5</vt:i4>
      </vt:variant>
      <vt:variant>
        <vt:lpwstr>http://www.nevo.co.il/law/4216/10</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5177418</vt:i4>
      </vt:variant>
      <vt:variant>
        <vt:i4>18</vt:i4>
      </vt:variant>
      <vt:variant>
        <vt:i4>0</vt:i4>
      </vt:variant>
      <vt:variant>
        <vt:i4>5</vt:i4>
      </vt:variant>
      <vt:variant>
        <vt:lpwstr>http://www.nevo.co.il/law/4216/10</vt:lpwstr>
      </vt:variant>
      <vt:variant>
        <vt:lpwstr/>
      </vt:variant>
      <vt:variant>
        <vt:i4>2293860</vt:i4>
      </vt:variant>
      <vt:variant>
        <vt:i4>15</vt:i4>
      </vt:variant>
      <vt:variant>
        <vt:i4>0</vt:i4>
      </vt:variant>
      <vt:variant>
        <vt:i4>5</vt:i4>
      </vt:variant>
      <vt:variant>
        <vt:lpwstr>http://www.nevo.co.il/law/4216/9.d</vt:lpwstr>
      </vt:variant>
      <vt:variant>
        <vt:lpwstr/>
      </vt:variant>
      <vt:variant>
        <vt:i4>2490468</vt:i4>
      </vt:variant>
      <vt:variant>
        <vt:i4>12</vt:i4>
      </vt:variant>
      <vt:variant>
        <vt:i4>0</vt:i4>
      </vt:variant>
      <vt:variant>
        <vt:i4>5</vt:i4>
      </vt:variant>
      <vt:variant>
        <vt:lpwstr>http://www.nevo.co.il/law/4216/9.a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2025-04-22T23:13:00Z</dcterms:created>
  <dcterms:modified xsi:type="dcterms:W3CDTF">2025-04-22T23:13:00Z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28236</vt:lpwstr>
  </property>
  <property fmtid="{D5CDD505-2E9C-101B-9397-08002B2CF9AE}" pid="6" name="NEWPARTB">
    <vt:lpwstr>11</vt:lpwstr>
  </property>
  <property fmtid="{D5CDD505-2E9C-101B-9397-08002B2CF9AE}" pid="7" name="NEWPARTC">
    <vt:lpwstr>16</vt:lpwstr>
  </property>
  <property fmtid="{D5CDD505-2E9C-101B-9397-08002B2CF9AE}" pid="8" name="APPELLANT">
    <vt:lpwstr>פרקליטות מחוז תל אביב פלילי</vt:lpwstr>
  </property>
  <property fmtid="{D5CDD505-2E9C-101B-9397-08002B2CF9AE}" pid="9" name="APPELLEE">
    <vt:lpwstr>שלמה לוי</vt:lpwstr>
  </property>
  <property fmtid="{D5CDD505-2E9C-101B-9397-08002B2CF9AE}" pid="10" name="LAWYER">
    <vt:lpwstr>דיה בן אסא;קובי מרגולוב; מיכאל סיבוני</vt:lpwstr>
  </property>
  <property fmtid="{D5CDD505-2E9C-101B-9397-08002B2CF9AE}" pid="11" name="JUDGE">
    <vt:lpwstr>רועי פרי</vt:lpwstr>
  </property>
  <property fmtid="{D5CDD505-2E9C-101B-9397-08002B2CF9AE}" pid="12" name="CITY">
    <vt:lpwstr>ת"א</vt:lpwstr>
  </property>
  <property fmtid="{D5CDD505-2E9C-101B-9397-08002B2CF9AE}" pid="13" name="DATE">
    <vt:lpwstr>20170719</vt:lpwstr>
  </property>
  <property fmtid="{D5CDD505-2E9C-101B-9397-08002B2CF9AE}" pid="14" name="TYPE_N_DATE">
    <vt:lpwstr>38020170719</vt:lpwstr>
  </property>
  <property fmtid="{D5CDD505-2E9C-101B-9397-08002B2CF9AE}" pid="15" name="CASESLISTTMP1">
    <vt:lpwstr>20118363;17916448;22021509;8291661;6782092;18045843;13070717;7980226</vt:lpwstr>
  </property>
  <property fmtid="{D5CDD505-2E9C-101B-9397-08002B2CF9AE}" pid="16" name="WORDNUMPAGES">
    <vt:lpwstr>5</vt:lpwstr>
  </property>
  <property fmtid="{D5CDD505-2E9C-101B-9397-08002B2CF9AE}" pid="17" name="TYPE_ABS_DATE">
    <vt:lpwstr>380020170719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4216/006;007.a;007.c;010;009.a;009.d</vt:lpwstr>
  </property>
</Properties>
</file>