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186D17" w:rsidRPr="0052636F" w14:paraId="0D57996C" w14:textId="77777777" w:rsidTr="0006792F">
        <w:trPr>
          <w:trHeight w:hRule="exact" w:val="418"/>
          <w:jc w:val="center"/>
        </w:trPr>
        <w:tc>
          <w:tcPr>
            <w:tcW w:w="8721" w:type="dxa"/>
            <w:gridSpan w:val="2"/>
          </w:tcPr>
          <w:p w14:paraId="3D3AA1A2" w14:textId="77777777" w:rsidR="00186D17" w:rsidRPr="0052636F" w:rsidRDefault="00186D17" w:rsidP="00A37F2F">
            <w:pPr>
              <w:pStyle w:val="a3"/>
              <w:jc w:val="center"/>
              <w:rPr>
                <w:rFonts w:ascii="Tahoma" w:hAnsi="Tahoma"/>
                <w:color w:val="000080"/>
                <w:sz w:val="32"/>
                <w:szCs w:val="32"/>
                <w:rtl/>
              </w:rPr>
            </w:pPr>
            <w:bookmarkStart w:id="0" w:name="LastJudge"/>
            <w:r w:rsidRPr="0052636F">
              <w:rPr>
                <w:rFonts w:ascii="Tahoma" w:hAnsi="Tahoma"/>
                <w:b/>
                <w:bCs/>
                <w:color w:val="000080"/>
                <w:sz w:val="32"/>
                <w:szCs w:val="32"/>
                <w:rtl/>
              </w:rPr>
              <w:t>בית משפט השלום בתל אביב - יפו</w:t>
            </w:r>
          </w:p>
        </w:tc>
      </w:tr>
      <w:tr w:rsidR="00186D17" w:rsidRPr="0052636F" w14:paraId="14FABC81" w14:textId="77777777" w:rsidTr="0006792F">
        <w:trPr>
          <w:trHeight w:val="337"/>
          <w:jc w:val="center"/>
        </w:trPr>
        <w:tc>
          <w:tcPr>
            <w:tcW w:w="5054" w:type="dxa"/>
          </w:tcPr>
          <w:p w14:paraId="74A58857" w14:textId="77777777" w:rsidR="00186D17" w:rsidRPr="0052636F" w:rsidRDefault="00186D17" w:rsidP="00A37F2F">
            <w:pPr>
              <w:rPr>
                <w:sz w:val="26"/>
                <w:szCs w:val="26"/>
                <w:rtl/>
              </w:rPr>
            </w:pPr>
            <w:r w:rsidRPr="0052636F">
              <w:rPr>
                <w:sz w:val="26"/>
                <w:szCs w:val="26"/>
                <w:rtl/>
              </w:rPr>
              <w:t>ת"פ</w:t>
            </w:r>
            <w:r w:rsidRPr="0052636F">
              <w:rPr>
                <w:rFonts w:hint="cs"/>
                <w:sz w:val="26"/>
                <w:szCs w:val="26"/>
                <w:rtl/>
              </w:rPr>
              <w:t xml:space="preserve"> </w:t>
            </w:r>
            <w:r w:rsidRPr="0052636F">
              <w:rPr>
                <w:sz w:val="26"/>
                <w:szCs w:val="26"/>
                <w:rtl/>
              </w:rPr>
              <w:t>43529-11-16</w:t>
            </w:r>
            <w:r w:rsidRPr="0052636F">
              <w:rPr>
                <w:rFonts w:hint="cs"/>
                <w:sz w:val="26"/>
                <w:szCs w:val="26"/>
                <w:rtl/>
              </w:rPr>
              <w:t xml:space="preserve"> </w:t>
            </w:r>
            <w:r w:rsidRPr="0052636F">
              <w:rPr>
                <w:sz w:val="26"/>
                <w:szCs w:val="26"/>
                <w:rtl/>
              </w:rPr>
              <w:t>מדינת ישראל נ' טואר שייח</w:t>
            </w:r>
          </w:p>
        </w:tc>
        <w:tc>
          <w:tcPr>
            <w:tcW w:w="3667" w:type="dxa"/>
          </w:tcPr>
          <w:p w14:paraId="0D6C7615" w14:textId="77777777" w:rsidR="00186D17" w:rsidRPr="0052636F" w:rsidRDefault="00186D17" w:rsidP="00A37F2F">
            <w:pPr>
              <w:pStyle w:val="a3"/>
              <w:jc w:val="right"/>
              <w:rPr>
                <w:rFonts w:cs="FrankRuehl"/>
                <w:sz w:val="28"/>
                <w:szCs w:val="28"/>
                <w:rtl/>
              </w:rPr>
            </w:pPr>
          </w:p>
        </w:tc>
      </w:tr>
    </w:tbl>
    <w:p w14:paraId="721E4F2B" w14:textId="77777777" w:rsidR="00186D17" w:rsidRPr="0052636F" w:rsidRDefault="00186D17" w:rsidP="00186D17">
      <w:pPr>
        <w:pStyle w:val="a3"/>
        <w:rPr>
          <w:rtl/>
        </w:rPr>
      </w:pPr>
      <w:r w:rsidRPr="0052636F">
        <w:rPr>
          <w:rFonts w:hint="cs"/>
          <w:rtl/>
        </w:rPr>
        <w:t xml:space="preserve"> </w:t>
      </w:r>
    </w:p>
    <w:p w14:paraId="0FD00834" w14:textId="77777777" w:rsidR="00186D17" w:rsidRPr="0052636F" w:rsidRDefault="00186D17" w:rsidP="00186D1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31"/>
        <w:gridCol w:w="3394"/>
      </w:tblGrid>
      <w:tr w:rsidR="00186D17" w:rsidRPr="0052636F" w14:paraId="76CF1B2D" w14:textId="77777777" w:rsidTr="00186D17">
        <w:trPr>
          <w:trHeight w:val="295"/>
          <w:jc w:val="center"/>
        </w:trPr>
        <w:tc>
          <w:tcPr>
            <w:tcW w:w="8820" w:type="dxa"/>
            <w:gridSpan w:val="3"/>
            <w:tcBorders>
              <w:top w:val="nil"/>
              <w:left w:val="nil"/>
              <w:bottom w:val="nil"/>
              <w:right w:val="nil"/>
            </w:tcBorders>
            <w:shd w:val="clear" w:color="auto" w:fill="auto"/>
          </w:tcPr>
          <w:p w14:paraId="3AD775CD" w14:textId="77777777" w:rsidR="00186D17" w:rsidRPr="0052636F" w:rsidRDefault="00186D17" w:rsidP="00186D17">
            <w:pPr>
              <w:jc w:val="both"/>
              <w:rPr>
                <w:rFonts w:ascii="Arial" w:hAnsi="Arial"/>
                <w:b/>
                <w:bCs/>
                <w:sz w:val="26"/>
                <w:szCs w:val="26"/>
              </w:rPr>
            </w:pPr>
            <w:r w:rsidRPr="0052636F">
              <w:rPr>
                <w:rFonts w:ascii="Arial" w:hAnsi="Arial" w:hint="cs"/>
                <w:b/>
                <w:bCs/>
                <w:sz w:val="26"/>
                <w:szCs w:val="26"/>
                <w:rtl/>
              </w:rPr>
              <w:t>ל</w:t>
            </w:r>
            <w:r w:rsidRPr="0052636F">
              <w:rPr>
                <w:rFonts w:ascii="Arial" w:hAnsi="Arial"/>
                <w:b/>
                <w:bCs/>
                <w:sz w:val="26"/>
                <w:szCs w:val="26"/>
                <w:rtl/>
              </w:rPr>
              <w:t xml:space="preserve">פני </w:t>
            </w:r>
            <w:r w:rsidRPr="0052636F">
              <w:rPr>
                <w:rFonts w:ascii="Arial" w:hAnsi="Arial" w:hint="cs"/>
                <w:b/>
                <w:bCs/>
                <w:sz w:val="26"/>
                <w:szCs w:val="26"/>
                <w:rtl/>
              </w:rPr>
              <w:t>כבוד ה</w:t>
            </w:r>
            <w:r w:rsidRPr="0052636F">
              <w:rPr>
                <w:rFonts w:ascii="Arial" w:hAnsi="Arial"/>
                <w:b/>
                <w:bCs/>
                <w:sz w:val="26"/>
                <w:szCs w:val="26"/>
                <w:rtl/>
              </w:rPr>
              <w:t>שופט</w:t>
            </w:r>
            <w:r w:rsidRPr="0052636F">
              <w:rPr>
                <w:rFonts w:ascii="Arial" w:hAnsi="Arial" w:hint="cs"/>
                <w:b/>
                <w:bCs/>
                <w:sz w:val="26"/>
                <w:szCs w:val="26"/>
                <w:rtl/>
              </w:rPr>
              <w:t xml:space="preserve">  </w:t>
            </w:r>
            <w:r w:rsidRPr="0052636F">
              <w:rPr>
                <w:rFonts w:ascii="Arial" w:hAnsi="Arial"/>
                <w:b/>
                <w:bCs/>
                <w:sz w:val="26"/>
                <w:szCs w:val="26"/>
                <w:rtl/>
              </w:rPr>
              <w:t>איתי הרמלין</w:t>
            </w:r>
          </w:p>
        </w:tc>
      </w:tr>
      <w:tr w:rsidR="00186D17" w:rsidRPr="0052636F" w14:paraId="164FCFBF" w14:textId="77777777" w:rsidTr="0006792F">
        <w:trPr>
          <w:trHeight w:val="355"/>
          <w:jc w:val="center"/>
        </w:trPr>
        <w:tc>
          <w:tcPr>
            <w:tcW w:w="1195" w:type="dxa"/>
            <w:tcBorders>
              <w:top w:val="nil"/>
              <w:left w:val="nil"/>
              <w:bottom w:val="nil"/>
              <w:right w:val="nil"/>
            </w:tcBorders>
            <w:shd w:val="clear" w:color="auto" w:fill="auto"/>
          </w:tcPr>
          <w:p w14:paraId="02528829" w14:textId="77777777" w:rsidR="00186D17" w:rsidRPr="0052636F" w:rsidRDefault="00186D17" w:rsidP="00186D17">
            <w:pPr>
              <w:jc w:val="both"/>
              <w:rPr>
                <w:rFonts w:ascii="Arial" w:hAnsi="Arial"/>
                <w:b/>
                <w:bCs/>
                <w:sz w:val="26"/>
                <w:szCs w:val="26"/>
              </w:rPr>
            </w:pPr>
            <w:bookmarkStart w:id="1" w:name="FirstAppellant"/>
            <w:bookmarkStart w:id="2" w:name="FirstLawyer"/>
            <w:r w:rsidRPr="0052636F">
              <w:rPr>
                <w:rFonts w:ascii="Arial" w:hAnsi="Arial" w:hint="cs"/>
                <w:sz w:val="26"/>
                <w:szCs w:val="26"/>
                <w:rtl/>
              </w:rPr>
              <w:t>ה</w:t>
            </w:r>
            <w:r w:rsidRPr="0052636F">
              <w:rPr>
                <w:rFonts w:ascii="Arial" w:hAnsi="Arial"/>
                <w:sz w:val="26"/>
                <w:szCs w:val="26"/>
                <w:rtl/>
              </w:rPr>
              <w:t>מאשימה</w:t>
            </w:r>
          </w:p>
        </w:tc>
        <w:tc>
          <w:tcPr>
            <w:tcW w:w="4231" w:type="dxa"/>
            <w:tcBorders>
              <w:top w:val="nil"/>
              <w:left w:val="nil"/>
              <w:bottom w:val="nil"/>
              <w:right w:val="nil"/>
            </w:tcBorders>
            <w:shd w:val="clear" w:color="auto" w:fill="auto"/>
          </w:tcPr>
          <w:p w14:paraId="333E3548" w14:textId="77777777" w:rsidR="00186D17" w:rsidRPr="0052636F" w:rsidRDefault="00186D17" w:rsidP="00A37F2F">
            <w:pPr>
              <w:rPr>
                <w:sz w:val="26"/>
                <w:szCs w:val="26"/>
                <w:rtl/>
              </w:rPr>
            </w:pPr>
            <w:r w:rsidRPr="0052636F">
              <w:rPr>
                <w:rFonts w:ascii="Arial" w:hAnsi="Arial"/>
                <w:b/>
                <w:bCs/>
                <w:sz w:val="26"/>
                <w:szCs w:val="26"/>
                <w:rtl/>
              </w:rPr>
              <w:t>מדינת ישראל</w:t>
            </w:r>
          </w:p>
          <w:p w14:paraId="748EE153" w14:textId="77777777" w:rsidR="00186D17" w:rsidRPr="0052636F" w:rsidRDefault="00186D17" w:rsidP="00A37F2F">
            <w:pPr>
              <w:rPr>
                <w:sz w:val="26"/>
                <w:szCs w:val="26"/>
              </w:rPr>
            </w:pPr>
            <w:r w:rsidRPr="0052636F">
              <w:rPr>
                <w:rFonts w:hint="cs"/>
                <w:sz w:val="26"/>
                <w:szCs w:val="26"/>
                <w:rtl/>
              </w:rPr>
              <w:t>ע"י עו"ד אשר פרי ועו"ד יהונתן גנץ</w:t>
            </w:r>
          </w:p>
        </w:tc>
        <w:tc>
          <w:tcPr>
            <w:tcW w:w="3394" w:type="dxa"/>
            <w:tcBorders>
              <w:top w:val="nil"/>
              <w:left w:val="nil"/>
              <w:bottom w:val="nil"/>
              <w:right w:val="nil"/>
            </w:tcBorders>
            <w:shd w:val="clear" w:color="auto" w:fill="auto"/>
          </w:tcPr>
          <w:p w14:paraId="286719A6" w14:textId="77777777" w:rsidR="00186D17" w:rsidRPr="0052636F" w:rsidRDefault="00186D17" w:rsidP="00186D17">
            <w:pPr>
              <w:jc w:val="both"/>
              <w:rPr>
                <w:rFonts w:ascii="Arial" w:hAnsi="Arial"/>
                <w:sz w:val="26"/>
                <w:szCs w:val="26"/>
              </w:rPr>
            </w:pPr>
          </w:p>
        </w:tc>
      </w:tr>
      <w:bookmarkEnd w:id="1"/>
      <w:bookmarkEnd w:id="2"/>
      <w:tr w:rsidR="00186D17" w:rsidRPr="0052636F" w14:paraId="14B5FD83" w14:textId="77777777" w:rsidTr="0006792F">
        <w:trPr>
          <w:trHeight w:val="373"/>
          <w:jc w:val="center"/>
        </w:trPr>
        <w:tc>
          <w:tcPr>
            <w:tcW w:w="1195" w:type="dxa"/>
            <w:tcBorders>
              <w:top w:val="nil"/>
              <w:left w:val="nil"/>
              <w:bottom w:val="nil"/>
              <w:right w:val="nil"/>
            </w:tcBorders>
            <w:shd w:val="clear" w:color="auto" w:fill="auto"/>
          </w:tcPr>
          <w:p w14:paraId="0EE18F15" w14:textId="77777777" w:rsidR="00186D17" w:rsidRPr="0052636F" w:rsidRDefault="00186D17" w:rsidP="00186D17">
            <w:pPr>
              <w:jc w:val="both"/>
              <w:rPr>
                <w:rFonts w:ascii="Arial" w:hAnsi="Arial"/>
                <w:sz w:val="26"/>
                <w:szCs w:val="26"/>
                <w:rtl/>
              </w:rPr>
            </w:pPr>
          </w:p>
        </w:tc>
        <w:tc>
          <w:tcPr>
            <w:tcW w:w="7625" w:type="dxa"/>
            <w:gridSpan w:val="2"/>
            <w:tcBorders>
              <w:top w:val="nil"/>
              <w:left w:val="nil"/>
              <w:bottom w:val="nil"/>
              <w:right w:val="nil"/>
            </w:tcBorders>
            <w:shd w:val="clear" w:color="auto" w:fill="auto"/>
          </w:tcPr>
          <w:p w14:paraId="7E3AD10C" w14:textId="77777777" w:rsidR="00186D17" w:rsidRPr="0052636F" w:rsidRDefault="00186D17" w:rsidP="00186D17">
            <w:pPr>
              <w:jc w:val="center"/>
              <w:rPr>
                <w:rFonts w:ascii="Arial" w:hAnsi="Arial"/>
                <w:b/>
                <w:bCs/>
                <w:sz w:val="26"/>
                <w:szCs w:val="26"/>
                <w:rtl/>
              </w:rPr>
            </w:pPr>
          </w:p>
          <w:p w14:paraId="3172B0F2" w14:textId="77777777" w:rsidR="00186D17" w:rsidRPr="0052636F" w:rsidRDefault="00186D17" w:rsidP="00186D17">
            <w:pPr>
              <w:jc w:val="center"/>
              <w:rPr>
                <w:rFonts w:ascii="Arial" w:hAnsi="Arial"/>
                <w:b/>
                <w:bCs/>
                <w:sz w:val="26"/>
                <w:szCs w:val="26"/>
                <w:rtl/>
              </w:rPr>
            </w:pPr>
            <w:r w:rsidRPr="0052636F">
              <w:rPr>
                <w:rFonts w:ascii="Arial" w:hAnsi="Arial"/>
                <w:b/>
                <w:bCs/>
                <w:sz w:val="26"/>
                <w:szCs w:val="26"/>
                <w:rtl/>
              </w:rPr>
              <w:t>נגד</w:t>
            </w:r>
          </w:p>
          <w:p w14:paraId="17FB09DC" w14:textId="77777777" w:rsidR="00186D17" w:rsidRPr="0052636F" w:rsidRDefault="00186D17" w:rsidP="00186D17">
            <w:pPr>
              <w:jc w:val="both"/>
              <w:rPr>
                <w:rFonts w:ascii="Arial" w:hAnsi="Arial"/>
                <w:sz w:val="26"/>
                <w:szCs w:val="26"/>
              </w:rPr>
            </w:pPr>
          </w:p>
        </w:tc>
      </w:tr>
      <w:tr w:rsidR="00186D17" w:rsidRPr="0052636F" w14:paraId="6F92280F" w14:textId="77777777" w:rsidTr="0006792F">
        <w:trPr>
          <w:trHeight w:val="355"/>
          <w:jc w:val="center"/>
        </w:trPr>
        <w:tc>
          <w:tcPr>
            <w:tcW w:w="1195" w:type="dxa"/>
            <w:tcBorders>
              <w:top w:val="nil"/>
              <w:left w:val="nil"/>
              <w:bottom w:val="nil"/>
              <w:right w:val="nil"/>
            </w:tcBorders>
            <w:shd w:val="clear" w:color="auto" w:fill="auto"/>
          </w:tcPr>
          <w:p w14:paraId="24CB5419" w14:textId="77777777" w:rsidR="00186D17" w:rsidRPr="0052636F" w:rsidRDefault="00186D17" w:rsidP="00A37F2F">
            <w:pPr>
              <w:rPr>
                <w:rFonts w:ascii="Arial" w:hAnsi="Arial"/>
                <w:sz w:val="26"/>
                <w:szCs w:val="26"/>
                <w:rtl/>
              </w:rPr>
            </w:pPr>
            <w:r w:rsidRPr="0052636F">
              <w:rPr>
                <w:rFonts w:ascii="Arial" w:hAnsi="Arial" w:hint="cs"/>
                <w:sz w:val="26"/>
                <w:szCs w:val="26"/>
                <w:rtl/>
              </w:rPr>
              <w:t>ה</w:t>
            </w:r>
            <w:r w:rsidRPr="0052636F">
              <w:rPr>
                <w:rFonts w:ascii="Arial" w:hAnsi="Arial"/>
                <w:sz w:val="26"/>
                <w:szCs w:val="26"/>
                <w:rtl/>
              </w:rPr>
              <w:t>נאשמים</w:t>
            </w:r>
          </w:p>
        </w:tc>
        <w:tc>
          <w:tcPr>
            <w:tcW w:w="4231" w:type="dxa"/>
            <w:tcBorders>
              <w:top w:val="nil"/>
              <w:left w:val="nil"/>
              <w:bottom w:val="nil"/>
              <w:right w:val="nil"/>
            </w:tcBorders>
            <w:shd w:val="clear" w:color="auto" w:fill="auto"/>
          </w:tcPr>
          <w:p w14:paraId="2765FDD4" w14:textId="77777777" w:rsidR="00186D17" w:rsidRPr="0052636F" w:rsidRDefault="00186D17" w:rsidP="00A37F2F">
            <w:pPr>
              <w:rPr>
                <w:sz w:val="26"/>
                <w:szCs w:val="26"/>
                <w:rtl/>
              </w:rPr>
            </w:pPr>
            <w:r w:rsidRPr="0052636F">
              <w:rPr>
                <w:rFonts w:ascii="Arial" w:hAnsi="Arial"/>
                <w:b/>
                <w:bCs/>
                <w:sz w:val="26"/>
                <w:szCs w:val="26"/>
                <w:rtl/>
              </w:rPr>
              <w:t>עבדלרזיק אוסמן טואר שייח</w:t>
            </w:r>
          </w:p>
          <w:p w14:paraId="0EC77114" w14:textId="77777777" w:rsidR="00186D17" w:rsidRPr="0052636F" w:rsidRDefault="00186D17" w:rsidP="00A37F2F">
            <w:pPr>
              <w:rPr>
                <w:sz w:val="26"/>
                <w:szCs w:val="26"/>
                <w:rtl/>
              </w:rPr>
            </w:pPr>
            <w:r w:rsidRPr="0052636F">
              <w:rPr>
                <w:rFonts w:hint="cs"/>
                <w:sz w:val="26"/>
                <w:szCs w:val="26"/>
                <w:rtl/>
              </w:rPr>
              <w:t>ע"י עו"ד יעל ניסן פינקלמן</w:t>
            </w:r>
          </w:p>
        </w:tc>
        <w:tc>
          <w:tcPr>
            <w:tcW w:w="3394" w:type="dxa"/>
            <w:tcBorders>
              <w:top w:val="nil"/>
              <w:left w:val="nil"/>
              <w:bottom w:val="nil"/>
              <w:right w:val="nil"/>
            </w:tcBorders>
            <w:shd w:val="clear" w:color="auto" w:fill="auto"/>
          </w:tcPr>
          <w:p w14:paraId="1449D58C" w14:textId="77777777" w:rsidR="00186D17" w:rsidRPr="0052636F" w:rsidRDefault="00186D17" w:rsidP="00186D17">
            <w:pPr>
              <w:jc w:val="right"/>
              <w:rPr>
                <w:rFonts w:ascii="Arial" w:hAnsi="Arial"/>
                <w:sz w:val="26"/>
                <w:szCs w:val="26"/>
              </w:rPr>
            </w:pPr>
          </w:p>
        </w:tc>
      </w:tr>
    </w:tbl>
    <w:p w14:paraId="5517BD3C" w14:textId="77777777" w:rsidR="0006792F" w:rsidRDefault="0006792F" w:rsidP="0006792F">
      <w:pPr>
        <w:spacing w:after="120" w:line="240" w:lineRule="exact"/>
        <w:ind w:left="283" w:hanging="283"/>
        <w:jc w:val="both"/>
        <w:rPr>
          <w:rFonts w:ascii="FrankRuehl" w:hAnsi="FrankRuehl" w:cs="FrankRuehl" w:hint="cs"/>
          <w:rtl/>
        </w:rPr>
      </w:pPr>
    </w:p>
    <w:p w14:paraId="0AC39552" w14:textId="77777777" w:rsidR="0006792F" w:rsidRDefault="0006792F" w:rsidP="0006792F">
      <w:pPr>
        <w:spacing w:after="120" w:line="240" w:lineRule="exact"/>
        <w:ind w:left="283" w:hanging="283"/>
        <w:jc w:val="both"/>
        <w:rPr>
          <w:rFonts w:ascii="FrankRuehl" w:hAnsi="FrankRuehl" w:cs="FrankRuehl" w:hint="cs"/>
          <w:rtl/>
        </w:rPr>
      </w:pPr>
    </w:p>
    <w:p w14:paraId="0C441B32" w14:textId="77777777" w:rsidR="0006792F" w:rsidRPr="0006792F" w:rsidRDefault="0006792F" w:rsidP="0006792F">
      <w:pPr>
        <w:spacing w:after="120" w:line="240" w:lineRule="exact"/>
        <w:ind w:left="283" w:hanging="283"/>
        <w:jc w:val="both"/>
        <w:rPr>
          <w:rFonts w:ascii="FrankRuehl" w:hAnsi="FrankRuehl" w:cs="FrankRuehl"/>
          <w:rtl/>
        </w:rPr>
      </w:pPr>
      <w:r w:rsidRPr="0006792F">
        <w:rPr>
          <w:rFonts w:ascii="FrankRuehl" w:hAnsi="FrankRuehl" w:cs="FrankRuehl"/>
          <w:rtl/>
        </w:rPr>
        <w:t xml:space="preserve">חקיקה שאוזכרה: </w:t>
      </w:r>
    </w:p>
    <w:p w14:paraId="2BD40DAE" w14:textId="77777777" w:rsidR="0006792F" w:rsidRPr="0006792F" w:rsidRDefault="0006792F" w:rsidP="0006792F">
      <w:pPr>
        <w:spacing w:after="120" w:line="240" w:lineRule="exact"/>
        <w:ind w:left="283" w:hanging="283"/>
        <w:jc w:val="both"/>
        <w:rPr>
          <w:rFonts w:ascii="FrankRuehl" w:hAnsi="FrankRuehl" w:cs="FrankRuehl"/>
          <w:rtl/>
        </w:rPr>
      </w:pPr>
      <w:hyperlink r:id="rId6" w:history="1">
        <w:r w:rsidRPr="0006792F">
          <w:rPr>
            <w:rFonts w:ascii="FrankRuehl" w:hAnsi="FrankRuehl" w:cs="FrankRuehl"/>
            <w:color w:val="0000FF"/>
            <w:u w:val="single"/>
            <w:rtl/>
          </w:rPr>
          <w:t>פקודת הסמים המסוכנים [נוסח חדש], תשל"ג-1973</w:t>
        </w:r>
      </w:hyperlink>
    </w:p>
    <w:p w14:paraId="011D8EC0" w14:textId="77777777" w:rsidR="0006792F" w:rsidRPr="0006792F" w:rsidRDefault="0006792F" w:rsidP="0006792F">
      <w:pPr>
        <w:spacing w:after="120" w:line="240" w:lineRule="exact"/>
        <w:ind w:left="283" w:hanging="283"/>
        <w:jc w:val="both"/>
        <w:rPr>
          <w:rFonts w:ascii="FrankRuehl" w:hAnsi="FrankRuehl" w:cs="FrankRuehl"/>
          <w:rtl/>
        </w:rPr>
      </w:pPr>
      <w:hyperlink r:id="rId7" w:history="1">
        <w:r w:rsidRPr="0006792F">
          <w:rPr>
            <w:rFonts w:ascii="FrankRuehl" w:hAnsi="FrankRuehl" w:cs="FrankRuehl"/>
            <w:color w:val="0000FF"/>
            <w:u w:val="single"/>
            <w:rtl/>
          </w:rPr>
          <w:t>חוק סדר הדין הפלילי [נוסח משולב], תשמ"ב-1982</w:t>
        </w:r>
      </w:hyperlink>
    </w:p>
    <w:p w14:paraId="65FA1A9D" w14:textId="77777777" w:rsidR="0006792F" w:rsidRPr="0006792F" w:rsidRDefault="0006792F" w:rsidP="0006792F">
      <w:pPr>
        <w:spacing w:after="120" w:line="240" w:lineRule="exact"/>
        <w:ind w:left="283" w:hanging="283"/>
        <w:jc w:val="both"/>
        <w:rPr>
          <w:rFonts w:ascii="FrankRuehl" w:hAnsi="FrankRuehl" w:cs="FrankRuehl"/>
          <w:rtl/>
        </w:rPr>
      </w:pPr>
    </w:p>
    <w:p w14:paraId="46DBE216" w14:textId="77777777" w:rsidR="00186D17" w:rsidRDefault="00186D17" w:rsidP="00186D17">
      <w:pPr>
        <w:rPr>
          <w:rFonts w:hint="cs"/>
          <w:rtl/>
        </w:rPr>
      </w:pPr>
    </w:p>
    <w:p w14:paraId="7C7D3E41" w14:textId="77777777" w:rsidR="0006792F" w:rsidRDefault="0006792F" w:rsidP="00186D17">
      <w:pPr>
        <w:rPr>
          <w:rFonts w:hint="cs"/>
          <w:rtl/>
        </w:rPr>
      </w:pPr>
    </w:p>
    <w:p w14:paraId="6BCA42C4" w14:textId="77777777" w:rsidR="0006792F" w:rsidRPr="0052636F" w:rsidRDefault="0006792F" w:rsidP="00186D17">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86D17" w:rsidRPr="0052636F" w14:paraId="71CD2E72" w14:textId="77777777" w:rsidTr="00186D17">
        <w:trPr>
          <w:trHeight w:val="355"/>
          <w:jc w:val="center"/>
        </w:trPr>
        <w:tc>
          <w:tcPr>
            <w:tcW w:w="8820" w:type="dxa"/>
            <w:tcBorders>
              <w:top w:val="nil"/>
              <w:left w:val="nil"/>
              <w:bottom w:val="nil"/>
              <w:right w:val="nil"/>
            </w:tcBorders>
            <w:shd w:val="clear" w:color="auto" w:fill="auto"/>
          </w:tcPr>
          <w:p w14:paraId="49703C7C" w14:textId="77777777" w:rsidR="00186D17" w:rsidRPr="0052636F" w:rsidRDefault="00186D17" w:rsidP="00186D17">
            <w:pPr>
              <w:jc w:val="center"/>
              <w:rPr>
                <w:rFonts w:ascii="Arial" w:hAnsi="Arial"/>
                <w:sz w:val="28"/>
                <w:szCs w:val="28"/>
                <w:rtl/>
              </w:rPr>
            </w:pPr>
            <w:bookmarkStart w:id="3" w:name="PsakDin"/>
            <w:r w:rsidRPr="0052636F">
              <w:rPr>
                <w:rFonts w:ascii="Arial" w:hAnsi="Arial" w:hint="cs"/>
                <w:b/>
                <w:bCs/>
                <w:sz w:val="28"/>
                <w:szCs w:val="28"/>
                <w:rtl/>
              </w:rPr>
              <w:t xml:space="preserve">דחיית </w:t>
            </w:r>
            <w:bookmarkEnd w:id="3"/>
            <w:r w:rsidRPr="0052636F">
              <w:rPr>
                <w:rFonts w:ascii="Arial" w:hAnsi="Arial" w:hint="cs"/>
                <w:b/>
                <w:bCs/>
                <w:sz w:val="28"/>
                <w:szCs w:val="28"/>
                <w:rtl/>
              </w:rPr>
              <w:t>בקשה לביטול הרשעה וגזר דין</w:t>
            </w:r>
          </w:p>
        </w:tc>
      </w:tr>
    </w:tbl>
    <w:p w14:paraId="677BBD9A" w14:textId="77777777" w:rsidR="00186D17" w:rsidRPr="0052636F" w:rsidRDefault="00186D17" w:rsidP="00186D17">
      <w:pPr>
        <w:rPr>
          <w:rFonts w:ascii="Arial" w:hAnsi="Arial"/>
          <w:rtl/>
        </w:rPr>
      </w:pPr>
    </w:p>
    <w:p w14:paraId="1125B642"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1.</w:t>
      </w:r>
      <w:r w:rsidRPr="0052636F">
        <w:rPr>
          <w:rFonts w:ascii="Arial" w:hAnsi="Arial" w:hint="cs"/>
          <w:rtl/>
        </w:rPr>
        <w:tab/>
      </w:r>
      <w:bookmarkStart w:id="4" w:name="ABSTRACT_START"/>
      <w:bookmarkEnd w:id="4"/>
      <w:r w:rsidRPr="0052636F">
        <w:rPr>
          <w:rFonts w:ascii="Arial" w:hAnsi="Arial" w:hint="cs"/>
          <w:rtl/>
        </w:rPr>
        <w:t>הנאשם שהואשם במכירת סם לאדם אחר, הורשע לאחר שמיעת הוכחות בכך שביום 15.11.2016 נכנס יחד עם אדם נוסף לסמטת רחוב בכוונה למכור לו חשיש. הנאשם מסר לבחינתו של האדם האחר גוש חשיש במשקל 4.15 גרם, אך הקונה הפוטנציאלי היה מעוניין בכמות קטנה יותר (בשווי של 50 ₪). שוטרים שעקבו אחרי המעורבים בעסקה הסתערו עליהם עוד בטרם סוכמה העסקה (לא למותר לציין שלא הוכח במשפט שבוצע תשלום כלשהו). לנוכח קביעות עובדתיות אלה בהכרעת הדין, הרשעתי את הנאשם בעבירה של ניסיון לסחר בסם מסוכן ולא בביצוע העבירה המושלמת.</w:t>
      </w:r>
    </w:p>
    <w:p w14:paraId="6ECDB85F" w14:textId="77777777" w:rsidR="00186D17" w:rsidRPr="0052636F" w:rsidRDefault="00186D17" w:rsidP="00186D17">
      <w:pPr>
        <w:spacing w:line="360" w:lineRule="auto"/>
        <w:ind w:left="720" w:hanging="720"/>
        <w:jc w:val="both"/>
        <w:rPr>
          <w:rFonts w:ascii="Arial" w:hAnsi="Arial"/>
          <w:rtl/>
        </w:rPr>
      </w:pPr>
      <w:bookmarkStart w:id="5" w:name="ABSTRACT_END"/>
      <w:bookmarkEnd w:id="5"/>
    </w:p>
    <w:p w14:paraId="65270FC4"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2.</w:t>
      </w:r>
      <w:r w:rsidRPr="0052636F">
        <w:rPr>
          <w:rFonts w:ascii="Arial" w:hAnsi="Arial"/>
          <w:rtl/>
        </w:rPr>
        <w:tab/>
      </w:r>
      <w:r w:rsidRPr="0052636F">
        <w:rPr>
          <w:rFonts w:ascii="Arial" w:hAnsi="Arial" w:hint="cs"/>
          <w:rtl/>
        </w:rPr>
        <w:t xml:space="preserve">כעולה מהכרעת הדין, לפי הראיות שנשמעו בפני אין לדעת בוודאות אם הנאשם פנה לקונה הפוטנציאלי ברחוב או שפני הדברים היו הפוכים, כלומר שהקונה הוא שפנה אל הנאשם ברחוב וביקש ממנו שימכור לו סמים. מרב הראיות בתיק הצביעו על כך שהקונה הפוטנציאלי פנה לנאשם בבקשה שימכור לו סמים - כך טען הנאשם שקרה, והקונה הפוטנציאלי לא שלל בעדותו אפשרות זו. לטובת הנאשם יש להניח לכן שהקונה הפוטנציאלי הוא שפנה אליו ברחוב בבקשה שימכור לו סמים. יתר על כן, הראיות בתיק והשתלשלות העניינים המתוארת שנראתה "בלתי מקצועית" </w:t>
      </w:r>
      <w:r w:rsidRPr="0052636F">
        <w:rPr>
          <w:rFonts w:ascii="Arial" w:hAnsi="Arial"/>
          <w:rtl/>
        </w:rPr>
        <w:t>–</w:t>
      </w:r>
      <w:r w:rsidRPr="0052636F">
        <w:rPr>
          <w:rFonts w:ascii="Arial" w:hAnsi="Arial" w:hint="cs"/>
          <w:rtl/>
        </w:rPr>
        <w:t xml:space="preserve"> וכוונתי לעובדה שהנאשם העמיד את גוש החשיש לבחינתו של הקונה הפוטנציאלי עוד בטרם קיבל תשלום - אף העלו </w:t>
      </w:r>
      <w:r w:rsidRPr="0052636F">
        <w:rPr>
          <w:rFonts w:ascii="Arial" w:hAnsi="Arial" w:hint="cs"/>
          <w:rtl/>
        </w:rPr>
        <w:lastRenderedPageBreak/>
        <w:t xml:space="preserve">בדעתי את האפשרות כי הנאשם החזיק בגוש החשיש במקור לשימושו העצמי ורק בעקבות פנייתו של הקונה הפוטנציאלי ברחוב החליט לנסות למכור לו סמים. יש לציין שלא הייתה מחלוקת שהקונה הפוטנציאלי הגיע למקום כדי לרכוש סמים והסתובב ברחוב בחיפוש אחר אדם שימכור לו סמים. המשטרה גם לא בדקה את טענת הנאשם שעבר במקום בדרכו חזרה ממקום עבודתו לביתו. כלומר, קיימת אפשרות שהנאשם לא היה במקום במטרה מוקדמת למכור סמים, אלא הגיע למקום למטרה כשרה והתפתה למכור סמים שהיו ברשותו בעקבות פנייתו של הקונה הפוטנציאלי ברחוב. </w:t>
      </w:r>
    </w:p>
    <w:p w14:paraId="2694CAC4" w14:textId="77777777" w:rsidR="00186D17" w:rsidRPr="0052636F" w:rsidRDefault="00186D17" w:rsidP="00186D17">
      <w:pPr>
        <w:spacing w:line="360" w:lineRule="auto"/>
        <w:ind w:left="720" w:hanging="720"/>
        <w:jc w:val="both"/>
        <w:rPr>
          <w:rFonts w:ascii="Arial" w:hAnsi="Arial"/>
          <w:rtl/>
        </w:rPr>
      </w:pPr>
    </w:p>
    <w:p w14:paraId="35337EA5" w14:textId="77777777" w:rsidR="00186D17" w:rsidRPr="0052636F" w:rsidRDefault="00186D17" w:rsidP="00186D17">
      <w:pPr>
        <w:spacing w:line="360" w:lineRule="auto"/>
        <w:ind w:left="720" w:hanging="720"/>
        <w:jc w:val="both"/>
        <w:rPr>
          <w:rFonts w:ascii="Arial" w:hAnsi="Arial"/>
          <w:rtl/>
        </w:rPr>
      </w:pPr>
    </w:p>
    <w:p w14:paraId="138E57AF"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3.</w:t>
      </w:r>
      <w:r w:rsidRPr="0052636F">
        <w:rPr>
          <w:rFonts w:ascii="Arial" w:hAnsi="Arial"/>
          <w:rtl/>
        </w:rPr>
        <w:tab/>
      </w:r>
      <w:r w:rsidRPr="0052636F">
        <w:rPr>
          <w:rFonts w:ascii="Arial" w:hAnsi="Arial" w:hint="cs"/>
          <w:rtl/>
        </w:rPr>
        <w:t xml:space="preserve">מעבר לכך שמדובר היה בעסקה שלא הגיעה לכלל סיכום, ושכמות החומר שביקש הנאשם למכור הייתה קטנה יחסית, הרי שהסם שאותו ביקש למכור נחשב לסם שהשפעותיו קלות יחסית (ראו לעניין זה </w:t>
      </w:r>
      <w:r w:rsidRPr="0052636F">
        <w:rPr>
          <w:rFonts w:ascii="Arial" w:hAnsi="Arial" w:hint="cs"/>
          <w:b/>
          <w:bCs/>
          <w:rtl/>
        </w:rPr>
        <w:t>תזכיר</w:t>
      </w:r>
      <w:r w:rsidRPr="0052636F">
        <w:rPr>
          <w:rFonts w:ascii="Arial" w:hAnsi="Arial" w:hint="cs"/>
          <w:rtl/>
        </w:rPr>
        <w:t xml:space="preserve"> </w:t>
      </w:r>
      <w:r w:rsidRPr="0052636F">
        <w:rPr>
          <w:rFonts w:ascii="Arial" w:hAnsi="Arial"/>
          <w:b/>
          <w:bCs/>
          <w:rtl/>
        </w:rPr>
        <w:t xml:space="preserve">הצעת חוק לתיקון </w:t>
      </w:r>
      <w:hyperlink r:id="rId8" w:history="1">
        <w:r w:rsidR="0052636F" w:rsidRPr="0052636F">
          <w:rPr>
            <w:rFonts w:ascii="Arial" w:hAnsi="Arial"/>
            <w:b/>
            <w:bCs/>
            <w:color w:val="0000FF"/>
            <w:u w:val="single"/>
            <w:rtl/>
          </w:rPr>
          <w:t>פקודת הסמים המסוכנים</w:t>
        </w:r>
      </w:hyperlink>
      <w:r w:rsidRPr="0052636F">
        <w:rPr>
          <w:rFonts w:ascii="Arial" w:hAnsi="Arial"/>
          <w:b/>
          <w:bCs/>
          <w:rtl/>
        </w:rPr>
        <w:t xml:space="preserve"> [נוסח חדש] (הוראת שעה), התשע"ז -2017 ותיקון </w:t>
      </w:r>
      <w:hyperlink r:id="rId9" w:history="1">
        <w:r w:rsidR="0052636F" w:rsidRPr="0052636F">
          <w:rPr>
            <w:rFonts w:ascii="Arial" w:hAnsi="Arial"/>
            <w:b/>
            <w:bCs/>
            <w:color w:val="0000FF"/>
            <w:u w:val="single"/>
            <w:rtl/>
          </w:rPr>
          <w:t>חוק סדר הדין הפלילי</w:t>
        </w:r>
      </w:hyperlink>
      <w:r w:rsidRPr="0052636F">
        <w:rPr>
          <w:rFonts w:ascii="Arial" w:hAnsi="Arial"/>
          <w:b/>
          <w:bCs/>
          <w:rtl/>
        </w:rPr>
        <w:t xml:space="preserve"> (הוראת שעה), התשמ"ב – 1982</w:t>
      </w:r>
      <w:r w:rsidRPr="0052636F">
        <w:rPr>
          <w:rFonts w:ascii="Arial" w:hAnsi="Arial" w:hint="cs"/>
          <w:rtl/>
        </w:rPr>
        <w:t xml:space="preserve"> מחודש ינואר 2018).</w:t>
      </w:r>
    </w:p>
    <w:p w14:paraId="56C6A2F3" w14:textId="77777777" w:rsidR="00186D17" w:rsidRPr="0052636F" w:rsidRDefault="00186D17" w:rsidP="00186D17">
      <w:pPr>
        <w:spacing w:line="360" w:lineRule="auto"/>
        <w:ind w:left="720" w:hanging="720"/>
        <w:jc w:val="both"/>
        <w:rPr>
          <w:rFonts w:ascii="Arial" w:hAnsi="Arial"/>
          <w:rtl/>
        </w:rPr>
      </w:pPr>
    </w:p>
    <w:p w14:paraId="1D661DF8"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4.</w:t>
      </w:r>
      <w:r w:rsidRPr="0052636F">
        <w:rPr>
          <w:rFonts w:ascii="Arial" w:hAnsi="Arial" w:hint="cs"/>
          <w:rtl/>
        </w:rPr>
        <w:tab/>
        <w:t xml:space="preserve">לנוכח האמור לעיל ניתן לקבוע שמדובר במקרה זה בעבירה של ניסיון לסחר בסם הנמצאת ברף התחתון ממש של עבירה זו. </w:t>
      </w:r>
    </w:p>
    <w:p w14:paraId="719876D4" w14:textId="77777777" w:rsidR="00186D17" w:rsidRPr="0052636F" w:rsidRDefault="00186D17" w:rsidP="00186D17">
      <w:pPr>
        <w:spacing w:line="360" w:lineRule="auto"/>
        <w:ind w:left="720" w:hanging="720"/>
        <w:jc w:val="both"/>
        <w:rPr>
          <w:rFonts w:ascii="Arial" w:hAnsi="Arial"/>
          <w:rtl/>
        </w:rPr>
      </w:pPr>
    </w:p>
    <w:p w14:paraId="011384A7"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5.</w:t>
      </w:r>
      <w:r w:rsidRPr="0052636F">
        <w:rPr>
          <w:rFonts w:ascii="Arial" w:hAnsi="Arial"/>
          <w:rtl/>
        </w:rPr>
        <w:tab/>
      </w:r>
      <w:r w:rsidRPr="0052636F">
        <w:rPr>
          <w:rFonts w:ascii="Arial" w:hAnsi="Arial" w:hint="cs"/>
          <w:rtl/>
        </w:rPr>
        <w:t xml:space="preserve">הסניגורית עתרה לביטול הרשעתו של הנאשם בטענה שהרשעתו עלולה לגרור השלכות חמורות ובלתי מידתיות יחסית לעבירה שבה הורשע. </w:t>
      </w:r>
    </w:p>
    <w:p w14:paraId="64D4A1DB" w14:textId="77777777" w:rsidR="00186D17" w:rsidRPr="0052636F" w:rsidRDefault="00186D17" w:rsidP="00186D17">
      <w:pPr>
        <w:spacing w:line="360" w:lineRule="auto"/>
        <w:ind w:left="720" w:hanging="720"/>
        <w:jc w:val="both"/>
        <w:rPr>
          <w:rFonts w:ascii="Arial" w:hAnsi="Arial"/>
          <w:rtl/>
        </w:rPr>
      </w:pPr>
    </w:p>
    <w:p w14:paraId="4C522853"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6.</w:t>
      </w:r>
      <w:r w:rsidRPr="0052636F">
        <w:rPr>
          <w:rFonts w:ascii="Arial" w:hAnsi="Arial" w:hint="cs"/>
          <w:rtl/>
        </w:rPr>
        <w:tab/>
        <w:t>בהקשר זה חשובות שתי עובדות נוספות שנמסרו על ידי ההגנה. הראשונה היא שהנאשם הוא פליט מחבל דארפור בסודן, שקיבל בשל כך בזמנו מעמד של תושב ארעי בישראל, אך מעמד זה נשלל ממנו בשל הסתבכותו בתיק שבפניי. מנגד יש לציין שאמנם תיק זה הוא הראשון שבו הוא מורשע בעבירות סמים, אך לחובתו הרשעה בעבירת אלימות נגד בת זוגו.</w:t>
      </w:r>
    </w:p>
    <w:p w14:paraId="06E1CE53" w14:textId="77777777" w:rsidR="00186D17" w:rsidRPr="0052636F" w:rsidRDefault="00186D17" w:rsidP="00186D17">
      <w:pPr>
        <w:spacing w:line="360" w:lineRule="auto"/>
        <w:ind w:left="720" w:hanging="720"/>
        <w:jc w:val="both"/>
        <w:rPr>
          <w:rFonts w:ascii="Arial" w:hAnsi="Arial"/>
          <w:rtl/>
        </w:rPr>
      </w:pPr>
    </w:p>
    <w:p w14:paraId="1FB4F549"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7.</w:t>
      </w:r>
      <w:r w:rsidRPr="0052636F">
        <w:rPr>
          <w:rFonts w:ascii="Arial" w:hAnsi="Arial" w:hint="cs"/>
          <w:rtl/>
        </w:rPr>
        <w:tab/>
        <w:t>לטענת הסניגורית הרשעה בעבירת סמים היא בעלת השלכות חמורות יותר על מעמדו של הנאשם בישראל מאשר ההרשעה שנרשמה לחובתו בעבר בגין עבירת אלימות במשפחה. הסניגורית לא הציגה מסמך כלשהו התומך בטענותיה ולאחר בדיקה הבהירה כי אין מסמך התומך בטענות אלה. יתר על כן, עיון במסמך שכותרתו "</w:t>
      </w:r>
      <w:r w:rsidRPr="0052636F">
        <w:rPr>
          <w:rFonts w:ascii="Arial" w:hAnsi="Arial" w:hint="cs"/>
          <w:b/>
          <w:bCs/>
          <w:rtl/>
        </w:rPr>
        <w:t>מתווה</w:t>
      </w:r>
      <w:r w:rsidRPr="0052636F">
        <w:rPr>
          <w:rFonts w:ascii="Arial" w:hAnsi="Arial"/>
          <w:b/>
          <w:bCs/>
        </w:rPr>
        <w:t xml:space="preserve"> </w:t>
      </w:r>
      <w:r w:rsidRPr="0052636F">
        <w:rPr>
          <w:rFonts w:ascii="Arial" w:hAnsi="Arial" w:hint="cs"/>
          <w:b/>
          <w:bCs/>
          <w:rtl/>
        </w:rPr>
        <w:t>לתאום</w:t>
      </w:r>
      <w:r w:rsidRPr="0052636F">
        <w:rPr>
          <w:rFonts w:ascii="Arial" w:hAnsi="Arial"/>
          <w:b/>
          <w:bCs/>
        </w:rPr>
        <w:t xml:space="preserve"> </w:t>
      </w:r>
      <w:r w:rsidRPr="0052636F">
        <w:rPr>
          <w:rFonts w:ascii="Arial" w:hAnsi="Arial" w:hint="cs"/>
          <w:b/>
          <w:bCs/>
          <w:rtl/>
        </w:rPr>
        <w:t>הטיפול</w:t>
      </w:r>
      <w:r w:rsidRPr="0052636F">
        <w:rPr>
          <w:rFonts w:ascii="Arial" w:hAnsi="Arial"/>
          <w:b/>
          <w:bCs/>
        </w:rPr>
        <w:t xml:space="preserve"> </w:t>
      </w:r>
      <w:r w:rsidRPr="0052636F">
        <w:rPr>
          <w:rFonts w:ascii="Arial" w:hAnsi="Arial" w:hint="cs"/>
          <w:b/>
          <w:bCs/>
          <w:rtl/>
        </w:rPr>
        <w:t>במסתננים</w:t>
      </w:r>
      <w:r w:rsidRPr="0052636F">
        <w:rPr>
          <w:rFonts w:ascii="Arial" w:hAnsi="Arial"/>
          <w:b/>
          <w:bCs/>
        </w:rPr>
        <w:t xml:space="preserve"> </w:t>
      </w:r>
      <w:r w:rsidRPr="0052636F">
        <w:rPr>
          <w:rFonts w:ascii="Arial" w:hAnsi="Arial" w:hint="cs"/>
          <w:b/>
          <w:bCs/>
          <w:rtl/>
        </w:rPr>
        <w:t>המעורבים</w:t>
      </w:r>
      <w:r w:rsidRPr="0052636F">
        <w:rPr>
          <w:rFonts w:ascii="Arial" w:hAnsi="Arial"/>
          <w:b/>
          <w:bCs/>
        </w:rPr>
        <w:t xml:space="preserve"> </w:t>
      </w:r>
      <w:r w:rsidRPr="0052636F">
        <w:rPr>
          <w:rFonts w:ascii="Arial" w:hAnsi="Arial" w:hint="cs"/>
          <w:b/>
          <w:bCs/>
          <w:rtl/>
        </w:rPr>
        <w:t>בפלילים</w:t>
      </w:r>
      <w:r w:rsidRPr="0052636F">
        <w:rPr>
          <w:rFonts w:ascii="Arial" w:hAnsi="Arial"/>
          <w:b/>
          <w:bCs/>
        </w:rPr>
        <w:t xml:space="preserve"> </w:t>
      </w:r>
      <w:r w:rsidRPr="0052636F">
        <w:rPr>
          <w:rFonts w:ascii="Arial" w:hAnsi="Arial" w:hint="cs"/>
          <w:b/>
          <w:bCs/>
          <w:rtl/>
        </w:rPr>
        <w:t>בין</w:t>
      </w:r>
      <w:r w:rsidRPr="0052636F">
        <w:rPr>
          <w:rFonts w:ascii="Arial" w:hAnsi="Arial"/>
          <w:b/>
          <w:bCs/>
        </w:rPr>
        <w:t xml:space="preserve"> </w:t>
      </w:r>
      <w:r w:rsidRPr="0052636F">
        <w:rPr>
          <w:rFonts w:ascii="Arial" w:hAnsi="Arial" w:hint="cs"/>
          <w:b/>
          <w:bCs/>
          <w:rtl/>
        </w:rPr>
        <w:t>משטרת</w:t>
      </w:r>
      <w:r w:rsidRPr="0052636F">
        <w:rPr>
          <w:rFonts w:ascii="Arial" w:hAnsi="Arial"/>
          <w:b/>
          <w:bCs/>
        </w:rPr>
        <w:t xml:space="preserve"> </w:t>
      </w:r>
      <w:r w:rsidRPr="0052636F">
        <w:rPr>
          <w:rFonts w:ascii="Arial" w:hAnsi="Arial" w:hint="cs"/>
          <w:b/>
          <w:bCs/>
          <w:rtl/>
        </w:rPr>
        <w:t>ישראל</w:t>
      </w:r>
      <w:r w:rsidRPr="0052636F">
        <w:rPr>
          <w:rFonts w:ascii="Arial" w:hAnsi="Arial"/>
          <w:b/>
          <w:bCs/>
        </w:rPr>
        <w:t xml:space="preserve"> </w:t>
      </w:r>
      <w:r w:rsidRPr="0052636F">
        <w:rPr>
          <w:rFonts w:ascii="Arial" w:hAnsi="Arial" w:hint="cs"/>
          <w:b/>
          <w:bCs/>
          <w:rtl/>
        </w:rPr>
        <w:t>לרשות</w:t>
      </w:r>
      <w:r w:rsidRPr="0052636F">
        <w:rPr>
          <w:rFonts w:ascii="Arial" w:hAnsi="Arial"/>
          <w:b/>
          <w:bCs/>
        </w:rPr>
        <w:t xml:space="preserve"> </w:t>
      </w:r>
      <w:r w:rsidRPr="0052636F">
        <w:rPr>
          <w:rFonts w:ascii="Arial" w:hAnsi="Arial" w:hint="cs"/>
          <w:b/>
          <w:bCs/>
          <w:rtl/>
        </w:rPr>
        <w:t>ההגירה</w:t>
      </w:r>
      <w:r w:rsidRPr="0052636F">
        <w:rPr>
          <w:rFonts w:ascii="Arial" w:hAnsi="Arial"/>
          <w:b/>
          <w:bCs/>
        </w:rPr>
        <w:t xml:space="preserve"> </w:t>
      </w:r>
      <w:r w:rsidRPr="0052636F">
        <w:rPr>
          <w:rFonts w:ascii="Arial" w:hAnsi="Arial" w:hint="cs"/>
          <w:b/>
          <w:bCs/>
          <w:rtl/>
        </w:rPr>
        <w:t>והאוכלוסין</w:t>
      </w:r>
      <w:r w:rsidRPr="0052636F">
        <w:rPr>
          <w:rFonts w:ascii="Arial" w:hAnsi="Arial" w:hint="cs"/>
          <w:rtl/>
        </w:rPr>
        <w:t xml:space="preserve">" הזמין לקריאה באינטרנט, מעלה כי ממונה ביקורת הגבולות יכול לנקוט צעדים הקבועים בחוק הן נגד מי שעבר עבירת אלימות והן נגד מי שעבר עבירת סמים (למעט, החזקת סם לשימוש עצמי). שני סוגי העבירות מפורטים זה לצד זה בנספח למתווה זה. לפי מתווה זה, מעבר לשקילת סוג העבירה, על ממונה ביקורת הגבולות לשקול את משך תקופת המאסר שריצה "המסתנן", </w:t>
      </w:r>
      <w:r w:rsidRPr="0052636F">
        <w:rPr>
          <w:rFonts w:ascii="Arial" w:hAnsi="Arial" w:hint="cs"/>
          <w:rtl/>
        </w:rPr>
        <w:lastRenderedPageBreak/>
        <w:t>את מידת הישנותה של העבירה, את היקפה של התופעה העבריינית שבה מעורב "המסתנן" ועוד.</w:t>
      </w:r>
    </w:p>
    <w:p w14:paraId="7C32AEA8" w14:textId="77777777" w:rsidR="00186D17" w:rsidRPr="0052636F" w:rsidRDefault="00186D17" w:rsidP="00186D17">
      <w:pPr>
        <w:spacing w:line="360" w:lineRule="auto"/>
        <w:ind w:left="720" w:hanging="720"/>
        <w:jc w:val="both"/>
        <w:rPr>
          <w:rFonts w:ascii="Arial" w:hAnsi="Arial"/>
          <w:rtl/>
        </w:rPr>
      </w:pPr>
    </w:p>
    <w:p w14:paraId="3F636BA0"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8.</w:t>
      </w:r>
      <w:r w:rsidRPr="0052636F">
        <w:rPr>
          <w:rFonts w:ascii="Arial" w:hAnsi="Arial"/>
          <w:rtl/>
        </w:rPr>
        <w:tab/>
      </w:r>
      <w:r w:rsidRPr="0052636F">
        <w:rPr>
          <w:rFonts w:ascii="Arial" w:hAnsi="Arial" w:hint="cs"/>
          <w:rtl/>
        </w:rPr>
        <w:t>בהתחשב בכך שלחובת הנאשם הרשעה קודמת קשה לראות כי הרשעה נוספת בתיק שבפניי צפויה להביא לשינוי מהותי במעמדו של הנאשם בישראל. יתר על כן, לא מתקיימים בעניינו כל המבחנים שהציג שירות המבחן ב</w:t>
      </w:r>
      <w:hyperlink r:id="rId10" w:history="1">
        <w:r w:rsidR="00D91AB2" w:rsidRPr="00D91AB2">
          <w:rPr>
            <w:rFonts w:ascii="Arial" w:hAnsi="Arial"/>
            <w:color w:val="0000FF"/>
            <w:u w:val="single"/>
            <w:rtl/>
          </w:rPr>
          <w:t xml:space="preserve">ע"פ 2083/96‏ </w:t>
        </w:r>
      </w:hyperlink>
      <w:r w:rsidRPr="0052636F">
        <w:rPr>
          <w:rFonts w:ascii="Arial" w:hAnsi="Arial"/>
          <w:rtl/>
        </w:rPr>
        <w:t xml:space="preserve"> </w:t>
      </w:r>
      <w:r w:rsidRPr="0052636F">
        <w:rPr>
          <w:rFonts w:ascii="Arial" w:hAnsi="Arial" w:hint="cs"/>
          <w:b/>
          <w:bCs/>
          <w:rtl/>
        </w:rPr>
        <w:t xml:space="preserve">תמר </w:t>
      </w:r>
      <w:r w:rsidRPr="0052636F">
        <w:rPr>
          <w:rFonts w:ascii="Arial" w:hAnsi="Arial"/>
          <w:b/>
          <w:bCs/>
          <w:rtl/>
        </w:rPr>
        <w:t>כתב נ' מדינת ישראל</w:t>
      </w:r>
      <w:r w:rsidRPr="0052636F">
        <w:rPr>
          <w:rFonts w:ascii="Arial" w:hAnsi="Arial" w:hint="cs"/>
          <w:rtl/>
        </w:rPr>
        <w:t xml:space="preserve"> (1997). בראש ובראשונה הנאשם לא נוטל אחריות על מעשיו (הוא טען כי הוא היה הקונה ולא מוכר הסמים) ולא מביע חרטה עליהם, ובכך מעלה חשש שיחזור על מעשיו. לכן אני דוחה את עתירת ההגנה לביטול הרשעתו של הנאשם, ואפנה כעת לקביעת מתחם העונש ההולם.</w:t>
      </w:r>
    </w:p>
    <w:p w14:paraId="6424B80F" w14:textId="77777777" w:rsidR="00186D17" w:rsidRPr="0052636F" w:rsidRDefault="00186D17" w:rsidP="00186D17">
      <w:pPr>
        <w:spacing w:line="360" w:lineRule="auto"/>
        <w:ind w:left="720" w:hanging="720"/>
        <w:jc w:val="both"/>
        <w:rPr>
          <w:rFonts w:ascii="Arial" w:hAnsi="Arial"/>
          <w:rtl/>
        </w:rPr>
      </w:pPr>
    </w:p>
    <w:p w14:paraId="6FB5F69B"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9.</w:t>
      </w:r>
      <w:r w:rsidRPr="0052636F">
        <w:rPr>
          <w:rFonts w:ascii="Arial" w:hAnsi="Arial"/>
          <w:rtl/>
        </w:rPr>
        <w:tab/>
      </w:r>
      <w:r w:rsidRPr="0052636F">
        <w:rPr>
          <w:rFonts w:ascii="Arial" w:hAnsi="Arial" w:hint="cs"/>
          <w:rtl/>
        </w:rPr>
        <w:t>מעשהו של הנאשם עמד בסתירה למאבקה של המדינה בהפצת סמים. עם זאת, הפגיעה הייתה מזערית, כיוון שמדובר היה בעסקה יחידה למכירת כמות קטנה של סם שכלל לא יצאה לפועל.</w:t>
      </w:r>
    </w:p>
    <w:p w14:paraId="32C28C60" w14:textId="77777777" w:rsidR="00186D17" w:rsidRPr="0052636F" w:rsidRDefault="00186D17" w:rsidP="00186D17">
      <w:pPr>
        <w:spacing w:line="360" w:lineRule="auto"/>
        <w:jc w:val="both"/>
        <w:rPr>
          <w:rFonts w:ascii="Arial" w:hAnsi="Arial"/>
          <w:rtl/>
        </w:rPr>
      </w:pPr>
    </w:p>
    <w:p w14:paraId="6C900049" w14:textId="77777777" w:rsidR="00186D17" w:rsidRPr="0052636F" w:rsidRDefault="00186D17" w:rsidP="00186D17">
      <w:pPr>
        <w:spacing w:line="360" w:lineRule="auto"/>
        <w:ind w:left="720" w:hanging="720"/>
        <w:jc w:val="both"/>
        <w:rPr>
          <w:rFonts w:ascii="Arial" w:hAnsi="Arial"/>
          <w:rtl/>
        </w:rPr>
      </w:pPr>
      <w:r w:rsidRPr="0052636F">
        <w:rPr>
          <w:rFonts w:ascii="Arial" w:hAnsi="Arial" w:hint="cs"/>
          <w:rtl/>
        </w:rPr>
        <w:t>10.</w:t>
      </w:r>
      <w:r w:rsidRPr="0052636F">
        <w:rPr>
          <w:rFonts w:ascii="Arial" w:hAnsi="Arial" w:hint="cs"/>
          <w:rtl/>
        </w:rPr>
        <w:tab/>
        <w:t>הצדדים לא הגישו פסיקה כלשהי לעניין רמת הענישה הנוהגת. התביעה טענה כי העונש הראוי הוא של עבודות שירות ואילו ההגנה ביקשה להסתפק במאסר על תנאי (אם לא אבטל את הרשעת הנאשם כבקשתה). עיון בפסיקת בתי המשפט מעלה כי העונשים לעבירות סחר בסם או הספקת סם הנמצאות ברף התחתון מבחינת חומרת נסיבותיהן כוללים רכיב של מאסר על תנאי שלעיתים מצטרף אליו ביצוע שירות לתועלת הציבור ולעיתים מאסר קצר המרוצה בעבודות שירות. כך למשל ב</w:t>
      </w:r>
      <w:hyperlink r:id="rId11" w:history="1">
        <w:r w:rsidR="0052636F" w:rsidRPr="0052636F">
          <w:rPr>
            <w:rFonts w:ascii="Arial" w:hAnsi="Arial"/>
            <w:color w:val="0000FF"/>
            <w:u w:val="single"/>
            <w:rtl/>
          </w:rPr>
          <w:t>ת"פ (קרית שמונה) 14998-08-16</w:t>
        </w:r>
      </w:hyperlink>
      <w:r w:rsidRPr="0052636F">
        <w:rPr>
          <w:rFonts w:ascii="Arial" w:hAnsi="Arial" w:hint="cs"/>
          <w:rtl/>
        </w:rPr>
        <w:t xml:space="preserve"> </w:t>
      </w:r>
      <w:r w:rsidRPr="0052636F">
        <w:rPr>
          <w:rFonts w:ascii="Arial" w:hAnsi="Arial" w:hint="cs"/>
          <w:b/>
          <w:bCs/>
          <w:rtl/>
        </w:rPr>
        <w:t xml:space="preserve">מדינת ישראל נ' עידן כהן </w:t>
      </w:r>
      <w:r w:rsidRPr="0052636F">
        <w:rPr>
          <w:rFonts w:ascii="Arial" w:hAnsi="Arial" w:hint="cs"/>
          <w:rtl/>
        </w:rPr>
        <w:t xml:space="preserve"> (2017) נקבע כי מתחם העונש ההולם למי שמכר סם בשתי הזדמנויות בסכומים של 300 ₪    ו-100 ₪ נע בין מאסר על תנאי לשנה מאסר בפועל. באותו מקרה חויב הנאשם לבצע 140 שעות של"ץ בצד עונש מאסר על תנאי, תשלום קנס ופסילת רישיון נהיגה. ב</w:t>
      </w:r>
      <w:hyperlink r:id="rId12" w:history="1">
        <w:r w:rsidR="0052636F" w:rsidRPr="0052636F">
          <w:rPr>
            <w:rFonts w:ascii="Arial" w:hAnsi="Arial"/>
            <w:color w:val="0000FF"/>
            <w:u w:val="single"/>
            <w:rtl/>
          </w:rPr>
          <w:t>ת"פ (תל אביב) 5310-01-17</w:t>
        </w:r>
      </w:hyperlink>
      <w:r w:rsidRPr="0052636F">
        <w:rPr>
          <w:rFonts w:ascii="Arial" w:hAnsi="Arial" w:hint="cs"/>
          <w:rtl/>
        </w:rPr>
        <w:t xml:space="preserve"> </w:t>
      </w:r>
      <w:r w:rsidRPr="0052636F">
        <w:rPr>
          <w:rFonts w:ascii="Arial" w:hAnsi="Arial" w:hint="cs"/>
          <w:b/>
          <w:bCs/>
          <w:rtl/>
        </w:rPr>
        <w:t>מדינת ישראל נ' ארז כרמל רונן</w:t>
      </w:r>
      <w:r w:rsidRPr="0052636F">
        <w:rPr>
          <w:rFonts w:ascii="Arial" w:hAnsi="Arial" w:hint="cs"/>
          <w:rtl/>
        </w:rPr>
        <w:t xml:space="preserve"> (2018) נקבע כי מתחם העונש ההולם למי שסיפק 6.5 גרם קנביס תמורת 500 ₪ על רקע חברתי והחזיק ב-7 גרם נוספים לשימושו העצמי נע בין מאסר על תנאי בתוספת של"ץ לבין שמונה חודשי מאסר בפועל. בית המשפט הטיל על הנאשם מאסר על תנאי וחייב אותו בביצוע 180 שעות של"ץ וחתימה על התחייבות להימנע מעבירה. ב</w:t>
      </w:r>
      <w:hyperlink r:id="rId13" w:history="1">
        <w:r w:rsidR="0052636F" w:rsidRPr="0052636F">
          <w:rPr>
            <w:rFonts w:ascii="Arial" w:hAnsi="Arial"/>
            <w:color w:val="0000FF"/>
            <w:u w:val="single"/>
            <w:rtl/>
          </w:rPr>
          <w:t>ת"פ (תל אביב) 47067-01-16</w:t>
        </w:r>
      </w:hyperlink>
      <w:r w:rsidRPr="0052636F">
        <w:rPr>
          <w:rFonts w:ascii="Arial" w:hAnsi="Arial" w:hint="cs"/>
          <w:rtl/>
        </w:rPr>
        <w:t xml:space="preserve"> </w:t>
      </w:r>
      <w:r w:rsidRPr="0052636F">
        <w:rPr>
          <w:rFonts w:ascii="Arial" w:hAnsi="Arial" w:hint="cs"/>
          <w:b/>
          <w:bCs/>
          <w:rtl/>
        </w:rPr>
        <w:t>מדינת ישראל נ' אדר מן (ברמלי)</w:t>
      </w:r>
      <w:r w:rsidRPr="0052636F">
        <w:rPr>
          <w:rFonts w:ascii="Arial" w:hAnsi="Arial" w:hint="cs"/>
          <w:rtl/>
        </w:rPr>
        <w:t xml:space="preserve"> (2018) נקבע כי מתחם העונש ההולם למי שביקש לספק לחבר סם תמורת 500 ₪ נע בין מאסר על תנאי ובצדו של"ץ ועונשים כספיים לבין שנת מאסר בפועל. באותו מקרה נגזרו על הנאשם עונשים של מאסר על תנאי ופסילה מותנית של רישיון הנהיגה והוא חויב בביצוע 200 שעות של"ץ. ב</w:t>
      </w:r>
      <w:hyperlink r:id="rId14" w:history="1">
        <w:r w:rsidR="0052636F" w:rsidRPr="0052636F">
          <w:rPr>
            <w:rFonts w:ascii="Arial" w:hAnsi="Arial"/>
            <w:color w:val="0000FF"/>
            <w:u w:val="single"/>
            <w:rtl/>
          </w:rPr>
          <w:t>ת"פ (ירושלים)   9331-09-15</w:t>
        </w:r>
      </w:hyperlink>
      <w:r w:rsidRPr="0052636F">
        <w:rPr>
          <w:rFonts w:ascii="Arial" w:hAnsi="Arial" w:hint="cs"/>
          <w:rtl/>
        </w:rPr>
        <w:t xml:space="preserve"> </w:t>
      </w:r>
      <w:r w:rsidRPr="0052636F">
        <w:rPr>
          <w:rFonts w:ascii="Arial" w:hAnsi="Arial" w:hint="cs"/>
          <w:b/>
          <w:bCs/>
          <w:rtl/>
        </w:rPr>
        <w:t xml:space="preserve">מדינת ישראל נ' עמית משולם </w:t>
      </w:r>
      <w:r w:rsidRPr="0052636F">
        <w:rPr>
          <w:rFonts w:ascii="Arial" w:hAnsi="Arial" w:hint="cs"/>
          <w:rtl/>
        </w:rPr>
        <w:t xml:space="preserve">(2016) נקבע כי מתחם העונש ההולם למי שמכר לסוכן משטרתי 7.5 גרם קנביס תמורת 1,200 ₪ הוא בין תקופת מאסר קצרה שניתן לרצות בעבודות שירות לבין 10 חודשי מאסר בפועל. על הנאשם נגזרו 45 ימי מאסר בפועל לריצוי בעבודות שירות בצירוף מאסר על תנאי. </w:t>
      </w:r>
    </w:p>
    <w:p w14:paraId="6B67E04F" w14:textId="77777777" w:rsidR="00186D17" w:rsidRPr="0052636F" w:rsidRDefault="00186D17" w:rsidP="00186D17">
      <w:pPr>
        <w:spacing w:line="360" w:lineRule="auto"/>
        <w:ind w:left="720" w:hanging="720"/>
        <w:jc w:val="both"/>
        <w:rPr>
          <w:rFonts w:ascii="Arial" w:hAnsi="Arial"/>
          <w:rtl/>
        </w:rPr>
      </w:pPr>
    </w:p>
    <w:p w14:paraId="0B153734" w14:textId="77777777" w:rsidR="00D91AB2" w:rsidRDefault="00186D17" w:rsidP="00D91AB2">
      <w:pPr>
        <w:spacing w:line="360" w:lineRule="auto"/>
        <w:ind w:left="720" w:hanging="720"/>
        <w:jc w:val="both"/>
        <w:rPr>
          <w:rFonts w:ascii="Arial" w:hAnsi="Arial"/>
          <w:rtl/>
        </w:rPr>
      </w:pPr>
      <w:r w:rsidRPr="0052636F">
        <w:rPr>
          <w:rFonts w:ascii="Arial" w:hAnsi="Arial" w:hint="cs"/>
          <w:rtl/>
        </w:rPr>
        <w:t>11.</w:t>
      </w:r>
      <w:r w:rsidRPr="0052636F">
        <w:rPr>
          <w:rFonts w:ascii="Arial" w:hAnsi="Arial"/>
          <w:rtl/>
        </w:rPr>
        <w:tab/>
      </w:r>
      <w:r w:rsidRPr="0052636F">
        <w:rPr>
          <w:rFonts w:ascii="Arial" w:hAnsi="Arial" w:hint="cs"/>
          <w:rtl/>
        </w:rPr>
        <w:t>לנוכח האמור לעיל אני קובע כי מתחם העונש ההולם למעשהו של הנאשם נע בין מאסר ע</w:t>
      </w:r>
      <w:bookmarkStart w:id="6" w:name="LawTable"/>
      <w:bookmarkEnd w:id="6"/>
    </w:p>
    <w:p w14:paraId="47F38D26" w14:textId="77777777" w:rsidR="00D91AB2" w:rsidRPr="00D91AB2" w:rsidRDefault="00D91AB2" w:rsidP="00D91AB2">
      <w:pPr>
        <w:spacing w:after="120" w:line="240" w:lineRule="exact"/>
        <w:ind w:left="283" w:hanging="283"/>
        <w:jc w:val="both"/>
        <w:rPr>
          <w:rFonts w:ascii="FrankRuehl" w:hAnsi="FrankRuehl" w:cs="FrankRuehl"/>
          <w:rtl/>
        </w:rPr>
      </w:pPr>
    </w:p>
    <w:p w14:paraId="657ABAAD" w14:textId="77777777" w:rsidR="00D91AB2" w:rsidRPr="00D91AB2" w:rsidRDefault="00D91AB2" w:rsidP="00D91AB2">
      <w:pPr>
        <w:spacing w:after="120" w:line="240" w:lineRule="exact"/>
        <w:ind w:left="283" w:hanging="283"/>
        <w:jc w:val="both"/>
        <w:rPr>
          <w:rFonts w:ascii="FrankRuehl" w:hAnsi="FrankRuehl" w:cs="FrankRuehl"/>
          <w:rtl/>
        </w:rPr>
      </w:pPr>
      <w:r w:rsidRPr="00D91AB2">
        <w:rPr>
          <w:rFonts w:ascii="FrankRuehl" w:hAnsi="FrankRuehl" w:cs="FrankRuehl"/>
          <w:rtl/>
        </w:rPr>
        <w:t xml:space="preserve">חקיקה שאוזכרה: </w:t>
      </w:r>
    </w:p>
    <w:p w14:paraId="305870D1" w14:textId="77777777" w:rsidR="00D91AB2" w:rsidRPr="00D91AB2" w:rsidRDefault="00D91AB2" w:rsidP="00D91AB2">
      <w:pPr>
        <w:spacing w:after="120" w:line="240" w:lineRule="exact"/>
        <w:ind w:left="283" w:hanging="283"/>
        <w:jc w:val="both"/>
        <w:rPr>
          <w:rFonts w:ascii="FrankRuehl" w:hAnsi="FrankRuehl" w:cs="FrankRuehl"/>
          <w:rtl/>
        </w:rPr>
      </w:pPr>
      <w:hyperlink r:id="rId15" w:history="1">
        <w:r w:rsidRPr="00D91AB2">
          <w:rPr>
            <w:rFonts w:ascii="FrankRuehl" w:hAnsi="FrankRuehl" w:cs="FrankRuehl"/>
            <w:color w:val="0000FF"/>
            <w:u w:val="single"/>
            <w:rtl/>
          </w:rPr>
          <w:t>פקודת הסמים המסוכנים [נוסח חדש], תשל"ג-1973</w:t>
        </w:r>
      </w:hyperlink>
    </w:p>
    <w:p w14:paraId="4BECBFF7" w14:textId="77777777" w:rsidR="00D91AB2" w:rsidRPr="00D91AB2" w:rsidRDefault="00D91AB2" w:rsidP="00D91AB2">
      <w:pPr>
        <w:spacing w:after="120" w:line="240" w:lineRule="exact"/>
        <w:ind w:left="283" w:hanging="283"/>
        <w:jc w:val="both"/>
        <w:rPr>
          <w:rFonts w:ascii="FrankRuehl" w:hAnsi="FrankRuehl" w:cs="FrankRuehl"/>
          <w:rtl/>
        </w:rPr>
      </w:pPr>
      <w:hyperlink r:id="rId16" w:history="1">
        <w:r w:rsidRPr="00D91AB2">
          <w:rPr>
            <w:rFonts w:ascii="FrankRuehl" w:hAnsi="FrankRuehl" w:cs="FrankRuehl"/>
            <w:color w:val="0000FF"/>
            <w:u w:val="single"/>
            <w:rtl/>
          </w:rPr>
          <w:t>חוק סדר הדין הפלילי [נוסח משולב], תשמ"ב-1982</w:t>
        </w:r>
      </w:hyperlink>
    </w:p>
    <w:p w14:paraId="548D4FDB" w14:textId="77777777" w:rsidR="00D91AB2" w:rsidRPr="00D91AB2" w:rsidRDefault="00D91AB2" w:rsidP="00D91AB2">
      <w:pPr>
        <w:spacing w:after="120" w:line="240" w:lineRule="exact"/>
        <w:ind w:left="283" w:hanging="283"/>
        <w:jc w:val="both"/>
        <w:rPr>
          <w:rFonts w:ascii="FrankRuehl" w:hAnsi="FrankRuehl" w:cs="FrankRuehl"/>
          <w:rtl/>
        </w:rPr>
      </w:pPr>
    </w:p>
    <w:p w14:paraId="4C3D5854" w14:textId="77777777" w:rsidR="00D91AB2" w:rsidRPr="00D91AB2" w:rsidRDefault="00D91AB2" w:rsidP="00D91AB2">
      <w:pPr>
        <w:spacing w:line="360" w:lineRule="auto"/>
        <w:ind w:left="720" w:hanging="720"/>
        <w:jc w:val="both"/>
        <w:rPr>
          <w:rFonts w:ascii="Arial" w:hAnsi="Arial"/>
          <w:rtl/>
        </w:rPr>
      </w:pPr>
      <w:bookmarkStart w:id="7" w:name="LawTable_End"/>
      <w:bookmarkEnd w:id="7"/>
    </w:p>
    <w:p w14:paraId="68726B33" w14:textId="77777777" w:rsidR="00D91AB2" w:rsidRPr="00D91AB2" w:rsidRDefault="00D91AB2" w:rsidP="00D91AB2">
      <w:pPr>
        <w:spacing w:line="360" w:lineRule="auto"/>
        <w:ind w:left="720" w:hanging="720"/>
        <w:jc w:val="both"/>
        <w:rPr>
          <w:rFonts w:ascii="Arial" w:hAnsi="Arial"/>
          <w:rtl/>
        </w:rPr>
      </w:pPr>
    </w:p>
    <w:p w14:paraId="088777D2" w14:textId="77777777" w:rsidR="0006792F" w:rsidRPr="0006792F" w:rsidRDefault="00186D17" w:rsidP="00D91AB2">
      <w:pPr>
        <w:spacing w:line="360" w:lineRule="auto"/>
        <w:ind w:left="720" w:hanging="720"/>
        <w:jc w:val="both"/>
        <w:rPr>
          <w:rFonts w:ascii="Arial" w:hAnsi="Arial"/>
          <w:rtl/>
        </w:rPr>
      </w:pPr>
      <w:r w:rsidRPr="00D91AB2">
        <w:rPr>
          <w:rFonts w:ascii="Arial" w:hAnsi="Arial" w:hint="cs"/>
          <w:rtl/>
        </w:rPr>
        <w:t>ל</w:t>
      </w:r>
    </w:p>
    <w:p w14:paraId="500C632B" w14:textId="77777777" w:rsidR="0006792F" w:rsidRPr="0006792F" w:rsidRDefault="0006792F" w:rsidP="00186D17">
      <w:pPr>
        <w:spacing w:line="360" w:lineRule="auto"/>
        <w:ind w:left="720" w:hanging="720"/>
        <w:jc w:val="both"/>
        <w:rPr>
          <w:rFonts w:ascii="Arial" w:hAnsi="Arial"/>
          <w:rtl/>
        </w:rPr>
      </w:pPr>
    </w:p>
    <w:p w14:paraId="06454516" w14:textId="77777777" w:rsidR="0052636F" w:rsidRPr="0052636F" w:rsidRDefault="00186D17" w:rsidP="00186D17">
      <w:pPr>
        <w:spacing w:line="360" w:lineRule="auto"/>
        <w:ind w:left="720" w:hanging="720"/>
        <w:jc w:val="both"/>
        <w:rPr>
          <w:rFonts w:ascii="Arial" w:hAnsi="Arial"/>
          <w:rtl/>
        </w:rPr>
      </w:pPr>
      <w:r w:rsidRPr="0006792F">
        <w:rPr>
          <w:rFonts w:ascii="Arial" w:hAnsi="Arial" w:hint="cs"/>
          <w:rtl/>
        </w:rPr>
        <w:t xml:space="preserve"> </w:t>
      </w:r>
    </w:p>
    <w:p w14:paraId="2A781604" w14:textId="77777777" w:rsidR="0052636F" w:rsidRPr="0052636F" w:rsidRDefault="0052636F" w:rsidP="00186D17">
      <w:pPr>
        <w:spacing w:line="360" w:lineRule="auto"/>
        <w:ind w:left="720" w:hanging="720"/>
        <w:jc w:val="both"/>
        <w:rPr>
          <w:rFonts w:ascii="Arial" w:hAnsi="Arial"/>
          <w:rtl/>
        </w:rPr>
      </w:pPr>
    </w:p>
    <w:p w14:paraId="5BF153B2" w14:textId="77777777" w:rsidR="0052636F" w:rsidRPr="0052636F" w:rsidRDefault="0052636F" w:rsidP="00186D17">
      <w:pPr>
        <w:spacing w:line="360" w:lineRule="auto"/>
        <w:ind w:left="720" w:hanging="720"/>
        <w:jc w:val="both"/>
        <w:rPr>
          <w:rFonts w:ascii="Arial" w:hAnsi="Arial"/>
          <w:rtl/>
        </w:rPr>
      </w:pPr>
    </w:p>
    <w:bookmarkEnd w:id="0"/>
    <w:p w14:paraId="5424AF00" w14:textId="77777777" w:rsidR="0052636F" w:rsidRPr="0052636F" w:rsidRDefault="0052636F" w:rsidP="0052636F">
      <w:pPr>
        <w:spacing w:line="360" w:lineRule="auto"/>
        <w:ind w:left="720" w:hanging="720"/>
        <w:jc w:val="center"/>
        <w:rPr>
          <w:rFonts w:ascii="Arial" w:hAnsi="Arial"/>
          <w:bCs/>
          <w:rtl/>
        </w:rPr>
      </w:pPr>
      <w:r w:rsidRPr="0052636F">
        <w:rPr>
          <w:rFonts w:ascii="Arial" w:hAnsi="Arial"/>
          <w:bCs/>
          <w:rtl/>
        </w:rPr>
        <w:t>תנאי שאליו נוסף צו שירות לתועלת הציבור ועד מאסר בפועל לתקופה שניתן לרצות</w:t>
      </w:r>
    </w:p>
    <w:p w14:paraId="1E5A7CF3" w14:textId="77777777" w:rsidR="00186D17" w:rsidRDefault="00186D17" w:rsidP="00186D17">
      <w:pPr>
        <w:spacing w:line="360" w:lineRule="auto"/>
        <w:ind w:left="720" w:hanging="720"/>
        <w:jc w:val="both"/>
        <w:rPr>
          <w:rFonts w:ascii="Arial" w:hAnsi="Arial"/>
          <w:rtl/>
        </w:rPr>
      </w:pPr>
      <w:r>
        <w:rPr>
          <w:rFonts w:ascii="Arial" w:hAnsi="Arial" w:hint="cs"/>
          <w:rtl/>
        </w:rPr>
        <w:t>בעבודות שירות.</w:t>
      </w:r>
    </w:p>
    <w:p w14:paraId="107849FA" w14:textId="77777777" w:rsidR="00186D17" w:rsidRDefault="00186D17" w:rsidP="00186D17">
      <w:pPr>
        <w:spacing w:line="360" w:lineRule="auto"/>
        <w:ind w:left="720" w:hanging="720"/>
        <w:jc w:val="both"/>
        <w:rPr>
          <w:rFonts w:ascii="Arial" w:hAnsi="Arial"/>
          <w:rtl/>
        </w:rPr>
      </w:pPr>
    </w:p>
    <w:p w14:paraId="71BAAB2C" w14:textId="77777777" w:rsidR="00186D17" w:rsidRDefault="00186D17" w:rsidP="00186D17">
      <w:pPr>
        <w:spacing w:line="360" w:lineRule="auto"/>
        <w:ind w:left="720" w:hanging="720"/>
        <w:jc w:val="both"/>
        <w:rPr>
          <w:rFonts w:ascii="Arial" w:hAnsi="Arial"/>
          <w:rtl/>
        </w:rPr>
      </w:pPr>
    </w:p>
    <w:p w14:paraId="2145AF65" w14:textId="77777777" w:rsidR="00186D17" w:rsidRDefault="00186D17" w:rsidP="00186D17">
      <w:pPr>
        <w:spacing w:line="360" w:lineRule="auto"/>
        <w:ind w:left="720" w:hanging="720"/>
        <w:jc w:val="both"/>
        <w:rPr>
          <w:rFonts w:ascii="Arial" w:hAnsi="Arial"/>
          <w:rtl/>
        </w:rPr>
      </w:pPr>
    </w:p>
    <w:p w14:paraId="09668BA3" w14:textId="77777777" w:rsidR="00186D17" w:rsidRDefault="00186D17" w:rsidP="00186D17">
      <w:pPr>
        <w:spacing w:line="360" w:lineRule="auto"/>
        <w:ind w:left="720" w:hanging="720"/>
        <w:jc w:val="both"/>
        <w:rPr>
          <w:rFonts w:ascii="Arial" w:hAnsi="Arial"/>
          <w:rtl/>
        </w:rPr>
      </w:pPr>
      <w:r>
        <w:rPr>
          <w:rFonts w:ascii="Arial" w:hAnsi="Arial" w:hint="cs"/>
          <w:rtl/>
        </w:rPr>
        <w:t>12.</w:t>
      </w:r>
      <w:r>
        <w:rPr>
          <w:rFonts w:ascii="Arial" w:hAnsi="Arial"/>
          <w:rtl/>
        </w:rPr>
        <w:tab/>
      </w:r>
      <w:r>
        <w:rPr>
          <w:rFonts w:ascii="Arial" w:hAnsi="Arial" w:hint="cs"/>
          <w:rtl/>
        </w:rPr>
        <w:t>לפי המידע שמסרה ההגנה, הנאשם הוא כאמור לעיל פליט מחבל דארפור בסודן שכידוע בוצע בו למרבה הזעזוע רצח עם. כיוון שנמלט מרצח עם, העניקה מדינת ישראל לנאשם מעמד של תושב ארעי (אשרה א/5), אך מעמד זה נשלל ממנו לדברי ההגנה בעקבות פתיחת ההליכים בתיק זה, ובשל שלילת המעמד נפגעה יכולתו להתפרנס.</w:t>
      </w:r>
    </w:p>
    <w:p w14:paraId="3E07ACCE" w14:textId="77777777" w:rsidR="00186D17" w:rsidRPr="000F71A2" w:rsidRDefault="00186D17" w:rsidP="00186D17">
      <w:pPr>
        <w:spacing w:line="360" w:lineRule="auto"/>
        <w:ind w:left="720" w:hanging="720"/>
        <w:jc w:val="both"/>
        <w:rPr>
          <w:rFonts w:ascii="Arial" w:hAnsi="Arial"/>
          <w:rtl/>
        </w:rPr>
      </w:pPr>
    </w:p>
    <w:p w14:paraId="477D2457" w14:textId="77777777" w:rsidR="00186D17" w:rsidRPr="000F71A2" w:rsidRDefault="00186D17" w:rsidP="00186D17">
      <w:pPr>
        <w:spacing w:line="360" w:lineRule="auto"/>
        <w:ind w:left="720" w:hanging="720"/>
        <w:jc w:val="both"/>
        <w:rPr>
          <w:rFonts w:ascii="Arial" w:hAnsi="Arial"/>
          <w:rtl/>
        </w:rPr>
      </w:pPr>
      <w:r>
        <w:rPr>
          <w:rFonts w:ascii="Arial" w:hAnsi="Arial" w:hint="cs"/>
          <w:rtl/>
        </w:rPr>
        <w:t>13</w:t>
      </w:r>
      <w:r w:rsidRPr="000F71A2">
        <w:rPr>
          <w:rFonts w:ascii="Arial" w:hAnsi="Arial" w:hint="cs"/>
          <w:rtl/>
        </w:rPr>
        <w:t>.</w:t>
      </w:r>
      <w:r w:rsidRPr="000F71A2">
        <w:rPr>
          <w:rFonts w:ascii="Arial" w:hAnsi="Arial" w:hint="cs"/>
          <w:rtl/>
        </w:rPr>
        <w:tab/>
      </w:r>
      <w:r>
        <w:rPr>
          <w:rFonts w:ascii="Arial" w:hAnsi="Arial" w:hint="cs"/>
          <w:rtl/>
        </w:rPr>
        <w:t>אף על פי שדחיתי את בקשת ההגנה לביטול הרשעתו של הנאשם</w:t>
      </w:r>
      <w:r w:rsidRPr="000F71A2">
        <w:rPr>
          <w:rFonts w:ascii="Arial" w:hAnsi="Arial" w:hint="cs"/>
          <w:rtl/>
        </w:rPr>
        <w:t xml:space="preserve">, </w:t>
      </w:r>
      <w:r>
        <w:rPr>
          <w:rFonts w:ascii="Arial" w:hAnsi="Arial" w:hint="cs"/>
          <w:rtl/>
        </w:rPr>
        <w:t xml:space="preserve">בעת קביעת עונשו של הנאשם </w:t>
      </w:r>
      <w:r w:rsidRPr="000F71A2">
        <w:rPr>
          <w:rFonts w:ascii="Arial" w:hAnsi="Arial" w:hint="cs"/>
          <w:rtl/>
        </w:rPr>
        <w:t>לא ניתן להתעלם מן הנזקים שכבר נגרמו ל</w:t>
      </w:r>
      <w:r>
        <w:rPr>
          <w:rFonts w:ascii="Arial" w:hAnsi="Arial" w:hint="cs"/>
          <w:rtl/>
        </w:rPr>
        <w:t>ו</w:t>
      </w:r>
      <w:r w:rsidRPr="000F71A2">
        <w:rPr>
          <w:rFonts w:ascii="Arial" w:hAnsi="Arial" w:hint="cs"/>
          <w:rtl/>
        </w:rPr>
        <w:t xml:space="preserve"> כתוצאה מן העבירה (ובראש</w:t>
      </w:r>
      <w:r>
        <w:rPr>
          <w:rFonts w:ascii="Arial" w:hAnsi="Arial" w:hint="cs"/>
          <w:rtl/>
        </w:rPr>
        <w:t>ם</w:t>
      </w:r>
      <w:r w:rsidRPr="000F71A2">
        <w:rPr>
          <w:rFonts w:ascii="Arial" w:hAnsi="Arial" w:hint="cs"/>
          <w:rtl/>
        </w:rPr>
        <w:t xml:space="preserve"> שלילת מעמדו החוקי בישראל</w:t>
      </w:r>
      <w:r>
        <w:rPr>
          <w:rFonts w:ascii="Arial" w:hAnsi="Arial" w:hint="cs"/>
          <w:rtl/>
        </w:rPr>
        <w:t xml:space="preserve"> כתושב ארעי</w:t>
      </w:r>
      <w:r w:rsidRPr="000F71A2">
        <w:rPr>
          <w:rFonts w:ascii="Arial" w:hAnsi="Arial" w:hint="cs"/>
          <w:rtl/>
        </w:rPr>
        <w:t>) ומן העובדה שהטלת עונש מאסר ממושך עלולה להביא להטלת סנקציות נוספות עליו על ידי ממונה ביקורת הגבולות (כגון השמתו במשמורת)</w:t>
      </w:r>
      <w:r>
        <w:rPr>
          <w:rFonts w:ascii="Arial" w:hAnsi="Arial" w:hint="cs"/>
          <w:rtl/>
        </w:rPr>
        <w:t>, שכן כאמור לעיל אורך המאסר הוא אחד משיקוליו של הממונה</w:t>
      </w:r>
      <w:r w:rsidRPr="000F71A2">
        <w:rPr>
          <w:rFonts w:ascii="Arial" w:hAnsi="Arial" w:hint="cs"/>
          <w:rtl/>
        </w:rPr>
        <w:t>. כאשר מאזנים עובדות אלה עם העובדה שלחובת הנאשם הרשעה קודמת בעבירה מסוג אחר ועם העובדה שלא נטל אחריות על מעשיו, אני סבור כי העונש הראוי לנאשם הוא בחלק התחתון של מתחם הענישה, אך לא ברף התחתון ממש.</w:t>
      </w:r>
    </w:p>
    <w:p w14:paraId="26E7FEB7" w14:textId="77777777" w:rsidR="00186D17" w:rsidRDefault="00186D17" w:rsidP="00186D17">
      <w:pPr>
        <w:spacing w:line="360" w:lineRule="auto"/>
        <w:ind w:left="720" w:hanging="720"/>
        <w:jc w:val="both"/>
        <w:rPr>
          <w:rFonts w:ascii="Arial" w:hAnsi="Arial"/>
          <w:rtl/>
        </w:rPr>
      </w:pPr>
    </w:p>
    <w:p w14:paraId="2D23758B" w14:textId="77777777" w:rsidR="00186D17" w:rsidRPr="00501FF5" w:rsidRDefault="00186D17" w:rsidP="00186D17">
      <w:pPr>
        <w:spacing w:line="360" w:lineRule="auto"/>
        <w:ind w:left="720" w:hanging="720"/>
        <w:jc w:val="both"/>
        <w:rPr>
          <w:rFonts w:ascii="Arial" w:hAnsi="Arial"/>
          <w:rtl/>
        </w:rPr>
      </w:pPr>
      <w:r>
        <w:rPr>
          <w:rFonts w:ascii="Arial" w:hAnsi="Arial" w:hint="cs"/>
          <w:rtl/>
        </w:rPr>
        <w:t>14.</w:t>
      </w:r>
      <w:r>
        <w:rPr>
          <w:rFonts w:ascii="Arial" w:hAnsi="Arial"/>
          <w:rtl/>
        </w:rPr>
        <w:tab/>
      </w:r>
      <w:r>
        <w:rPr>
          <w:rFonts w:ascii="Arial" w:hAnsi="Arial" w:hint="cs"/>
          <w:rtl/>
        </w:rPr>
        <w:t xml:space="preserve">בנסיבות אלה היה ראוי להטיל על הנאשם עונש מאסר קצר מאד שירוצה בעבודות שירות, אך הואיל והנאשם היה עצור בזמנו כשבועיים בגין תיק זה, מצאתי </w:t>
      </w:r>
      <w:r w:rsidRPr="00A1760F">
        <w:rPr>
          <w:rFonts w:ascii="Arial" w:hAnsi="Arial" w:hint="cs"/>
          <w:rtl/>
        </w:rPr>
        <w:t>לאחר התלבטות</w:t>
      </w:r>
      <w:r>
        <w:rPr>
          <w:rFonts w:ascii="Arial" w:hAnsi="Arial" w:hint="cs"/>
          <w:rtl/>
        </w:rPr>
        <w:t xml:space="preserve"> שאין </w:t>
      </w:r>
      <w:r w:rsidRPr="00501FF5">
        <w:rPr>
          <w:rFonts w:ascii="Arial" w:hAnsi="Arial" w:hint="cs"/>
          <w:rtl/>
        </w:rPr>
        <w:t xml:space="preserve">מקום להטיל עליו עונש מאסר קצר נוסף, אלא לצרף רכיבי ענישה אחרים.  </w:t>
      </w:r>
    </w:p>
    <w:p w14:paraId="44611EC7" w14:textId="77777777" w:rsidR="00186D17" w:rsidRPr="00501FF5" w:rsidRDefault="00186D17" w:rsidP="00186D17">
      <w:pPr>
        <w:spacing w:line="360" w:lineRule="auto"/>
        <w:ind w:left="720" w:hanging="720"/>
        <w:jc w:val="both"/>
        <w:rPr>
          <w:rFonts w:ascii="Arial" w:hAnsi="Arial"/>
          <w:rtl/>
        </w:rPr>
      </w:pPr>
    </w:p>
    <w:p w14:paraId="5CE6847E" w14:textId="77777777" w:rsidR="00186D17" w:rsidRPr="00501FF5" w:rsidRDefault="00186D17" w:rsidP="00186D17">
      <w:pPr>
        <w:spacing w:line="360" w:lineRule="auto"/>
        <w:ind w:left="720" w:hanging="720"/>
        <w:jc w:val="both"/>
        <w:rPr>
          <w:rFonts w:ascii="Arial" w:hAnsi="Arial"/>
          <w:rtl/>
        </w:rPr>
      </w:pPr>
      <w:r w:rsidRPr="00501FF5">
        <w:rPr>
          <w:rFonts w:ascii="Arial" w:hAnsi="Arial" w:hint="cs"/>
          <w:rtl/>
        </w:rPr>
        <w:t>15.</w:t>
      </w:r>
      <w:r w:rsidRPr="00501FF5">
        <w:rPr>
          <w:rFonts w:ascii="Arial" w:hAnsi="Arial"/>
          <w:rtl/>
        </w:rPr>
        <w:tab/>
      </w:r>
      <w:r w:rsidRPr="00501FF5">
        <w:rPr>
          <w:rFonts w:ascii="Arial" w:hAnsi="Arial" w:hint="cs"/>
          <w:rtl/>
        </w:rPr>
        <w:t xml:space="preserve">לפיכך, אני גוזר על הנאשם את העונשים הבאים:    </w:t>
      </w:r>
    </w:p>
    <w:p w14:paraId="1275CB90" w14:textId="77777777" w:rsidR="00186D17" w:rsidRPr="00501FF5" w:rsidRDefault="00186D17" w:rsidP="00186D17">
      <w:pPr>
        <w:spacing w:line="360" w:lineRule="auto"/>
        <w:ind w:left="720" w:hanging="720"/>
        <w:jc w:val="both"/>
        <w:rPr>
          <w:rFonts w:ascii="Arial" w:hAnsi="Arial"/>
          <w:rtl/>
        </w:rPr>
      </w:pPr>
    </w:p>
    <w:p w14:paraId="4C0F1B78" w14:textId="77777777" w:rsidR="00186D17" w:rsidRPr="00501FF5" w:rsidRDefault="00186D17" w:rsidP="00186D17">
      <w:pPr>
        <w:spacing w:line="360" w:lineRule="auto"/>
        <w:ind w:left="720" w:hanging="720"/>
        <w:jc w:val="both"/>
        <w:rPr>
          <w:rFonts w:ascii="Arial" w:hAnsi="Arial"/>
          <w:rtl/>
        </w:rPr>
      </w:pPr>
      <w:r w:rsidRPr="00501FF5">
        <w:rPr>
          <w:rFonts w:ascii="Arial" w:hAnsi="Arial"/>
          <w:rtl/>
        </w:rPr>
        <w:tab/>
      </w:r>
      <w:r w:rsidRPr="00501FF5">
        <w:rPr>
          <w:rFonts w:ascii="Arial" w:hAnsi="Arial" w:hint="cs"/>
          <w:rtl/>
        </w:rPr>
        <w:t>א.</w:t>
      </w:r>
      <w:r w:rsidRPr="00501FF5">
        <w:rPr>
          <w:rFonts w:ascii="Arial" w:hAnsi="Arial" w:hint="cs"/>
          <w:rtl/>
        </w:rPr>
        <w:tab/>
        <w:t>13 ימי מאסר בפועל בניכוי 13 ימי מעצרו בתיק זה.</w:t>
      </w:r>
    </w:p>
    <w:p w14:paraId="7A9DA15C" w14:textId="77777777" w:rsidR="00186D17" w:rsidRPr="00501FF5" w:rsidRDefault="00186D17" w:rsidP="00186D17">
      <w:pPr>
        <w:spacing w:line="360" w:lineRule="auto"/>
        <w:ind w:left="720" w:hanging="720"/>
        <w:jc w:val="both"/>
        <w:rPr>
          <w:rFonts w:ascii="Arial" w:hAnsi="Arial"/>
          <w:rtl/>
        </w:rPr>
      </w:pPr>
    </w:p>
    <w:p w14:paraId="0C442D4D" w14:textId="77777777" w:rsidR="00186D17" w:rsidRPr="00501FF5" w:rsidRDefault="00186D17" w:rsidP="00186D17">
      <w:pPr>
        <w:spacing w:line="360" w:lineRule="auto"/>
        <w:ind w:left="720" w:hanging="720"/>
        <w:jc w:val="both"/>
        <w:rPr>
          <w:rFonts w:ascii="Arial" w:hAnsi="Arial"/>
          <w:rtl/>
        </w:rPr>
      </w:pPr>
      <w:r w:rsidRPr="00501FF5">
        <w:rPr>
          <w:rFonts w:ascii="Arial" w:hAnsi="Arial"/>
          <w:rtl/>
        </w:rPr>
        <w:tab/>
      </w:r>
      <w:r w:rsidRPr="00501FF5">
        <w:rPr>
          <w:rFonts w:ascii="Arial" w:hAnsi="Arial" w:hint="cs"/>
          <w:rtl/>
        </w:rPr>
        <w:t>ב.</w:t>
      </w:r>
      <w:r w:rsidRPr="00501FF5">
        <w:rPr>
          <w:rFonts w:ascii="Arial" w:hAnsi="Arial" w:hint="cs"/>
          <w:rtl/>
        </w:rPr>
        <w:tab/>
        <w:t>6 חודשי מאסר על תנאי ל-3 שנים שלא ישוב ויעבור העבירה שבה הורשע.</w:t>
      </w:r>
    </w:p>
    <w:p w14:paraId="2E8AA596" w14:textId="77777777" w:rsidR="00186D17" w:rsidRPr="00501FF5" w:rsidRDefault="00186D17" w:rsidP="00186D17">
      <w:pPr>
        <w:spacing w:line="360" w:lineRule="auto"/>
        <w:ind w:left="720" w:hanging="720"/>
        <w:jc w:val="both"/>
        <w:rPr>
          <w:rFonts w:ascii="Arial" w:hAnsi="Arial"/>
          <w:rtl/>
        </w:rPr>
      </w:pPr>
    </w:p>
    <w:p w14:paraId="17FF3154" w14:textId="77777777" w:rsidR="00186D17" w:rsidRPr="00501FF5" w:rsidRDefault="00186D17" w:rsidP="00186D17">
      <w:pPr>
        <w:spacing w:line="360" w:lineRule="auto"/>
        <w:ind w:left="720" w:hanging="720"/>
        <w:jc w:val="both"/>
        <w:rPr>
          <w:rFonts w:ascii="Arial" w:hAnsi="Arial"/>
          <w:rtl/>
        </w:rPr>
      </w:pPr>
      <w:r w:rsidRPr="00501FF5">
        <w:rPr>
          <w:rFonts w:ascii="Arial" w:hAnsi="Arial"/>
          <w:rtl/>
        </w:rPr>
        <w:tab/>
      </w:r>
      <w:r w:rsidRPr="00501FF5">
        <w:rPr>
          <w:rFonts w:ascii="Arial" w:hAnsi="Arial" w:hint="cs"/>
          <w:rtl/>
        </w:rPr>
        <w:t>ג.</w:t>
      </w:r>
      <w:r w:rsidRPr="00501FF5">
        <w:rPr>
          <w:rFonts w:ascii="Arial" w:hAnsi="Arial" w:hint="cs"/>
          <w:rtl/>
        </w:rPr>
        <w:tab/>
        <w:t>קנס בסך 1,500 ₪</w:t>
      </w:r>
      <w:r>
        <w:rPr>
          <w:rFonts w:ascii="Arial" w:hAnsi="Arial" w:hint="cs"/>
          <w:rtl/>
        </w:rPr>
        <w:t xml:space="preserve"> או 15 ימי מאסר תמורתו. הקנס ישולם עד ליום 1.8.2018.</w:t>
      </w:r>
    </w:p>
    <w:p w14:paraId="34142215" w14:textId="77777777" w:rsidR="00186D17" w:rsidRPr="00501FF5" w:rsidRDefault="00186D17" w:rsidP="00186D17">
      <w:pPr>
        <w:spacing w:line="360" w:lineRule="auto"/>
        <w:ind w:left="720" w:hanging="720"/>
        <w:jc w:val="both"/>
        <w:rPr>
          <w:rFonts w:ascii="Arial" w:hAnsi="Arial"/>
          <w:rtl/>
        </w:rPr>
      </w:pPr>
    </w:p>
    <w:p w14:paraId="036C4CCF" w14:textId="77777777" w:rsidR="00186D17" w:rsidRPr="00501FF5" w:rsidRDefault="00186D17" w:rsidP="00186D17">
      <w:pPr>
        <w:spacing w:line="360" w:lineRule="auto"/>
        <w:ind w:left="1440" w:hanging="720"/>
        <w:jc w:val="both"/>
        <w:rPr>
          <w:rFonts w:ascii="Arial" w:hAnsi="Arial"/>
          <w:rtl/>
        </w:rPr>
      </w:pPr>
      <w:r w:rsidRPr="00501FF5">
        <w:rPr>
          <w:rFonts w:ascii="Arial" w:hAnsi="Arial" w:hint="cs"/>
          <w:rtl/>
        </w:rPr>
        <w:t>ד.</w:t>
      </w:r>
      <w:r w:rsidRPr="00501FF5">
        <w:rPr>
          <w:rFonts w:ascii="Arial" w:hAnsi="Arial" w:hint="cs"/>
          <w:rtl/>
        </w:rPr>
        <w:tab/>
        <w:t>אני מורה לנאשם לחתום בתוך 7 ימים מהיום על התחייבות בסך 5,000 ₪ להימנע מן העבירה שבה הורשע. ההתחייבות תיכנס לתוקף ביום חתימתה ותוקפה למשך 3 שנים.</w:t>
      </w:r>
      <w:r>
        <w:rPr>
          <w:rFonts w:ascii="Arial" w:hAnsi="Arial" w:hint="cs"/>
          <w:rtl/>
        </w:rPr>
        <w:t xml:space="preserve"> לא יחתום הנאשם על ההתחייבות במועד יאסר למשך 30 יום.</w:t>
      </w:r>
    </w:p>
    <w:p w14:paraId="6CCB581F" w14:textId="77777777" w:rsidR="00186D17" w:rsidRPr="00501FF5" w:rsidRDefault="00186D17" w:rsidP="00186D17">
      <w:pPr>
        <w:spacing w:line="360" w:lineRule="auto"/>
        <w:ind w:left="1440" w:hanging="720"/>
        <w:jc w:val="both"/>
        <w:rPr>
          <w:rFonts w:ascii="Arial" w:hAnsi="Arial"/>
          <w:rtl/>
        </w:rPr>
      </w:pPr>
    </w:p>
    <w:p w14:paraId="50007C92" w14:textId="77777777" w:rsidR="00186D17" w:rsidRPr="00501FF5" w:rsidRDefault="00186D17" w:rsidP="00186D17">
      <w:pPr>
        <w:spacing w:line="360" w:lineRule="auto"/>
        <w:ind w:left="1440" w:hanging="720"/>
        <w:jc w:val="both"/>
        <w:rPr>
          <w:rFonts w:ascii="Arial" w:hAnsi="Arial"/>
          <w:rtl/>
        </w:rPr>
      </w:pPr>
      <w:r w:rsidRPr="00501FF5">
        <w:rPr>
          <w:rFonts w:ascii="Arial" w:hAnsi="Arial" w:hint="cs"/>
          <w:rtl/>
        </w:rPr>
        <w:t>ה.</w:t>
      </w:r>
      <w:r w:rsidRPr="00501FF5">
        <w:rPr>
          <w:rFonts w:ascii="Arial" w:hAnsi="Arial" w:hint="cs"/>
          <w:rtl/>
        </w:rPr>
        <w:tab/>
        <w:t xml:space="preserve">9 חודשי פסילת רישיון נהיגה. מתוכם 3 בפועל ו-6 על תנאי לשלוש שנים והתנאי הוא שלא ישוב ויעבור העבירה שבה הורשע או כל עבירת סמים הקשורה לשימוש ברכב.  </w:t>
      </w:r>
    </w:p>
    <w:p w14:paraId="3DB7C8AD" w14:textId="77777777" w:rsidR="00186D17" w:rsidRDefault="00186D17" w:rsidP="00186D17">
      <w:pPr>
        <w:spacing w:line="360" w:lineRule="auto"/>
        <w:rPr>
          <w:rtl/>
        </w:rPr>
      </w:pPr>
    </w:p>
    <w:p w14:paraId="4E9A744E" w14:textId="77777777" w:rsidR="00186D17" w:rsidRDefault="00186D17" w:rsidP="00186D17">
      <w:pPr>
        <w:spacing w:line="360" w:lineRule="auto"/>
        <w:rPr>
          <w:rtl/>
        </w:rPr>
      </w:pPr>
      <w:r>
        <w:rPr>
          <w:rFonts w:hint="cs"/>
          <w:rtl/>
        </w:rPr>
        <w:t>16.</w:t>
      </w:r>
      <w:r>
        <w:rPr>
          <w:rFonts w:hint="cs"/>
          <w:rtl/>
        </w:rPr>
        <w:tab/>
        <w:t>אני מורה להחזיר לנאשם את הכסף שנתפס אצלו ולהשמיד את הסמים שנתפסו.</w:t>
      </w:r>
    </w:p>
    <w:p w14:paraId="166CBDEA" w14:textId="77777777" w:rsidR="00186D17" w:rsidRPr="00501FF5" w:rsidRDefault="00186D17" w:rsidP="00186D17">
      <w:pPr>
        <w:spacing w:line="360" w:lineRule="auto"/>
        <w:rPr>
          <w:rtl/>
        </w:rPr>
      </w:pPr>
    </w:p>
    <w:p w14:paraId="64BE6ADC" w14:textId="77777777" w:rsidR="00186D17" w:rsidRPr="00B05847" w:rsidRDefault="00186D17" w:rsidP="00186D17">
      <w:pPr>
        <w:spacing w:line="360" w:lineRule="auto"/>
        <w:rPr>
          <w:rtl/>
        </w:rPr>
      </w:pPr>
      <w:r>
        <w:rPr>
          <w:rFonts w:hint="cs"/>
          <w:rtl/>
        </w:rPr>
        <w:t>17.</w:t>
      </w:r>
      <w:r>
        <w:rPr>
          <w:rtl/>
        </w:rPr>
        <w:tab/>
      </w:r>
      <w:r>
        <w:rPr>
          <w:rFonts w:hint="cs"/>
          <w:rtl/>
        </w:rPr>
        <w:t>זכות ערעור לבית המשפט המחוזי בתוך 45 יום מהיום.</w:t>
      </w:r>
      <w:r>
        <w:rPr>
          <w:rFonts w:hint="cs"/>
          <w:rtl/>
        </w:rPr>
        <w:tab/>
      </w:r>
    </w:p>
    <w:p w14:paraId="7816643E" w14:textId="77777777" w:rsidR="00186D17" w:rsidRPr="00B05847" w:rsidRDefault="00186D17" w:rsidP="00186D17">
      <w:pPr>
        <w:spacing w:line="360" w:lineRule="auto"/>
        <w:rPr>
          <w:rtl/>
        </w:rPr>
      </w:pPr>
    </w:p>
    <w:p w14:paraId="0E109510" w14:textId="77777777" w:rsidR="00186D17" w:rsidRPr="0052636F" w:rsidRDefault="0052636F" w:rsidP="00186D17">
      <w:pPr>
        <w:rPr>
          <w:color w:val="FFFFFF"/>
          <w:sz w:val="2"/>
          <w:szCs w:val="2"/>
          <w:rtl/>
        </w:rPr>
      </w:pPr>
      <w:r w:rsidRPr="0052636F">
        <w:rPr>
          <w:color w:val="FFFFFF"/>
          <w:sz w:val="2"/>
          <w:szCs w:val="2"/>
          <w:rtl/>
        </w:rPr>
        <w:t>5129371</w:t>
      </w:r>
    </w:p>
    <w:p w14:paraId="2D334814" w14:textId="77777777" w:rsidR="00186D17" w:rsidRPr="00250B83" w:rsidRDefault="0052636F" w:rsidP="00186D17">
      <w:pPr>
        <w:rPr>
          <w:rtl/>
        </w:rPr>
      </w:pPr>
      <w:r w:rsidRPr="0052636F">
        <w:rPr>
          <w:rFonts w:ascii="Arial" w:hAnsi="Arial"/>
          <w:color w:val="FFFFFF"/>
          <w:sz w:val="2"/>
          <w:szCs w:val="2"/>
          <w:rtl/>
        </w:rPr>
        <w:t>54678313</w:t>
      </w:r>
      <w:r>
        <w:rPr>
          <w:rFonts w:ascii="Arial" w:hAnsi="Arial"/>
          <w:rtl/>
        </w:rPr>
        <w:t xml:space="preserve">ניתנו היום, 28 במאי 2018, בנוכחות הצדדים. </w:t>
      </w:r>
    </w:p>
    <w:p w14:paraId="2360E2C3" w14:textId="77777777" w:rsidR="00186D17" w:rsidRPr="00250B83" w:rsidRDefault="00186D17" w:rsidP="00186D17">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56E80EDB" w14:textId="77777777" w:rsidR="00186D17" w:rsidRPr="00250B83" w:rsidRDefault="00186D17" w:rsidP="00186D17">
      <w:pPr>
        <w:jc w:val="center"/>
        <w:rPr>
          <w:rFonts w:ascii="Arial" w:hAnsi="Arial"/>
          <w:rtl/>
        </w:rPr>
      </w:pPr>
    </w:p>
    <w:p w14:paraId="1F8ED45B" w14:textId="77777777" w:rsidR="00186D17" w:rsidRPr="00250B83" w:rsidRDefault="00186D17" w:rsidP="00186D17">
      <w:pPr>
        <w:rPr>
          <w:rtl/>
        </w:rPr>
      </w:pPr>
    </w:p>
    <w:p w14:paraId="45757702" w14:textId="77777777" w:rsidR="00186D17" w:rsidRDefault="00186D17" w:rsidP="00186D17">
      <w:pPr>
        <w:pStyle w:val="a3"/>
        <w:jc w:val="center"/>
        <w:rPr>
          <w:rtl/>
        </w:rPr>
      </w:pPr>
    </w:p>
    <w:p w14:paraId="46635A4C" w14:textId="77777777" w:rsidR="00EB7D65" w:rsidRPr="0052636F" w:rsidRDefault="00EB7D65" w:rsidP="0052636F">
      <w:pPr>
        <w:keepNext/>
        <w:rPr>
          <w:rFonts w:ascii="David" w:hAnsi="David"/>
          <w:color w:val="000000"/>
          <w:sz w:val="22"/>
          <w:szCs w:val="22"/>
          <w:rtl/>
        </w:rPr>
      </w:pPr>
    </w:p>
    <w:p w14:paraId="6C8BF5E4" w14:textId="77777777" w:rsidR="0052636F" w:rsidRPr="0052636F" w:rsidRDefault="0052636F" w:rsidP="0052636F">
      <w:pPr>
        <w:keepNext/>
        <w:rPr>
          <w:rFonts w:ascii="David" w:hAnsi="David"/>
          <w:color w:val="000000"/>
          <w:sz w:val="22"/>
          <w:szCs w:val="22"/>
          <w:rtl/>
        </w:rPr>
      </w:pPr>
      <w:r w:rsidRPr="0052636F">
        <w:rPr>
          <w:rFonts w:ascii="David" w:hAnsi="David"/>
          <w:color w:val="000000"/>
          <w:sz w:val="22"/>
          <w:szCs w:val="22"/>
          <w:rtl/>
        </w:rPr>
        <w:t>איתי הרמלין 54678313</w:t>
      </w:r>
    </w:p>
    <w:p w14:paraId="50651554" w14:textId="77777777" w:rsidR="0052636F" w:rsidRDefault="0052636F" w:rsidP="0052636F">
      <w:r w:rsidRPr="0052636F">
        <w:rPr>
          <w:color w:val="000000"/>
          <w:rtl/>
        </w:rPr>
        <w:t>נוסח מסמך זה כפוף לשינויי ניסוח ועריכה</w:t>
      </w:r>
    </w:p>
    <w:p w14:paraId="50F007C3" w14:textId="77777777" w:rsidR="0052636F" w:rsidRDefault="0052636F" w:rsidP="0052636F">
      <w:pPr>
        <w:rPr>
          <w:rtl/>
        </w:rPr>
      </w:pPr>
    </w:p>
    <w:p w14:paraId="2366B249" w14:textId="77777777" w:rsidR="0052636F" w:rsidRDefault="0052636F" w:rsidP="0052636F">
      <w:pPr>
        <w:jc w:val="center"/>
        <w:rPr>
          <w:color w:val="0000FF"/>
          <w:u w:val="single"/>
        </w:rPr>
      </w:pPr>
      <w:hyperlink r:id="rId17" w:history="1">
        <w:r>
          <w:rPr>
            <w:color w:val="0000FF"/>
            <w:u w:val="single"/>
            <w:rtl/>
          </w:rPr>
          <w:t>בעניין עריכה ושינויים במסמכי פסיקה, חקיקה ועוד באתר נבו – הקש כאן</w:t>
        </w:r>
      </w:hyperlink>
      <w:r w:rsidR="00D91AB2">
        <w:rPr>
          <w:rFonts w:hint="cs"/>
          <w:color w:val="0000FF"/>
          <w:u w:val="single"/>
          <w:rtl/>
        </w:rPr>
        <w:t xml:space="preserve"> </w:t>
      </w:r>
    </w:p>
    <w:p w14:paraId="35D26A52" w14:textId="77777777" w:rsidR="0052636F" w:rsidRPr="0052636F" w:rsidRDefault="0052636F" w:rsidP="0052636F">
      <w:pPr>
        <w:jc w:val="center"/>
        <w:rPr>
          <w:color w:val="0000FF"/>
          <w:u w:val="single"/>
        </w:rPr>
      </w:pPr>
    </w:p>
    <w:sectPr w:rsidR="0052636F" w:rsidRPr="0052636F" w:rsidSect="0052636F">
      <w:headerReference w:type="even" r:id="rId18"/>
      <w:headerReference w:type="default" r:id="rId19"/>
      <w:footerReference w:type="even" r:id="rId20"/>
      <w:footerReference w:type="default" r:id="rId2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A9088" w14:textId="77777777" w:rsidR="0067749A" w:rsidRDefault="0067749A" w:rsidP="00132D37">
      <w:r>
        <w:separator/>
      </w:r>
    </w:p>
  </w:endnote>
  <w:endnote w:type="continuationSeparator" w:id="0">
    <w:p w14:paraId="30EF4960" w14:textId="77777777" w:rsidR="0067749A" w:rsidRDefault="0067749A" w:rsidP="0013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DA5B31" w14:textId="77777777" w:rsidR="0052636F" w:rsidRDefault="0052636F" w:rsidP="0052636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3</w:t>
    </w:r>
    <w:r>
      <w:rPr>
        <w:rFonts w:ascii="FrankRuehl" w:hAnsi="FrankRuehl" w:cs="FrankRuehl"/>
        <w:rtl/>
      </w:rPr>
      <w:fldChar w:fldCharType="end"/>
    </w:r>
  </w:p>
  <w:p w14:paraId="27E95B3E" w14:textId="77777777" w:rsidR="00A37F2F" w:rsidRPr="0052636F" w:rsidRDefault="0052636F" w:rsidP="0052636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238D3" w14:textId="77777777" w:rsidR="0052636F" w:rsidRDefault="0052636F" w:rsidP="0052636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37035">
      <w:rPr>
        <w:rFonts w:ascii="FrankRuehl" w:hAnsi="FrankRuehl" w:cs="FrankRuehl"/>
        <w:noProof/>
        <w:rtl/>
      </w:rPr>
      <w:t>2</w:t>
    </w:r>
    <w:r>
      <w:rPr>
        <w:rFonts w:ascii="FrankRuehl" w:hAnsi="FrankRuehl" w:cs="FrankRuehl"/>
        <w:rtl/>
      </w:rPr>
      <w:fldChar w:fldCharType="end"/>
    </w:r>
  </w:p>
  <w:p w14:paraId="623AD6C9" w14:textId="77777777" w:rsidR="00A37F2F" w:rsidRPr="0052636F" w:rsidRDefault="0052636F" w:rsidP="0052636F">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1A0F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C267C2" w14:textId="77777777" w:rsidR="0067749A" w:rsidRDefault="0067749A" w:rsidP="00132D37">
      <w:r>
        <w:separator/>
      </w:r>
    </w:p>
  </w:footnote>
  <w:footnote w:type="continuationSeparator" w:id="0">
    <w:p w14:paraId="1F45965D" w14:textId="77777777" w:rsidR="0067749A" w:rsidRDefault="0067749A" w:rsidP="0013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27C1C0" w14:textId="77777777" w:rsidR="0052636F" w:rsidRPr="0052636F" w:rsidRDefault="0052636F" w:rsidP="0052636F">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(ת"א) 43529-11-16</w:t>
    </w:r>
    <w:r>
      <w:rPr>
        <w:rFonts w:ascii="David" w:hAnsi="David"/>
        <w:color w:val="000000"/>
        <w:sz w:val="22"/>
        <w:szCs w:val="22"/>
        <w:rtl/>
      </w:rPr>
      <w:tab/>
      <w:t xml:space="preserve"> מדינת ישראל נ' עבדלרזיק אוסמן טואר שייח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7F01D5" w14:textId="77777777" w:rsidR="0052636F" w:rsidRPr="0052636F" w:rsidRDefault="0052636F" w:rsidP="0052636F">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43529-11-16</w:t>
    </w:r>
    <w:r>
      <w:rPr>
        <w:rFonts w:ascii="David" w:hAnsi="David"/>
        <w:color w:val="000000"/>
        <w:sz w:val="22"/>
        <w:szCs w:val="22"/>
        <w:rtl/>
      </w:rPr>
      <w:tab/>
      <w:t xml:space="preserve"> מדינת ישראל נ' עבדלרזיק אוסמן טואר שייח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86D17"/>
    <w:rsid w:val="0006792F"/>
    <w:rsid w:val="000A35B0"/>
    <w:rsid w:val="00132D37"/>
    <w:rsid w:val="00186D17"/>
    <w:rsid w:val="00190CB8"/>
    <w:rsid w:val="0052636F"/>
    <w:rsid w:val="0067749A"/>
    <w:rsid w:val="00A37F2F"/>
    <w:rsid w:val="00B50301"/>
    <w:rsid w:val="00BB0276"/>
    <w:rsid w:val="00D37035"/>
    <w:rsid w:val="00D91AB2"/>
    <w:rsid w:val="00E273DE"/>
    <w:rsid w:val="00EB7D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41D75CB"/>
  <w15:chartTrackingRefBased/>
  <w15:docId w15:val="{09F681DB-42C6-47A1-8394-B212307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86D1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86D17"/>
    <w:pPr>
      <w:tabs>
        <w:tab w:val="center" w:pos="4153"/>
        <w:tab w:val="right" w:pos="8306"/>
      </w:tabs>
    </w:pPr>
  </w:style>
  <w:style w:type="character" w:customStyle="1" w:styleId="a4">
    <w:name w:val="כותרת עליונה תו"/>
    <w:link w:val="a3"/>
    <w:rsid w:val="00186D17"/>
    <w:rPr>
      <w:rFonts w:ascii="Times New Roman" w:eastAsia="Times New Roman" w:hAnsi="Times New Roman" w:cs="David"/>
      <w:sz w:val="24"/>
      <w:szCs w:val="24"/>
    </w:rPr>
  </w:style>
  <w:style w:type="paragraph" w:styleId="a5">
    <w:name w:val="footer"/>
    <w:basedOn w:val="a"/>
    <w:link w:val="a6"/>
    <w:rsid w:val="00186D17"/>
    <w:pPr>
      <w:tabs>
        <w:tab w:val="center" w:pos="4153"/>
        <w:tab w:val="right" w:pos="8306"/>
      </w:tabs>
    </w:pPr>
  </w:style>
  <w:style w:type="character" w:customStyle="1" w:styleId="a6">
    <w:name w:val="כותרת תחתונה תו"/>
    <w:link w:val="a5"/>
    <w:rsid w:val="00186D17"/>
    <w:rPr>
      <w:rFonts w:ascii="Times New Roman" w:eastAsia="Times New Roman" w:hAnsi="Times New Roman" w:cs="David"/>
      <w:sz w:val="24"/>
      <w:szCs w:val="24"/>
    </w:rPr>
  </w:style>
  <w:style w:type="table" w:styleId="a7">
    <w:name w:val="Table Grid"/>
    <w:basedOn w:val="a1"/>
    <w:rsid w:val="00186D1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86D17"/>
  </w:style>
  <w:style w:type="character" w:styleId="Hyperlink">
    <w:name w:val="Hyperlink"/>
    <w:rsid w:val="0052636F"/>
    <w:rPr>
      <w:color w:val="0563C1"/>
      <w:u w:val="single"/>
    </w:rPr>
  </w:style>
  <w:style w:type="character" w:styleId="a9">
    <w:name w:val="Unresolved Mention"/>
    <w:uiPriority w:val="99"/>
    <w:semiHidden/>
    <w:unhideWhenUsed/>
    <w:rsid w:val="00D91A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20905674"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4903" TargetMode="External"/><Relationship Id="rId12" Type="http://schemas.openxmlformats.org/officeDocument/2006/relationships/hyperlink" Target="http://www.nevo.co.il/case/21964098" TargetMode="External"/><Relationship Id="rId17" Type="http://schemas.openxmlformats.org/officeDocument/2006/relationships/hyperlink" Target="http://www.nevo.co.il/advertisements/nevo-100.doc" TargetMode="External"/><Relationship Id="rId2" Type="http://schemas.openxmlformats.org/officeDocument/2006/relationships/settings" Target="settings.xml"/><Relationship Id="rId16" Type="http://schemas.openxmlformats.org/officeDocument/2006/relationships/hyperlink" Target="http://www.nevo.co.il/law/74903"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21914524" TargetMode="External"/><Relationship Id="rId5" Type="http://schemas.openxmlformats.org/officeDocument/2006/relationships/endnotes" Target="endnotes.xml"/><Relationship Id="rId15" Type="http://schemas.openxmlformats.org/officeDocument/2006/relationships/hyperlink" Target="http://www.nevo.co.il/law/4216" TargetMode="External"/><Relationship Id="rId23" Type="http://schemas.openxmlformats.org/officeDocument/2006/relationships/theme" Target="theme/theme1.xml"/><Relationship Id="rId10" Type="http://schemas.openxmlformats.org/officeDocument/2006/relationships/hyperlink" Target="http://www.nevo.co.il/case/5810781"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4903" TargetMode="External"/><Relationship Id="rId14" Type="http://schemas.openxmlformats.org/officeDocument/2006/relationships/hyperlink" Target="http://www.nevo.co.il/case/20554181"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1449</Words>
  <Characters>7250</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8682</CharactersWithSpaces>
  <SharedDoc>false</SharedDoc>
  <HLinks>
    <vt:vector size="72" baseType="variant">
      <vt:variant>
        <vt:i4>393283</vt:i4>
      </vt:variant>
      <vt:variant>
        <vt:i4>33</vt:i4>
      </vt:variant>
      <vt:variant>
        <vt:i4>0</vt:i4>
      </vt:variant>
      <vt:variant>
        <vt:i4>5</vt:i4>
      </vt:variant>
      <vt:variant>
        <vt:lpwstr>http://www.nevo.co.il/advertisements/nevo-100.doc</vt:lpwstr>
      </vt:variant>
      <vt:variant>
        <vt:lpwstr/>
      </vt:variant>
      <vt:variant>
        <vt:i4>8257646</vt:i4>
      </vt:variant>
      <vt:variant>
        <vt:i4>30</vt:i4>
      </vt:variant>
      <vt:variant>
        <vt:i4>0</vt:i4>
      </vt:variant>
      <vt:variant>
        <vt:i4>5</vt:i4>
      </vt:variant>
      <vt:variant>
        <vt:lpwstr>http://www.nevo.co.il/law/74903</vt:lpwstr>
      </vt:variant>
      <vt:variant>
        <vt:lpwstr/>
      </vt:variant>
      <vt:variant>
        <vt:i4>8257637</vt:i4>
      </vt:variant>
      <vt:variant>
        <vt:i4>27</vt:i4>
      </vt:variant>
      <vt:variant>
        <vt:i4>0</vt:i4>
      </vt:variant>
      <vt:variant>
        <vt:i4>5</vt:i4>
      </vt:variant>
      <vt:variant>
        <vt:lpwstr>http://www.nevo.co.il/law/4216</vt:lpwstr>
      </vt:variant>
      <vt:variant>
        <vt:lpwstr/>
      </vt:variant>
      <vt:variant>
        <vt:i4>3866736</vt:i4>
      </vt:variant>
      <vt:variant>
        <vt:i4>24</vt:i4>
      </vt:variant>
      <vt:variant>
        <vt:i4>0</vt:i4>
      </vt:variant>
      <vt:variant>
        <vt:i4>5</vt:i4>
      </vt:variant>
      <vt:variant>
        <vt:lpwstr>http://www.nevo.co.il/case/20554181</vt:lpwstr>
      </vt:variant>
      <vt:variant>
        <vt:lpwstr/>
      </vt:variant>
      <vt:variant>
        <vt:i4>3735666</vt:i4>
      </vt:variant>
      <vt:variant>
        <vt:i4>21</vt:i4>
      </vt:variant>
      <vt:variant>
        <vt:i4>0</vt:i4>
      </vt:variant>
      <vt:variant>
        <vt:i4>5</vt:i4>
      </vt:variant>
      <vt:variant>
        <vt:lpwstr>http://www.nevo.co.il/case/20905674</vt:lpwstr>
      </vt:variant>
      <vt:variant>
        <vt:lpwstr/>
      </vt:variant>
      <vt:variant>
        <vt:i4>3539059</vt:i4>
      </vt:variant>
      <vt:variant>
        <vt:i4>18</vt:i4>
      </vt:variant>
      <vt:variant>
        <vt:i4>0</vt:i4>
      </vt:variant>
      <vt:variant>
        <vt:i4>5</vt:i4>
      </vt:variant>
      <vt:variant>
        <vt:lpwstr>http://www.nevo.co.il/case/21964098</vt:lpwstr>
      </vt:variant>
      <vt:variant>
        <vt:lpwstr/>
      </vt:variant>
      <vt:variant>
        <vt:i4>3997809</vt:i4>
      </vt:variant>
      <vt:variant>
        <vt:i4>15</vt:i4>
      </vt:variant>
      <vt:variant>
        <vt:i4>0</vt:i4>
      </vt:variant>
      <vt:variant>
        <vt:i4>5</vt:i4>
      </vt:variant>
      <vt:variant>
        <vt:lpwstr>http://www.nevo.co.il/case/21914524</vt:lpwstr>
      </vt:variant>
      <vt:variant>
        <vt:lpwstr/>
      </vt:variant>
      <vt:variant>
        <vt:i4>3276916</vt:i4>
      </vt:variant>
      <vt:variant>
        <vt:i4>12</vt:i4>
      </vt:variant>
      <vt:variant>
        <vt:i4>0</vt:i4>
      </vt:variant>
      <vt:variant>
        <vt:i4>5</vt:i4>
      </vt:variant>
      <vt:variant>
        <vt:lpwstr>http://www.nevo.co.il/case/5810781</vt:lpwstr>
      </vt:variant>
      <vt:variant>
        <vt:lpwstr/>
      </vt:variant>
      <vt:variant>
        <vt:i4>8257646</vt:i4>
      </vt:variant>
      <vt:variant>
        <vt:i4>9</vt:i4>
      </vt:variant>
      <vt:variant>
        <vt:i4>0</vt:i4>
      </vt:variant>
      <vt:variant>
        <vt:i4>5</vt:i4>
      </vt:variant>
      <vt:variant>
        <vt:lpwstr>http://www.nevo.co.il/law/74903</vt:lpwstr>
      </vt:variant>
      <vt:variant>
        <vt:lpwstr/>
      </vt:variant>
      <vt:variant>
        <vt:i4>8257637</vt:i4>
      </vt:variant>
      <vt:variant>
        <vt:i4>6</vt:i4>
      </vt:variant>
      <vt:variant>
        <vt:i4>0</vt:i4>
      </vt:variant>
      <vt:variant>
        <vt:i4>5</vt:i4>
      </vt:variant>
      <vt:variant>
        <vt:lpwstr>http://www.nevo.co.il/law/4216</vt:lpwstr>
      </vt:variant>
      <vt:variant>
        <vt:lpwstr/>
      </vt:variant>
      <vt:variant>
        <vt:i4>8257646</vt:i4>
      </vt:variant>
      <vt:variant>
        <vt:i4>3</vt:i4>
      </vt:variant>
      <vt:variant>
        <vt:i4>0</vt:i4>
      </vt:variant>
      <vt:variant>
        <vt:i4>5</vt:i4>
      </vt:variant>
      <vt:variant>
        <vt:lpwstr>http://www.nevo.co.il/law/74903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2025-04-22T23:14:00Z</dcterms:created>
  <dcterms:modified xsi:type="dcterms:W3CDTF">2025-04-22T23:14:00Z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43529</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עבדלרזיק אוסמן טואר שייח</vt:lpwstr>
  </property>
  <property fmtid="{D5CDD505-2E9C-101B-9397-08002B2CF9AE}" pid="10" name="LAWYER">
    <vt:lpwstr>אשר פרי;יהונתן גנץ;יעל ניסן פינקלמן</vt:lpwstr>
  </property>
  <property fmtid="{D5CDD505-2E9C-101B-9397-08002B2CF9AE}" pid="11" name="JUDGE">
    <vt:lpwstr>איתי הרמלין</vt:lpwstr>
  </property>
  <property fmtid="{D5CDD505-2E9C-101B-9397-08002B2CF9AE}" pid="12" name="CITY">
    <vt:lpwstr>ת"א</vt:lpwstr>
  </property>
  <property fmtid="{D5CDD505-2E9C-101B-9397-08002B2CF9AE}" pid="13" name="DATE">
    <vt:lpwstr>20180528</vt:lpwstr>
  </property>
  <property fmtid="{D5CDD505-2E9C-101B-9397-08002B2CF9AE}" pid="14" name="TYPE_N_DATE">
    <vt:lpwstr>38020180528</vt:lpwstr>
  </property>
  <property fmtid="{D5CDD505-2E9C-101B-9397-08002B2CF9AE}" pid="15" name="WORDNUMPAGES">
    <vt:lpwstr>5</vt:lpwstr>
  </property>
  <property fmtid="{D5CDD505-2E9C-101B-9397-08002B2CF9AE}" pid="16" name="TYPE_ABS_DATE">
    <vt:lpwstr>380020180528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5810781;21914524;21964098;20905674;20554181</vt:lpwstr>
  </property>
  <property fmtid="{D5CDD505-2E9C-101B-9397-08002B2CF9AE}" pid="36" name="LAWLISTTMP1">
    <vt:lpwstr>4216:2</vt:lpwstr>
  </property>
  <property fmtid="{D5CDD505-2E9C-101B-9397-08002B2CF9AE}" pid="37" name="LAWLISTTMP2">
    <vt:lpwstr>74903:2</vt:lpwstr>
  </property>
</Properties>
</file>