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87F02" w:rsidRPr="00585E8F" w14:paraId="7380286B" w14:textId="77777777" w:rsidTr="0005746B">
        <w:trPr>
          <w:trHeight w:hRule="exact" w:val="418"/>
          <w:jc w:val="center"/>
        </w:trPr>
        <w:tc>
          <w:tcPr>
            <w:tcW w:w="8721" w:type="dxa"/>
            <w:gridSpan w:val="2"/>
          </w:tcPr>
          <w:p w14:paraId="74F198CF" w14:textId="77777777" w:rsidR="00B87F02" w:rsidRPr="00585E8F" w:rsidRDefault="00B87F02" w:rsidP="005849A5">
            <w:pPr>
              <w:pStyle w:val="a3"/>
              <w:jc w:val="center"/>
              <w:rPr>
                <w:rFonts w:ascii="Tahoma" w:hAnsi="Tahoma" w:cs="Tahoma"/>
                <w:color w:val="000080"/>
                <w:rtl/>
              </w:rPr>
            </w:pPr>
            <w:bookmarkStart w:id="0" w:name="LastJudge"/>
            <w:r w:rsidRPr="00585E8F">
              <w:rPr>
                <w:rFonts w:ascii="Tahoma" w:hAnsi="Tahoma" w:cs="Tahoma"/>
                <w:b/>
                <w:bCs/>
                <w:color w:val="000080"/>
                <w:rtl/>
              </w:rPr>
              <w:t>בית משפט השלום בירושלים</w:t>
            </w:r>
          </w:p>
        </w:tc>
      </w:tr>
      <w:tr w:rsidR="00B87F02" w:rsidRPr="00585E8F" w14:paraId="3EC20B90" w14:textId="77777777" w:rsidTr="0005746B">
        <w:trPr>
          <w:trHeight w:val="337"/>
          <w:jc w:val="center"/>
        </w:trPr>
        <w:tc>
          <w:tcPr>
            <w:tcW w:w="5054" w:type="dxa"/>
          </w:tcPr>
          <w:p w14:paraId="169B8E61" w14:textId="77777777" w:rsidR="00B87F02" w:rsidRPr="00585E8F" w:rsidRDefault="00B87F02" w:rsidP="005849A5">
            <w:pPr>
              <w:rPr>
                <w:rFonts w:cs="FrankRuehl"/>
                <w:sz w:val="28"/>
                <w:szCs w:val="28"/>
                <w:rtl/>
              </w:rPr>
            </w:pPr>
            <w:r w:rsidRPr="00585E8F">
              <w:rPr>
                <w:rFonts w:cs="FrankRuehl"/>
                <w:sz w:val="28"/>
                <w:szCs w:val="28"/>
                <w:rtl/>
              </w:rPr>
              <w:t>ת"פ</w:t>
            </w:r>
            <w:r w:rsidRPr="00585E8F">
              <w:rPr>
                <w:rFonts w:cs="FrankRuehl" w:hint="cs"/>
                <w:sz w:val="28"/>
                <w:szCs w:val="28"/>
                <w:rtl/>
              </w:rPr>
              <w:t xml:space="preserve"> </w:t>
            </w:r>
            <w:r w:rsidRPr="00585E8F">
              <w:rPr>
                <w:rFonts w:cs="FrankRuehl"/>
                <w:sz w:val="28"/>
                <w:szCs w:val="28"/>
                <w:rtl/>
              </w:rPr>
              <w:t>64314-11-16</w:t>
            </w:r>
            <w:r w:rsidRPr="00585E8F">
              <w:rPr>
                <w:rFonts w:cs="FrankRuehl" w:hint="cs"/>
                <w:sz w:val="28"/>
                <w:szCs w:val="28"/>
                <w:rtl/>
              </w:rPr>
              <w:t xml:space="preserve"> </w:t>
            </w:r>
            <w:r w:rsidRPr="00585E8F">
              <w:rPr>
                <w:rFonts w:cs="FrankRuehl"/>
                <w:sz w:val="28"/>
                <w:szCs w:val="28"/>
                <w:rtl/>
              </w:rPr>
              <w:t>מדינת ישראל נ' זיידל</w:t>
            </w:r>
          </w:p>
          <w:p w14:paraId="68B1DC4D" w14:textId="77777777" w:rsidR="00B87F02" w:rsidRPr="00585E8F" w:rsidRDefault="00B87F02" w:rsidP="005849A5">
            <w:pPr>
              <w:pStyle w:val="a3"/>
              <w:rPr>
                <w:rFonts w:cs="FrankRuehl"/>
                <w:sz w:val="28"/>
                <w:szCs w:val="28"/>
                <w:rtl/>
              </w:rPr>
            </w:pPr>
          </w:p>
        </w:tc>
        <w:tc>
          <w:tcPr>
            <w:tcW w:w="3667" w:type="dxa"/>
          </w:tcPr>
          <w:p w14:paraId="0A5D779A" w14:textId="77777777" w:rsidR="00B87F02" w:rsidRPr="00585E8F" w:rsidRDefault="00B87F02" w:rsidP="005849A5">
            <w:pPr>
              <w:pStyle w:val="a3"/>
              <w:jc w:val="right"/>
              <w:rPr>
                <w:rFonts w:cs="FrankRuehl"/>
                <w:sz w:val="28"/>
                <w:szCs w:val="28"/>
                <w:rtl/>
              </w:rPr>
            </w:pPr>
          </w:p>
        </w:tc>
      </w:tr>
    </w:tbl>
    <w:p w14:paraId="35426B21" w14:textId="77777777" w:rsidR="00B87F02" w:rsidRPr="00585E8F" w:rsidRDefault="00B87F02" w:rsidP="00B87F02">
      <w:pPr>
        <w:pStyle w:val="a3"/>
        <w:rPr>
          <w:rtl/>
        </w:rPr>
      </w:pPr>
      <w:r w:rsidRPr="00585E8F">
        <w:rPr>
          <w:rFonts w:hint="cs"/>
          <w:rtl/>
        </w:rPr>
        <w:t xml:space="preserve"> </w:t>
      </w:r>
    </w:p>
    <w:p w14:paraId="5014A655" w14:textId="77777777" w:rsidR="00B87F02" w:rsidRPr="00585E8F" w:rsidRDefault="00B87F02" w:rsidP="00B87F02">
      <w:pPr>
        <w:rPr>
          <w:rFonts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87F02" w:rsidRPr="00585E8F" w14:paraId="26121CE3" w14:textId="77777777" w:rsidTr="00B87F02">
        <w:trPr>
          <w:trHeight w:val="295"/>
          <w:jc w:val="center"/>
        </w:trPr>
        <w:tc>
          <w:tcPr>
            <w:tcW w:w="923" w:type="dxa"/>
            <w:tcBorders>
              <w:top w:val="nil"/>
              <w:left w:val="nil"/>
              <w:bottom w:val="nil"/>
              <w:right w:val="nil"/>
            </w:tcBorders>
            <w:shd w:val="clear" w:color="auto" w:fill="auto"/>
          </w:tcPr>
          <w:p w14:paraId="433DE072" w14:textId="77777777" w:rsidR="00B87F02" w:rsidRPr="00585E8F" w:rsidRDefault="00B87F02" w:rsidP="00B87F02">
            <w:pPr>
              <w:jc w:val="both"/>
              <w:rPr>
                <w:rFonts w:ascii="Arial" w:hAnsi="Arial" w:cs="FrankRuehl"/>
              </w:rPr>
            </w:pPr>
            <w:r w:rsidRPr="00585E8F">
              <w:rPr>
                <w:rFonts w:ascii="Arial" w:hAnsi="Arial" w:cs="FrankRuehl" w:hint="cs"/>
                <w:rtl/>
              </w:rPr>
              <w:t>ב</w:t>
            </w:r>
            <w:r w:rsidRPr="00585E8F">
              <w:rPr>
                <w:rFonts w:ascii="Arial" w:hAnsi="Arial" w:cs="FrankRuehl"/>
                <w:rtl/>
              </w:rPr>
              <w:t xml:space="preserve">פני </w:t>
            </w:r>
          </w:p>
        </w:tc>
        <w:tc>
          <w:tcPr>
            <w:tcW w:w="7897" w:type="dxa"/>
            <w:gridSpan w:val="2"/>
            <w:tcBorders>
              <w:top w:val="nil"/>
              <w:left w:val="nil"/>
              <w:bottom w:val="nil"/>
              <w:right w:val="nil"/>
            </w:tcBorders>
            <w:shd w:val="clear" w:color="auto" w:fill="auto"/>
          </w:tcPr>
          <w:p w14:paraId="37D85FE3" w14:textId="77777777" w:rsidR="00B87F02" w:rsidRPr="00585E8F" w:rsidRDefault="00B87F02" w:rsidP="005849A5">
            <w:pPr>
              <w:rPr>
                <w:rFonts w:ascii="Arial" w:hAnsi="Arial" w:cs="FrankRuehl"/>
                <w:b/>
                <w:bCs/>
                <w:sz w:val="28"/>
                <w:szCs w:val="28"/>
                <w:rtl/>
              </w:rPr>
            </w:pPr>
            <w:r w:rsidRPr="00585E8F">
              <w:rPr>
                <w:rFonts w:ascii="Arial" w:hAnsi="Arial" w:cs="FrankRuehl" w:hint="cs"/>
                <w:b/>
                <w:bCs/>
                <w:sz w:val="28"/>
                <w:szCs w:val="28"/>
                <w:rtl/>
              </w:rPr>
              <w:t>כבוד ה</w:t>
            </w:r>
            <w:r w:rsidRPr="00585E8F">
              <w:rPr>
                <w:rFonts w:ascii="Arial" w:hAnsi="Arial" w:cs="FrankRuehl"/>
                <w:b/>
                <w:bCs/>
                <w:sz w:val="28"/>
                <w:szCs w:val="28"/>
                <w:rtl/>
              </w:rPr>
              <w:t>שופט</w:t>
            </w:r>
            <w:r w:rsidRPr="00585E8F">
              <w:rPr>
                <w:rFonts w:ascii="Arial" w:hAnsi="Arial" w:cs="FrankRuehl" w:hint="cs"/>
                <w:b/>
                <w:bCs/>
                <w:sz w:val="28"/>
                <w:szCs w:val="28"/>
                <w:rtl/>
              </w:rPr>
              <w:t xml:space="preserve">  </w:t>
            </w:r>
            <w:r w:rsidRPr="00585E8F">
              <w:rPr>
                <w:rFonts w:ascii="Arial" w:hAnsi="Arial" w:cs="FrankRuehl"/>
                <w:b/>
                <w:bCs/>
                <w:sz w:val="28"/>
                <w:szCs w:val="28"/>
                <w:rtl/>
              </w:rPr>
              <w:t>דוד שאול גבאי ריכטר</w:t>
            </w:r>
          </w:p>
          <w:p w14:paraId="02E36594" w14:textId="77777777" w:rsidR="00B87F02" w:rsidRPr="00585E8F" w:rsidRDefault="00B87F02" w:rsidP="005849A5">
            <w:pPr>
              <w:rPr>
                <w:rFonts w:cs="FrankRuehl"/>
                <w:rtl/>
              </w:rPr>
            </w:pPr>
          </w:p>
          <w:p w14:paraId="68BC97A2" w14:textId="77777777" w:rsidR="00B87F02" w:rsidRPr="00585E8F" w:rsidRDefault="00B87F02" w:rsidP="00B87F02">
            <w:pPr>
              <w:jc w:val="both"/>
              <w:rPr>
                <w:rFonts w:ascii="Arial" w:hAnsi="Arial" w:cs="FrankRuehl"/>
                <w:sz w:val="28"/>
                <w:szCs w:val="28"/>
              </w:rPr>
            </w:pPr>
          </w:p>
        </w:tc>
      </w:tr>
      <w:tr w:rsidR="00B87F02" w:rsidRPr="00585E8F" w14:paraId="44BFDFEB" w14:textId="77777777" w:rsidTr="00B87F02">
        <w:trPr>
          <w:trHeight w:val="355"/>
          <w:jc w:val="center"/>
        </w:trPr>
        <w:tc>
          <w:tcPr>
            <w:tcW w:w="923" w:type="dxa"/>
            <w:tcBorders>
              <w:top w:val="nil"/>
              <w:left w:val="nil"/>
              <w:bottom w:val="nil"/>
              <w:right w:val="nil"/>
            </w:tcBorders>
            <w:shd w:val="clear" w:color="auto" w:fill="auto"/>
          </w:tcPr>
          <w:p w14:paraId="1FEB04B0" w14:textId="77777777" w:rsidR="00B87F02" w:rsidRPr="00585E8F" w:rsidRDefault="00B87F02" w:rsidP="00B87F02">
            <w:pPr>
              <w:jc w:val="both"/>
              <w:rPr>
                <w:rFonts w:ascii="Arial" w:hAnsi="Arial" w:cs="FrankRuehl"/>
                <w:sz w:val="26"/>
                <w:szCs w:val="26"/>
              </w:rPr>
            </w:pPr>
            <w:bookmarkStart w:id="1" w:name="FirstAppellant"/>
            <w:r w:rsidRPr="00585E8F">
              <w:rPr>
                <w:rFonts w:ascii="Arial" w:hAnsi="Arial" w:cs="FrankRuehl" w:hint="cs"/>
                <w:sz w:val="26"/>
                <w:szCs w:val="26"/>
                <w:rtl/>
              </w:rPr>
              <w:t>בעניין:</w:t>
            </w:r>
          </w:p>
        </w:tc>
        <w:tc>
          <w:tcPr>
            <w:tcW w:w="4126" w:type="dxa"/>
            <w:tcBorders>
              <w:top w:val="nil"/>
              <w:left w:val="nil"/>
              <w:bottom w:val="nil"/>
              <w:right w:val="nil"/>
            </w:tcBorders>
            <w:shd w:val="clear" w:color="auto" w:fill="auto"/>
          </w:tcPr>
          <w:p w14:paraId="161F8DB6" w14:textId="77777777" w:rsidR="00B87F02" w:rsidRPr="00585E8F" w:rsidRDefault="00B87F02" w:rsidP="005849A5">
            <w:pPr>
              <w:rPr>
                <w:rFonts w:cs="FrankRuehl"/>
                <w:b/>
                <w:bCs/>
                <w:sz w:val="30"/>
                <w:szCs w:val="30"/>
              </w:rPr>
            </w:pPr>
            <w:r w:rsidRPr="00585E8F">
              <w:rPr>
                <w:rFonts w:ascii="Arial" w:hAnsi="Arial" w:cs="FrankRuehl"/>
                <w:b/>
                <w:bCs/>
                <w:sz w:val="30"/>
                <w:szCs w:val="30"/>
                <w:rtl/>
              </w:rPr>
              <w:t>מדינת ישראל</w:t>
            </w:r>
          </w:p>
        </w:tc>
        <w:tc>
          <w:tcPr>
            <w:tcW w:w="3771" w:type="dxa"/>
            <w:tcBorders>
              <w:top w:val="nil"/>
              <w:left w:val="nil"/>
              <w:bottom w:val="nil"/>
              <w:right w:val="nil"/>
            </w:tcBorders>
            <w:shd w:val="clear" w:color="auto" w:fill="auto"/>
          </w:tcPr>
          <w:p w14:paraId="538C3451" w14:textId="77777777" w:rsidR="00B87F02" w:rsidRPr="00585E8F" w:rsidRDefault="00B87F02" w:rsidP="00B87F02">
            <w:pPr>
              <w:jc w:val="both"/>
              <w:rPr>
                <w:rFonts w:ascii="Arial" w:hAnsi="Arial" w:cs="FrankRuehl"/>
                <w:sz w:val="30"/>
                <w:szCs w:val="30"/>
              </w:rPr>
            </w:pPr>
          </w:p>
        </w:tc>
      </w:tr>
      <w:bookmarkEnd w:id="1"/>
      <w:tr w:rsidR="00B87F02" w:rsidRPr="00585E8F" w14:paraId="27CE6E93" w14:textId="77777777" w:rsidTr="00B87F02">
        <w:trPr>
          <w:trHeight w:val="355"/>
          <w:jc w:val="center"/>
        </w:trPr>
        <w:tc>
          <w:tcPr>
            <w:tcW w:w="923" w:type="dxa"/>
            <w:tcBorders>
              <w:top w:val="nil"/>
              <w:left w:val="nil"/>
              <w:bottom w:val="nil"/>
              <w:right w:val="nil"/>
            </w:tcBorders>
            <w:shd w:val="clear" w:color="auto" w:fill="auto"/>
          </w:tcPr>
          <w:p w14:paraId="0FFE01B5" w14:textId="77777777" w:rsidR="00B87F02" w:rsidRPr="00585E8F" w:rsidRDefault="00B87F02" w:rsidP="00B87F02">
            <w:pPr>
              <w:jc w:val="both"/>
              <w:rPr>
                <w:rFonts w:ascii="Arial" w:hAnsi="Arial" w:cs="FrankRuehl"/>
                <w:sz w:val="30"/>
                <w:szCs w:val="30"/>
                <w:rtl/>
              </w:rPr>
            </w:pPr>
          </w:p>
        </w:tc>
        <w:tc>
          <w:tcPr>
            <w:tcW w:w="4126" w:type="dxa"/>
            <w:tcBorders>
              <w:top w:val="nil"/>
              <w:left w:val="nil"/>
              <w:bottom w:val="nil"/>
              <w:right w:val="nil"/>
            </w:tcBorders>
            <w:shd w:val="clear" w:color="auto" w:fill="auto"/>
          </w:tcPr>
          <w:p w14:paraId="1E942D3C" w14:textId="77777777" w:rsidR="00B87F02" w:rsidRPr="00585E8F" w:rsidRDefault="00B87F02" w:rsidP="00B87F02">
            <w:pPr>
              <w:jc w:val="both"/>
              <w:rPr>
                <w:rFonts w:cs="FrankRuehl"/>
                <w:sz w:val="30"/>
                <w:szCs w:val="30"/>
                <w:rtl/>
              </w:rPr>
            </w:pPr>
            <w:r w:rsidRPr="00585E8F">
              <w:rPr>
                <w:rFonts w:cs="FrankRuehl" w:hint="cs"/>
                <w:sz w:val="30"/>
                <w:szCs w:val="30"/>
                <w:rtl/>
              </w:rPr>
              <w:t>ע"י תביעות ירושלים</w:t>
            </w:r>
          </w:p>
        </w:tc>
        <w:tc>
          <w:tcPr>
            <w:tcW w:w="3771" w:type="dxa"/>
            <w:tcBorders>
              <w:top w:val="nil"/>
              <w:left w:val="nil"/>
              <w:bottom w:val="nil"/>
              <w:right w:val="nil"/>
            </w:tcBorders>
            <w:shd w:val="clear" w:color="auto" w:fill="auto"/>
          </w:tcPr>
          <w:p w14:paraId="35981E48" w14:textId="77777777" w:rsidR="00B87F02" w:rsidRPr="00585E8F" w:rsidRDefault="00B87F02" w:rsidP="00B87F02">
            <w:pPr>
              <w:jc w:val="right"/>
              <w:rPr>
                <w:rFonts w:ascii="Arial" w:hAnsi="Arial" w:cs="FrankRuehl"/>
                <w:sz w:val="30"/>
                <w:szCs w:val="30"/>
                <w:rtl/>
              </w:rPr>
            </w:pPr>
            <w:r w:rsidRPr="00585E8F">
              <w:rPr>
                <w:rFonts w:ascii="Arial" w:hAnsi="Arial" w:cs="FrankRuehl" w:hint="cs"/>
                <w:sz w:val="30"/>
                <w:szCs w:val="30"/>
                <w:rtl/>
              </w:rPr>
              <w:t>ה</w:t>
            </w:r>
            <w:r w:rsidRPr="00585E8F">
              <w:rPr>
                <w:rFonts w:ascii="Arial" w:hAnsi="Arial" w:cs="FrankRuehl"/>
                <w:sz w:val="30"/>
                <w:szCs w:val="30"/>
                <w:rtl/>
              </w:rPr>
              <w:t>מאשימה</w:t>
            </w:r>
          </w:p>
        </w:tc>
      </w:tr>
      <w:tr w:rsidR="00B87F02" w:rsidRPr="00585E8F" w14:paraId="6D075265" w14:textId="77777777" w:rsidTr="00B87F02">
        <w:trPr>
          <w:trHeight w:val="355"/>
          <w:jc w:val="center"/>
        </w:trPr>
        <w:tc>
          <w:tcPr>
            <w:tcW w:w="923" w:type="dxa"/>
            <w:tcBorders>
              <w:top w:val="nil"/>
              <w:left w:val="nil"/>
              <w:bottom w:val="nil"/>
              <w:right w:val="nil"/>
            </w:tcBorders>
            <w:shd w:val="clear" w:color="auto" w:fill="auto"/>
          </w:tcPr>
          <w:p w14:paraId="3574BCA5" w14:textId="77777777" w:rsidR="00B87F02" w:rsidRPr="00585E8F" w:rsidRDefault="00B87F02" w:rsidP="00B87F02">
            <w:pPr>
              <w:jc w:val="both"/>
              <w:rPr>
                <w:rFonts w:ascii="Arial" w:hAnsi="Arial" w:cs="FrankRuehl"/>
                <w:sz w:val="30"/>
                <w:szCs w:val="30"/>
                <w:rtl/>
              </w:rPr>
            </w:pPr>
          </w:p>
        </w:tc>
        <w:tc>
          <w:tcPr>
            <w:tcW w:w="7897" w:type="dxa"/>
            <w:gridSpan w:val="2"/>
            <w:tcBorders>
              <w:top w:val="nil"/>
              <w:left w:val="nil"/>
              <w:bottom w:val="nil"/>
              <w:right w:val="nil"/>
            </w:tcBorders>
            <w:shd w:val="clear" w:color="auto" w:fill="auto"/>
          </w:tcPr>
          <w:p w14:paraId="5A75C51B" w14:textId="77777777" w:rsidR="00B87F02" w:rsidRPr="00585E8F" w:rsidRDefault="00B87F02" w:rsidP="00B87F02">
            <w:pPr>
              <w:jc w:val="center"/>
              <w:rPr>
                <w:rFonts w:ascii="Arial" w:hAnsi="Arial" w:cs="FrankRuehl"/>
                <w:b/>
                <w:bCs/>
                <w:sz w:val="30"/>
                <w:szCs w:val="30"/>
                <w:rtl/>
              </w:rPr>
            </w:pPr>
          </w:p>
          <w:p w14:paraId="73177B5E" w14:textId="77777777" w:rsidR="00B87F02" w:rsidRPr="00585E8F" w:rsidRDefault="00B87F02" w:rsidP="00B87F02">
            <w:pPr>
              <w:jc w:val="center"/>
              <w:rPr>
                <w:rFonts w:ascii="Arial" w:hAnsi="Arial" w:cs="FrankRuehl"/>
                <w:b/>
                <w:bCs/>
                <w:sz w:val="30"/>
                <w:szCs w:val="30"/>
                <w:rtl/>
              </w:rPr>
            </w:pPr>
            <w:r w:rsidRPr="00585E8F">
              <w:rPr>
                <w:rFonts w:ascii="Arial" w:hAnsi="Arial" w:cs="FrankRuehl"/>
                <w:b/>
                <w:bCs/>
                <w:sz w:val="30"/>
                <w:szCs w:val="30"/>
                <w:rtl/>
              </w:rPr>
              <w:t>נגד</w:t>
            </w:r>
          </w:p>
          <w:p w14:paraId="66E4A7D4" w14:textId="77777777" w:rsidR="00B87F02" w:rsidRPr="00585E8F" w:rsidRDefault="00B87F02" w:rsidP="00B87F02">
            <w:pPr>
              <w:jc w:val="both"/>
              <w:rPr>
                <w:rFonts w:ascii="Arial" w:hAnsi="Arial" w:cs="FrankRuehl"/>
                <w:sz w:val="30"/>
                <w:szCs w:val="30"/>
              </w:rPr>
            </w:pPr>
          </w:p>
        </w:tc>
      </w:tr>
      <w:tr w:rsidR="00B87F02" w:rsidRPr="00585E8F" w14:paraId="367E9F8F" w14:textId="77777777" w:rsidTr="00B87F02">
        <w:trPr>
          <w:trHeight w:val="355"/>
          <w:jc w:val="center"/>
        </w:trPr>
        <w:tc>
          <w:tcPr>
            <w:tcW w:w="923" w:type="dxa"/>
            <w:tcBorders>
              <w:top w:val="nil"/>
              <w:left w:val="nil"/>
              <w:bottom w:val="nil"/>
              <w:right w:val="nil"/>
            </w:tcBorders>
            <w:shd w:val="clear" w:color="auto" w:fill="auto"/>
          </w:tcPr>
          <w:p w14:paraId="4CF0D97D" w14:textId="77777777" w:rsidR="00B87F02" w:rsidRPr="00585E8F" w:rsidRDefault="00B87F02" w:rsidP="005849A5">
            <w:pPr>
              <w:rPr>
                <w:rFonts w:ascii="Arial" w:hAnsi="Arial" w:cs="FrankRuehl"/>
                <w:sz w:val="30"/>
                <w:szCs w:val="30"/>
                <w:rtl/>
              </w:rPr>
            </w:pPr>
          </w:p>
        </w:tc>
        <w:tc>
          <w:tcPr>
            <w:tcW w:w="4126" w:type="dxa"/>
            <w:tcBorders>
              <w:top w:val="nil"/>
              <w:left w:val="nil"/>
              <w:bottom w:val="nil"/>
              <w:right w:val="nil"/>
            </w:tcBorders>
            <w:shd w:val="clear" w:color="auto" w:fill="auto"/>
          </w:tcPr>
          <w:p w14:paraId="4ED4605C" w14:textId="77777777" w:rsidR="00B87F02" w:rsidRPr="00585E8F" w:rsidRDefault="00B87F02" w:rsidP="005849A5">
            <w:pPr>
              <w:rPr>
                <w:rFonts w:cs="FrankRuehl" w:hint="cs"/>
                <w:b/>
                <w:bCs/>
                <w:sz w:val="30"/>
                <w:szCs w:val="30"/>
                <w:rtl/>
              </w:rPr>
            </w:pPr>
            <w:r w:rsidRPr="00585E8F">
              <w:rPr>
                <w:rFonts w:ascii="Arial" w:hAnsi="Arial" w:cs="FrankRuehl"/>
                <w:b/>
                <w:bCs/>
                <w:sz w:val="30"/>
                <w:szCs w:val="30"/>
                <w:rtl/>
              </w:rPr>
              <w:t>מיכאל זיידל</w:t>
            </w:r>
          </w:p>
        </w:tc>
        <w:tc>
          <w:tcPr>
            <w:tcW w:w="3771" w:type="dxa"/>
            <w:tcBorders>
              <w:top w:val="nil"/>
              <w:left w:val="nil"/>
              <w:bottom w:val="nil"/>
              <w:right w:val="nil"/>
            </w:tcBorders>
            <w:shd w:val="clear" w:color="auto" w:fill="auto"/>
          </w:tcPr>
          <w:p w14:paraId="44817BFE" w14:textId="77777777" w:rsidR="00B87F02" w:rsidRPr="00585E8F" w:rsidRDefault="00B87F02" w:rsidP="00B87F02">
            <w:pPr>
              <w:jc w:val="right"/>
              <w:rPr>
                <w:rFonts w:ascii="Arial" w:hAnsi="Arial" w:cs="FrankRuehl"/>
                <w:sz w:val="30"/>
                <w:szCs w:val="30"/>
              </w:rPr>
            </w:pPr>
          </w:p>
        </w:tc>
      </w:tr>
      <w:tr w:rsidR="00B87F02" w:rsidRPr="00585E8F" w14:paraId="31725442" w14:textId="77777777" w:rsidTr="00B87F02">
        <w:trPr>
          <w:trHeight w:val="355"/>
          <w:jc w:val="center"/>
        </w:trPr>
        <w:tc>
          <w:tcPr>
            <w:tcW w:w="923" w:type="dxa"/>
            <w:tcBorders>
              <w:top w:val="nil"/>
              <w:left w:val="nil"/>
              <w:bottom w:val="nil"/>
              <w:right w:val="nil"/>
            </w:tcBorders>
            <w:shd w:val="clear" w:color="auto" w:fill="auto"/>
          </w:tcPr>
          <w:p w14:paraId="32BBF416" w14:textId="77777777" w:rsidR="00B87F02" w:rsidRPr="00585E8F" w:rsidRDefault="00B87F02" w:rsidP="00B87F02">
            <w:pPr>
              <w:jc w:val="both"/>
              <w:rPr>
                <w:rFonts w:ascii="Arial" w:hAnsi="Arial" w:cs="FrankRuehl"/>
                <w:sz w:val="30"/>
                <w:szCs w:val="30"/>
                <w:rtl/>
              </w:rPr>
            </w:pPr>
            <w:bookmarkStart w:id="2" w:name="FirstLawyer"/>
          </w:p>
        </w:tc>
        <w:tc>
          <w:tcPr>
            <w:tcW w:w="4126" w:type="dxa"/>
            <w:tcBorders>
              <w:top w:val="nil"/>
              <w:left w:val="nil"/>
              <w:bottom w:val="nil"/>
              <w:right w:val="nil"/>
            </w:tcBorders>
            <w:shd w:val="clear" w:color="auto" w:fill="auto"/>
          </w:tcPr>
          <w:p w14:paraId="6F8FC03D" w14:textId="77777777" w:rsidR="00B87F02" w:rsidRPr="00585E8F" w:rsidRDefault="00B87F02" w:rsidP="00B87F02">
            <w:pPr>
              <w:jc w:val="both"/>
              <w:rPr>
                <w:rFonts w:cs="FrankRuehl"/>
                <w:sz w:val="30"/>
                <w:szCs w:val="30"/>
                <w:rtl/>
              </w:rPr>
            </w:pPr>
            <w:r w:rsidRPr="00585E8F">
              <w:rPr>
                <w:rFonts w:cs="FrankRuehl" w:hint="cs"/>
                <w:sz w:val="30"/>
                <w:szCs w:val="30"/>
                <w:rtl/>
              </w:rPr>
              <w:t>ע"י ב"כ עו"ד מיכאל עירוני</w:t>
            </w:r>
          </w:p>
        </w:tc>
        <w:tc>
          <w:tcPr>
            <w:tcW w:w="3771" w:type="dxa"/>
            <w:tcBorders>
              <w:top w:val="nil"/>
              <w:left w:val="nil"/>
              <w:bottom w:val="nil"/>
              <w:right w:val="nil"/>
            </w:tcBorders>
            <w:shd w:val="clear" w:color="auto" w:fill="auto"/>
          </w:tcPr>
          <w:p w14:paraId="78CED29A" w14:textId="77777777" w:rsidR="00B87F02" w:rsidRPr="00585E8F" w:rsidRDefault="00B87F02" w:rsidP="00B87F02">
            <w:pPr>
              <w:jc w:val="right"/>
              <w:rPr>
                <w:rFonts w:ascii="Arial" w:hAnsi="Arial" w:cs="FrankRuehl"/>
                <w:sz w:val="30"/>
                <w:szCs w:val="30"/>
              </w:rPr>
            </w:pPr>
            <w:r w:rsidRPr="00585E8F">
              <w:rPr>
                <w:rFonts w:ascii="Arial" w:hAnsi="Arial" w:cs="FrankRuehl" w:hint="cs"/>
                <w:sz w:val="30"/>
                <w:szCs w:val="30"/>
                <w:rtl/>
              </w:rPr>
              <w:t>ה</w:t>
            </w:r>
            <w:r w:rsidRPr="00585E8F">
              <w:rPr>
                <w:rFonts w:ascii="Arial" w:hAnsi="Arial" w:cs="FrankRuehl"/>
                <w:sz w:val="30"/>
                <w:szCs w:val="30"/>
                <w:rtl/>
              </w:rPr>
              <w:t>נאשם</w:t>
            </w:r>
          </w:p>
        </w:tc>
      </w:tr>
    </w:tbl>
    <w:p w14:paraId="0A173AA0" w14:textId="77777777" w:rsidR="0005746B" w:rsidRDefault="0005746B" w:rsidP="00B87F02">
      <w:pPr>
        <w:rPr>
          <w:rFonts w:cs="FrankRuehl"/>
          <w:rtl/>
        </w:rPr>
      </w:pPr>
      <w:bookmarkStart w:id="3" w:name="LawTable"/>
      <w:bookmarkEnd w:id="2"/>
      <w:bookmarkEnd w:id="3"/>
    </w:p>
    <w:p w14:paraId="3830CD04" w14:textId="77777777" w:rsidR="0005746B" w:rsidRPr="0005746B" w:rsidRDefault="0005746B" w:rsidP="0005746B">
      <w:pPr>
        <w:spacing w:after="120" w:line="240" w:lineRule="exact"/>
        <w:ind w:left="283" w:hanging="283"/>
        <w:jc w:val="both"/>
        <w:rPr>
          <w:rFonts w:ascii="FrankRuehl" w:hAnsi="FrankRuehl" w:cs="FrankRuehl"/>
          <w:rtl/>
        </w:rPr>
      </w:pPr>
    </w:p>
    <w:p w14:paraId="4335D178" w14:textId="77777777" w:rsidR="0005746B" w:rsidRPr="0005746B" w:rsidRDefault="0005746B" w:rsidP="0005746B">
      <w:pPr>
        <w:spacing w:after="120" w:line="240" w:lineRule="exact"/>
        <w:ind w:left="283" w:hanging="283"/>
        <w:jc w:val="both"/>
        <w:rPr>
          <w:rFonts w:ascii="FrankRuehl" w:hAnsi="FrankRuehl" w:cs="FrankRuehl"/>
          <w:rtl/>
        </w:rPr>
      </w:pPr>
      <w:r w:rsidRPr="0005746B">
        <w:rPr>
          <w:rFonts w:ascii="FrankRuehl" w:hAnsi="FrankRuehl" w:cs="FrankRuehl"/>
          <w:rtl/>
        </w:rPr>
        <w:t xml:space="preserve">חקיקה שאוזכרה: </w:t>
      </w:r>
    </w:p>
    <w:p w14:paraId="02B1B938" w14:textId="77777777" w:rsidR="0005746B" w:rsidRPr="0005746B" w:rsidRDefault="0005746B" w:rsidP="0005746B">
      <w:pPr>
        <w:spacing w:after="120" w:line="240" w:lineRule="exact"/>
        <w:ind w:left="283" w:hanging="283"/>
        <w:jc w:val="both"/>
        <w:rPr>
          <w:rFonts w:ascii="FrankRuehl" w:hAnsi="FrankRuehl" w:cs="FrankRuehl"/>
          <w:rtl/>
        </w:rPr>
      </w:pPr>
      <w:hyperlink r:id="rId7" w:history="1">
        <w:r w:rsidRPr="0005746B">
          <w:rPr>
            <w:rFonts w:ascii="FrankRuehl" w:hAnsi="FrankRuehl" w:cs="FrankRuehl"/>
            <w:color w:val="0000FF"/>
            <w:u w:val="single"/>
            <w:rtl/>
          </w:rPr>
          <w:t>פקודת הסמים המסוכנים [נוסח חדש], תשל"ג-1973</w:t>
        </w:r>
      </w:hyperlink>
      <w:r w:rsidRPr="0005746B">
        <w:rPr>
          <w:rFonts w:ascii="FrankRuehl" w:hAnsi="FrankRuehl" w:cs="FrankRuehl"/>
          <w:rtl/>
        </w:rPr>
        <w:t xml:space="preserve">: סע'  </w:t>
      </w:r>
      <w:hyperlink r:id="rId8" w:history="1">
        <w:r w:rsidRPr="0005746B">
          <w:rPr>
            <w:rFonts w:ascii="FrankRuehl" w:hAnsi="FrankRuehl" w:cs="FrankRuehl"/>
            <w:color w:val="0000FF"/>
            <w:u w:val="single"/>
            <w:rtl/>
          </w:rPr>
          <w:t>6</w:t>
        </w:r>
      </w:hyperlink>
      <w:r w:rsidRPr="0005746B">
        <w:rPr>
          <w:rFonts w:ascii="FrankRuehl" w:hAnsi="FrankRuehl" w:cs="FrankRuehl"/>
          <w:rtl/>
        </w:rPr>
        <w:t xml:space="preserve">, </w:t>
      </w:r>
      <w:hyperlink r:id="rId9" w:history="1">
        <w:r w:rsidRPr="0005746B">
          <w:rPr>
            <w:rFonts w:ascii="FrankRuehl" w:hAnsi="FrankRuehl" w:cs="FrankRuehl"/>
            <w:color w:val="0000FF"/>
            <w:u w:val="single"/>
            <w:rtl/>
          </w:rPr>
          <w:t>7.א.</w:t>
        </w:r>
      </w:hyperlink>
      <w:r w:rsidRPr="0005746B">
        <w:rPr>
          <w:rFonts w:ascii="FrankRuehl" w:hAnsi="FrankRuehl" w:cs="FrankRuehl"/>
          <w:rtl/>
        </w:rPr>
        <w:t xml:space="preserve">, </w:t>
      </w:r>
      <w:hyperlink r:id="rId10" w:history="1">
        <w:r w:rsidRPr="0005746B">
          <w:rPr>
            <w:rFonts w:ascii="FrankRuehl" w:hAnsi="FrankRuehl" w:cs="FrankRuehl"/>
            <w:color w:val="0000FF"/>
            <w:u w:val="single"/>
            <w:rtl/>
          </w:rPr>
          <w:t>7.ג</w:t>
        </w:r>
      </w:hyperlink>
      <w:r w:rsidRPr="0005746B">
        <w:rPr>
          <w:rFonts w:ascii="FrankRuehl" w:hAnsi="FrankRuehl" w:cs="FrankRuehl"/>
          <w:rtl/>
        </w:rPr>
        <w:t xml:space="preserve">, </w:t>
      </w:r>
      <w:hyperlink r:id="rId11" w:history="1">
        <w:r w:rsidRPr="0005746B">
          <w:rPr>
            <w:rFonts w:ascii="FrankRuehl" w:hAnsi="FrankRuehl" w:cs="FrankRuehl"/>
            <w:color w:val="0000FF"/>
            <w:u w:val="single"/>
            <w:rtl/>
          </w:rPr>
          <w:t>10</w:t>
        </w:r>
      </w:hyperlink>
      <w:r w:rsidRPr="0005746B">
        <w:rPr>
          <w:rFonts w:ascii="FrankRuehl" w:hAnsi="FrankRuehl" w:cs="FrankRuehl"/>
          <w:rtl/>
        </w:rPr>
        <w:t xml:space="preserve">, </w:t>
      </w:r>
      <w:hyperlink r:id="rId12" w:history="1">
        <w:r w:rsidRPr="0005746B">
          <w:rPr>
            <w:rFonts w:ascii="FrankRuehl" w:hAnsi="FrankRuehl" w:cs="FrankRuehl"/>
            <w:color w:val="0000FF"/>
            <w:u w:val="single"/>
            <w:rtl/>
          </w:rPr>
          <w:t>13</w:t>
        </w:r>
      </w:hyperlink>
    </w:p>
    <w:p w14:paraId="771B5DE6" w14:textId="77777777" w:rsidR="0005746B" w:rsidRPr="0005746B" w:rsidRDefault="0005746B" w:rsidP="0005746B">
      <w:pPr>
        <w:spacing w:after="120" w:line="240" w:lineRule="exact"/>
        <w:ind w:left="283" w:hanging="283"/>
        <w:jc w:val="both"/>
        <w:rPr>
          <w:rFonts w:ascii="FrankRuehl" w:hAnsi="FrankRuehl" w:cs="FrankRuehl"/>
          <w:rtl/>
        </w:rPr>
      </w:pPr>
      <w:hyperlink r:id="rId13" w:history="1">
        <w:r w:rsidRPr="0005746B">
          <w:rPr>
            <w:rFonts w:ascii="FrankRuehl" w:hAnsi="FrankRuehl" w:cs="FrankRuehl"/>
            <w:color w:val="0000FF"/>
            <w:u w:val="single"/>
            <w:rtl/>
          </w:rPr>
          <w:t>חוק העונשין, תשל"ז-1977</w:t>
        </w:r>
      </w:hyperlink>
      <w:r w:rsidRPr="0005746B">
        <w:rPr>
          <w:rFonts w:ascii="FrankRuehl" w:hAnsi="FrankRuehl" w:cs="FrankRuehl"/>
          <w:rtl/>
        </w:rPr>
        <w:t xml:space="preserve">: סע'  </w:t>
      </w:r>
      <w:hyperlink r:id="rId14" w:history="1">
        <w:r w:rsidRPr="0005746B">
          <w:rPr>
            <w:rFonts w:ascii="FrankRuehl" w:hAnsi="FrankRuehl" w:cs="FrankRuehl"/>
            <w:color w:val="0000FF"/>
            <w:u w:val="single"/>
            <w:rtl/>
          </w:rPr>
          <w:t>40ט'</w:t>
        </w:r>
      </w:hyperlink>
      <w:r w:rsidRPr="0005746B">
        <w:rPr>
          <w:rFonts w:ascii="FrankRuehl" w:hAnsi="FrankRuehl" w:cs="FrankRuehl"/>
          <w:rtl/>
        </w:rPr>
        <w:t xml:space="preserve">, </w:t>
      </w:r>
      <w:hyperlink r:id="rId15" w:history="1">
        <w:r w:rsidRPr="0005746B">
          <w:rPr>
            <w:rFonts w:ascii="FrankRuehl" w:hAnsi="FrankRuehl" w:cs="FrankRuehl"/>
            <w:color w:val="0000FF"/>
            <w:u w:val="single"/>
            <w:rtl/>
          </w:rPr>
          <w:t>40יא</w:t>
        </w:r>
      </w:hyperlink>
    </w:p>
    <w:p w14:paraId="6FEE4879" w14:textId="77777777" w:rsidR="0005746B" w:rsidRPr="0005746B" w:rsidRDefault="0005746B" w:rsidP="0005746B">
      <w:pPr>
        <w:spacing w:after="120" w:line="240" w:lineRule="exact"/>
        <w:ind w:left="283" w:hanging="283"/>
        <w:jc w:val="both"/>
        <w:rPr>
          <w:rFonts w:ascii="FrankRuehl" w:hAnsi="FrankRuehl" w:cs="FrankRuehl"/>
          <w:rtl/>
        </w:rPr>
      </w:pPr>
    </w:p>
    <w:p w14:paraId="235F4DE8" w14:textId="77777777" w:rsidR="0005746B" w:rsidRPr="0005746B" w:rsidRDefault="0005746B" w:rsidP="00B87F02">
      <w:pPr>
        <w:rPr>
          <w:rFonts w:cs="FrankRuehl"/>
          <w:rtl/>
        </w:rPr>
      </w:pPr>
      <w:bookmarkStart w:id="4" w:name="LawTable_End"/>
      <w:bookmarkEnd w:id="4"/>
    </w:p>
    <w:p w14:paraId="1A3C922D" w14:textId="77777777" w:rsidR="00585E8F" w:rsidRPr="00585E8F" w:rsidRDefault="00585E8F" w:rsidP="00B87F02">
      <w:pPr>
        <w:rPr>
          <w:rFonts w:cs="FrankRuehl"/>
          <w:rtl/>
        </w:rPr>
      </w:pPr>
    </w:p>
    <w:p w14:paraId="20C09A79" w14:textId="77777777" w:rsidR="00585E8F" w:rsidRPr="00585E8F" w:rsidRDefault="00585E8F" w:rsidP="00B87F02">
      <w:pPr>
        <w:rPr>
          <w:rFonts w:cs="FrankRuehl"/>
          <w:rtl/>
        </w:rPr>
      </w:pPr>
    </w:p>
    <w:p w14:paraId="17F2CA6F" w14:textId="77777777" w:rsidR="00B87F02" w:rsidRPr="00585E8F" w:rsidRDefault="00B87F02" w:rsidP="00B87F02">
      <w:pPr>
        <w:rPr>
          <w:rFonts w:cs="FrankRueh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7F02" w:rsidRPr="00061EA1" w14:paraId="122360E2" w14:textId="77777777" w:rsidTr="00B87F02">
        <w:trPr>
          <w:trHeight w:val="355"/>
          <w:jc w:val="center"/>
        </w:trPr>
        <w:tc>
          <w:tcPr>
            <w:tcW w:w="8820" w:type="dxa"/>
            <w:tcBorders>
              <w:top w:val="nil"/>
              <w:left w:val="nil"/>
              <w:bottom w:val="nil"/>
              <w:right w:val="nil"/>
            </w:tcBorders>
            <w:shd w:val="clear" w:color="auto" w:fill="auto"/>
          </w:tcPr>
          <w:p w14:paraId="584CB9D2" w14:textId="77777777" w:rsidR="00585E8F" w:rsidRPr="00585E8F" w:rsidRDefault="00585E8F" w:rsidP="00585E8F">
            <w:pPr>
              <w:jc w:val="center"/>
              <w:rPr>
                <w:rFonts w:ascii="Arial" w:hAnsi="Arial" w:cs="FrankRuehl"/>
                <w:b/>
                <w:bCs/>
                <w:sz w:val="32"/>
                <w:szCs w:val="32"/>
                <w:u w:val="single"/>
                <w:rtl/>
              </w:rPr>
            </w:pPr>
            <w:bookmarkStart w:id="5" w:name="PsakDin" w:colFirst="0" w:colLast="0"/>
            <w:bookmarkEnd w:id="0"/>
            <w:r w:rsidRPr="00585E8F">
              <w:rPr>
                <w:rFonts w:ascii="Arial" w:hAnsi="Arial" w:cs="FrankRuehl"/>
                <w:b/>
                <w:bCs/>
                <w:sz w:val="32"/>
                <w:szCs w:val="32"/>
                <w:u w:val="single"/>
                <w:rtl/>
              </w:rPr>
              <w:t>גזר דין</w:t>
            </w:r>
          </w:p>
          <w:p w14:paraId="1281A1A8" w14:textId="77777777" w:rsidR="00B87F02" w:rsidRPr="00585E8F" w:rsidRDefault="00B87F02" w:rsidP="00585E8F">
            <w:pPr>
              <w:jc w:val="center"/>
              <w:rPr>
                <w:rFonts w:ascii="Arial" w:hAnsi="Arial" w:cs="FrankRuehl"/>
                <w:bCs/>
                <w:sz w:val="32"/>
                <w:szCs w:val="32"/>
                <w:u w:val="single"/>
                <w:rtl/>
              </w:rPr>
            </w:pPr>
          </w:p>
        </w:tc>
      </w:tr>
      <w:bookmarkEnd w:id="5"/>
    </w:tbl>
    <w:p w14:paraId="72487013" w14:textId="77777777" w:rsidR="00B87F02" w:rsidRPr="00061EA1" w:rsidRDefault="00B87F02" w:rsidP="00B87F02">
      <w:pPr>
        <w:rPr>
          <w:rFonts w:ascii="Arial" w:hAnsi="Arial" w:cs="FrankRuehl"/>
          <w:rtl/>
        </w:rPr>
      </w:pPr>
    </w:p>
    <w:p w14:paraId="60008F06" w14:textId="77777777" w:rsidR="00B87F02" w:rsidRPr="00061EA1" w:rsidRDefault="00B87F02" w:rsidP="00B87F02">
      <w:pPr>
        <w:rPr>
          <w:rFonts w:ascii="Arial" w:hAnsi="Arial" w:cs="FrankRuehl"/>
          <w:rtl/>
        </w:rPr>
      </w:pPr>
    </w:p>
    <w:p w14:paraId="107BB86B" w14:textId="77777777" w:rsidR="00B87F02" w:rsidRPr="00061EA1" w:rsidRDefault="00B87F02" w:rsidP="00B87F02">
      <w:pPr>
        <w:rPr>
          <w:rFonts w:cs="FrankRuehl"/>
          <w:rtl/>
        </w:rPr>
      </w:pPr>
    </w:p>
    <w:p w14:paraId="755E8F2D" w14:textId="77777777" w:rsidR="00B87F02" w:rsidRPr="00061EA1" w:rsidRDefault="00B87F02" w:rsidP="00B87F02">
      <w:pPr>
        <w:rPr>
          <w:rFonts w:cs="FrankRuehl"/>
          <w:rtl/>
        </w:rPr>
      </w:pPr>
    </w:p>
    <w:p w14:paraId="47A794ED" w14:textId="77777777" w:rsidR="00B87F02" w:rsidRPr="00061EA1" w:rsidRDefault="00B87F02" w:rsidP="00B87F02">
      <w:pPr>
        <w:rPr>
          <w:rFonts w:cs="FrankRuehl"/>
          <w:rtl/>
        </w:rPr>
      </w:pPr>
    </w:p>
    <w:p w14:paraId="03093160" w14:textId="77777777" w:rsidR="00B87F02" w:rsidRDefault="00B87F02" w:rsidP="00B87F02">
      <w:pPr>
        <w:rPr>
          <w:rFonts w:cs="FrankRuehl"/>
          <w:b/>
          <w:bCs/>
          <w:u w:val="single"/>
        </w:rPr>
      </w:pPr>
      <w:r>
        <w:rPr>
          <w:rFonts w:cs="FrankRuehl" w:hint="cs"/>
          <w:b/>
          <w:bCs/>
          <w:u w:val="single"/>
          <w:rtl/>
        </w:rPr>
        <w:t>כתב האישום</w:t>
      </w:r>
    </w:p>
    <w:p w14:paraId="12B7EB39" w14:textId="77777777" w:rsidR="00B87F02" w:rsidRPr="00B87F02" w:rsidRDefault="00B87F02" w:rsidP="00B87F02">
      <w:pPr>
        <w:spacing w:after="160" w:line="360" w:lineRule="auto"/>
        <w:jc w:val="both"/>
        <w:rPr>
          <w:rFonts w:ascii="Calibri" w:hAnsi="Calibri" w:cs="FrankRuehl"/>
          <w:rtl/>
        </w:rPr>
      </w:pPr>
      <w:bookmarkStart w:id="6" w:name="ABSTRACT_START"/>
      <w:bookmarkEnd w:id="6"/>
      <w:r w:rsidRPr="00B87F02">
        <w:rPr>
          <w:rFonts w:ascii="Calibri" w:hAnsi="Calibri" w:cs="FrankRuehl" w:hint="cs"/>
          <w:rtl/>
        </w:rPr>
        <w:t>הנאשם הורשע על פי הודאתו בביצוע עבירות סמים. כתב האישום נושא 7 אישומים ואתייחס אליהם על-פי סדרם.</w:t>
      </w:r>
    </w:p>
    <w:p w14:paraId="34C797CB"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האישום הראשון</w:t>
      </w:r>
      <w:r w:rsidRPr="00B87F02">
        <w:rPr>
          <w:rFonts w:ascii="Calibri" w:hAnsi="Calibri" w:cs="FrankRuehl" w:hint="cs"/>
          <w:rtl/>
        </w:rPr>
        <w:t xml:space="preserve"> </w:t>
      </w:r>
      <w:r w:rsidRPr="00B87F02">
        <w:rPr>
          <w:rFonts w:ascii="Calibri" w:hAnsi="Calibri" w:cs="FrankRuehl"/>
          <w:rtl/>
        </w:rPr>
        <w:t>–</w:t>
      </w:r>
      <w:r w:rsidRPr="00B87F02">
        <w:rPr>
          <w:rFonts w:ascii="Calibri" w:hAnsi="Calibri" w:cs="FrankRuehl" w:hint="cs"/>
          <w:rtl/>
        </w:rPr>
        <w:t xml:space="preserve"> מאישום זה עולה, כי הנאשם החזיק בדירה שכורה חדר, אותו ייחד לגידול סמים בתנאי מעבדה. לצורך כך רכש ציוד רלבנטי לרבות צנרת, ציוד השקיה וציוד חשמלי, ציוד אוורור ועוד, ובפועל גידל באותו חדר סמים מסוג קנבוס במשל 4.14 קילוגרם במספר עציצים, וכן החזיק במקום קנביס וחשיש שהיו מפוזרים ומחולקים במקום במשקל מצטבר של כ-100 גרם. בגין כך הורשע הנאשם בהתאם להודאתו בעבירות של גידול סמים, לפי </w:t>
      </w:r>
      <w:hyperlink r:id="rId16" w:history="1">
        <w:r w:rsidR="0005746B" w:rsidRPr="0005746B">
          <w:rPr>
            <w:rFonts w:ascii="Calibri" w:hAnsi="Calibri" w:cs="FrankRuehl" w:hint="eastAsia"/>
            <w:color w:val="0000FF"/>
            <w:u w:val="single"/>
            <w:rtl/>
          </w:rPr>
          <w:t>סעיף</w:t>
        </w:r>
        <w:r w:rsidR="0005746B" w:rsidRPr="0005746B">
          <w:rPr>
            <w:rFonts w:ascii="Calibri" w:hAnsi="Calibri" w:cs="FrankRuehl"/>
            <w:color w:val="0000FF"/>
            <w:u w:val="single"/>
            <w:rtl/>
          </w:rPr>
          <w:t xml:space="preserve"> 6</w:t>
        </w:r>
      </w:hyperlink>
      <w:r w:rsidRPr="00B87F02">
        <w:rPr>
          <w:rFonts w:ascii="Calibri" w:hAnsi="Calibri" w:cs="FrankRuehl" w:hint="cs"/>
          <w:rtl/>
        </w:rPr>
        <w:t xml:space="preserve"> ל</w:t>
      </w:r>
      <w:hyperlink r:id="rId17" w:history="1">
        <w:r w:rsidR="00585E8F" w:rsidRPr="00585E8F">
          <w:rPr>
            <w:rFonts w:ascii="Calibri" w:hAnsi="Calibri" w:cs="FrankRuehl" w:hint="eastAsia"/>
            <w:color w:val="0000FF"/>
            <w:u w:val="single"/>
            <w:rtl/>
          </w:rPr>
          <w:t>פקודת</w:t>
        </w:r>
        <w:r w:rsidR="00585E8F" w:rsidRPr="00585E8F">
          <w:rPr>
            <w:rFonts w:ascii="Calibri" w:hAnsi="Calibri" w:cs="FrankRuehl"/>
            <w:color w:val="0000FF"/>
            <w:u w:val="single"/>
            <w:rtl/>
          </w:rPr>
          <w:t xml:space="preserve"> </w:t>
        </w:r>
        <w:r w:rsidR="00585E8F" w:rsidRPr="00585E8F">
          <w:rPr>
            <w:rFonts w:ascii="Calibri" w:hAnsi="Calibri" w:cs="FrankRuehl" w:hint="eastAsia"/>
            <w:color w:val="0000FF"/>
            <w:u w:val="single"/>
            <w:rtl/>
          </w:rPr>
          <w:t>הסמים</w:t>
        </w:r>
        <w:r w:rsidR="00585E8F" w:rsidRPr="00585E8F">
          <w:rPr>
            <w:rFonts w:ascii="Calibri" w:hAnsi="Calibri" w:cs="FrankRuehl"/>
            <w:color w:val="0000FF"/>
            <w:u w:val="single"/>
            <w:rtl/>
          </w:rPr>
          <w:t xml:space="preserve"> </w:t>
        </w:r>
        <w:r w:rsidR="00585E8F" w:rsidRPr="00585E8F">
          <w:rPr>
            <w:rFonts w:ascii="Calibri" w:hAnsi="Calibri" w:cs="FrankRuehl" w:hint="eastAsia"/>
            <w:color w:val="0000FF"/>
            <w:u w:val="single"/>
            <w:rtl/>
          </w:rPr>
          <w:t>המסוכנים</w:t>
        </w:r>
      </w:hyperlink>
      <w:r w:rsidRPr="00B87F02">
        <w:rPr>
          <w:rFonts w:ascii="Calibri" w:hAnsi="Calibri" w:cs="FrankRuehl" w:hint="cs"/>
          <w:rtl/>
        </w:rPr>
        <w:t xml:space="preserve"> (להלן </w:t>
      </w:r>
      <w:r w:rsidRPr="00B87F02">
        <w:rPr>
          <w:rFonts w:ascii="Calibri" w:hAnsi="Calibri" w:cs="FrankRuehl"/>
          <w:rtl/>
        </w:rPr>
        <w:t>–</w:t>
      </w:r>
      <w:r w:rsidRPr="00B87F02">
        <w:rPr>
          <w:rFonts w:ascii="Calibri" w:hAnsi="Calibri" w:cs="FrankRuehl" w:hint="cs"/>
          <w:rtl/>
        </w:rPr>
        <w:t xml:space="preserve"> הפקודה); החזקת כלי המשמשים להכנת סם, לפי </w:t>
      </w:r>
      <w:hyperlink r:id="rId18" w:history="1">
        <w:r w:rsidR="0005746B" w:rsidRPr="0005746B">
          <w:rPr>
            <w:rFonts w:ascii="Calibri" w:hAnsi="Calibri" w:cs="FrankRuehl" w:hint="eastAsia"/>
            <w:color w:val="0000FF"/>
            <w:u w:val="single"/>
            <w:rtl/>
          </w:rPr>
          <w:t>סעיף</w:t>
        </w:r>
        <w:r w:rsidR="0005746B" w:rsidRPr="0005746B">
          <w:rPr>
            <w:rFonts w:ascii="Calibri" w:hAnsi="Calibri" w:cs="FrankRuehl"/>
            <w:color w:val="0000FF"/>
            <w:u w:val="single"/>
            <w:rtl/>
          </w:rPr>
          <w:t xml:space="preserve"> 10</w:t>
        </w:r>
      </w:hyperlink>
      <w:r w:rsidRPr="00B87F02">
        <w:rPr>
          <w:rFonts w:ascii="Calibri" w:hAnsi="Calibri" w:cs="FrankRuehl" w:hint="cs"/>
          <w:rtl/>
        </w:rPr>
        <w:t xml:space="preserve"> לפקודה, והחזקת סם שלא לצריכה עצמית, לפי סעיפים </w:t>
      </w:r>
      <w:hyperlink r:id="rId19" w:history="1">
        <w:r w:rsidR="0005746B" w:rsidRPr="0005746B">
          <w:rPr>
            <w:rFonts w:ascii="Calibri" w:hAnsi="Calibri" w:cs="FrankRuehl"/>
            <w:color w:val="0000FF"/>
            <w:u w:val="single"/>
            <w:rtl/>
          </w:rPr>
          <w:t>7(</w:t>
        </w:r>
        <w:r w:rsidR="0005746B" w:rsidRPr="0005746B">
          <w:rPr>
            <w:rFonts w:ascii="Calibri" w:hAnsi="Calibri" w:cs="FrankRuehl" w:hint="eastAsia"/>
            <w:color w:val="0000FF"/>
            <w:u w:val="single"/>
            <w:rtl/>
          </w:rPr>
          <w:t>א</w:t>
        </w:r>
        <w:r w:rsidR="0005746B" w:rsidRPr="0005746B">
          <w:rPr>
            <w:rFonts w:ascii="Calibri" w:hAnsi="Calibri" w:cs="FrankRuehl"/>
            <w:color w:val="0000FF"/>
            <w:u w:val="single"/>
            <w:rtl/>
          </w:rPr>
          <w:t>) +(</w:t>
        </w:r>
        <w:r w:rsidR="0005746B" w:rsidRPr="0005746B">
          <w:rPr>
            <w:rFonts w:ascii="Calibri" w:hAnsi="Calibri" w:cs="FrankRuehl" w:hint="eastAsia"/>
            <w:color w:val="0000FF"/>
            <w:u w:val="single"/>
            <w:rtl/>
          </w:rPr>
          <w:t>ג</w:t>
        </w:r>
        <w:r w:rsidR="0005746B" w:rsidRPr="0005746B">
          <w:rPr>
            <w:rFonts w:ascii="Calibri" w:hAnsi="Calibri" w:cs="FrankRuehl"/>
            <w:color w:val="0000FF"/>
            <w:u w:val="single"/>
            <w:rtl/>
          </w:rPr>
          <w:t>)</w:t>
        </w:r>
      </w:hyperlink>
      <w:r w:rsidRPr="00B87F02">
        <w:rPr>
          <w:rFonts w:ascii="Calibri" w:hAnsi="Calibri" w:cs="FrankRuehl" w:hint="cs"/>
          <w:rtl/>
        </w:rPr>
        <w:t xml:space="preserve"> רישא לפקודה.</w:t>
      </w:r>
    </w:p>
    <w:p w14:paraId="6817060F" w14:textId="77777777" w:rsidR="00B87F02" w:rsidRPr="00B87F02" w:rsidRDefault="00B87F02" w:rsidP="00B87F02">
      <w:pPr>
        <w:spacing w:after="160" w:line="360" w:lineRule="auto"/>
        <w:jc w:val="both"/>
        <w:rPr>
          <w:rFonts w:ascii="Calibri" w:hAnsi="Calibri" w:cs="FrankRuehl"/>
          <w:rtl/>
        </w:rPr>
      </w:pPr>
      <w:bookmarkStart w:id="7" w:name="ABSTRACT_END"/>
      <w:bookmarkEnd w:id="7"/>
      <w:r w:rsidRPr="00B87F02">
        <w:rPr>
          <w:rFonts w:ascii="Calibri" w:hAnsi="Calibri" w:cs="FrankRuehl" w:hint="cs"/>
          <w:b/>
          <w:bCs/>
          <w:u w:val="single"/>
          <w:rtl/>
        </w:rPr>
        <w:lastRenderedPageBreak/>
        <w:t>האישום השני</w:t>
      </w:r>
      <w:r w:rsidRPr="00B87F02">
        <w:rPr>
          <w:rFonts w:ascii="Calibri" w:hAnsi="Calibri" w:cs="FrankRuehl" w:hint="cs"/>
          <w:rtl/>
        </w:rPr>
        <w:t xml:space="preserve"> </w:t>
      </w:r>
      <w:r w:rsidRPr="00B87F02">
        <w:rPr>
          <w:rFonts w:ascii="Calibri" w:hAnsi="Calibri" w:cs="FrankRuehl"/>
          <w:rtl/>
        </w:rPr>
        <w:t>–</w:t>
      </w:r>
      <w:r w:rsidRPr="00B87F02">
        <w:rPr>
          <w:rFonts w:ascii="Calibri" w:hAnsi="Calibri" w:cs="FrankRuehl" w:hint="cs"/>
          <w:rtl/>
        </w:rPr>
        <w:t xml:space="preserve"> באישום זה הודה הנאשם בביצוע שתי עבירות סחר בסמים, לפי </w:t>
      </w:r>
      <w:hyperlink r:id="rId20" w:history="1">
        <w:r w:rsidR="0005746B" w:rsidRPr="0005746B">
          <w:rPr>
            <w:rFonts w:ascii="Calibri" w:hAnsi="Calibri" w:cs="FrankRuehl" w:hint="eastAsia"/>
            <w:color w:val="0000FF"/>
            <w:u w:val="single"/>
            <w:rtl/>
          </w:rPr>
          <w:t>סעיף</w:t>
        </w:r>
        <w:r w:rsidR="0005746B" w:rsidRPr="0005746B">
          <w:rPr>
            <w:rFonts w:ascii="Calibri" w:hAnsi="Calibri" w:cs="FrankRuehl"/>
            <w:color w:val="0000FF"/>
            <w:u w:val="single"/>
            <w:rtl/>
          </w:rPr>
          <w:t xml:space="preserve"> 13</w:t>
        </w:r>
      </w:hyperlink>
      <w:r w:rsidRPr="00B87F02">
        <w:rPr>
          <w:rFonts w:ascii="Calibri" w:hAnsi="Calibri" w:cs="FrankRuehl" w:hint="cs"/>
          <w:rtl/>
        </w:rPr>
        <w:t xml:space="preserve"> לפקודה. מדובר בשני מקרי מכירת סם מסוג קנביס וחשיש (במשקל 6.5 גרם ו-2.45 גרם בהתאמה) תמורת 700 </w:t>
      </w:r>
      <w:r w:rsidRPr="00B87F02">
        <w:rPr>
          <w:rFonts w:ascii="Calibri" w:hAnsi="Calibri" w:cs="FrankRuehl" w:hint="eastAsia"/>
          <w:rtl/>
        </w:rPr>
        <w:t>₪</w:t>
      </w:r>
      <w:r w:rsidRPr="00B87F02">
        <w:rPr>
          <w:rFonts w:ascii="Calibri" w:hAnsi="Calibri" w:cs="FrankRuehl" w:hint="cs"/>
          <w:rtl/>
        </w:rPr>
        <w:t xml:space="preserve"> ביום 14.11.2016, ובמכירת קנביס במשקל לא ידוע כחודשיים לפני כן תמורת 400 </w:t>
      </w:r>
      <w:r w:rsidRPr="00B87F02">
        <w:rPr>
          <w:rFonts w:ascii="Calibri" w:hAnsi="Calibri" w:cs="FrankRuehl" w:hint="eastAsia"/>
          <w:rtl/>
        </w:rPr>
        <w:t>₪</w:t>
      </w:r>
      <w:r w:rsidRPr="00B87F02">
        <w:rPr>
          <w:rFonts w:ascii="Calibri" w:hAnsi="Calibri" w:cs="FrankRuehl" w:hint="cs"/>
          <w:rtl/>
        </w:rPr>
        <w:t xml:space="preserve"> לאדם בשם נמרוד.</w:t>
      </w:r>
    </w:p>
    <w:p w14:paraId="565059F2"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האישום השלישי</w:t>
      </w:r>
      <w:r w:rsidRPr="00B87F02">
        <w:rPr>
          <w:rFonts w:ascii="Calibri" w:hAnsi="Calibri" w:cs="FrankRuehl" w:hint="cs"/>
          <w:rtl/>
        </w:rPr>
        <w:t xml:space="preserve"> </w:t>
      </w:r>
      <w:r w:rsidRPr="00B87F02">
        <w:rPr>
          <w:rFonts w:ascii="Calibri" w:hAnsi="Calibri" w:cs="FrankRuehl"/>
          <w:rtl/>
        </w:rPr>
        <w:t>–</w:t>
      </w:r>
      <w:r w:rsidRPr="00B87F02">
        <w:rPr>
          <w:rFonts w:ascii="Calibri" w:hAnsi="Calibri" w:cs="FrankRuehl" w:hint="cs"/>
          <w:rtl/>
        </w:rPr>
        <w:t xml:space="preserve"> באישום זה הודה הנאשם בביצוע שלוש עבירות של סחר בסמים אל מול אדם בשם סרגי. ב-14.11.2016 מכר לו קנבוס במשקל 1.89 גרם תמורת 100 </w:t>
      </w:r>
      <w:r w:rsidRPr="00B87F02">
        <w:rPr>
          <w:rFonts w:ascii="Calibri" w:hAnsi="Calibri" w:cs="FrankRuehl" w:hint="eastAsia"/>
          <w:rtl/>
        </w:rPr>
        <w:t>₪</w:t>
      </w:r>
      <w:r w:rsidRPr="00B87F02">
        <w:rPr>
          <w:rFonts w:ascii="Calibri" w:hAnsi="Calibri" w:cs="FrankRuehl" w:hint="cs"/>
          <w:rtl/>
        </w:rPr>
        <w:t xml:space="preserve"> ובשתי הזדמנויות קודם לכן, מכר לו סם מאותו סוג תמורת 100 </w:t>
      </w:r>
      <w:r w:rsidRPr="00B87F02">
        <w:rPr>
          <w:rFonts w:ascii="Calibri" w:hAnsi="Calibri" w:cs="FrankRuehl" w:hint="eastAsia"/>
          <w:rtl/>
        </w:rPr>
        <w:t>₪</w:t>
      </w:r>
      <w:r w:rsidRPr="00B87F02">
        <w:rPr>
          <w:rFonts w:ascii="Calibri" w:hAnsi="Calibri" w:cs="FrankRuehl" w:hint="cs"/>
          <w:rtl/>
        </w:rPr>
        <w:t xml:space="preserve"> בכל פעם.</w:t>
      </w:r>
    </w:p>
    <w:p w14:paraId="6397735A"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האישום הרביעי</w:t>
      </w:r>
      <w:r w:rsidRPr="00B87F02">
        <w:rPr>
          <w:rFonts w:ascii="Calibri" w:hAnsi="Calibri" w:cs="FrankRuehl" w:hint="cs"/>
          <w:rtl/>
        </w:rPr>
        <w:t xml:space="preserve"> </w:t>
      </w:r>
      <w:r w:rsidRPr="00B87F02">
        <w:rPr>
          <w:rFonts w:ascii="Calibri" w:hAnsi="Calibri" w:cs="FrankRuehl"/>
          <w:rtl/>
        </w:rPr>
        <w:t>–</w:t>
      </w:r>
      <w:r w:rsidRPr="00B87F02">
        <w:rPr>
          <w:rFonts w:ascii="Calibri" w:hAnsi="Calibri" w:cs="FrankRuehl" w:hint="cs"/>
          <w:rtl/>
        </w:rPr>
        <w:t xml:space="preserve"> באישום זה הודה הנאשם בביצוע ריבוי עבירות של מכירת סם לאדם בשם אורן. מדובר בסם קנביס במשקל 4.78 גרם תמורת 200 </w:t>
      </w:r>
      <w:r w:rsidRPr="00B87F02">
        <w:rPr>
          <w:rFonts w:ascii="Calibri" w:hAnsi="Calibri" w:cs="FrankRuehl" w:hint="eastAsia"/>
          <w:rtl/>
        </w:rPr>
        <w:t>₪</w:t>
      </w:r>
      <w:r w:rsidRPr="00B87F02">
        <w:rPr>
          <w:rFonts w:ascii="Calibri" w:hAnsi="Calibri" w:cs="FrankRuehl" w:hint="cs"/>
          <w:rtl/>
        </w:rPr>
        <w:t xml:space="preserve"> בהזדמנות אחת ביום 14.11.2016 ובריבוי מקרים של מכירת אותו סם בסכומים משתנים שבין 100 ל-400 </w:t>
      </w:r>
      <w:r w:rsidRPr="00B87F02">
        <w:rPr>
          <w:rFonts w:ascii="Calibri" w:hAnsi="Calibri" w:cs="FrankRuehl" w:hint="eastAsia"/>
          <w:rtl/>
        </w:rPr>
        <w:t>₪</w:t>
      </w:r>
      <w:r w:rsidRPr="00B87F02">
        <w:rPr>
          <w:rFonts w:ascii="Calibri" w:hAnsi="Calibri" w:cs="FrankRuehl" w:hint="cs"/>
          <w:rtl/>
        </w:rPr>
        <w:t xml:space="preserve"> בכל פעם.</w:t>
      </w:r>
    </w:p>
    <w:p w14:paraId="443126C0"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האישום החמישי</w:t>
      </w:r>
      <w:r w:rsidRPr="00B87F02">
        <w:rPr>
          <w:rFonts w:ascii="Calibri" w:hAnsi="Calibri" w:cs="FrankRuehl" w:hint="cs"/>
          <w:rtl/>
        </w:rPr>
        <w:t xml:space="preserve"> </w:t>
      </w:r>
      <w:r w:rsidRPr="00B87F02">
        <w:rPr>
          <w:rFonts w:ascii="Calibri" w:hAnsi="Calibri" w:cs="FrankRuehl"/>
          <w:rtl/>
        </w:rPr>
        <w:t>–</w:t>
      </w:r>
      <w:r w:rsidRPr="00B87F02">
        <w:rPr>
          <w:rFonts w:ascii="Calibri" w:hAnsi="Calibri" w:cs="FrankRuehl" w:hint="cs"/>
          <w:rtl/>
        </w:rPr>
        <w:t xml:space="preserve"> באישום זה הודה הנאשם בביצוע ריבוי עבירות של מכירת סם לאדם בשם מיכאל. ביום 13.11.2016 מכר לו קנביס במשקל 5.72 </w:t>
      </w:r>
      <w:r w:rsidRPr="00B87F02">
        <w:rPr>
          <w:rFonts w:ascii="Calibri" w:hAnsi="Calibri" w:cs="FrankRuehl" w:hint="eastAsia"/>
          <w:rtl/>
        </w:rPr>
        <w:t>₪</w:t>
      </w:r>
      <w:r w:rsidRPr="00B87F02">
        <w:rPr>
          <w:rFonts w:ascii="Calibri" w:hAnsi="Calibri" w:cs="FrankRuehl" w:hint="cs"/>
          <w:rtl/>
        </w:rPr>
        <w:t xml:space="preserve"> תמורת 800 </w:t>
      </w:r>
      <w:r w:rsidRPr="00B87F02">
        <w:rPr>
          <w:rFonts w:ascii="Calibri" w:hAnsi="Calibri" w:cs="FrankRuehl" w:hint="eastAsia"/>
          <w:rtl/>
        </w:rPr>
        <w:t>₪</w:t>
      </w:r>
      <w:r w:rsidRPr="00B87F02">
        <w:rPr>
          <w:rFonts w:ascii="Calibri" w:hAnsi="Calibri" w:cs="FrankRuehl" w:hint="cs"/>
          <w:rtl/>
        </w:rPr>
        <w:t xml:space="preserve"> ובכשבע הזדמנויות נוספות בין ספטמבר לנובמבר 2016, מכר לו הנאשם קנביס במשקל משתנה עבור 100 עד 500 </w:t>
      </w:r>
      <w:r w:rsidRPr="00B87F02">
        <w:rPr>
          <w:rFonts w:ascii="Calibri" w:hAnsi="Calibri" w:cs="FrankRuehl" w:hint="eastAsia"/>
          <w:rtl/>
        </w:rPr>
        <w:t>₪</w:t>
      </w:r>
      <w:r w:rsidRPr="00B87F02">
        <w:rPr>
          <w:rFonts w:ascii="Calibri" w:hAnsi="Calibri" w:cs="FrankRuehl" w:hint="cs"/>
          <w:rtl/>
        </w:rPr>
        <w:t xml:space="preserve"> בכל פעם.</w:t>
      </w:r>
    </w:p>
    <w:p w14:paraId="2CA87289"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האישום השישי</w:t>
      </w:r>
      <w:r w:rsidRPr="00B87F02">
        <w:rPr>
          <w:rFonts w:ascii="Calibri" w:hAnsi="Calibri" w:cs="FrankRuehl" w:hint="cs"/>
          <w:rtl/>
        </w:rPr>
        <w:t xml:space="preserve"> </w:t>
      </w:r>
      <w:r w:rsidRPr="00B87F02">
        <w:rPr>
          <w:rFonts w:ascii="Calibri" w:hAnsi="Calibri" w:cs="FrankRuehl"/>
          <w:rtl/>
        </w:rPr>
        <w:t>–</w:t>
      </w:r>
      <w:r w:rsidRPr="00B87F02">
        <w:rPr>
          <w:rFonts w:ascii="Calibri" w:hAnsi="Calibri" w:cs="FrankRuehl" w:hint="cs"/>
          <w:rtl/>
        </w:rPr>
        <w:t xml:space="preserve"> באישום זה הודה הנאשם בביצוע ריבוי עבירות של מכירת סם לאדם בשם מתן. ביום 13.11.2016 מכר למתן קנביס במשקל גרם תמורת 100 </w:t>
      </w:r>
      <w:r w:rsidRPr="00B87F02">
        <w:rPr>
          <w:rFonts w:ascii="Calibri" w:hAnsi="Calibri" w:cs="FrankRuehl" w:hint="eastAsia"/>
          <w:rtl/>
        </w:rPr>
        <w:t>₪</w:t>
      </w:r>
      <w:r w:rsidRPr="00B87F02">
        <w:rPr>
          <w:rFonts w:ascii="Calibri" w:hAnsi="Calibri" w:cs="FrankRuehl" w:hint="cs"/>
          <w:rtl/>
        </w:rPr>
        <w:t xml:space="preserve">, ועשה כן במהלך כשש הזדמנויות שונות בין השנים 2011 </w:t>
      </w:r>
      <w:r w:rsidRPr="00B87F02">
        <w:rPr>
          <w:rFonts w:ascii="Calibri" w:hAnsi="Calibri" w:cs="FrankRuehl"/>
          <w:rtl/>
        </w:rPr>
        <w:t>–</w:t>
      </w:r>
      <w:r w:rsidRPr="00B87F02">
        <w:rPr>
          <w:rFonts w:ascii="Calibri" w:hAnsi="Calibri" w:cs="FrankRuehl" w:hint="cs"/>
          <w:rtl/>
        </w:rPr>
        <w:t xml:space="preserve"> 2016 באותו סוג סם ובמחירים משתנים שבין 100 ל-500 </w:t>
      </w:r>
      <w:r w:rsidRPr="00B87F02">
        <w:rPr>
          <w:rFonts w:ascii="Calibri" w:hAnsi="Calibri" w:cs="FrankRuehl" w:hint="eastAsia"/>
          <w:rtl/>
        </w:rPr>
        <w:t>₪</w:t>
      </w:r>
      <w:r w:rsidRPr="00B87F02">
        <w:rPr>
          <w:rFonts w:ascii="Calibri" w:hAnsi="Calibri" w:cs="FrankRuehl" w:hint="cs"/>
          <w:rtl/>
        </w:rPr>
        <w:t xml:space="preserve"> בכל פעם.</w:t>
      </w:r>
    </w:p>
    <w:p w14:paraId="553EC2FE"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האישום השביעי</w:t>
      </w:r>
      <w:r w:rsidRPr="00B87F02">
        <w:rPr>
          <w:rFonts w:ascii="Calibri" w:hAnsi="Calibri" w:cs="FrankRuehl" w:hint="cs"/>
          <w:rtl/>
        </w:rPr>
        <w:t xml:space="preserve"> </w:t>
      </w:r>
      <w:r w:rsidRPr="00B87F02">
        <w:rPr>
          <w:rFonts w:ascii="Calibri" w:hAnsi="Calibri" w:cs="FrankRuehl"/>
          <w:rtl/>
        </w:rPr>
        <w:t>–</w:t>
      </w:r>
      <w:r w:rsidRPr="00B87F02">
        <w:rPr>
          <w:rFonts w:ascii="Calibri" w:hAnsi="Calibri" w:cs="FrankRuehl" w:hint="cs"/>
          <w:rtl/>
        </w:rPr>
        <w:t xml:space="preserve"> באישום זה הודה הנאשם ביצוע עבירה אחרת של סחר בסם, בכך שביום 2.11.2016 מכר קנביס במשקל גרם תמורת 100 </w:t>
      </w:r>
      <w:r w:rsidRPr="00B87F02">
        <w:rPr>
          <w:rFonts w:ascii="Calibri" w:hAnsi="Calibri" w:cs="FrankRuehl" w:hint="eastAsia"/>
          <w:rtl/>
        </w:rPr>
        <w:t>₪</w:t>
      </w:r>
      <w:r w:rsidRPr="00B87F02">
        <w:rPr>
          <w:rFonts w:ascii="Calibri" w:hAnsi="Calibri" w:cs="FrankRuehl" w:hint="cs"/>
          <w:rtl/>
        </w:rPr>
        <w:t xml:space="preserve"> לאדם בשם אופיר.</w:t>
      </w:r>
    </w:p>
    <w:p w14:paraId="63CB6037"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האישום השמיני</w:t>
      </w:r>
      <w:r w:rsidRPr="00B87F02">
        <w:rPr>
          <w:rFonts w:ascii="Calibri" w:hAnsi="Calibri" w:cs="FrankRuehl" w:hint="cs"/>
          <w:rtl/>
        </w:rPr>
        <w:t xml:space="preserve"> </w:t>
      </w:r>
      <w:r w:rsidRPr="00B87F02">
        <w:rPr>
          <w:rFonts w:ascii="Calibri" w:hAnsi="Calibri" w:cs="FrankRuehl"/>
          <w:rtl/>
        </w:rPr>
        <w:t>–</w:t>
      </w:r>
      <w:r w:rsidRPr="00B87F02">
        <w:rPr>
          <w:rFonts w:ascii="Calibri" w:hAnsi="Calibri" w:cs="FrankRuehl" w:hint="cs"/>
          <w:rtl/>
        </w:rPr>
        <w:t xml:space="preserve"> באישום זה הודה הנאשם בביצוע שתי עבירות סחר בסם אל מול אדם בשם סרגי. בהזדמנות אחת, ביום 14.11.2016 מכר לסרגיי קנביס במשקל גרם תמורת 100 </w:t>
      </w:r>
      <w:r w:rsidRPr="00B87F02">
        <w:rPr>
          <w:rFonts w:ascii="Calibri" w:hAnsi="Calibri" w:cs="FrankRuehl" w:hint="eastAsia"/>
          <w:rtl/>
        </w:rPr>
        <w:t>₪</w:t>
      </w:r>
      <w:r w:rsidRPr="00B87F02">
        <w:rPr>
          <w:rFonts w:ascii="Calibri" w:hAnsi="Calibri" w:cs="FrankRuehl" w:hint="cs"/>
          <w:rtl/>
        </w:rPr>
        <w:t>, וכשנתיים לפני כן ביצע מולו עסקה דומה.</w:t>
      </w:r>
    </w:p>
    <w:p w14:paraId="0C3704EF"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rtl/>
        </w:rPr>
        <w:t xml:space="preserve">יצוין, כי במסגרת הסכמה בתיק </w:t>
      </w:r>
      <w:hyperlink r:id="rId21" w:history="1">
        <w:r w:rsidR="00585E8F" w:rsidRPr="00585E8F">
          <w:rPr>
            <w:rFonts w:ascii="Calibri" w:hAnsi="Calibri" w:cs="FrankRuehl" w:hint="eastAsia"/>
            <w:color w:val="0000FF"/>
            <w:u w:val="single"/>
            <w:rtl/>
          </w:rPr>
          <w:t>ה</w:t>
        </w:r>
        <w:r w:rsidR="00585E8F" w:rsidRPr="00585E8F">
          <w:rPr>
            <w:rFonts w:ascii="Calibri" w:hAnsi="Calibri" w:cs="FrankRuehl"/>
            <w:color w:val="0000FF"/>
            <w:u w:val="single"/>
            <w:rtl/>
          </w:rPr>
          <w:t>"</w:t>
        </w:r>
        <w:r w:rsidR="00585E8F" w:rsidRPr="00585E8F">
          <w:rPr>
            <w:rFonts w:ascii="Calibri" w:hAnsi="Calibri" w:cs="FrankRuehl" w:hint="eastAsia"/>
            <w:color w:val="0000FF"/>
            <w:u w:val="single"/>
            <w:rtl/>
          </w:rPr>
          <w:t>ת</w:t>
        </w:r>
        <w:r w:rsidR="00585E8F" w:rsidRPr="00585E8F">
          <w:rPr>
            <w:rFonts w:ascii="Calibri" w:hAnsi="Calibri" w:cs="FrankRuehl"/>
            <w:color w:val="0000FF"/>
            <w:u w:val="single"/>
            <w:rtl/>
          </w:rPr>
          <w:t xml:space="preserve"> 34942-11-17</w:t>
        </w:r>
      </w:hyperlink>
      <w:r w:rsidRPr="00B87F02">
        <w:rPr>
          <w:rFonts w:ascii="Calibri" w:hAnsi="Calibri" w:cs="FrankRuehl" w:hint="cs"/>
          <w:rtl/>
        </w:rPr>
        <w:t>, הושב הרכב ששימש לביצוע העבירות, שנרכש בכספי הלוואה, לידי חברת מימון ישיר, תוך שסוכם כי ככל שתיוותר יתרת זכות לאחר מכירת הרכב ופירעון ההלוואה בגינו, תועבר זו לקרן החילוט.</w:t>
      </w:r>
    </w:p>
    <w:p w14:paraId="35C50E54" w14:textId="77777777" w:rsidR="00B87F02" w:rsidRPr="00B87F02" w:rsidRDefault="00B87F02" w:rsidP="00B87F02">
      <w:pPr>
        <w:spacing w:after="160" w:line="360" w:lineRule="auto"/>
        <w:jc w:val="both"/>
        <w:rPr>
          <w:rFonts w:ascii="Calibri" w:hAnsi="Calibri" w:cs="FrankRuehl"/>
          <w:b/>
          <w:bCs/>
          <w:u w:val="single"/>
          <w:rtl/>
        </w:rPr>
      </w:pPr>
    </w:p>
    <w:p w14:paraId="63C38D9F" w14:textId="77777777" w:rsidR="00B87F02" w:rsidRPr="00B87F02" w:rsidRDefault="00B87F02" w:rsidP="00B87F02">
      <w:pPr>
        <w:spacing w:after="160" w:line="360" w:lineRule="auto"/>
        <w:jc w:val="both"/>
        <w:rPr>
          <w:rFonts w:ascii="Calibri" w:hAnsi="Calibri" w:cs="FrankRuehl"/>
          <w:b/>
          <w:bCs/>
          <w:u w:val="single"/>
          <w:rtl/>
        </w:rPr>
      </w:pPr>
      <w:r w:rsidRPr="00B87F02">
        <w:rPr>
          <w:rFonts w:ascii="Calibri" w:hAnsi="Calibri" w:cs="FrankRuehl" w:hint="cs"/>
          <w:b/>
          <w:bCs/>
          <w:u w:val="single"/>
          <w:rtl/>
        </w:rPr>
        <w:t>מהלך הדיון</w:t>
      </w:r>
    </w:p>
    <w:p w14:paraId="601CF62F"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rtl/>
        </w:rPr>
        <w:t>ביום25.12.2016 הודה לפניי הנאשם במיוחס לו בכתב האישום והורשע. המאשימה ציינה כי עמדתה למאסר בפועל. אלא שסברתי שיש מקום לבחון תהליך טיפולי בעניינו של הנאשם, ואכן ביום 9.2.2017 הוריתי על קליטתו של הנאשם ב"בית אביבה". הדיון נדחה מעת לעת לנוכח השתלבותו של הנאשם בתהליך הטיפולי, כשבהדרגה הוקלו התנאים בהתאם להתקדמות בתהליך, כפי שיפורט בפרק הנוגע לשירות המבחן.</w:t>
      </w:r>
    </w:p>
    <w:p w14:paraId="521D58B7" w14:textId="77777777" w:rsidR="00B87F02" w:rsidRPr="00B87F02" w:rsidRDefault="00B87F02" w:rsidP="00B87F02">
      <w:pPr>
        <w:spacing w:after="160" w:line="360" w:lineRule="auto"/>
        <w:jc w:val="both"/>
        <w:rPr>
          <w:rFonts w:ascii="Calibri" w:hAnsi="Calibri" w:cs="FrankRuehl"/>
          <w:b/>
          <w:bCs/>
          <w:u w:val="single"/>
          <w:rtl/>
        </w:rPr>
      </w:pPr>
    </w:p>
    <w:p w14:paraId="4AE1570C" w14:textId="77777777" w:rsidR="00B87F02" w:rsidRPr="00B87F02" w:rsidRDefault="00B87F02" w:rsidP="00B87F02">
      <w:pPr>
        <w:spacing w:after="160" w:line="360" w:lineRule="auto"/>
        <w:jc w:val="both"/>
        <w:rPr>
          <w:rFonts w:ascii="Calibri" w:hAnsi="Calibri" w:cs="FrankRuehl"/>
          <w:b/>
          <w:bCs/>
          <w:u w:val="single"/>
          <w:rtl/>
        </w:rPr>
      </w:pPr>
      <w:r w:rsidRPr="00B87F02">
        <w:rPr>
          <w:rFonts w:ascii="Calibri" w:hAnsi="Calibri" w:cs="FrankRuehl" w:hint="cs"/>
          <w:b/>
          <w:bCs/>
          <w:u w:val="single"/>
          <w:rtl/>
        </w:rPr>
        <w:lastRenderedPageBreak/>
        <w:t>תסקיר</w:t>
      </w:r>
    </w:p>
    <w:p w14:paraId="41D536C9"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rtl/>
        </w:rPr>
        <w:t>בעניינו של הנאשם הוגשו מספר תסקירים לאורך התהליך הטיפולי שעבר.</w:t>
      </w:r>
    </w:p>
    <w:p w14:paraId="2BA3852D"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rtl/>
        </w:rPr>
        <w:t xml:space="preserve">מדובר באדם כבן 36, נשוי ואב ל-3 ילדים, עמם התגורר טרם מעצרו ועבד. שירות המבחן עמד על קורותיו של הנאשם. הנאשם סיים 11 שנות לימוד ברוסיה בהצטיינות ותיאר מצוקה קשה בילדותו. הוא עלה ארצה ושירת שירות צבאי מלא במג"ב. הוא המשיך ללימודים אקדמיים אותם לא סיים ועבר הכשרה כמאמן שחייה, מקצוע בו עבד במקומות שונים לאורך הזמן. הוא החל להשתמש בסמים מסוג גראס כבר בגיל 13, שימוש שהתחזק והפך יומיומי לאורך השנים. לדבריו הסתיר זאת מסביבתו ואף מאשתו שלא הייתה מודעת לעומק התמכרותו. </w:t>
      </w:r>
    </w:p>
    <w:p w14:paraId="3B38E61E"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rtl/>
        </w:rPr>
        <w:t>בתסקירים שהוגשו לאורך התהליך  (יוני, 2017, אוקטובר 2017 וינואר 2018) עלה כי הנאשם מתקדם היטב בתוכנית הטיפולית ואף עובר משלב לשלב. הוא גילה מחויבות לתהליך הטיפולי ולקח אחריות על הטיפול. בד בבד, החליטו אשתו והוא להיפרד, דבר שהשפיע במידה ניכרת על מצבו. במהלך חודש מרץ 2018 הודיע שירות המבחן כי הנאשם סיים במהלך חודש פברואר 2018 את שילובו בקהילה הטיפולית ועבר להוסטל בבית שמש, תוך שהשתלב בעבודה בנגריה והוערך כעובד מקצועי וחיובי. מתסקיר שהוגש בחודש יולי 2018 עלה, כי הנאשם סיים בחודש יוני את שילובו בהוסטל, ויצא למעשה לחיים עצמאיים, תוך ששב להתגורר עם אשתו ובנותיו, הפעם בראשון לציון, מתוך רצון לשקם את היחסים המשפחתיים. בנסיבות אלו, המליץ שירות המבחן על הטלת עונש של"ץ והטלת צו מבחן לתקופה של שנה, במסגרתו ישולב הנאשם ביחידה להתמכרויות הסמוכה למקום מגוריו. בתסקיר מחודש אוקטובר 2018 עלה, כי הנאשם לא התייצב לפגישות או למתן בדיקות שתן ביחידת ההתמכרויות, וכי בעצה אחת עם אשתו, עבר להתגורר בנפרד ממנה, תוך שהוא מחזיק בעבודה בחברת ניקיון שם הוא מנהל צוות עובדים. שירות המבחן ביקש דחיה על-מנת לבחון את הפוטנציאל הטיפולי של הנאשם. בתסקיר  האחרון (מרץ 2019) סקר שירות המבחן את התהליך הטיפולי שעבר הנאשם.  הוא החל את הטיפול ב"בית אביבה" בפברואר 2017, עבר בינואר 2018 לשלב ההכשרה התעסוקתית ומאז פברואר 2018 סיים טיפולו בקהילה ועבר להוסטל, שם שהה עד ליוני 2018. בהמשך עבר להיות מטופל ביחידת ההתמכרויות בראשון לציון ובמקביל שולב בטיפול ב-</w:t>
      </w:r>
      <w:r w:rsidRPr="00B87F02">
        <w:rPr>
          <w:rFonts w:ascii="Calibri" w:hAnsi="Calibri" w:cs="FrankRuehl" w:hint="cs"/>
        </w:rPr>
        <w:t>NA</w:t>
      </w:r>
      <w:r w:rsidRPr="00B87F02">
        <w:rPr>
          <w:rFonts w:ascii="Calibri" w:hAnsi="Calibri" w:cs="FrankRuehl" w:hint="cs"/>
          <w:rtl/>
        </w:rPr>
        <w:t>. הדיווחים על אודות הנאשם חיוביים לכל אורך התקופה, מבחינת מידת שיתוף הפעולה שלו, ההתקדמות הטיפולית ומתן בדיקות שתן נקיות. שירות המבחן לא מצא שהנאשם מחזיק בדפוסי חשיבה עברייניים והוא עשה כברת דרך ארוכה מאוד בכיוון חיובי שיקומי. שירות המבחן סבר, שוב, כי יש להטיל על הנאשם של"ץ בהיקף 250 שעות וצו מבחן.</w:t>
      </w:r>
    </w:p>
    <w:p w14:paraId="10E0CD6A" w14:textId="77777777" w:rsidR="00B87F02" w:rsidRPr="00B87F02" w:rsidRDefault="00B87F02" w:rsidP="00B87F02">
      <w:pPr>
        <w:spacing w:after="160" w:line="360" w:lineRule="auto"/>
        <w:jc w:val="both"/>
        <w:rPr>
          <w:rFonts w:ascii="Calibri" w:hAnsi="Calibri" w:cs="FrankRuehl"/>
          <w:rtl/>
        </w:rPr>
      </w:pPr>
    </w:p>
    <w:p w14:paraId="1B351E0C" w14:textId="77777777" w:rsidR="00B87F02" w:rsidRPr="00B87F02" w:rsidRDefault="00B87F02" w:rsidP="00B87F02">
      <w:pPr>
        <w:spacing w:after="160" w:line="360" w:lineRule="auto"/>
        <w:jc w:val="both"/>
        <w:rPr>
          <w:rFonts w:ascii="Calibri" w:hAnsi="Calibri" w:cs="FrankRuehl"/>
          <w:b/>
          <w:bCs/>
          <w:u w:val="single"/>
          <w:rtl/>
        </w:rPr>
      </w:pPr>
      <w:r w:rsidRPr="00B87F02">
        <w:rPr>
          <w:rFonts w:ascii="Calibri" w:hAnsi="Calibri" w:cs="FrankRuehl" w:hint="cs"/>
          <w:b/>
          <w:bCs/>
          <w:u w:val="single"/>
          <w:rtl/>
        </w:rPr>
        <w:t>חוות הממונה על עבודות שירות</w:t>
      </w:r>
    </w:p>
    <w:p w14:paraId="5FCE7139"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rtl/>
        </w:rPr>
        <w:t xml:space="preserve">הממונה על עבודות שירות חיווה דעתו המעודכנת, לפיה הנאשם מתאים לריצוי עונש מאסר בעבודות שירות במועצת הפועלים בראשון לציון. </w:t>
      </w:r>
    </w:p>
    <w:p w14:paraId="0DDA80C3" w14:textId="77777777" w:rsidR="00B87F02" w:rsidRPr="00B87F02" w:rsidRDefault="00B87F02" w:rsidP="00B87F02">
      <w:pPr>
        <w:spacing w:after="160" w:line="360" w:lineRule="auto"/>
        <w:jc w:val="both"/>
        <w:rPr>
          <w:rFonts w:ascii="Calibri" w:hAnsi="Calibri" w:cs="FrankRuehl"/>
          <w:rtl/>
        </w:rPr>
      </w:pPr>
    </w:p>
    <w:p w14:paraId="128A5F48" w14:textId="77777777" w:rsidR="00B87F02" w:rsidRPr="00B87F02" w:rsidRDefault="00B87F02" w:rsidP="00B87F02">
      <w:pPr>
        <w:spacing w:after="160" w:line="360" w:lineRule="auto"/>
        <w:jc w:val="both"/>
        <w:rPr>
          <w:rFonts w:ascii="Calibri" w:hAnsi="Calibri" w:cs="FrankRuehl"/>
          <w:b/>
          <w:bCs/>
          <w:u w:val="single"/>
          <w:rtl/>
        </w:rPr>
      </w:pPr>
      <w:r w:rsidRPr="00B87F02">
        <w:rPr>
          <w:rFonts w:ascii="Calibri" w:hAnsi="Calibri" w:cs="FrankRuehl" w:hint="cs"/>
          <w:b/>
          <w:bCs/>
          <w:u w:val="single"/>
          <w:rtl/>
        </w:rPr>
        <w:t>רישום פלילי</w:t>
      </w:r>
    </w:p>
    <w:p w14:paraId="61760799" w14:textId="77777777" w:rsidR="00B87F02" w:rsidRPr="00B87F02" w:rsidRDefault="00B87F02" w:rsidP="00B87F02">
      <w:pPr>
        <w:spacing w:after="160" w:line="360" w:lineRule="auto"/>
        <w:jc w:val="both"/>
        <w:rPr>
          <w:rFonts w:ascii="Calibri" w:hAnsi="Calibri" w:cs="FrankRuehl"/>
        </w:rPr>
      </w:pPr>
      <w:r w:rsidRPr="00B87F02">
        <w:rPr>
          <w:rFonts w:ascii="Calibri" w:hAnsi="Calibri" w:cs="FrankRuehl" w:hint="cs"/>
          <w:rtl/>
        </w:rPr>
        <w:t>לחובת הנאשם שני רישומים פליליים. האחד בעבירת שימוש עצמי בסמים (עבירה משנת 2006, הרשעה משנת 2007), השני בעבירות הדחה בחקירה ותקיפה סתם (עבירה משנת 2001, הרשעה משנת 2004).</w:t>
      </w:r>
    </w:p>
    <w:p w14:paraId="080E6C80" w14:textId="77777777" w:rsidR="00B87F02" w:rsidRPr="00B87F02" w:rsidRDefault="00B87F02" w:rsidP="00B87F02">
      <w:pPr>
        <w:spacing w:after="160" w:line="360" w:lineRule="auto"/>
        <w:jc w:val="both"/>
        <w:rPr>
          <w:rFonts w:ascii="Calibri" w:hAnsi="Calibri" w:cs="FrankRuehl"/>
          <w:b/>
          <w:bCs/>
          <w:u w:val="single"/>
          <w:rtl/>
        </w:rPr>
      </w:pPr>
    </w:p>
    <w:p w14:paraId="2C651DE7" w14:textId="77777777" w:rsidR="00B87F02" w:rsidRPr="00B87F02" w:rsidRDefault="00B87F02" w:rsidP="00B87F02">
      <w:pPr>
        <w:spacing w:after="160" w:line="360" w:lineRule="auto"/>
        <w:jc w:val="both"/>
        <w:rPr>
          <w:rFonts w:ascii="Calibri" w:hAnsi="Calibri" w:cs="FrankRuehl"/>
          <w:b/>
          <w:bCs/>
          <w:u w:val="single"/>
          <w:rtl/>
        </w:rPr>
      </w:pPr>
      <w:r w:rsidRPr="00B87F02">
        <w:rPr>
          <w:rFonts w:ascii="Calibri" w:hAnsi="Calibri" w:cs="FrankRuehl" w:hint="cs"/>
          <w:b/>
          <w:bCs/>
          <w:u w:val="single"/>
          <w:rtl/>
        </w:rPr>
        <w:t>טיעונים לעונש</w:t>
      </w:r>
    </w:p>
    <w:p w14:paraId="3E38F19F"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rtl/>
        </w:rPr>
        <w:t xml:space="preserve">הצדדים לא הגיעו להסכמה עונשית. </w:t>
      </w:r>
    </w:p>
    <w:p w14:paraId="299A3E46"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rtl/>
        </w:rPr>
        <w:t xml:space="preserve">מחד, המאשימה טוענת כי יש להטיל על הנאשם עונש מאסר דו-ספרתי לנוכח חומרת העבירות, וזאת לאחר ששקללה את תהליך השיקום בתיק זה. , כשהיא מפנה לפסיקה. </w:t>
      </w:r>
    </w:p>
    <w:p w14:paraId="1D53D148"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rtl/>
        </w:rPr>
        <w:t xml:space="preserve">מאידך, הסניגורית טענה כי יש להסתפק בהמלצת שירות המבחן, לנוכח תהליך השיקום המשמעותי ביותר שעבר הנאשם לאורך למעלה משנתיים, ללא הפרות, תוך שהוא חוזר לדרך הישר ומשקם את חייו בצורה מעוררת השתאות. </w:t>
      </w:r>
    </w:p>
    <w:p w14:paraId="3390866E" w14:textId="77777777" w:rsidR="00B87F02" w:rsidRPr="00B87F02" w:rsidRDefault="00B87F02" w:rsidP="00B87F02">
      <w:pPr>
        <w:spacing w:after="160" w:line="360" w:lineRule="auto"/>
        <w:jc w:val="both"/>
        <w:rPr>
          <w:rFonts w:ascii="Calibri" w:hAnsi="Calibri" w:cs="FrankRuehl"/>
          <w:b/>
          <w:bCs/>
          <w:u w:val="single"/>
          <w:rtl/>
        </w:rPr>
      </w:pPr>
    </w:p>
    <w:p w14:paraId="4A820A8B" w14:textId="77777777" w:rsidR="00B87F02" w:rsidRPr="00B87F02" w:rsidRDefault="00B87F02" w:rsidP="00B87F02">
      <w:pPr>
        <w:spacing w:after="160" w:line="360" w:lineRule="auto"/>
        <w:jc w:val="both"/>
        <w:rPr>
          <w:rFonts w:ascii="Calibri" w:hAnsi="Calibri" w:cs="FrankRuehl"/>
          <w:b/>
          <w:bCs/>
          <w:u w:val="single"/>
          <w:rtl/>
        </w:rPr>
      </w:pPr>
      <w:r w:rsidRPr="00B87F02">
        <w:rPr>
          <w:rFonts w:ascii="Calibri" w:hAnsi="Calibri" w:cs="FrankRuehl" w:hint="cs"/>
          <w:b/>
          <w:bCs/>
          <w:u w:val="single"/>
          <w:rtl/>
        </w:rPr>
        <w:t xml:space="preserve">קביעת מתחם הענישה </w:t>
      </w:r>
      <w:r w:rsidRPr="00B87F02">
        <w:rPr>
          <w:rFonts w:ascii="Calibri" w:hAnsi="Calibri" w:cs="FrankRuehl" w:hint="cs"/>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79DB5581" w14:textId="77777777" w:rsidR="00B87F02" w:rsidRPr="00B87F02" w:rsidRDefault="00B87F02" w:rsidP="00B87F02">
      <w:pPr>
        <w:spacing w:after="160" w:line="360" w:lineRule="auto"/>
        <w:jc w:val="both"/>
        <w:rPr>
          <w:rFonts w:ascii="Calibri" w:hAnsi="Calibri" w:cs="FrankRuehl"/>
          <w:b/>
          <w:bCs/>
          <w:u w:val="single"/>
          <w:rtl/>
        </w:rPr>
      </w:pPr>
    </w:p>
    <w:p w14:paraId="6E6C1BFD"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 xml:space="preserve">אשר לערך המוגן </w:t>
      </w:r>
      <w:r w:rsidRPr="00B87F02">
        <w:rPr>
          <w:rFonts w:ascii="Calibri" w:hAnsi="Calibri" w:cs="FrankRuehl" w:hint="cs"/>
          <w:rtl/>
        </w:rPr>
        <w:t xml:space="preserve">– העבירות אותן עבר הנאשם פוגעות בערך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ברע"פ 3343/07 </w:t>
      </w:r>
      <w:r w:rsidRPr="00B87F02">
        <w:rPr>
          <w:rFonts w:ascii="Calibri" w:hAnsi="Calibri" w:cs="FrankRuehl" w:hint="cs"/>
          <w:b/>
          <w:bCs/>
          <w:u w:val="single"/>
          <w:rtl/>
        </w:rPr>
        <w:t>מכאוי</w:t>
      </w:r>
      <w:r w:rsidRPr="00B87F02">
        <w:rPr>
          <w:rFonts w:ascii="Calibri" w:hAnsi="Calibri" w:cs="FrankRuehl" w:hint="cs"/>
          <w:rtl/>
        </w:rPr>
        <w:t xml:space="preserve"> נ' </w:t>
      </w:r>
      <w:r w:rsidRPr="00B87F02">
        <w:rPr>
          <w:rFonts w:ascii="Calibri" w:hAnsi="Calibri" w:cs="FrankRuehl" w:hint="cs"/>
          <w:b/>
          <w:bCs/>
          <w:u w:val="single"/>
          <w:rtl/>
        </w:rPr>
        <w:t>מ"</w:t>
      </w:r>
      <w:r w:rsidRPr="00B87F02">
        <w:rPr>
          <w:rFonts w:ascii="Calibri" w:hAnsi="Calibri" w:cs="FrankRuehl" w:hint="cs"/>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w:t>
      </w:r>
    </w:p>
    <w:p w14:paraId="447AA8EE" w14:textId="77777777" w:rsidR="00B87F02" w:rsidRPr="00B87F02" w:rsidRDefault="00B87F02" w:rsidP="00B87F02">
      <w:pPr>
        <w:spacing w:after="160" w:line="360" w:lineRule="auto"/>
        <w:jc w:val="both"/>
        <w:rPr>
          <w:rFonts w:ascii="Calibri" w:hAnsi="Calibri" w:cs="FrankRuehl"/>
          <w:b/>
          <w:bCs/>
          <w:rtl/>
        </w:rPr>
      </w:pPr>
    </w:p>
    <w:p w14:paraId="30AF7B38" w14:textId="77777777" w:rsidR="00B87F02" w:rsidRPr="00B87F02" w:rsidRDefault="00B87F02" w:rsidP="00B87F02">
      <w:pPr>
        <w:spacing w:after="160" w:line="360" w:lineRule="auto"/>
        <w:jc w:val="both"/>
        <w:rPr>
          <w:rFonts w:ascii="Calibri" w:hAnsi="Calibri" w:cs="FrankRuehl"/>
        </w:rPr>
      </w:pPr>
      <w:r w:rsidRPr="00B87F02">
        <w:rPr>
          <w:rFonts w:ascii="Calibri" w:hAnsi="Calibri" w:cs="FrankRuehl" w:hint="cs"/>
          <w:b/>
          <w:bCs/>
          <w:u w:val="single"/>
          <w:rtl/>
        </w:rPr>
        <w:t xml:space="preserve">נסיבות הקשורות בביצוע העבירה, לפי </w:t>
      </w:r>
      <w:hyperlink r:id="rId22" w:history="1">
        <w:r w:rsidR="0005746B" w:rsidRPr="0005746B">
          <w:rPr>
            <w:rFonts w:ascii="Calibri" w:hAnsi="Calibri" w:cs="FrankRuehl" w:hint="eastAsia"/>
            <w:b/>
            <w:bCs/>
            <w:color w:val="0000FF"/>
            <w:u w:val="single"/>
            <w:rtl/>
          </w:rPr>
          <w:t>סעיף</w:t>
        </w:r>
        <w:r w:rsidR="0005746B" w:rsidRPr="0005746B">
          <w:rPr>
            <w:rFonts w:ascii="Calibri" w:hAnsi="Calibri" w:cs="FrankRuehl"/>
            <w:b/>
            <w:bCs/>
            <w:color w:val="0000FF"/>
            <w:u w:val="single"/>
            <w:rtl/>
          </w:rPr>
          <w:t xml:space="preserve"> 40</w:t>
        </w:r>
        <w:r w:rsidR="0005746B" w:rsidRPr="0005746B">
          <w:rPr>
            <w:rFonts w:ascii="Calibri" w:hAnsi="Calibri" w:cs="FrankRuehl" w:hint="eastAsia"/>
            <w:b/>
            <w:bCs/>
            <w:color w:val="0000FF"/>
            <w:u w:val="single"/>
            <w:rtl/>
          </w:rPr>
          <w:t>ט</w:t>
        </w:r>
        <w:r w:rsidR="0005746B" w:rsidRPr="0005746B">
          <w:rPr>
            <w:rFonts w:ascii="Calibri" w:hAnsi="Calibri" w:cs="FrankRuehl"/>
            <w:b/>
            <w:bCs/>
            <w:color w:val="0000FF"/>
            <w:u w:val="single"/>
            <w:rtl/>
          </w:rPr>
          <w:t>'</w:t>
        </w:r>
      </w:hyperlink>
      <w:r w:rsidRPr="00B87F02">
        <w:rPr>
          <w:rFonts w:ascii="Calibri" w:hAnsi="Calibri" w:cs="FrankRuehl" w:hint="cs"/>
          <w:b/>
          <w:bCs/>
          <w:u w:val="single"/>
          <w:rtl/>
        </w:rPr>
        <w:t xml:space="preserve"> ל</w:t>
      </w:r>
      <w:hyperlink r:id="rId23" w:history="1">
        <w:r w:rsidR="00585E8F" w:rsidRPr="00585E8F">
          <w:rPr>
            <w:rFonts w:ascii="Calibri" w:hAnsi="Calibri" w:cs="FrankRuehl" w:hint="eastAsia"/>
            <w:b/>
            <w:bCs/>
            <w:color w:val="0000FF"/>
            <w:u w:val="single"/>
            <w:rtl/>
          </w:rPr>
          <w:t>חוק</w:t>
        </w:r>
        <w:r w:rsidR="00585E8F" w:rsidRPr="00585E8F">
          <w:rPr>
            <w:rFonts w:ascii="Calibri" w:hAnsi="Calibri" w:cs="FrankRuehl"/>
            <w:b/>
            <w:bCs/>
            <w:color w:val="0000FF"/>
            <w:u w:val="single"/>
            <w:rtl/>
          </w:rPr>
          <w:t xml:space="preserve"> </w:t>
        </w:r>
        <w:r w:rsidR="00585E8F" w:rsidRPr="00585E8F">
          <w:rPr>
            <w:rFonts w:ascii="Calibri" w:hAnsi="Calibri" w:cs="FrankRuehl" w:hint="eastAsia"/>
            <w:b/>
            <w:bCs/>
            <w:color w:val="0000FF"/>
            <w:u w:val="single"/>
            <w:rtl/>
          </w:rPr>
          <w:t>העונשין</w:t>
        </w:r>
      </w:hyperlink>
      <w:r w:rsidRPr="00B87F02">
        <w:rPr>
          <w:rFonts w:ascii="Calibri" w:hAnsi="Calibri" w:cs="FrankRuehl" w:hint="cs"/>
          <w:b/>
          <w:bCs/>
          <w:u w:val="single"/>
          <w:rtl/>
        </w:rPr>
        <w:t>, התשל"ז-1977</w:t>
      </w:r>
      <w:r w:rsidRPr="00B87F02">
        <w:rPr>
          <w:rFonts w:ascii="Calibri" w:hAnsi="Calibri" w:cs="FrankRuehl" w:hint="cs"/>
          <w:b/>
          <w:bCs/>
          <w:rtl/>
        </w:rPr>
        <w:t xml:space="preserve"> – </w:t>
      </w:r>
      <w:r w:rsidRPr="00B87F02">
        <w:rPr>
          <w:rFonts w:ascii="Calibri" w:hAnsi="Calibri" w:cs="FrankRuehl" w:hint="cs"/>
          <w:rtl/>
        </w:rPr>
        <w:t xml:space="preserve">בין הנסיבות הקשורות בביצוע העבירה יש לשקול את אלה, לעניין קביעת המתחם: בכל העבירות מדובר בעבירות מתוכננות </w:t>
      </w:r>
      <w:r w:rsidRPr="00B87F02">
        <w:rPr>
          <w:rFonts w:ascii="Calibri" w:hAnsi="Calibri" w:cs="FrankRuehl"/>
          <w:rtl/>
        </w:rPr>
        <w:t>–</w:t>
      </w:r>
      <w:r w:rsidRPr="00B87F02">
        <w:rPr>
          <w:rFonts w:ascii="Calibri" w:hAnsi="Calibri" w:cs="FrankRuehl" w:hint="cs"/>
          <w:rtl/>
        </w:rPr>
        <w:t xml:space="preserve"> החל מהכשרת החדר בדירה שכורה לצרכי גידול סמים בתנאי מעבדה, לרבות רכישת הציוד ותחזוקת המקום. ביחס לעבירות הסחר דובר בעבירות שבוצעו לאחר תיאום מוקדם; אחריותו של הנאשם בלעדית; מכירת סמים לאנשים שונים תמורת בצע כסף </w:t>
      </w:r>
      <w:r w:rsidRPr="00B87F02">
        <w:rPr>
          <w:rFonts w:ascii="Calibri" w:hAnsi="Calibri" w:cs="FrankRuehl"/>
          <w:rtl/>
        </w:rPr>
        <w:t>–</w:t>
      </w:r>
      <w:r w:rsidRPr="00B87F02">
        <w:rPr>
          <w:rFonts w:ascii="Calibri" w:hAnsi="Calibri" w:cs="FrankRuehl" w:hint="cs"/>
          <w:rtl/>
        </w:rPr>
        <w:t xml:space="preserve"> חומרתה ידועה, והנסיבה של רווח כלכלי פועלת לחובתו הנאשם; כמובן שבהיות הנאשם אדם בגיר, יכול היה להימנע מביצוע העבירות, ואף לחדול מביצוען בכל זמן, אך בחר שלא לעשות זאת.</w:t>
      </w:r>
    </w:p>
    <w:p w14:paraId="5716D521" w14:textId="77777777" w:rsidR="00B87F02" w:rsidRPr="00B87F02" w:rsidRDefault="00B87F02" w:rsidP="00B87F02">
      <w:pPr>
        <w:spacing w:after="160" w:line="360" w:lineRule="auto"/>
        <w:jc w:val="both"/>
        <w:rPr>
          <w:rFonts w:ascii="Calibri" w:hAnsi="Calibri" w:cs="FrankRuehl"/>
          <w:b/>
          <w:bCs/>
          <w:u w:val="single"/>
          <w:rtl/>
        </w:rPr>
      </w:pPr>
    </w:p>
    <w:p w14:paraId="21FB3F43"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מדיניות הענישה הנוהגת</w:t>
      </w:r>
      <w:r w:rsidRPr="00B87F02">
        <w:rPr>
          <w:rFonts w:ascii="Calibri" w:hAnsi="Calibri" w:cs="FrankRuehl" w:hint="cs"/>
          <w:b/>
          <w:bCs/>
          <w:rtl/>
        </w:rPr>
        <w:t xml:space="preserve"> – </w:t>
      </w:r>
      <w:r w:rsidRPr="00B87F02">
        <w:rPr>
          <w:rFonts w:ascii="Calibri" w:hAnsi="Calibri" w:cs="FrankRuehl" w:hint="cs"/>
          <w:rtl/>
        </w:rPr>
        <w:t>הכלל בעבירות סחר ואחזקה שלא לצריכה עצמית הוא מאסר בפועל. בהקשר זה מפנה לדברים הבאים שנאמרו ב</w:t>
      </w:r>
      <w:hyperlink r:id="rId24" w:history="1">
        <w:r w:rsidR="00585E8F" w:rsidRPr="00585E8F">
          <w:rPr>
            <w:rFonts w:cs="FrankRuehl"/>
            <w:color w:val="0000FF"/>
            <w:u w:val="single"/>
            <w:rtl/>
          </w:rPr>
          <w:t>רע"פ 6869/17</w:t>
        </w:r>
      </w:hyperlink>
      <w:r w:rsidRPr="00580C52">
        <w:rPr>
          <w:rFonts w:cs="FrankRuehl"/>
          <w:rtl/>
        </w:rPr>
        <w:t xml:space="preserve"> </w:t>
      </w:r>
      <w:r w:rsidRPr="00580C52">
        <w:rPr>
          <w:rFonts w:cs="FrankRuehl" w:hint="eastAsia"/>
          <w:b/>
          <w:bCs/>
          <w:u w:val="single"/>
          <w:rtl/>
        </w:rPr>
        <w:t>פילברג</w:t>
      </w:r>
      <w:r w:rsidRPr="00580C52">
        <w:rPr>
          <w:rFonts w:cs="FrankRuehl"/>
          <w:rtl/>
        </w:rPr>
        <w:t xml:space="preserve"> </w:t>
      </w:r>
      <w:r w:rsidRPr="00580C52">
        <w:rPr>
          <w:rFonts w:cs="FrankRuehl" w:hint="eastAsia"/>
          <w:rtl/>
        </w:rPr>
        <w:t>נ</w:t>
      </w:r>
      <w:r w:rsidRPr="00580C52">
        <w:rPr>
          <w:rFonts w:cs="FrankRuehl"/>
          <w:rtl/>
        </w:rPr>
        <w:t xml:space="preserve">' </w:t>
      </w:r>
      <w:r w:rsidRPr="00580C52">
        <w:rPr>
          <w:rFonts w:cs="FrankRuehl" w:hint="eastAsia"/>
          <w:b/>
          <w:bCs/>
          <w:u w:val="single"/>
          <w:rtl/>
        </w:rPr>
        <w:t>מ</w:t>
      </w:r>
      <w:r w:rsidRPr="00580C52">
        <w:rPr>
          <w:rFonts w:cs="FrankRuehl"/>
          <w:b/>
          <w:bCs/>
          <w:u w:val="single"/>
          <w:rtl/>
        </w:rPr>
        <w:t>"</w:t>
      </w:r>
      <w:r w:rsidRPr="00580C52">
        <w:rPr>
          <w:rFonts w:cs="FrankRuehl" w:hint="eastAsia"/>
          <w:b/>
          <w:bCs/>
          <w:u w:val="single"/>
          <w:rtl/>
        </w:rPr>
        <w:t>י</w:t>
      </w:r>
      <w:r w:rsidRPr="00580C52">
        <w:rPr>
          <w:rFonts w:cs="FrankRuehl"/>
          <w:rtl/>
        </w:rPr>
        <w:t xml:space="preserve"> (</w:t>
      </w:r>
      <w:r w:rsidRPr="00580C52">
        <w:rPr>
          <w:rFonts w:cs="FrankRuehl" w:hint="eastAsia"/>
          <w:rtl/>
        </w:rPr>
        <w:t>מיום</w:t>
      </w:r>
      <w:r w:rsidRPr="00580C52">
        <w:rPr>
          <w:rFonts w:cs="FrankRuehl"/>
          <w:rtl/>
        </w:rPr>
        <w:t xml:space="preserve"> 11.9.2017): "</w:t>
      </w:r>
      <w:r w:rsidRPr="00580C52">
        <w:rPr>
          <w:rFonts w:cs="FrankRuehl" w:hint="eastAsia"/>
          <w:rtl/>
        </w:rPr>
        <w:t>עבירות</w:t>
      </w:r>
      <w:r w:rsidRPr="00580C52">
        <w:rPr>
          <w:rFonts w:cs="FrankRuehl"/>
          <w:rtl/>
        </w:rPr>
        <w:t xml:space="preserve"> </w:t>
      </w:r>
      <w:r w:rsidRPr="00580C52">
        <w:rPr>
          <w:rFonts w:cs="FrankRuehl" w:hint="eastAsia"/>
          <w:rtl/>
        </w:rPr>
        <w:t>הסמים</w:t>
      </w:r>
      <w:r w:rsidRPr="00580C52">
        <w:rPr>
          <w:rFonts w:cs="FrankRuehl"/>
          <w:rtl/>
        </w:rPr>
        <w:t xml:space="preserve"> </w:t>
      </w:r>
      <w:r w:rsidRPr="00580C52">
        <w:rPr>
          <w:rFonts w:cs="FrankRuehl" w:hint="eastAsia"/>
          <w:rtl/>
        </w:rPr>
        <w:t>הפכו</w:t>
      </w:r>
      <w:r w:rsidRPr="00580C52">
        <w:rPr>
          <w:rFonts w:cs="FrankRuehl"/>
          <w:rtl/>
        </w:rPr>
        <w:t xml:space="preserve"> </w:t>
      </w:r>
      <w:r w:rsidRPr="00580C52">
        <w:rPr>
          <w:rFonts w:cs="FrankRuehl" w:hint="eastAsia"/>
          <w:rtl/>
        </w:rPr>
        <w:t>זה</w:t>
      </w:r>
      <w:r w:rsidRPr="00580C52">
        <w:rPr>
          <w:rFonts w:cs="FrankRuehl"/>
          <w:rtl/>
        </w:rPr>
        <w:t xml:space="preserve"> </w:t>
      </w:r>
      <w:r w:rsidRPr="00580C52">
        <w:rPr>
          <w:rFonts w:cs="FrankRuehl" w:hint="eastAsia"/>
          <w:rtl/>
        </w:rPr>
        <w:t>מכבר</w:t>
      </w:r>
      <w:r w:rsidRPr="00580C52">
        <w:rPr>
          <w:rFonts w:cs="FrankRuehl"/>
          <w:rtl/>
        </w:rPr>
        <w:t xml:space="preserve"> </w:t>
      </w:r>
      <w:r w:rsidRPr="00580C52">
        <w:rPr>
          <w:rFonts w:cs="FrankRuehl" w:hint="eastAsia"/>
          <w:rtl/>
        </w:rPr>
        <w:t>לנגע</w:t>
      </w:r>
      <w:r w:rsidRPr="00580C52">
        <w:rPr>
          <w:rFonts w:cs="FrankRuehl"/>
          <w:rtl/>
        </w:rPr>
        <w:t xml:space="preserve"> </w:t>
      </w:r>
      <w:r w:rsidRPr="00580C52">
        <w:rPr>
          <w:rFonts w:cs="FrankRuehl" w:hint="eastAsia"/>
          <w:rtl/>
        </w:rPr>
        <w:t>הפוגע</w:t>
      </w:r>
      <w:r w:rsidRPr="00580C52">
        <w:rPr>
          <w:rFonts w:cs="FrankRuehl"/>
          <w:rtl/>
        </w:rPr>
        <w:t xml:space="preserve"> </w:t>
      </w:r>
      <w:r w:rsidRPr="00580C52">
        <w:rPr>
          <w:rFonts w:cs="FrankRuehl" w:hint="eastAsia"/>
          <w:rtl/>
        </w:rPr>
        <w:t>בציבור</w:t>
      </w:r>
      <w:r w:rsidRPr="00580C52">
        <w:rPr>
          <w:rFonts w:cs="FrankRuehl"/>
          <w:rtl/>
        </w:rPr>
        <w:t xml:space="preserve"> </w:t>
      </w:r>
      <w:r w:rsidRPr="00580C52">
        <w:rPr>
          <w:rFonts w:cs="FrankRuehl" w:hint="eastAsia"/>
          <w:rtl/>
        </w:rPr>
        <w:t>המשתמשים</w:t>
      </w:r>
      <w:r w:rsidRPr="00580C52">
        <w:rPr>
          <w:rFonts w:cs="FrankRuehl"/>
          <w:rtl/>
        </w:rPr>
        <w:t xml:space="preserve"> </w:t>
      </w:r>
      <w:r w:rsidRPr="00580C52">
        <w:rPr>
          <w:rFonts w:cs="FrankRuehl" w:hint="eastAsia"/>
          <w:rtl/>
        </w:rPr>
        <w:t>ובחברה</w:t>
      </w:r>
      <w:r w:rsidRPr="00580C52">
        <w:rPr>
          <w:rFonts w:cs="FrankRuehl"/>
          <w:rtl/>
        </w:rPr>
        <w:t xml:space="preserve"> </w:t>
      </w:r>
      <w:r w:rsidRPr="00580C52">
        <w:rPr>
          <w:rFonts w:cs="FrankRuehl" w:hint="eastAsia"/>
          <w:rtl/>
        </w:rPr>
        <w:t>בכללותה</w:t>
      </w:r>
      <w:r w:rsidRPr="00580C52">
        <w:rPr>
          <w:rFonts w:cs="FrankRuehl"/>
          <w:rtl/>
        </w:rPr>
        <w:t xml:space="preserve">, </w:t>
      </w:r>
      <w:r w:rsidRPr="00580C52">
        <w:rPr>
          <w:rFonts w:cs="FrankRuehl" w:hint="eastAsia"/>
          <w:rtl/>
        </w:rPr>
        <w:t>ויש</w:t>
      </w:r>
      <w:r w:rsidRPr="00580C52">
        <w:rPr>
          <w:rFonts w:cs="FrankRuehl"/>
          <w:rtl/>
        </w:rPr>
        <w:t xml:space="preserve"> </w:t>
      </w:r>
      <w:r w:rsidRPr="00580C52">
        <w:rPr>
          <w:rFonts w:cs="FrankRuehl" w:hint="eastAsia"/>
          <w:rtl/>
        </w:rPr>
        <w:t>לעשות</w:t>
      </w:r>
      <w:r w:rsidRPr="00580C52">
        <w:rPr>
          <w:rFonts w:cs="FrankRuehl"/>
          <w:rtl/>
        </w:rPr>
        <w:t xml:space="preserve"> </w:t>
      </w:r>
      <w:r w:rsidRPr="00580C52">
        <w:rPr>
          <w:rFonts w:cs="FrankRuehl" w:hint="eastAsia"/>
          <w:rtl/>
        </w:rPr>
        <w:t>הכל</w:t>
      </w:r>
      <w:r w:rsidRPr="00580C52">
        <w:rPr>
          <w:rFonts w:cs="FrankRuehl"/>
          <w:rtl/>
        </w:rPr>
        <w:t xml:space="preserve"> </w:t>
      </w:r>
      <w:r w:rsidRPr="00580C52">
        <w:rPr>
          <w:rFonts w:cs="FrankRuehl" w:hint="eastAsia"/>
          <w:rtl/>
        </w:rPr>
        <w:t>על</w:t>
      </w:r>
      <w:r w:rsidRPr="00580C52">
        <w:rPr>
          <w:rFonts w:cs="FrankRuehl"/>
          <w:rtl/>
        </w:rPr>
        <w:t xml:space="preserve"> </w:t>
      </w:r>
      <w:r w:rsidRPr="00580C52">
        <w:rPr>
          <w:rFonts w:cs="FrankRuehl" w:hint="eastAsia"/>
          <w:rtl/>
        </w:rPr>
        <w:t>מנת</w:t>
      </w:r>
      <w:r w:rsidRPr="00580C52">
        <w:rPr>
          <w:rFonts w:cs="FrankRuehl"/>
          <w:rtl/>
        </w:rPr>
        <w:t xml:space="preserve"> </w:t>
      </w:r>
      <w:r w:rsidRPr="00580C52">
        <w:rPr>
          <w:rFonts w:cs="FrankRuehl" w:hint="eastAsia"/>
          <w:rtl/>
        </w:rPr>
        <w:t>למגרן</w:t>
      </w:r>
      <w:r w:rsidRPr="00580C52">
        <w:rPr>
          <w:rFonts w:cs="FrankRuehl"/>
          <w:rtl/>
        </w:rPr>
        <w:t xml:space="preserve"> </w:t>
      </w:r>
      <w:r w:rsidRPr="00580C52">
        <w:rPr>
          <w:rFonts w:cs="FrankRuehl" w:hint="eastAsia"/>
          <w:rtl/>
        </w:rPr>
        <w:t>ולעקרן</w:t>
      </w:r>
      <w:r w:rsidRPr="00580C52">
        <w:rPr>
          <w:rFonts w:cs="FrankRuehl"/>
          <w:rtl/>
        </w:rPr>
        <w:t xml:space="preserve"> </w:t>
      </w:r>
      <w:r w:rsidRPr="00580C52">
        <w:rPr>
          <w:rFonts w:cs="FrankRuehl" w:hint="eastAsia"/>
          <w:rtl/>
        </w:rPr>
        <w:t>מן</w:t>
      </w:r>
      <w:r w:rsidRPr="00580C52">
        <w:rPr>
          <w:rFonts w:cs="FrankRuehl"/>
          <w:rtl/>
        </w:rPr>
        <w:t xml:space="preserve"> </w:t>
      </w:r>
      <w:r w:rsidRPr="00580C52">
        <w:rPr>
          <w:rFonts w:cs="FrankRuehl" w:hint="eastAsia"/>
          <w:rtl/>
        </w:rPr>
        <w:t>השורש</w:t>
      </w:r>
      <w:r w:rsidRPr="00580C52">
        <w:rPr>
          <w:rFonts w:cs="FrankRuehl"/>
          <w:rtl/>
        </w:rPr>
        <w:t xml:space="preserve">, </w:t>
      </w:r>
      <w:r w:rsidRPr="00580C52">
        <w:rPr>
          <w:rFonts w:cs="FrankRuehl" w:hint="eastAsia"/>
          <w:rtl/>
        </w:rPr>
        <w:t>גם</w:t>
      </w:r>
      <w:r w:rsidRPr="00580C52">
        <w:rPr>
          <w:rFonts w:cs="FrankRuehl"/>
          <w:rtl/>
        </w:rPr>
        <w:t xml:space="preserve"> </w:t>
      </w:r>
      <w:r w:rsidRPr="00580C52">
        <w:rPr>
          <w:rFonts w:cs="FrankRuehl" w:hint="eastAsia"/>
          <w:rtl/>
        </w:rPr>
        <w:t>בדרך</w:t>
      </w:r>
      <w:r w:rsidRPr="00580C52">
        <w:rPr>
          <w:rFonts w:cs="FrankRuehl"/>
          <w:rtl/>
        </w:rPr>
        <w:t xml:space="preserve"> </w:t>
      </w:r>
      <w:r w:rsidRPr="00580C52">
        <w:rPr>
          <w:rFonts w:cs="FrankRuehl" w:hint="eastAsia"/>
          <w:rtl/>
        </w:rPr>
        <w:t>של</w:t>
      </w:r>
      <w:r w:rsidRPr="00580C52">
        <w:rPr>
          <w:rFonts w:cs="FrankRuehl"/>
          <w:rtl/>
        </w:rPr>
        <w:t xml:space="preserve"> </w:t>
      </w:r>
      <w:r w:rsidRPr="00580C52">
        <w:rPr>
          <w:rFonts w:cs="FrankRuehl" w:hint="eastAsia"/>
          <w:rtl/>
        </w:rPr>
        <w:t>ענישה</w:t>
      </w:r>
      <w:r w:rsidRPr="00580C52">
        <w:rPr>
          <w:rFonts w:cs="FrankRuehl"/>
          <w:rtl/>
        </w:rPr>
        <w:t xml:space="preserve"> </w:t>
      </w:r>
      <w:r w:rsidRPr="00580C52">
        <w:rPr>
          <w:rFonts w:cs="FrankRuehl" w:hint="eastAsia"/>
          <w:rtl/>
        </w:rPr>
        <w:t>קשה</w:t>
      </w:r>
      <w:r w:rsidRPr="00580C52">
        <w:rPr>
          <w:rFonts w:cs="FrankRuehl"/>
          <w:rtl/>
        </w:rPr>
        <w:t xml:space="preserve"> </w:t>
      </w:r>
      <w:r w:rsidRPr="00580C52">
        <w:rPr>
          <w:rFonts w:cs="FrankRuehl" w:hint="eastAsia"/>
          <w:rtl/>
        </w:rPr>
        <w:t>ומחמירה</w:t>
      </w:r>
      <w:r w:rsidRPr="00580C52">
        <w:rPr>
          <w:rFonts w:cs="FrankRuehl"/>
          <w:rtl/>
        </w:rPr>
        <w:t>" (</w:t>
      </w:r>
      <w:r w:rsidRPr="00580C52">
        <w:rPr>
          <w:rFonts w:cs="FrankRuehl" w:hint="eastAsia"/>
          <w:rtl/>
        </w:rPr>
        <w:t>ס</w:t>
      </w:r>
      <w:r w:rsidRPr="00580C52">
        <w:rPr>
          <w:rFonts w:cs="FrankRuehl"/>
          <w:rtl/>
        </w:rPr>
        <w:t xml:space="preserve">' 8 </w:t>
      </w:r>
      <w:r w:rsidRPr="00580C52">
        <w:rPr>
          <w:rFonts w:cs="FrankRuehl" w:hint="eastAsia"/>
          <w:rtl/>
        </w:rPr>
        <w:t>להחלטה</w:t>
      </w:r>
      <w:r w:rsidRPr="00580C52">
        <w:rPr>
          <w:rFonts w:cs="FrankRuehl"/>
          <w:rtl/>
        </w:rPr>
        <w:t>).</w:t>
      </w:r>
      <w:r w:rsidRPr="00B87F02">
        <w:rPr>
          <w:rFonts w:ascii="Calibri" w:hAnsi="Calibri" w:cs="FrankRuehl" w:hint="cs"/>
          <w:rtl/>
        </w:rPr>
        <w:t xml:space="preserve"> ב</w:t>
      </w:r>
      <w:hyperlink r:id="rId25" w:history="1">
        <w:r w:rsidR="00585E8F" w:rsidRPr="00585E8F">
          <w:rPr>
            <w:rFonts w:ascii="Calibri" w:hAnsi="Calibri" w:cs="FrankRuehl" w:hint="eastAsia"/>
            <w:color w:val="0000FF"/>
            <w:u w:val="single"/>
            <w:rtl/>
          </w:rPr>
          <w:t>רע</w:t>
        </w:r>
        <w:r w:rsidR="00585E8F" w:rsidRPr="00585E8F">
          <w:rPr>
            <w:rFonts w:ascii="Calibri" w:hAnsi="Calibri" w:cs="FrankRuehl"/>
            <w:color w:val="0000FF"/>
            <w:u w:val="single"/>
            <w:rtl/>
          </w:rPr>
          <w:t>"</w:t>
        </w:r>
        <w:r w:rsidR="00585E8F" w:rsidRPr="00585E8F">
          <w:rPr>
            <w:rFonts w:ascii="Calibri" w:hAnsi="Calibri" w:cs="FrankRuehl" w:hint="eastAsia"/>
            <w:color w:val="0000FF"/>
            <w:u w:val="single"/>
            <w:rtl/>
          </w:rPr>
          <w:t>פ</w:t>
        </w:r>
        <w:r w:rsidR="00585E8F" w:rsidRPr="00585E8F">
          <w:rPr>
            <w:rFonts w:ascii="Calibri" w:hAnsi="Calibri" w:cs="FrankRuehl"/>
            <w:color w:val="0000FF"/>
            <w:u w:val="single"/>
            <w:rtl/>
          </w:rPr>
          <w:t xml:space="preserve"> 7675/13</w:t>
        </w:r>
      </w:hyperlink>
      <w:r w:rsidRPr="00B87F02">
        <w:rPr>
          <w:rFonts w:ascii="Calibri" w:hAnsi="Calibri" w:cs="FrankRuehl" w:hint="cs"/>
          <w:rtl/>
        </w:rPr>
        <w:t xml:space="preserve"> </w:t>
      </w:r>
      <w:r w:rsidRPr="00B87F02">
        <w:rPr>
          <w:rFonts w:ascii="Calibri" w:hAnsi="Calibri" w:cs="FrankRuehl" w:hint="cs"/>
          <w:b/>
          <w:bCs/>
          <w:u w:val="single"/>
          <w:rtl/>
        </w:rPr>
        <w:t>סעאפין</w:t>
      </w:r>
      <w:r w:rsidRPr="00B87F02">
        <w:rPr>
          <w:rFonts w:ascii="Calibri" w:hAnsi="Calibri" w:cs="FrankRuehl" w:hint="cs"/>
          <w:rtl/>
        </w:rPr>
        <w:t xml:space="preserve"> נ' </w:t>
      </w:r>
      <w:r w:rsidRPr="00B87F02">
        <w:rPr>
          <w:rFonts w:ascii="Calibri" w:hAnsi="Calibri" w:cs="FrankRuehl" w:hint="cs"/>
          <w:b/>
          <w:bCs/>
          <w:u w:val="single"/>
          <w:rtl/>
        </w:rPr>
        <w:t>מ"י</w:t>
      </w:r>
      <w:r w:rsidRPr="00B87F02">
        <w:rPr>
          <w:rFonts w:ascii="Calibri" w:hAnsi="Calibri" w:cs="FrankRuehl" w:hint="cs"/>
          <w:rtl/>
        </w:rPr>
        <w:t xml:space="preserve"> (מיום 26.1.2014) אושר עונש מאסר של 11 חודשים ומתחם ענישה שבי ן8 ל-24 חודשי מאסר ביחס לנאשם שהורשע בעבירות של סחר וגידול שלא לצריכה עצמית, בין היתר של 11 ק"ג קנביס ו-2 כדורי אקסטזי. ב</w:t>
      </w:r>
      <w:hyperlink r:id="rId26" w:history="1">
        <w:r w:rsidR="00585E8F" w:rsidRPr="00585E8F">
          <w:rPr>
            <w:rFonts w:ascii="Calibri" w:hAnsi="Calibri" w:cs="FrankRuehl" w:hint="eastAsia"/>
            <w:color w:val="0000FF"/>
            <w:u w:val="single"/>
            <w:rtl/>
          </w:rPr>
          <w:t>רע</w:t>
        </w:r>
        <w:r w:rsidR="00585E8F" w:rsidRPr="00585E8F">
          <w:rPr>
            <w:rFonts w:ascii="Calibri" w:hAnsi="Calibri" w:cs="FrankRuehl"/>
            <w:color w:val="0000FF"/>
            <w:u w:val="single"/>
            <w:rtl/>
          </w:rPr>
          <w:t>"</w:t>
        </w:r>
        <w:r w:rsidR="00585E8F" w:rsidRPr="00585E8F">
          <w:rPr>
            <w:rFonts w:ascii="Calibri" w:hAnsi="Calibri" w:cs="FrankRuehl" w:hint="eastAsia"/>
            <w:color w:val="0000FF"/>
            <w:u w:val="single"/>
            <w:rtl/>
          </w:rPr>
          <w:t>פ</w:t>
        </w:r>
        <w:r w:rsidR="00585E8F" w:rsidRPr="00585E8F">
          <w:rPr>
            <w:rFonts w:ascii="Calibri" w:hAnsi="Calibri" w:cs="FrankRuehl"/>
            <w:color w:val="0000FF"/>
            <w:u w:val="single"/>
            <w:rtl/>
          </w:rPr>
          <w:t xml:space="preserve"> 8237/15</w:t>
        </w:r>
      </w:hyperlink>
      <w:r w:rsidRPr="00B87F02">
        <w:rPr>
          <w:rFonts w:ascii="Calibri" w:hAnsi="Calibri" w:cs="FrankRuehl" w:hint="cs"/>
          <w:rtl/>
        </w:rPr>
        <w:t xml:space="preserve"> </w:t>
      </w:r>
      <w:r w:rsidRPr="00B87F02">
        <w:rPr>
          <w:rFonts w:ascii="Calibri" w:hAnsi="Calibri" w:cs="FrankRuehl" w:hint="cs"/>
          <w:b/>
          <w:bCs/>
          <w:u w:val="single"/>
          <w:rtl/>
        </w:rPr>
        <w:t>בן זקן</w:t>
      </w:r>
      <w:r w:rsidRPr="00B87F02">
        <w:rPr>
          <w:rFonts w:ascii="Calibri" w:hAnsi="Calibri" w:cs="FrankRuehl" w:hint="cs"/>
          <w:rtl/>
        </w:rPr>
        <w:t xml:space="preserve"> נ' </w:t>
      </w:r>
      <w:r w:rsidRPr="00B87F02">
        <w:rPr>
          <w:rFonts w:ascii="Calibri" w:hAnsi="Calibri" w:cs="FrankRuehl" w:hint="cs"/>
          <w:b/>
          <w:bCs/>
          <w:u w:val="single"/>
          <w:rtl/>
        </w:rPr>
        <w:t>מ"י</w:t>
      </w:r>
      <w:r w:rsidRPr="00B87F02">
        <w:rPr>
          <w:rFonts w:ascii="Calibri" w:hAnsi="Calibri" w:cs="FrankRuehl" w:hint="cs"/>
          <w:rtl/>
        </w:rPr>
        <w:t xml:space="preserve"> (מיום 2.12.2015) אושר מתחם ענישה שבין של"ץ ל-24 חודשי מאסר וכן אושר עונש מאסר של 7 חודשי מאסר על אדם שגידל 26 שתילי קנבוס במשקל של 8.4 ק"ג ולחובתו עבר פלילי מכביד. ב</w:t>
      </w:r>
      <w:hyperlink r:id="rId27" w:history="1">
        <w:r w:rsidR="00585E8F" w:rsidRPr="00585E8F">
          <w:rPr>
            <w:rFonts w:ascii="Calibri" w:hAnsi="Calibri" w:cs="FrankRuehl" w:hint="eastAsia"/>
            <w:color w:val="0000FF"/>
            <w:u w:val="single"/>
            <w:rtl/>
          </w:rPr>
          <w:t>רע</w:t>
        </w:r>
        <w:r w:rsidR="00585E8F" w:rsidRPr="00585E8F">
          <w:rPr>
            <w:rFonts w:ascii="Calibri" w:hAnsi="Calibri" w:cs="FrankRuehl"/>
            <w:color w:val="0000FF"/>
            <w:u w:val="single"/>
            <w:rtl/>
          </w:rPr>
          <w:t>"</w:t>
        </w:r>
        <w:r w:rsidR="00585E8F" w:rsidRPr="00585E8F">
          <w:rPr>
            <w:rFonts w:ascii="Calibri" w:hAnsi="Calibri" w:cs="FrankRuehl" w:hint="eastAsia"/>
            <w:color w:val="0000FF"/>
            <w:u w:val="single"/>
            <w:rtl/>
          </w:rPr>
          <w:t>פ</w:t>
        </w:r>
        <w:r w:rsidR="00585E8F" w:rsidRPr="00585E8F">
          <w:rPr>
            <w:rFonts w:ascii="Calibri" w:hAnsi="Calibri" w:cs="FrankRuehl"/>
            <w:color w:val="0000FF"/>
            <w:u w:val="single"/>
            <w:rtl/>
          </w:rPr>
          <w:t xml:space="preserve"> 7819/15</w:t>
        </w:r>
      </w:hyperlink>
      <w:r w:rsidRPr="00B87F02">
        <w:rPr>
          <w:rFonts w:ascii="Calibri" w:hAnsi="Calibri" w:cs="FrankRuehl" w:hint="cs"/>
          <w:rtl/>
        </w:rPr>
        <w:t xml:space="preserve"> </w:t>
      </w:r>
      <w:r w:rsidRPr="00B87F02">
        <w:rPr>
          <w:rFonts w:ascii="Calibri" w:hAnsi="Calibri" w:cs="FrankRuehl" w:hint="cs"/>
          <w:b/>
          <w:bCs/>
          <w:u w:val="single"/>
          <w:rtl/>
        </w:rPr>
        <w:t>סלור</w:t>
      </w:r>
      <w:r w:rsidRPr="00B87F02">
        <w:rPr>
          <w:rFonts w:ascii="Calibri" w:hAnsi="Calibri" w:cs="FrankRuehl" w:hint="cs"/>
          <w:rtl/>
        </w:rPr>
        <w:t xml:space="preserve"> נ' </w:t>
      </w:r>
      <w:r w:rsidRPr="00B87F02">
        <w:rPr>
          <w:rFonts w:ascii="Calibri" w:hAnsi="Calibri" w:cs="FrankRuehl" w:hint="cs"/>
          <w:b/>
          <w:bCs/>
          <w:u w:val="single"/>
          <w:rtl/>
        </w:rPr>
        <w:t>מ"י</w:t>
      </w:r>
      <w:r w:rsidRPr="00B87F02">
        <w:rPr>
          <w:rFonts w:ascii="Calibri" w:hAnsi="Calibri" w:cs="FrankRuehl" w:hint="cs"/>
          <w:rtl/>
        </w:rPr>
        <w:t xml:space="preserve"> (מיום 22.5.2015) אושרו מתחם ענישה שבין 7 ל-18 חודשי מאסר ועונש של 9 חודשי מאסר ביחס לנאשם שגידל קנביס במשקל של כ-7.5 ק"ג וסחר בסמים מאותו סוג.  אציין כי פסקי הדין אליהם היפנתה המאשימה תומכים במתחמי הענישה העולים מהסקירה שציינתי. </w:t>
      </w:r>
    </w:p>
    <w:p w14:paraId="3EB6B2E0" w14:textId="77777777" w:rsidR="00B87F02" w:rsidRPr="00B87F02" w:rsidRDefault="00B87F02" w:rsidP="00B87F02">
      <w:pPr>
        <w:spacing w:after="160" w:line="360" w:lineRule="auto"/>
        <w:jc w:val="both"/>
        <w:rPr>
          <w:rFonts w:ascii="Calibri" w:hAnsi="Calibri" w:cs="FrankRuehl"/>
          <w:b/>
          <w:bCs/>
          <w:u w:val="single"/>
          <w:rtl/>
        </w:rPr>
      </w:pPr>
    </w:p>
    <w:p w14:paraId="01F9046F"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מתחם הענישה</w:t>
      </w:r>
      <w:r w:rsidRPr="00B87F02">
        <w:rPr>
          <w:rFonts w:ascii="Calibri" w:hAnsi="Calibri" w:cs="FrankRuehl" w:hint="cs"/>
          <w:rtl/>
        </w:rPr>
        <w:t xml:space="preserve"> – לפיכך, אני קובע מתחם ענישה אחד לאישום בדבר הגידול, בין 5 </w:t>
      </w:r>
      <w:r w:rsidRPr="00B87F02">
        <w:rPr>
          <w:rFonts w:ascii="Calibri" w:hAnsi="Calibri" w:cs="FrankRuehl"/>
          <w:rtl/>
        </w:rPr>
        <w:t>–</w:t>
      </w:r>
      <w:r w:rsidRPr="00B87F02">
        <w:rPr>
          <w:rFonts w:ascii="Calibri" w:hAnsi="Calibri" w:cs="FrankRuehl" w:hint="cs"/>
          <w:rtl/>
        </w:rPr>
        <w:t xml:space="preserve"> 20 חודשים, וביחס לכל אישום בריבוי עבירות סחר אני קובע מתחם שבין 4 </w:t>
      </w:r>
      <w:r w:rsidRPr="00B87F02">
        <w:rPr>
          <w:rFonts w:ascii="Calibri" w:hAnsi="Calibri" w:cs="FrankRuehl"/>
          <w:rtl/>
        </w:rPr>
        <w:t>–</w:t>
      </w:r>
      <w:r w:rsidRPr="00B87F02">
        <w:rPr>
          <w:rFonts w:ascii="Calibri" w:hAnsi="Calibri" w:cs="FrankRuehl" w:hint="cs"/>
          <w:rtl/>
        </w:rPr>
        <w:t xml:space="preserve"> 12 חודשים. </w:t>
      </w:r>
    </w:p>
    <w:p w14:paraId="492BCD9F" w14:textId="77777777" w:rsidR="00B87F02" w:rsidRPr="00B87F02" w:rsidRDefault="00B87F02" w:rsidP="00B87F02">
      <w:pPr>
        <w:spacing w:after="160" w:line="360" w:lineRule="auto"/>
        <w:jc w:val="both"/>
        <w:rPr>
          <w:rFonts w:ascii="Calibri" w:hAnsi="Calibri" w:cs="FrankRuehl"/>
          <w:b/>
          <w:bCs/>
          <w:rtl/>
        </w:rPr>
      </w:pPr>
    </w:p>
    <w:p w14:paraId="307C288D"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 xml:space="preserve">נסיבות שאינן קשורות בביצוע העבירה לפי </w:t>
      </w:r>
      <w:hyperlink r:id="rId28" w:history="1">
        <w:r w:rsidR="0005746B" w:rsidRPr="0005746B">
          <w:rPr>
            <w:rFonts w:ascii="Calibri" w:hAnsi="Calibri" w:cs="FrankRuehl" w:hint="eastAsia"/>
            <w:b/>
            <w:bCs/>
            <w:color w:val="0000FF"/>
            <w:u w:val="single"/>
            <w:rtl/>
          </w:rPr>
          <w:t>סעיף</w:t>
        </w:r>
        <w:r w:rsidR="0005746B" w:rsidRPr="0005746B">
          <w:rPr>
            <w:rFonts w:ascii="Calibri" w:hAnsi="Calibri" w:cs="FrankRuehl"/>
            <w:b/>
            <w:bCs/>
            <w:color w:val="0000FF"/>
            <w:u w:val="single"/>
            <w:rtl/>
          </w:rPr>
          <w:t xml:space="preserve"> 40</w:t>
        </w:r>
        <w:r w:rsidR="0005746B" w:rsidRPr="0005746B">
          <w:rPr>
            <w:rFonts w:ascii="Calibri" w:hAnsi="Calibri" w:cs="FrankRuehl" w:hint="eastAsia"/>
            <w:b/>
            <w:bCs/>
            <w:color w:val="0000FF"/>
            <w:u w:val="single"/>
            <w:rtl/>
          </w:rPr>
          <w:t>י</w:t>
        </w:r>
        <w:r w:rsidR="0005746B" w:rsidRPr="0005746B">
          <w:rPr>
            <w:rFonts w:ascii="Calibri" w:hAnsi="Calibri" w:cs="FrankRuehl"/>
            <w:b/>
            <w:bCs/>
            <w:color w:val="0000FF"/>
            <w:u w:val="single"/>
            <w:rtl/>
          </w:rPr>
          <w:t>"</w:t>
        </w:r>
        <w:r w:rsidR="0005746B" w:rsidRPr="0005746B">
          <w:rPr>
            <w:rFonts w:ascii="Calibri" w:hAnsi="Calibri" w:cs="FrankRuehl" w:hint="eastAsia"/>
            <w:b/>
            <w:bCs/>
            <w:color w:val="0000FF"/>
            <w:u w:val="single"/>
            <w:rtl/>
          </w:rPr>
          <w:t>א</w:t>
        </w:r>
      </w:hyperlink>
      <w:r w:rsidRPr="00B87F02">
        <w:rPr>
          <w:rFonts w:ascii="Calibri" w:hAnsi="Calibri" w:cs="FrankRuehl" w:hint="cs"/>
          <w:b/>
          <w:bCs/>
          <w:u w:val="single"/>
          <w:rtl/>
        </w:rPr>
        <w:t xml:space="preserve"> ל</w:t>
      </w:r>
      <w:hyperlink r:id="rId29" w:history="1">
        <w:r w:rsidR="00585E8F" w:rsidRPr="00585E8F">
          <w:rPr>
            <w:rFonts w:ascii="Calibri" w:hAnsi="Calibri" w:cs="FrankRuehl" w:hint="eastAsia"/>
            <w:b/>
            <w:bCs/>
            <w:color w:val="0000FF"/>
            <w:u w:val="single"/>
            <w:rtl/>
          </w:rPr>
          <w:t>חוק</w:t>
        </w:r>
        <w:r w:rsidR="00585E8F" w:rsidRPr="00585E8F">
          <w:rPr>
            <w:rFonts w:ascii="Calibri" w:hAnsi="Calibri" w:cs="FrankRuehl"/>
            <w:b/>
            <w:bCs/>
            <w:color w:val="0000FF"/>
            <w:u w:val="single"/>
            <w:rtl/>
          </w:rPr>
          <w:t xml:space="preserve"> </w:t>
        </w:r>
        <w:r w:rsidR="00585E8F" w:rsidRPr="00585E8F">
          <w:rPr>
            <w:rFonts w:ascii="Calibri" w:hAnsi="Calibri" w:cs="FrankRuehl" w:hint="eastAsia"/>
            <w:b/>
            <w:bCs/>
            <w:color w:val="0000FF"/>
            <w:u w:val="single"/>
            <w:rtl/>
          </w:rPr>
          <w:t>העונשין</w:t>
        </w:r>
      </w:hyperlink>
      <w:r w:rsidRPr="00B87F02">
        <w:rPr>
          <w:rFonts w:ascii="Calibri" w:hAnsi="Calibri" w:cs="FrankRuehl" w:hint="cs"/>
          <w:b/>
          <w:bCs/>
          <w:rtl/>
        </w:rPr>
        <w:t xml:space="preserve"> – </w:t>
      </w:r>
      <w:r w:rsidRPr="00B87F02">
        <w:rPr>
          <w:rFonts w:ascii="Calibri" w:hAnsi="Calibri" w:cs="FrankRuehl" w:hint="cs"/>
          <w:rtl/>
        </w:rPr>
        <w:t xml:space="preserve">ניתן  לתת משקל לנסיבות הבאות שאינן קשורות בביצוע העבירה, במסגרת גזירת העונש בתוך המתחם: מדובר בנאשם שמעולם לא ריצה עונש מאסר. בשל כך ובשל גילו של הנאשם והמשפחה הסמוכה על שולחנו, למאסר תהיה משמעות הרסנית כלפי הנאשם ובני משפחתו. מעבר לכך, כעולה מדו"ח </w:t>
      </w:r>
      <w:r w:rsidRPr="00B87F02">
        <w:rPr>
          <w:rFonts w:ascii="Calibri" w:hAnsi="Calibri" w:cs="FrankRuehl" w:hint="cs"/>
          <w:b/>
          <w:bCs/>
          <w:rtl/>
        </w:rPr>
        <w:t>וועדת דורנר</w:t>
      </w:r>
      <w:r w:rsidRPr="00B87F02">
        <w:rPr>
          <w:rFonts w:ascii="Calibri" w:hAnsi="Calibri" w:cs="FrankRuehl" w:hint="cs"/>
          <w:rtl/>
        </w:rPr>
        <w:t xml:space="preserve"> ("הוועדה הציבורית לבחינת מדיניות הענישה והטיפול בעבריינים, דין וחשבון, אוגוסט 2015"), קיימות עדויות לכך ששליחתו של אדם למאסר עלול להוביל, בתנאים מסוימיים, להגברת נטיות עברייניות והגברת מועדות עבריינית בשל טיב החיים בכלא והערכים הנלווים להם במהלך המאסר ["השפעה קרימינוגנית של המאסר", (עמ' 25-26)]; הנאשם נטל אחריות מלאה למעשים ונרתם לתהליך טיפולי ארוך מאוד שבו עמד על הצד הטוב ביותר. הוא שיתף פעולה עם גורמי הטיפול, נטל אחריות רבה במסגרת הטיפול וסיים את כל שלביו עד שחזר, למעשה לחיים עצמאיים; הוא שירת בצבא שירות מלא ובכך מילא חובתו לחברה; המשבר שחוו הוא ומשפחתו על רקע מעצרו בהליך זה היו לא פשוטים כמתואר;  עברו של הנאשם אינו מכביד.</w:t>
      </w:r>
    </w:p>
    <w:p w14:paraId="262C8742" w14:textId="77777777" w:rsidR="00B87F02" w:rsidRPr="00B87F02" w:rsidRDefault="00B87F02" w:rsidP="00B87F02">
      <w:pPr>
        <w:spacing w:after="160" w:line="360" w:lineRule="auto"/>
        <w:jc w:val="both"/>
        <w:rPr>
          <w:rFonts w:ascii="Calibri" w:hAnsi="Calibri" w:cs="FrankRuehl"/>
          <w:b/>
          <w:bCs/>
          <w:u w:val="single"/>
          <w:rtl/>
        </w:rPr>
      </w:pPr>
    </w:p>
    <w:p w14:paraId="154DC73F"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המיקום במתחם</w:t>
      </w:r>
      <w:r w:rsidRPr="00B87F02">
        <w:rPr>
          <w:rFonts w:ascii="Calibri" w:hAnsi="Calibri" w:cs="FrankRuehl" w:hint="cs"/>
          <w:rtl/>
        </w:rPr>
        <w:t xml:space="preserve"> </w:t>
      </w:r>
      <w:r w:rsidRPr="00B87F02">
        <w:rPr>
          <w:rFonts w:ascii="Calibri" w:hAnsi="Calibri" w:cs="FrankRuehl"/>
          <w:rtl/>
        </w:rPr>
        <w:t>–</w:t>
      </w:r>
      <w:r w:rsidRPr="00B87F02">
        <w:rPr>
          <w:rFonts w:ascii="Calibri" w:hAnsi="Calibri" w:cs="FrankRuehl" w:hint="cs"/>
          <w:rtl/>
        </w:rPr>
        <w:t xml:space="preserve"> אלמלא תהליך השיקום המרשים שעבר הנאשם ושבגינו יש הצדקה, לדעתי, לסטות ממתחם הענישה, היה מקום למקמו באמצע מכלול המתחמים שקבעתי. </w:t>
      </w:r>
    </w:p>
    <w:p w14:paraId="63E16E50" w14:textId="77777777" w:rsidR="00B87F02" w:rsidRPr="00B87F02" w:rsidRDefault="00B87F02" w:rsidP="00B87F02">
      <w:pPr>
        <w:spacing w:after="160" w:line="360" w:lineRule="auto"/>
        <w:jc w:val="both"/>
        <w:rPr>
          <w:rFonts w:ascii="Calibri" w:hAnsi="Calibri" w:cs="FrankRuehl"/>
          <w:rtl/>
        </w:rPr>
      </w:pPr>
    </w:p>
    <w:p w14:paraId="5A51D644" w14:textId="77777777" w:rsidR="00B87F02" w:rsidRPr="00B87F02" w:rsidRDefault="00B87F02" w:rsidP="00B87F02">
      <w:pPr>
        <w:spacing w:after="160" w:line="360" w:lineRule="auto"/>
        <w:jc w:val="both"/>
        <w:rPr>
          <w:rFonts w:ascii="Calibri" w:hAnsi="Calibri" w:cs="FrankRuehl"/>
          <w:b/>
          <w:bCs/>
          <w:u w:val="single"/>
          <w:rtl/>
        </w:rPr>
      </w:pPr>
      <w:r w:rsidRPr="00B87F02">
        <w:rPr>
          <w:rFonts w:ascii="Calibri" w:hAnsi="Calibri" w:cs="FrankRuehl" w:hint="cs"/>
          <w:b/>
          <w:bCs/>
          <w:u w:val="single"/>
          <w:rtl/>
        </w:rPr>
        <w:t>שיקולים לחריגה מן המתחם במקרים מתאימים</w:t>
      </w:r>
    </w:p>
    <w:p w14:paraId="1095DB6D"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b/>
          <w:bCs/>
          <w:u w:val="single"/>
          <w:rtl/>
        </w:rPr>
        <w:t>40ד' ל</w:t>
      </w:r>
      <w:hyperlink r:id="rId30" w:history="1">
        <w:r w:rsidR="00585E8F" w:rsidRPr="00585E8F">
          <w:rPr>
            <w:rFonts w:ascii="Calibri" w:hAnsi="Calibri" w:cs="FrankRuehl" w:hint="eastAsia"/>
            <w:b/>
            <w:bCs/>
            <w:color w:val="0000FF"/>
            <w:u w:val="single"/>
            <w:rtl/>
          </w:rPr>
          <w:t>חוק</w:t>
        </w:r>
        <w:r w:rsidR="00585E8F" w:rsidRPr="00585E8F">
          <w:rPr>
            <w:rFonts w:ascii="Calibri" w:hAnsi="Calibri" w:cs="FrankRuehl"/>
            <w:b/>
            <w:bCs/>
            <w:color w:val="0000FF"/>
            <w:u w:val="single"/>
            <w:rtl/>
          </w:rPr>
          <w:t xml:space="preserve"> </w:t>
        </w:r>
        <w:r w:rsidR="00585E8F" w:rsidRPr="00585E8F">
          <w:rPr>
            <w:rFonts w:ascii="Calibri" w:hAnsi="Calibri" w:cs="FrankRuehl" w:hint="eastAsia"/>
            <w:b/>
            <w:bCs/>
            <w:color w:val="0000FF"/>
            <w:u w:val="single"/>
            <w:rtl/>
          </w:rPr>
          <w:t>העונשין</w:t>
        </w:r>
      </w:hyperlink>
      <w:r w:rsidRPr="00B87F02">
        <w:rPr>
          <w:rFonts w:ascii="Calibri" w:hAnsi="Calibri" w:cs="FrankRuehl" w:hint="cs"/>
          <w:b/>
          <w:bCs/>
          <w:u w:val="single"/>
          <w:rtl/>
        </w:rPr>
        <w:t xml:space="preserve"> – שיקום</w:t>
      </w:r>
      <w:r w:rsidRPr="00B87F02">
        <w:rPr>
          <w:rFonts w:ascii="Calibri" w:hAnsi="Calibri" w:cs="FrankRuehl" w:hint="cs"/>
          <w:rtl/>
        </w:rPr>
        <w:t xml:space="preserve"> – עמדתי בהרחבה על תהליך השיקום של הנאשם. מעבר לעובדה שעשה כברת דרך ארוכה לאורך כשנתיים תוך שיתוף פעולה מלא עם גורמי הטיפול, הרי שלא נפתחו נגדו תיקים חדשים, ולא נרשמו הפרות של תנאי השחרור. זאת, יחד עם ניסיונותיו לשקם את חיי משפחתו והשתלבותו מחדש בשוק העבודה, מלמדים כי לנאשם כוחות אמיתיים  וכנים לערוך את השינוי הנדרש באורחותיו, שיבטיח כי לא יחזור לפשוע. על-כן אני סבור כי דרכו המשמעותית של הנאשם בתוואי השיקום, צריכה לזכות אותו בחריגה ממתחם הענישה, שתביא לתוצאה של הטלת מאסר בדרך של עבודות שירות למלוא התקופה, דהיינו </w:t>
      </w:r>
      <w:r w:rsidRPr="00B87F02">
        <w:rPr>
          <w:rFonts w:ascii="Calibri" w:hAnsi="Calibri" w:cs="FrankRuehl"/>
          <w:rtl/>
        </w:rPr>
        <w:t>–</w:t>
      </w:r>
      <w:r w:rsidRPr="00B87F02">
        <w:rPr>
          <w:rFonts w:ascii="Calibri" w:hAnsi="Calibri" w:cs="FrankRuehl" w:hint="cs"/>
          <w:rtl/>
        </w:rPr>
        <w:t xml:space="preserve"> חצי שנה. תוצאה של של"ץ בתיק זה, לנוכח כמות האישומים וכמות הסמים, אינה עולה בקנה אחד עם עקרון ההלימה. </w:t>
      </w:r>
    </w:p>
    <w:p w14:paraId="600FAD94" w14:textId="77777777" w:rsidR="00B87F02" w:rsidRPr="00B87F02" w:rsidRDefault="00B87F02" w:rsidP="00B87F02">
      <w:pPr>
        <w:spacing w:after="160" w:line="360" w:lineRule="auto"/>
        <w:jc w:val="both"/>
        <w:rPr>
          <w:rFonts w:ascii="Calibri" w:hAnsi="Calibri" w:cs="FrankRuehl"/>
          <w:rtl/>
        </w:rPr>
      </w:pPr>
    </w:p>
    <w:p w14:paraId="5482DD75" w14:textId="77777777" w:rsidR="00B87F02" w:rsidRPr="00B87F02" w:rsidRDefault="00B87F02" w:rsidP="00B87F02">
      <w:pPr>
        <w:spacing w:after="160" w:line="360" w:lineRule="auto"/>
        <w:jc w:val="both"/>
        <w:rPr>
          <w:rFonts w:ascii="Calibri" w:hAnsi="Calibri" w:cs="FrankRuehl"/>
          <w:rtl/>
        </w:rPr>
      </w:pPr>
      <w:r w:rsidRPr="00B87F02">
        <w:rPr>
          <w:rFonts w:ascii="Calibri" w:hAnsi="Calibri" w:cs="FrankRuehl" w:hint="cs"/>
          <w:rtl/>
        </w:rPr>
        <w:t>לפיכך, אני מחליט לגזור על הנאשם את העונשים הבאים:</w:t>
      </w:r>
    </w:p>
    <w:p w14:paraId="3B76B16A" w14:textId="77777777" w:rsidR="00B87F02" w:rsidRPr="00B87F02" w:rsidRDefault="00B87F02" w:rsidP="00B87F02">
      <w:pPr>
        <w:numPr>
          <w:ilvl w:val="0"/>
          <w:numId w:val="1"/>
        </w:numPr>
        <w:spacing w:after="160" w:line="360" w:lineRule="auto"/>
        <w:contextualSpacing/>
        <w:jc w:val="both"/>
        <w:rPr>
          <w:rFonts w:ascii="Calibri" w:hAnsi="Calibri" w:cs="FrankRuehl"/>
        </w:rPr>
      </w:pPr>
      <w:r w:rsidRPr="00B87F02">
        <w:rPr>
          <w:rFonts w:ascii="Calibri" w:hAnsi="Calibri" w:cs="FrankRuehl" w:hint="cs"/>
          <w:rtl/>
        </w:rPr>
        <w:t>9 חודשי מאסר. מתוכם 3 חודשים מאסר ממש בניכוי מלא של תקופת מעצרו בתיק זה על-פי חישוב שב"ס, ו-6 חודשי מאסר, אשר ירוצו בעבודות שירות, החל מיום   12.5.2019, אשר ירוצו במועצת הפועלים בראשון לציון, וזאת על פי חוות דעת הממונה על עבודות השירות. מובהר בזה כי הפרת הוראות הממונה ואי עמידה בכללים הנוגעים לריצוי עבודות השירות עלולים להביא להפקעת העבודות ולהמרת העונש בעונש מאסר של ממש. ביום 12.5.2019 בשעה 08:00 על הנאשם להתייצב במשרדי הממונה ברמלה לתחילת ריצוי עבודות השירות.</w:t>
      </w:r>
    </w:p>
    <w:p w14:paraId="5380F62A" w14:textId="77777777" w:rsidR="00B87F02" w:rsidRPr="00B87F02" w:rsidRDefault="00B87F02" w:rsidP="00B87F02">
      <w:pPr>
        <w:numPr>
          <w:ilvl w:val="0"/>
          <w:numId w:val="1"/>
        </w:numPr>
        <w:spacing w:after="160" w:line="360" w:lineRule="auto"/>
        <w:contextualSpacing/>
        <w:jc w:val="both"/>
        <w:rPr>
          <w:rFonts w:ascii="Calibri" w:hAnsi="Calibri" w:cs="FrankRuehl"/>
        </w:rPr>
      </w:pPr>
      <w:r w:rsidRPr="00B87F02">
        <w:rPr>
          <w:rFonts w:ascii="Calibri" w:hAnsi="Calibri" w:cs="FrankRuehl" w:hint="cs"/>
          <w:rtl/>
        </w:rPr>
        <w:t>5 חודשי מאסר, שלא ירוצו אלא אם יעבור הנאשם כל עבירה של שימוש עצמי או החזקת כלים לצריכה עצמית של סמים בתוך שלוש שנים מהיום;</w:t>
      </w:r>
    </w:p>
    <w:p w14:paraId="15708E1D" w14:textId="77777777" w:rsidR="00B87F02" w:rsidRPr="00B87F02" w:rsidRDefault="00B87F02" w:rsidP="00B87F02">
      <w:pPr>
        <w:numPr>
          <w:ilvl w:val="0"/>
          <w:numId w:val="1"/>
        </w:numPr>
        <w:spacing w:after="160" w:line="360" w:lineRule="auto"/>
        <w:contextualSpacing/>
        <w:jc w:val="both"/>
        <w:rPr>
          <w:rFonts w:ascii="Calibri" w:hAnsi="Calibri" w:cs="FrankRuehl"/>
        </w:rPr>
      </w:pPr>
      <w:r w:rsidRPr="00B87F02">
        <w:rPr>
          <w:rFonts w:ascii="Calibri" w:hAnsi="Calibri" w:cs="FrankRuehl" w:hint="cs"/>
          <w:rtl/>
        </w:rPr>
        <w:t xml:space="preserve">8 חודשי מאסר, שלא ירוצו אלא אם יעבור הנאשם כל עבירה לפי </w:t>
      </w:r>
      <w:hyperlink r:id="rId31" w:history="1">
        <w:r w:rsidR="00585E8F" w:rsidRPr="00585E8F">
          <w:rPr>
            <w:rFonts w:ascii="Calibri" w:hAnsi="Calibri" w:cs="FrankRuehl" w:hint="eastAsia"/>
            <w:color w:val="0000FF"/>
            <w:u w:val="single"/>
            <w:rtl/>
          </w:rPr>
          <w:t>פקודת</w:t>
        </w:r>
        <w:r w:rsidR="00585E8F" w:rsidRPr="00585E8F">
          <w:rPr>
            <w:rFonts w:ascii="Calibri" w:hAnsi="Calibri" w:cs="FrankRuehl"/>
            <w:color w:val="0000FF"/>
            <w:u w:val="single"/>
            <w:rtl/>
          </w:rPr>
          <w:t xml:space="preserve"> </w:t>
        </w:r>
        <w:r w:rsidR="00585E8F" w:rsidRPr="00585E8F">
          <w:rPr>
            <w:rFonts w:ascii="Calibri" w:hAnsi="Calibri" w:cs="FrankRuehl" w:hint="eastAsia"/>
            <w:color w:val="0000FF"/>
            <w:u w:val="single"/>
            <w:rtl/>
          </w:rPr>
          <w:t>הסמים</w:t>
        </w:r>
        <w:r w:rsidR="00585E8F" w:rsidRPr="00585E8F">
          <w:rPr>
            <w:rFonts w:ascii="Calibri" w:hAnsi="Calibri" w:cs="FrankRuehl"/>
            <w:color w:val="0000FF"/>
            <w:u w:val="single"/>
            <w:rtl/>
          </w:rPr>
          <w:t xml:space="preserve"> </w:t>
        </w:r>
        <w:r w:rsidR="00585E8F" w:rsidRPr="00585E8F">
          <w:rPr>
            <w:rFonts w:ascii="Calibri" w:hAnsi="Calibri" w:cs="FrankRuehl" w:hint="eastAsia"/>
            <w:color w:val="0000FF"/>
            <w:u w:val="single"/>
            <w:rtl/>
          </w:rPr>
          <w:t>המסוכנים</w:t>
        </w:r>
      </w:hyperlink>
      <w:r w:rsidRPr="00B87F02">
        <w:rPr>
          <w:rFonts w:ascii="Calibri" w:hAnsi="Calibri" w:cs="FrankRuehl" w:hint="cs"/>
          <w:rtl/>
        </w:rPr>
        <w:t xml:space="preserve"> למעט שימוש עצמי והחזקת כלים לשימוש עצמי בתוך שלוש שנים מהיום;</w:t>
      </w:r>
    </w:p>
    <w:p w14:paraId="1A08B4BF" w14:textId="77777777" w:rsidR="00B87F02" w:rsidRPr="00B87F02" w:rsidRDefault="00B87F02" w:rsidP="00B87F02">
      <w:pPr>
        <w:numPr>
          <w:ilvl w:val="0"/>
          <w:numId w:val="1"/>
        </w:numPr>
        <w:spacing w:after="160" w:line="360" w:lineRule="auto"/>
        <w:contextualSpacing/>
        <w:jc w:val="both"/>
        <w:rPr>
          <w:rFonts w:ascii="Calibri" w:hAnsi="Calibri" w:cs="FrankRuehl"/>
        </w:rPr>
      </w:pPr>
      <w:r w:rsidRPr="00B87F02">
        <w:rPr>
          <w:rFonts w:ascii="Calibri" w:hAnsi="Calibri" w:cs="FrankRuehl" w:hint="cs"/>
          <w:rtl/>
        </w:rPr>
        <w:t xml:space="preserve">קנס בסך 10,000 </w:t>
      </w:r>
      <w:r w:rsidRPr="00B87F02">
        <w:rPr>
          <w:rFonts w:ascii="Calibri" w:hAnsi="Calibri" w:cs="FrankRuehl" w:hint="eastAsia"/>
          <w:rtl/>
        </w:rPr>
        <w:t>₪</w:t>
      </w:r>
      <w:r w:rsidRPr="00B87F02">
        <w:rPr>
          <w:rFonts w:ascii="Calibri" w:hAnsi="Calibri" w:cs="FrankRuehl" w:hint="cs"/>
          <w:rtl/>
        </w:rPr>
        <w:t xml:space="preserve"> בניכוי ההפקדה בסך 3,000 </w:t>
      </w:r>
      <w:r w:rsidRPr="00B87F02">
        <w:rPr>
          <w:rFonts w:ascii="Calibri" w:hAnsi="Calibri" w:cs="FrankRuehl" w:hint="eastAsia"/>
          <w:rtl/>
        </w:rPr>
        <w:t>₪</w:t>
      </w:r>
      <w:r w:rsidRPr="00B87F02">
        <w:rPr>
          <w:rFonts w:ascii="Calibri" w:hAnsi="Calibri" w:cs="FrankRuehl" w:hint="cs"/>
          <w:rtl/>
        </w:rPr>
        <w:t xml:space="preserve"> בתיק המעצר/תיק זה. קובע חודשיים מאסר תמורת הקנס אם לא ישולם. יתרת הקנס תשולם ב-10 תשלומים שווים ורצופים החל מה-1.10.2019 וב-1 לכל חודש שלאחריו. היה ולא יעמוד הנאשם במי מהתשלומים, יעמוד הקנס לפירעון מיידי בצירוף הפרשי ריבית פיגורים והצמדה כחוק;</w:t>
      </w:r>
    </w:p>
    <w:p w14:paraId="5B0ABE6E" w14:textId="77777777" w:rsidR="00B87F02" w:rsidRPr="00B87F02" w:rsidRDefault="00B87F02" w:rsidP="00B87F02">
      <w:pPr>
        <w:numPr>
          <w:ilvl w:val="0"/>
          <w:numId w:val="1"/>
        </w:numPr>
        <w:spacing w:after="160" w:line="360" w:lineRule="auto"/>
        <w:contextualSpacing/>
        <w:jc w:val="both"/>
        <w:rPr>
          <w:rFonts w:ascii="Calibri" w:hAnsi="Calibri" w:cs="FrankRuehl"/>
        </w:rPr>
      </w:pPr>
      <w:r w:rsidRPr="00B87F02">
        <w:rPr>
          <w:rFonts w:ascii="Calibri" w:hAnsi="Calibri" w:cs="FrankRuehl" w:hint="cs"/>
          <w:rtl/>
        </w:rPr>
        <w:t>צו מבחן לתקופה של 12 חודשים.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463860E5" w14:textId="77777777" w:rsidR="00B87F02" w:rsidRDefault="00B87F02" w:rsidP="00B87F02">
      <w:pPr>
        <w:rPr>
          <w:rFonts w:cs="FrankRuehl"/>
          <w:rtl/>
        </w:rPr>
      </w:pPr>
    </w:p>
    <w:p w14:paraId="7BEA1059" w14:textId="77777777" w:rsidR="00B87F02" w:rsidRDefault="00B87F02" w:rsidP="00B87F02">
      <w:pPr>
        <w:rPr>
          <w:rFonts w:cs="FrankRuehl"/>
          <w:rtl/>
        </w:rPr>
      </w:pPr>
      <w:r>
        <w:rPr>
          <w:rFonts w:cs="FrankRuehl" w:hint="cs"/>
          <w:rtl/>
        </w:rPr>
        <w:t>מורה על חילוט כל הציוד והשמדת הסמים שנתפסו במסגרת תיק זה, במסגרת הכרזה על הנאשם כסוחר סמים.</w:t>
      </w:r>
    </w:p>
    <w:p w14:paraId="5D821A65" w14:textId="77777777" w:rsidR="00B87F02" w:rsidRDefault="00B87F02" w:rsidP="00B87F02">
      <w:pPr>
        <w:rPr>
          <w:rFonts w:cs="FrankRuehl"/>
          <w:rtl/>
        </w:rPr>
      </w:pPr>
    </w:p>
    <w:p w14:paraId="633B7C77" w14:textId="77777777" w:rsidR="00B87F02" w:rsidRDefault="00B87F02" w:rsidP="00B87F02">
      <w:pPr>
        <w:rPr>
          <w:rFonts w:cs="FrankRuehl"/>
          <w:rtl/>
        </w:rPr>
      </w:pPr>
      <w:r>
        <w:rPr>
          <w:rFonts w:cs="FrankRuehl" w:hint="cs"/>
          <w:rtl/>
        </w:rPr>
        <w:t>לא מצאתי להטיל רכיבי ענישה נוספים.</w:t>
      </w:r>
    </w:p>
    <w:p w14:paraId="7C22D105" w14:textId="77777777" w:rsidR="00B87F02" w:rsidRDefault="00B87F02" w:rsidP="00B87F02">
      <w:pPr>
        <w:rPr>
          <w:rFonts w:cs="FrankRuehl"/>
          <w:rtl/>
        </w:rPr>
      </w:pPr>
    </w:p>
    <w:p w14:paraId="5EB9AD51" w14:textId="77777777" w:rsidR="00B87F02" w:rsidRDefault="00B87F02" w:rsidP="00B87F02">
      <w:pPr>
        <w:rPr>
          <w:rFonts w:cs="FrankRuehl"/>
          <w:rtl/>
        </w:rPr>
      </w:pPr>
    </w:p>
    <w:p w14:paraId="143AEA0D" w14:textId="77777777" w:rsidR="00B87F02" w:rsidRDefault="00B87F02" w:rsidP="00B87F02">
      <w:pPr>
        <w:rPr>
          <w:rFonts w:cs="FrankRuehl"/>
        </w:rPr>
      </w:pPr>
      <w:r>
        <w:rPr>
          <w:rFonts w:cs="FrankRuehl" w:hint="cs"/>
          <w:rtl/>
        </w:rPr>
        <w:t>יש לשלוח לממונה  על עבודות השירות ולשירות המבחן.</w:t>
      </w:r>
    </w:p>
    <w:p w14:paraId="33319E3C" w14:textId="77777777" w:rsidR="00B87F02" w:rsidRPr="00AE448C" w:rsidRDefault="00B87F02" w:rsidP="00B87F02">
      <w:pPr>
        <w:rPr>
          <w:rFonts w:cs="FrankRuehl"/>
          <w:rtl/>
        </w:rPr>
      </w:pPr>
    </w:p>
    <w:p w14:paraId="11902F67" w14:textId="77777777" w:rsidR="00B87F02" w:rsidRDefault="00B87F02" w:rsidP="00B87F02">
      <w:pPr>
        <w:rPr>
          <w:rFonts w:cs="FrankRuehl"/>
          <w:rtl/>
        </w:rPr>
      </w:pPr>
      <w:r>
        <w:rPr>
          <w:rFonts w:cs="FrankRuehl" w:hint="cs"/>
          <w:rtl/>
        </w:rPr>
        <w:t>זכות ערעור כחוק.</w:t>
      </w:r>
    </w:p>
    <w:p w14:paraId="63774075" w14:textId="77777777" w:rsidR="00B87F02" w:rsidRDefault="00B87F02" w:rsidP="00B87F02">
      <w:pPr>
        <w:rPr>
          <w:rFonts w:cs="FrankRuehl"/>
          <w:rtl/>
        </w:rPr>
      </w:pPr>
    </w:p>
    <w:p w14:paraId="70F0B1A0" w14:textId="77777777" w:rsidR="00B87F02" w:rsidRPr="00585E8F" w:rsidRDefault="00585E8F" w:rsidP="00B87F02">
      <w:pPr>
        <w:rPr>
          <w:rFonts w:cs="FrankRuehl"/>
          <w:color w:val="FFFFFF"/>
          <w:sz w:val="2"/>
          <w:szCs w:val="2"/>
          <w:rtl/>
        </w:rPr>
      </w:pPr>
      <w:r w:rsidRPr="00585E8F">
        <w:rPr>
          <w:rFonts w:cs="FrankRuehl"/>
          <w:color w:val="FFFFFF"/>
          <w:sz w:val="2"/>
          <w:szCs w:val="2"/>
          <w:rtl/>
        </w:rPr>
        <w:t>5129371</w:t>
      </w:r>
    </w:p>
    <w:p w14:paraId="5CDB4142" w14:textId="77777777" w:rsidR="00B87F02" w:rsidRPr="00061EA1" w:rsidRDefault="00585E8F" w:rsidP="00B87F02">
      <w:pPr>
        <w:rPr>
          <w:rFonts w:cs="FrankRuehl"/>
          <w:sz w:val="28"/>
          <w:szCs w:val="28"/>
          <w:rtl/>
        </w:rPr>
      </w:pPr>
      <w:r w:rsidRPr="00585E8F">
        <w:rPr>
          <w:rFonts w:ascii="Arial" w:hAnsi="Arial" w:cs="FrankRuehl"/>
          <w:color w:val="FFFFFF"/>
          <w:sz w:val="2"/>
          <w:szCs w:val="2"/>
          <w:rtl/>
        </w:rPr>
        <w:t>54678313</w:t>
      </w:r>
      <w:r>
        <w:rPr>
          <w:rFonts w:ascii="Arial" w:hAnsi="Arial" w:cs="FrankRuehl"/>
          <w:rtl/>
        </w:rPr>
        <w:t xml:space="preserve">ניתן היום,  י' אדר ב' תשע"ט, 17 מרץ 2019, במעמד הצדדים. </w:t>
      </w:r>
    </w:p>
    <w:p w14:paraId="62635DD0" w14:textId="77777777" w:rsidR="00B87F02" w:rsidRPr="00061EA1" w:rsidRDefault="00B87F02" w:rsidP="00B87F02">
      <w:pPr>
        <w:jc w:val="center"/>
      </w:pPr>
      <w:r w:rsidRPr="00061EA1">
        <w:rPr>
          <w:rFonts w:cs="FrankRuehl" w:hint="cs"/>
          <w:rtl/>
        </w:rPr>
        <w:t xml:space="preserve">   </w:t>
      </w:r>
      <w:r w:rsidRPr="00061EA1">
        <w:rPr>
          <w:rFonts w:cs="FrankRuehl" w:hint="cs"/>
          <w:rtl/>
        </w:rPr>
        <w:tab/>
      </w:r>
      <w:r w:rsidRPr="00061EA1">
        <w:rPr>
          <w:rFonts w:cs="FrankRuehl" w:hint="cs"/>
          <w:rtl/>
        </w:rPr>
        <w:tab/>
      </w:r>
      <w:r w:rsidRPr="00061EA1">
        <w:rPr>
          <w:rFonts w:cs="FrankRuehl" w:hint="cs"/>
          <w:rtl/>
        </w:rPr>
        <w:tab/>
      </w:r>
      <w:r w:rsidRPr="00061EA1">
        <w:rPr>
          <w:rFonts w:cs="FrankRuehl" w:hint="cs"/>
          <w:rtl/>
        </w:rPr>
        <w:tab/>
      </w:r>
      <w:r w:rsidRPr="00061EA1">
        <w:rPr>
          <w:rFonts w:cs="FrankRuehl" w:hint="cs"/>
          <w:rtl/>
        </w:rPr>
        <w:tab/>
      </w:r>
      <w:r>
        <w:rPr>
          <w:rtl/>
        </w:rPr>
        <w:t xml:space="preserve">     </w:t>
      </w:r>
    </w:p>
    <w:p w14:paraId="1912D06D" w14:textId="77777777" w:rsidR="00B87F02" w:rsidRPr="00061EA1" w:rsidRDefault="00B87F02" w:rsidP="00B87F02">
      <w:pPr>
        <w:jc w:val="center"/>
        <w:rPr>
          <w:rFonts w:ascii="Arial" w:hAnsi="Arial" w:cs="FrankRuehl"/>
          <w:sz w:val="28"/>
          <w:szCs w:val="28"/>
          <w:rtl/>
        </w:rPr>
      </w:pPr>
    </w:p>
    <w:p w14:paraId="01D2B39A" w14:textId="77777777" w:rsidR="00B87F02" w:rsidRPr="00061EA1" w:rsidRDefault="00B87F02" w:rsidP="00B87F02">
      <w:pPr>
        <w:rPr>
          <w:rFonts w:cs="FrankRuehl"/>
          <w:sz w:val="28"/>
          <w:szCs w:val="28"/>
          <w:rtl/>
        </w:rPr>
      </w:pPr>
    </w:p>
    <w:p w14:paraId="0B40D1CC" w14:textId="77777777" w:rsidR="00B87F02" w:rsidRPr="0005746B" w:rsidRDefault="0005746B" w:rsidP="00B87F02">
      <w:pPr>
        <w:pStyle w:val="a3"/>
        <w:jc w:val="center"/>
        <w:rPr>
          <w:rFonts w:cs="FrankRuehl"/>
          <w:color w:val="FFFFFF"/>
          <w:sz w:val="2"/>
          <w:szCs w:val="2"/>
          <w:rtl/>
        </w:rPr>
      </w:pPr>
      <w:r w:rsidRPr="0005746B">
        <w:rPr>
          <w:rFonts w:cs="FrankRuehl"/>
          <w:color w:val="FFFFFF"/>
          <w:sz w:val="2"/>
          <w:szCs w:val="2"/>
          <w:rtl/>
        </w:rPr>
        <w:t>5129371</w:t>
      </w:r>
    </w:p>
    <w:p w14:paraId="50BD3117" w14:textId="77777777" w:rsidR="00AB1A42" w:rsidRPr="0005746B" w:rsidRDefault="0005746B" w:rsidP="00585E8F">
      <w:pPr>
        <w:keepNext/>
        <w:rPr>
          <w:rFonts w:ascii="David" w:hAnsi="David"/>
          <w:color w:val="FFFFFF"/>
          <w:sz w:val="2"/>
          <w:szCs w:val="2"/>
          <w:rtl/>
        </w:rPr>
      </w:pPr>
      <w:r w:rsidRPr="0005746B">
        <w:rPr>
          <w:rFonts w:ascii="David" w:hAnsi="David"/>
          <w:color w:val="FFFFFF"/>
          <w:sz w:val="2"/>
          <w:szCs w:val="2"/>
          <w:rtl/>
        </w:rPr>
        <w:t>54678313</w:t>
      </w:r>
    </w:p>
    <w:p w14:paraId="05110FC0" w14:textId="77777777" w:rsidR="00585E8F" w:rsidRPr="00585E8F" w:rsidRDefault="00585E8F" w:rsidP="00585E8F">
      <w:pPr>
        <w:keepNext/>
        <w:rPr>
          <w:rFonts w:ascii="David" w:hAnsi="David"/>
          <w:color w:val="000000"/>
          <w:sz w:val="22"/>
          <w:szCs w:val="22"/>
          <w:rtl/>
        </w:rPr>
      </w:pPr>
      <w:r w:rsidRPr="00585E8F">
        <w:rPr>
          <w:rFonts w:ascii="David" w:hAnsi="David"/>
          <w:color w:val="000000"/>
          <w:sz w:val="22"/>
          <w:szCs w:val="22"/>
          <w:rtl/>
        </w:rPr>
        <w:t>דוד שאול גבאי ריכטר 54678313</w:t>
      </w:r>
    </w:p>
    <w:p w14:paraId="7A95D91E" w14:textId="77777777" w:rsidR="00585E8F" w:rsidRDefault="00585E8F" w:rsidP="00585E8F">
      <w:r w:rsidRPr="00585E8F">
        <w:rPr>
          <w:color w:val="000000"/>
          <w:rtl/>
        </w:rPr>
        <w:t>נוסח מסמך זה כפוף לשינויי ניסוח ועריכה</w:t>
      </w:r>
    </w:p>
    <w:p w14:paraId="61B73FB8" w14:textId="77777777" w:rsidR="00585E8F" w:rsidRDefault="00585E8F" w:rsidP="00585E8F">
      <w:pPr>
        <w:rPr>
          <w:rtl/>
        </w:rPr>
      </w:pPr>
    </w:p>
    <w:p w14:paraId="4E145E5E" w14:textId="77777777" w:rsidR="00585E8F" w:rsidRDefault="00585E8F" w:rsidP="00585E8F">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E7524E5" w14:textId="77777777" w:rsidR="00585E8F" w:rsidRPr="00585E8F" w:rsidRDefault="00585E8F" w:rsidP="0005746B">
      <w:pPr>
        <w:rPr>
          <w:rFonts w:hint="cs"/>
          <w:color w:val="0000FF"/>
          <w:u w:val="single"/>
        </w:rPr>
      </w:pPr>
    </w:p>
    <w:sectPr w:rsidR="00585E8F" w:rsidRPr="00585E8F" w:rsidSect="0005746B">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F4442" w14:textId="77777777" w:rsidR="00070F3C" w:rsidRDefault="00070F3C" w:rsidP="004C71B9">
      <w:r>
        <w:separator/>
      </w:r>
    </w:p>
  </w:endnote>
  <w:endnote w:type="continuationSeparator" w:id="0">
    <w:p w14:paraId="3BE1B55E" w14:textId="77777777" w:rsidR="00070F3C" w:rsidRDefault="00070F3C" w:rsidP="004C7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6155" w14:textId="77777777" w:rsidR="0005746B" w:rsidRDefault="0005746B" w:rsidP="000574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80DBBD" w14:textId="77777777" w:rsidR="005849A5" w:rsidRPr="0005746B" w:rsidRDefault="0005746B" w:rsidP="0005746B">
    <w:pPr>
      <w:pStyle w:val="a5"/>
      <w:pBdr>
        <w:top w:val="single" w:sz="4" w:space="1" w:color="auto"/>
        <w:between w:val="single" w:sz="4" w:space="0" w:color="auto"/>
      </w:pBdr>
      <w:spacing w:after="60"/>
      <w:jc w:val="center"/>
      <w:rPr>
        <w:rFonts w:ascii="FrankRuehl" w:hAnsi="FrankRuehl" w:cs="FrankRuehl"/>
        <w:color w:val="000000"/>
      </w:rPr>
    </w:pPr>
    <w:r w:rsidRPr="000574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FE2A5" w14:textId="77777777" w:rsidR="0005746B" w:rsidRDefault="0005746B" w:rsidP="000574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60C0">
      <w:rPr>
        <w:rFonts w:ascii="FrankRuehl" w:hAnsi="FrankRuehl" w:cs="FrankRuehl"/>
        <w:noProof/>
        <w:rtl/>
      </w:rPr>
      <w:t>1</w:t>
    </w:r>
    <w:r>
      <w:rPr>
        <w:rFonts w:ascii="FrankRuehl" w:hAnsi="FrankRuehl" w:cs="FrankRuehl"/>
        <w:rtl/>
      </w:rPr>
      <w:fldChar w:fldCharType="end"/>
    </w:r>
  </w:p>
  <w:p w14:paraId="29A6A3E4" w14:textId="77777777" w:rsidR="005849A5" w:rsidRPr="0005746B" w:rsidRDefault="0005746B" w:rsidP="0005746B">
    <w:pPr>
      <w:pStyle w:val="a5"/>
      <w:pBdr>
        <w:top w:val="single" w:sz="4" w:space="1" w:color="auto"/>
        <w:between w:val="single" w:sz="4" w:space="0" w:color="auto"/>
      </w:pBdr>
      <w:spacing w:after="60"/>
      <w:jc w:val="center"/>
      <w:rPr>
        <w:rFonts w:ascii="FrankRuehl" w:hAnsi="FrankRuehl" w:cs="FrankRuehl"/>
        <w:color w:val="000000"/>
      </w:rPr>
    </w:pPr>
    <w:r w:rsidRPr="0005746B">
      <w:rPr>
        <w:rFonts w:ascii="FrankRuehl" w:hAnsi="FrankRuehl" w:cs="FrankRuehl"/>
        <w:color w:val="000000"/>
      </w:rPr>
      <w:pict w14:anchorId="46B18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DE9D6" w14:textId="77777777" w:rsidR="00070F3C" w:rsidRDefault="00070F3C" w:rsidP="004C71B9">
      <w:r>
        <w:separator/>
      </w:r>
    </w:p>
  </w:footnote>
  <w:footnote w:type="continuationSeparator" w:id="0">
    <w:p w14:paraId="0534C172" w14:textId="77777777" w:rsidR="00070F3C" w:rsidRDefault="00070F3C" w:rsidP="004C7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7398D" w14:textId="77777777" w:rsidR="00585E8F" w:rsidRPr="0005746B" w:rsidRDefault="0005746B" w:rsidP="000574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64314-11-16</w:t>
    </w:r>
    <w:r>
      <w:rPr>
        <w:rFonts w:ascii="David" w:hAnsi="David"/>
        <w:color w:val="000000"/>
        <w:sz w:val="22"/>
        <w:szCs w:val="22"/>
        <w:rtl/>
      </w:rPr>
      <w:tab/>
      <w:t xml:space="preserve"> מדינת ישראל נ' מיכאל זיידל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E82A6" w14:textId="77777777" w:rsidR="00585E8F" w:rsidRPr="0005746B" w:rsidRDefault="0005746B" w:rsidP="000574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64314-11-16</w:t>
    </w:r>
    <w:r>
      <w:rPr>
        <w:rFonts w:ascii="David" w:hAnsi="David"/>
        <w:color w:val="000000"/>
        <w:sz w:val="22"/>
        <w:szCs w:val="22"/>
        <w:rtl/>
      </w:rPr>
      <w:tab/>
      <w:t xml:space="preserve"> מדינת ישראל נ' מיכאל זיידל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909197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7F02"/>
    <w:rsid w:val="0005746B"/>
    <w:rsid w:val="00070F3C"/>
    <w:rsid w:val="001B5A3B"/>
    <w:rsid w:val="004C71B9"/>
    <w:rsid w:val="005849A5"/>
    <w:rsid w:val="00585E8F"/>
    <w:rsid w:val="008260C0"/>
    <w:rsid w:val="00AB1A42"/>
    <w:rsid w:val="00B87F02"/>
    <w:rsid w:val="00CF411B"/>
    <w:rsid w:val="00D718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3C5A167"/>
  <w15:chartTrackingRefBased/>
  <w15:docId w15:val="{87C8037E-2814-4B8F-9BD6-65938547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7F0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7F02"/>
    <w:pPr>
      <w:tabs>
        <w:tab w:val="center" w:pos="4153"/>
        <w:tab w:val="right" w:pos="8306"/>
      </w:tabs>
    </w:pPr>
  </w:style>
  <w:style w:type="character" w:customStyle="1" w:styleId="a4">
    <w:name w:val="כותרת עליונה תו"/>
    <w:link w:val="a3"/>
    <w:rsid w:val="00B87F02"/>
    <w:rPr>
      <w:rFonts w:ascii="Times New Roman" w:eastAsia="Times New Roman" w:hAnsi="Times New Roman" w:cs="David"/>
      <w:sz w:val="24"/>
      <w:szCs w:val="24"/>
    </w:rPr>
  </w:style>
  <w:style w:type="paragraph" w:styleId="a5">
    <w:name w:val="footer"/>
    <w:basedOn w:val="a"/>
    <w:link w:val="a6"/>
    <w:rsid w:val="00B87F02"/>
    <w:pPr>
      <w:tabs>
        <w:tab w:val="center" w:pos="4153"/>
        <w:tab w:val="right" w:pos="8306"/>
      </w:tabs>
    </w:pPr>
  </w:style>
  <w:style w:type="character" w:customStyle="1" w:styleId="a6">
    <w:name w:val="כותרת תחתונה תו"/>
    <w:link w:val="a5"/>
    <w:rsid w:val="00B87F02"/>
    <w:rPr>
      <w:rFonts w:ascii="Times New Roman" w:eastAsia="Times New Roman" w:hAnsi="Times New Roman" w:cs="David"/>
      <w:sz w:val="24"/>
      <w:szCs w:val="24"/>
    </w:rPr>
  </w:style>
  <w:style w:type="table" w:styleId="a7">
    <w:name w:val="Table Grid"/>
    <w:basedOn w:val="a1"/>
    <w:rsid w:val="00B87F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87F02"/>
  </w:style>
  <w:style w:type="character" w:styleId="Hyperlink">
    <w:name w:val="Hyperlink"/>
    <w:rsid w:val="00585E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0770504" TargetMode="External"/><Relationship Id="rId21" Type="http://schemas.openxmlformats.org/officeDocument/2006/relationships/hyperlink" Target="http://www.nevo.co.il/case/23266115"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045911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4216/13"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296187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ja" TargetMode="External"/><Relationship Id="rId36"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law/4216/7.a.;7.c"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20685141"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2202</Words>
  <Characters>11014</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13190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3473533</vt:i4>
      </vt:variant>
      <vt:variant>
        <vt:i4>60</vt:i4>
      </vt:variant>
      <vt:variant>
        <vt:i4>0</vt:i4>
      </vt:variant>
      <vt:variant>
        <vt:i4>5</vt:i4>
      </vt:variant>
      <vt:variant>
        <vt:lpwstr>http://www.nevo.co.il/case/20685141</vt:lpwstr>
      </vt:variant>
      <vt:variant>
        <vt:lpwstr/>
      </vt:variant>
      <vt:variant>
        <vt:i4>3473526</vt:i4>
      </vt:variant>
      <vt:variant>
        <vt:i4>57</vt:i4>
      </vt:variant>
      <vt:variant>
        <vt:i4>0</vt:i4>
      </vt:variant>
      <vt:variant>
        <vt:i4>5</vt:i4>
      </vt:variant>
      <vt:variant>
        <vt:lpwstr>http://www.nevo.co.il/case/20770504</vt:lpwstr>
      </vt:variant>
      <vt:variant>
        <vt:lpwstr/>
      </vt:variant>
      <vt:variant>
        <vt:i4>3997808</vt:i4>
      </vt:variant>
      <vt:variant>
        <vt:i4>54</vt:i4>
      </vt:variant>
      <vt:variant>
        <vt:i4>0</vt:i4>
      </vt:variant>
      <vt:variant>
        <vt:i4>5</vt:i4>
      </vt:variant>
      <vt:variant>
        <vt:lpwstr>http://www.nevo.co.il/case/10459111</vt:lpwstr>
      </vt:variant>
      <vt:variant>
        <vt:lpwstr/>
      </vt:variant>
      <vt:variant>
        <vt:i4>3997816</vt:i4>
      </vt:variant>
      <vt:variant>
        <vt:i4>51</vt:i4>
      </vt:variant>
      <vt:variant>
        <vt:i4>0</vt:i4>
      </vt:variant>
      <vt:variant>
        <vt:i4>5</vt:i4>
      </vt:variant>
      <vt:variant>
        <vt:lpwstr>http://www.nevo.co.il/case/22961877</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3604592</vt:i4>
      </vt:variant>
      <vt:variant>
        <vt:i4>42</vt:i4>
      </vt:variant>
      <vt:variant>
        <vt:i4>0</vt:i4>
      </vt:variant>
      <vt:variant>
        <vt:i4>5</vt:i4>
      </vt:variant>
      <vt:variant>
        <vt:lpwstr>http://www.nevo.co.il/case/23266115</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2025-04-22T23:14:00Z</dcterms:created>
  <dcterms:modified xsi:type="dcterms:W3CDTF">2025-04-22T23:14:00Z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64314</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מיכאל זיידל</vt:lpwstr>
  </property>
  <property fmtid="{D5CDD505-2E9C-101B-9397-08002B2CF9AE}" pid="10" name="LAWYER">
    <vt:lpwstr>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20190317</vt:lpwstr>
  </property>
  <property fmtid="{D5CDD505-2E9C-101B-9397-08002B2CF9AE}" pid="14" name="TYPE_N_DATE">
    <vt:lpwstr>38020190317</vt:lpwstr>
  </property>
  <property fmtid="{D5CDD505-2E9C-101B-9397-08002B2CF9AE}" pid="15" name="CASESLISTTMP1">
    <vt:lpwstr>23266115;22961877;10459111;20770504;20685141</vt:lpwstr>
  </property>
  <property fmtid="{D5CDD505-2E9C-101B-9397-08002B2CF9AE}" pid="16" name="CASENOTES1">
    <vt:lpwstr>ProcID=174;133;209&amp;PartA=3343&amp;PartC=07</vt:lpwstr>
  </property>
  <property fmtid="{D5CDD505-2E9C-101B-9397-08002B2CF9AE}" pid="17" name="WORDNUMPAGES">
    <vt:lpwstr>7</vt:lpwstr>
  </property>
  <property fmtid="{D5CDD505-2E9C-101B-9397-08002B2CF9AE}" pid="18" name="TYPE_ABS_DATE">
    <vt:lpwstr>380020190317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4216/006;010;007.a;007.c;013</vt:lpwstr>
  </property>
  <property fmtid="{D5CDD505-2E9C-101B-9397-08002B2CF9AE}" pid="38" name="LAWLISTTMP2">
    <vt:lpwstr>70301/040i;40ja</vt:lpwstr>
  </property>
</Properties>
</file>