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047A7E" w:rsidRPr="005222D4" w14:paraId="1F8A6831" w14:textId="77777777" w:rsidTr="00C3696E">
        <w:trPr>
          <w:trHeight w:hRule="exact" w:val="418"/>
          <w:jc w:val="center"/>
        </w:trPr>
        <w:tc>
          <w:tcPr>
            <w:tcW w:w="8721" w:type="dxa"/>
            <w:gridSpan w:val="2"/>
          </w:tcPr>
          <w:p w14:paraId="79E34992" w14:textId="77777777" w:rsidR="00047A7E" w:rsidRPr="005222D4" w:rsidRDefault="00047A7E" w:rsidP="00333F5B">
            <w:pPr>
              <w:pStyle w:val="a3"/>
              <w:jc w:val="center"/>
              <w:rPr>
                <w:rFonts w:ascii="Tahoma" w:hAnsi="Tahoma" w:cs="Tahoma"/>
                <w:color w:val="000080"/>
                <w:rtl/>
              </w:rPr>
            </w:pPr>
            <w:bookmarkStart w:id="0" w:name="LastJudge"/>
            <w:r w:rsidRPr="005222D4">
              <w:rPr>
                <w:rFonts w:ascii="Tahoma" w:hAnsi="Tahoma" w:cs="Tahoma"/>
                <w:b/>
                <w:bCs/>
                <w:color w:val="000080"/>
                <w:rtl/>
              </w:rPr>
              <w:t>בית משפט השלום בירושלים</w:t>
            </w:r>
          </w:p>
        </w:tc>
      </w:tr>
      <w:tr w:rsidR="00047A7E" w:rsidRPr="005222D4" w14:paraId="75D6E92F" w14:textId="77777777" w:rsidTr="00C3696E">
        <w:trPr>
          <w:trHeight w:val="337"/>
          <w:jc w:val="center"/>
        </w:trPr>
        <w:tc>
          <w:tcPr>
            <w:tcW w:w="5063" w:type="dxa"/>
          </w:tcPr>
          <w:p w14:paraId="1BCBE6E9" w14:textId="77777777" w:rsidR="00047A7E" w:rsidRPr="005222D4" w:rsidRDefault="00047A7E" w:rsidP="00333F5B">
            <w:pPr>
              <w:rPr>
                <w:rFonts w:cs="FrankRuehl"/>
                <w:sz w:val="28"/>
                <w:szCs w:val="28"/>
                <w:rtl/>
              </w:rPr>
            </w:pPr>
            <w:r w:rsidRPr="005222D4">
              <w:rPr>
                <w:rFonts w:cs="FrankRuehl"/>
                <w:sz w:val="28"/>
                <w:szCs w:val="28"/>
                <w:rtl/>
              </w:rPr>
              <w:t>ת"פ</w:t>
            </w:r>
            <w:r w:rsidRPr="005222D4">
              <w:rPr>
                <w:rFonts w:cs="FrankRuehl" w:hint="cs"/>
                <w:sz w:val="28"/>
                <w:szCs w:val="28"/>
                <w:rtl/>
              </w:rPr>
              <w:t xml:space="preserve"> </w:t>
            </w:r>
            <w:r w:rsidRPr="005222D4">
              <w:rPr>
                <w:rFonts w:cs="FrankRuehl"/>
                <w:sz w:val="28"/>
                <w:szCs w:val="28"/>
                <w:rtl/>
              </w:rPr>
              <w:t>66475-11-16</w:t>
            </w:r>
            <w:r w:rsidRPr="005222D4">
              <w:rPr>
                <w:rFonts w:cs="FrankRuehl" w:hint="cs"/>
                <w:sz w:val="28"/>
                <w:szCs w:val="28"/>
                <w:rtl/>
              </w:rPr>
              <w:t xml:space="preserve"> </w:t>
            </w:r>
            <w:r w:rsidRPr="005222D4">
              <w:rPr>
                <w:rFonts w:cs="FrankRuehl"/>
                <w:sz w:val="28"/>
                <w:szCs w:val="28"/>
                <w:rtl/>
              </w:rPr>
              <w:t>מדינת ישראל נ' אבי חסורה(אחר/נוסף)</w:t>
            </w:r>
          </w:p>
          <w:p w14:paraId="78663A94" w14:textId="77777777" w:rsidR="00047A7E" w:rsidRPr="005222D4" w:rsidRDefault="00047A7E" w:rsidP="00333F5B">
            <w:pPr>
              <w:pStyle w:val="a3"/>
              <w:rPr>
                <w:rFonts w:cs="FrankRuehl"/>
                <w:sz w:val="28"/>
                <w:szCs w:val="28"/>
                <w:rtl/>
              </w:rPr>
            </w:pPr>
          </w:p>
        </w:tc>
        <w:tc>
          <w:tcPr>
            <w:tcW w:w="3658" w:type="dxa"/>
          </w:tcPr>
          <w:p w14:paraId="04E239FA" w14:textId="77777777" w:rsidR="00047A7E" w:rsidRPr="005222D4" w:rsidRDefault="00047A7E" w:rsidP="00333F5B">
            <w:pPr>
              <w:pStyle w:val="a3"/>
              <w:jc w:val="right"/>
              <w:rPr>
                <w:rFonts w:cs="FrankRuehl"/>
                <w:sz w:val="28"/>
                <w:szCs w:val="28"/>
                <w:rtl/>
              </w:rPr>
            </w:pPr>
          </w:p>
        </w:tc>
      </w:tr>
    </w:tbl>
    <w:p w14:paraId="50BCA736" w14:textId="77777777" w:rsidR="00047A7E" w:rsidRPr="005222D4" w:rsidRDefault="00047A7E" w:rsidP="00047A7E">
      <w:pPr>
        <w:pStyle w:val="a3"/>
        <w:rPr>
          <w:rtl/>
        </w:rPr>
      </w:pPr>
      <w:r w:rsidRPr="005222D4">
        <w:rPr>
          <w:rFonts w:hint="cs"/>
          <w:rtl/>
        </w:rPr>
        <w:t xml:space="preserve"> </w:t>
      </w:r>
    </w:p>
    <w:p w14:paraId="70679543" w14:textId="77777777" w:rsidR="00047A7E" w:rsidRPr="005222D4" w:rsidRDefault="00047A7E" w:rsidP="00047A7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47A7E" w:rsidRPr="005222D4" w14:paraId="363A2D93" w14:textId="77777777" w:rsidTr="00047A7E">
        <w:trPr>
          <w:trHeight w:val="295"/>
          <w:jc w:val="center"/>
        </w:trPr>
        <w:tc>
          <w:tcPr>
            <w:tcW w:w="923" w:type="dxa"/>
            <w:tcBorders>
              <w:top w:val="nil"/>
              <w:left w:val="nil"/>
              <w:bottom w:val="nil"/>
              <w:right w:val="nil"/>
            </w:tcBorders>
            <w:shd w:val="clear" w:color="auto" w:fill="auto"/>
          </w:tcPr>
          <w:p w14:paraId="50D61297" w14:textId="77777777" w:rsidR="00047A7E" w:rsidRPr="005222D4" w:rsidRDefault="00047A7E" w:rsidP="00047A7E">
            <w:pPr>
              <w:jc w:val="both"/>
              <w:rPr>
                <w:rFonts w:ascii="Arial" w:hAnsi="Arial" w:cs="FrankRuehl"/>
                <w:sz w:val="28"/>
                <w:szCs w:val="28"/>
              </w:rPr>
            </w:pPr>
            <w:r w:rsidRPr="005222D4">
              <w:rPr>
                <w:rFonts w:ascii="Arial" w:hAnsi="Arial" w:cs="FrankRuehl" w:hint="cs"/>
                <w:sz w:val="28"/>
                <w:szCs w:val="28"/>
                <w:rtl/>
              </w:rPr>
              <w:t>ב</w:t>
            </w:r>
            <w:r w:rsidRPr="005222D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F941062" w14:textId="77777777" w:rsidR="00047A7E" w:rsidRPr="005222D4" w:rsidRDefault="00047A7E" w:rsidP="00333F5B">
            <w:pPr>
              <w:rPr>
                <w:rFonts w:ascii="Arial" w:hAnsi="Arial" w:cs="FrankRuehl"/>
                <w:b/>
                <w:bCs/>
                <w:sz w:val="28"/>
                <w:szCs w:val="28"/>
                <w:rtl/>
              </w:rPr>
            </w:pPr>
            <w:r w:rsidRPr="005222D4">
              <w:rPr>
                <w:rFonts w:ascii="Arial" w:hAnsi="Arial" w:cs="FrankRuehl" w:hint="cs"/>
                <w:b/>
                <w:bCs/>
                <w:sz w:val="28"/>
                <w:szCs w:val="28"/>
                <w:rtl/>
              </w:rPr>
              <w:t>כבוד ה</w:t>
            </w:r>
            <w:r w:rsidRPr="005222D4">
              <w:rPr>
                <w:rFonts w:ascii="Arial" w:hAnsi="Arial" w:cs="FrankRuehl"/>
                <w:b/>
                <w:bCs/>
                <w:sz w:val="28"/>
                <w:szCs w:val="28"/>
                <w:rtl/>
              </w:rPr>
              <w:t>שופט</w:t>
            </w:r>
            <w:r w:rsidRPr="005222D4">
              <w:rPr>
                <w:rFonts w:ascii="Arial" w:hAnsi="Arial" w:cs="FrankRuehl" w:hint="cs"/>
                <w:b/>
                <w:bCs/>
                <w:sz w:val="28"/>
                <w:szCs w:val="28"/>
                <w:rtl/>
              </w:rPr>
              <w:t xml:space="preserve">  </w:t>
            </w:r>
            <w:r w:rsidRPr="005222D4">
              <w:rPr>
                <w:rFonts w:ascii="Arial" w:hAnsi="Arial" w:cs="FrankRuehl"/>
                <w:b/>
                <w:bCs/>
                <w:sz w:val="28"/>
                <w:szCs w:val="28"/>
                <w:rtl/>
              </w:rPr>
              <w:t>דוד שאול גבאי ריכטר</w:t>
            </w:r>
          </w:p>
          <w:p w14:paraId="2E455E2A" w14:textId="77777777" w:rsidR="00047A7E" w:rsidRPr="005222D4" w:rsidRDefault="00047A7E" w:rsidP="00047A7E">
            <w:pPr>
              <w:jc w:val="both"/>
              <w:rPr>
                <w:rFonts w:ascii="Arial" w:hAnsi="Arial" w:cs="FrankRuehl"/>
                <w:sz w:val="28"/>
                <w:szCs w:val="28"/>
              </w:rPr>
            </w:pPr>
          </w:p>
        </w:tc>
      </w:tr>
      <w:tr w:rsidR="00047A7E" w:rsidRPr="005222D4" w14:paraId="6E3A1598" w14:textId="77777777" w:rsidTr="00047A7E">
        <w:trPr>
          <w:trHeight w:val="355"/>
          <w:jc w:val="center"/>
        </w:trPr>
        <w:tc>
          <w:tcPr>
            <w:tcW w:w="923" w:type="dxa"/>
            <w:tcBorders>
              <w:top w:val="nil"/>
              <w:left w:val="nil"/>
              <w:bottom w:val="nil"/>
              <w:right w:val="nil"/>
            </w:tcBorders>
            <w:shd w:val="clear" w:color="auto" w:fill="auto"/>
          </w:tcPr>
          <w:p w14:paraId="70F342B5" w14:textId="77777777" w:rsidR="00047A7E" w:rsidRPr="005222D4" w:rsidRDefault="00047A7E" w:rsidP="00047A7E">
            <w:pPr>
              <w:jc w:val="both"/>
              <w:rPr>
                <w:rFonts w:ascii="Arial" w:hAnsi="Arial" w:cs="FrankRuehl"/>
                <w:sz w:val="28"/>
                <w:szCs w:val="28"/>
              </w:rPr>
            </w:pPr>
            <w:bookmarkStart w:id="1" w:name="FirstAppellant"/>
            <w:r w:rsidRPr="005222D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F52FF95" w14:textId="77777777" w:rsidR="00047A7E" w:rsidRPr="005222D4" w:rsidRDefault="00047A7E" w:rsidP="00333F5B">
            <w:pPr>
              <w:rPr>
                <w:rFonts w:cs="FrankRuehl"/>
                <w:b/>
                <w:bCs/>
              </w:rPr>
            </w:pPr>
            <w:r w:rsidRPr="005222D4">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6E23CB45" w14:textId="77777777" w:rsidR="00047A7E" w:rsidRPr="005222D4" w:rsidRDefault="00047A7E" w:rsidP="00047A7E">
            <w:pPr>
              <w:jc w:val="both"/>
              <w:rPr>
                <w:rFonts w:ascii="Arial" w:hAnsi="Arial" w:cs="FrankRuehl"/>
                <w:sz w:val="28"/>
                <w:szCs w:val="28"/>
              </w:rPr>
            </w:pPr>
          </w:p>
        </w:tc>
      </w:tr>
      <w:bookmarkEnd w:id="1"/>
      <w:tr w:rsidR="00047A7E" w:rsidRPr="005222D4" w14:paraId="190DB802" w14:textId="77777777" w:rsidTr="00047A7E">
        <w:trPr>
          <w:trHeight w:val="355"/>
          <w:jc w:val="center"/>
        </w:trPr>
        <w:tc>
          <w:tcPr>
            <w:tcW w:w="923" w:type="dxa"/>
            <w:tcBorders>
              <w:top w:val="nil"/>
              <w:left w:val="nil"/>
              <w:bottom w:val="nil"/>
              <w:right w:val="nil"/>
            </w:tcBorders>
            <w:shd w:val="clear" w:color="auto" w:fill="auto"/>
          </w:tcPr>
          <w:p w14:paraId="455B480D" w14:textId="77777777" w:rsidR="00047A7E" w:rsidRPr="005222D4" w:rsidRDefault="00047A7E" w:rsidP="00047A7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9E800D9" w14:textId="77777777" w:rsidR="00047A7E" w:rsidRPr="005222D4" w:rsidRDefault="00047A7E" w:rsidP="00047A7E">
            <w:pPr>
              <w:jc w:val="both"/>
              <w:rPr>
                <w:rFonts w:cs="FrankRuehl"/>
                <w:rtl/>
              </w:rPr>
            </w:pPr>
            <w:r w:rsidRPr="005222D4">
              <w:rPr>
                <w:rFonts w:cs="FrankRuehl" w:hint="cs"/>
                <w:rtl/>
              </w:rPr>
              <w:t>ע"י תביעות מחוז ירושלים</w:t>
            </w:r>
          </w:p>
        </w:tc>
        <w:tc>
          <w:tcPr>
            <w:tcW w:w="3771" w:type="dxa"/>
            <w:tcBorders>
              <w:top w:val="nil"/>
              <w:left w:val="nil"/>
              <w:bottom w:val="nil"/>
              <w:right w:val="nil"/>
            </w:tcBorders>
            <w:shd w:val="clear" w:color="auto" w:fill="auto"/>
          </w:tcPr>
          <w:p w14:paraId="347574C7" w14:textId="77777777" w:rsidR="00047A7E" w:rsidRPr="005222D4" w:rsidRDefault="00047A7E" w:rsidP="00047A7E">
            <w:pPr>
              <w:jc w:val="right"/>
              <w:rPr>
                <w:rFonts w:ascii="Arial" w:hAnsi="Arial" w:cs="FrankRuehl"/>
                <w:sz w:val="28"/>
                <w:szCs w:val="28"/>
                <w:rtl/>
              </w:rPr>
            </w:pPr>
            <w:r w:rsidRPr="005222D4">
              <w:rPr>
                <w:rFonts w:ascii="Arial" w:hAnsi="Arial" w:cs="FrankRuehl" w:hint="cs"/>
                <w:sz w:val="28"/>
                <w:szCs w:val="28"/>
                <w:rtl/>
              </w:rPr>
              <w:t>ה</w:t>
            </w:r>
            <w:r w:rsidRPr="005222D4">
              <w:rPr>
                <w:rFonts w:ascii="Arial" w:hAnsi="Arial" w:cs="FrankRuehl"/>
                <w:sz w:val="28"/>
                <w:szCs w:val="28"/>
                <w:rtl/>
              </w:rPr>
              <w:t>מאשימה</w:t>
            </w:r>
          </w:p>
        </w:tc>
      </w:tr>
      <w:tr w:rsidR="00047A7E" w:rsidRPr="005222D4" w14:paraId="3C803459" w14:textId="77777777" w:rsidTr="00047A7E">
        <w:trPr>
          <w:trHeight w:val="355"/>
          <w:jc w:val="center"/>
        </w:trPr>
        <w:tc>
          <w:tcPr>
            <w:tcW w:w="923" w:type="dxa"/>
            <w:tcBorders>
              <w:top w:val="nil"/>
              <w:left w:val="nil"/>
              <w:bottom w:val="nil"/>
              <w:right w:val="nil"/>
            </w:tcBorders>
            <w:shd w:val="clear" w:color="auto" w:fill="auto"/>
          </w:tcPr>
          <w:p w14:paraId="3E58E3AB" w14:textId="77777777" w:rsidR="00047A7E" w:rsidRPr="005222D4" w:rsidRDefault="00047A7E" w:rsidP="00047A7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322E0C6" w14:textId="77777777" w:rsidR="00047A7E" w:rsidRPr="005222D4" w:rsidRDefault="00047A7E" w:rsidP="00047A7E">
            <w:pPr>
              <w:jc w:val="center"/>
              <w:rPr>
                <w:rFonts w:ascii="Arial" w:hAnsi="Arial" w:cs="FrankRuehl"/>
                <w:b/>
                <w:bCs/>
                <w:sz w:val="28"/>
                <w:szCs w:val="28"/>
                <w:rtl/>
              </w:rPr>
            </w:pPr>
          </w:p>
          <w:p w14:paraId="1C15FAFA" w14:textId="77777777" w:rsidR="00047A7E" w:rsidRPr="005222D4" w:rsidRDefault="00047A7E" w:rsidP="00047A7E">
            <w:pPr>
              <w:jc w:val="center"/>
              <w:rPr>
                <w:rFonts w:ascii="Arial" w:hAnsi="Arial" w:cs="FrankRuehl"/>
                <w:b/>
                <w:bCs/>
                <w:sz w:val="28"/>
                <w:szCs w:val="28"/>
                <w:rtl/>
              </w:rPr>
            </w:pPr>
            <w:r w:rsidRPr="005222D4">
              <w:rPr>
                <w:rFonts w:ascii="Arial" w:hAnsi="Arial" w:cs="FrankRuehl"/>
                <w:b/>
                <w:bCs/>
                <w:sz w:val="28"/>
                <w:szCs w:val="28"/>
                <w:rtl/>
              </w:rPr>
              <w:t>נגד</w:t>
            </w:r>
          </w:p>
          <w:p w14:paraId="124A03CB" w14:textId="77777777" w:rsidR="00047A7E" w:rsidRPr="005222D4" w:rsidRDefault="00047A7E" w:rsidP="00047A7E">
            <w:pPr>
              <w:jc w:val="both"/>
              <w:rPr>
                <w:rFonts w:ascii="Arial" w:hAnsi="Arial" w:cs="FrankRuehl"/>
                <w:sz w:val="28"/>
                <w:szCs w:val="28"/>
              </w:rPr>
            </w:pPr>
          </w:p>
        </w:tc>
      </w:tr>
      <w:tr w:rsidR="00047A7E" w:rsidRPr="005222D4" w14:paraId="30BC7A02" w14:textId="77777777" w:rsidTr="00047A7E">
        <w:trPr>
          <w:trHeight w:val="355"/>
          <w:jc w:val="center"/>
        </w:trPr>
        <w:tc>
          <w:tcPr>
            <w:tcW w:w="923" w:type="dxa"/>
            <w:tcBorders>
              <w:top w:val="nil"/>
              <w:left w:val="nil"/>
              <w:bottom w:val="nil"/>
              <w:right w:val="nil"/>
            </w:tcBorders>
            <w:shd w:val="clear" w:color="auto" w:fill="auto"/>
          </w:tcPr>
          <w:p w14:paraId="1D651D9D" w14:textId="77777777" w:rsidR="00047A7E" w:rsidRPr="005222D4" w:rsidRDefault="00047A7E" w:rsidP="00333F5B">
            <w:pPr>
              <w:rPr>
                <w:rFonts w:ascii="Arial" w:hAnsi="Arial" w:cs="FrankRuehl"/>
                <w:sz w:val="28"/>
                <w:szCs w:val="28"/>
                <w:rtl/>
              </w:rPr>
            </w:pPr>
          </w:p>
        </w:tc>
        <w:tc>
          <w:tcPr>
            <w:tcW w:w="4126" w:type="dxa"/>
            <w:tcBorders>
              <w:top w:val="nil"/>
              <w:left w:val="nil"/>
              <w:bottom w:val="nil"/>
              <w:right w:val="nil"/>
            </w:tcBorders>
            <w:shd w:val="clear" w:color="auto" w:fill="auto"/>
          </w:tcPr>
          <w:p w14:paraId="4B2DDD5C" w14:textId="77777777" w:rsidR="00047A7E" w:rsidRPr="005222D4" w:rsidRDefault="00047A7E" w:rsidP="00333F5B">
            <w:pPr>
              <w:rPr>
                <w:rFonts w:cs="FrankRuehl" w:hint="cs"/>
                <w:b/>
                <w:bCs/>
                <w:rtl/>
              </w:rPr>
            </w:pPr>
            <w:r w:rsidRPr="005222D4">
              <w:rPr>
                <w:rFonts w:ascii="Arial" w:hAnsi="Arial" w:cs="FrankRuehl"/>
                <w:b/>
                <w:bCs/>
                <w:sz w:val="28"/>
                <w:szCs w:val="28"/>
                <w:rtl/>
              </w:rPr>
              <w:t xml:space="preserve">נועם אבו חצירה </w:t>
            </w:r>
            <w:r w:rsidRPr="005222D4">
              <w:rPr>
                <w:rFonts w:ascii="Arial" w:hAnsi="Arial" w:cs="FrankRuehl" w:hint="cs"/>
                <w:b/>
                <w:bCs/>
                <w:sz w:val="28"/>
                <w:szCs w:val="28"/>
                <w:rtl/>
              </w:rPr>
              <w:t xml:space="preserve"> </w:t>
            </w:r>
            <w:r w:rsidRPr="005222D4">
              <w:rPr>
                <w:rFonts w:cs="FrankRuehl" w:hint="cs"/>
                <w:b/>
                <w:bCs/>
                <w:rtl/>
              </w:rPr>
              <w:t xml:space="preserve"> </w:t>
            </w:r>
          </w:p>
        </w:tc>
        <w:tc>
          <w:tcPr>
            <w:tcW w:w="3771" w:type="dxa"/>
            <w:tcBorders>
              <w:top w:val="nil"/>
              <w:left w:val="nil"/>
              <w:bottom w:val="nil"/>
              <w:right w:val="nil"/>
            </w:tcBorders>
            <w:shd w:val="clear" w:color="auto" w:fill="auto"/>
          </w:tcPr>
          <w:p w14:paraId="3991FDA5" w14:textId="77777777" w:rsidR="00047A7E" w:rsidRPr="005222D4" w:rsidRDefault="00047A7E" w:rsidP="00047A7E">
            <w:pPr>
              <w:jc w:val="right"/>
              <w:rPr>
                <w:rFonts w:ascii="Arial" w:hAnsi="Arial" w:cs="FrankRuehl"/>
                <w:sz w:val="28"/>
                <w:szCs w:val="28"/>
              </w:rPr>
            </w:pPr>
          </w:p>
        </w:tc>
      </w:tr>
      <w:tr w:rsidR="00047A7E" w:rsidRPr="005222D4" w14:paraId="082B8554" w14:textId="77777777" w:rsidTr="00047A7E">
        <w:trPr>
          <w:trHeight w:val="355"/>
          <w:jc w:val="center"/>
        </w:trPr>
        <w:tc>
          <w:tcPr>
            <w:tcW w:w="923" w:type="dxa"/>
            <w:tcBorders>
              <w:top w:val="nil"/>
              <w:left w:val="nil"/>
              <w:bottom w:val="nil"/>
              <w:right w:val="nil"/>
            </w:tcBorders>
            <w:shd w:val="clear" w:color="auto" w:fill="auto"/>
          </w:tcPr>
          <w:p w14:paraId="49A17B1D" w14:textId="77777777" w:rsidR="00047A7E" w:rsidRPr="005222D4" w:rsidRDefault="00047A7E" w:rsidP="00047A7E">
            <w:pPr>
              <w:jc w:val="both"/>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52FCDFF3" w14:textId="77777777" w:rsidR="00047A7E" w:rsidRPr="005222D4" w:rsidRDefault="00047A7E" w:rsidP="00047A7E">
            <w:pPr>
              <w:jc w:val="both"/>
              <w:rPr>
                <w:rFonts w:cs="FrankRuehl"/>
                <w:rtl/>
              </w:rPr>
            </w:pPr>
            <w:r w:rsidRPr="005222D4">
              <w:rPr>
                <w:rFonts w:cs="FrankRuehl" w:hint="cs"/>
                <w:rtl/>
              </w:rPr>
              <w:t>ע"י ב"כ עו"ד מיכאל עירוני</w:t>
            </w:r>
          </w:p>
        </w:tc>
        <w:tc>
          <w:tcPr>
            <w:tcW w:w="3771" w:type="dxa"/>
            <w:tcBorders>
              <w:top w:val="nil"/>
              <w:left w:val="nil"/>
              <w:bottom w:val="nil"/>
              <w:right w:val="nil"/>
            </w:tcBorders>
            <w:shd w:val="clear" w:color="auto" w:fill="auto"/>
          </w:tcPr>
          <w:p w14:paraId="4A285401" w14:textId="77777777" w:rsidR="00047A7E" w:rsidRPr="005222D4" w:rsidRDefault="00047A7E" w:rsidP="00047A7E">
            <w:pPr>
              <w:jc w:val="right"/>
              <w:rPr>
                <w:rFonts w:ascii="Arial" w:hAnsi="Arial" w:cs="FrankRuehl"/>
                <w:sz w:val="28"/>
                <w:szCs w:val="28"/>
              </w:rPr>
            </w:pPr>
            <w:r w:rsidRPr="005222D4">
              <w:rPr>
                <w:rFonts w:ascii="Arial" w:hAnsi="Arial" w:cs="FrankRuehl" w:hint="cs"/>
                <w:sz w:val="28"/>
                <w:szCs w:val="28"/>
                <w:rtl/>
              </w:rPr>
              <w:t>ה</w:t>
            </w:r>
            <w:r w:rsidRPr="005222D4">
              <w:rPr>
                <w:rFonts w:ascii="Arial" w:hAnsi="Arial" w:cs="FrankRuehl"/>
                <w:sz w:val="28"/>
                <w:szCs w:val="28"/>
                <w:rtl/>
              </w:rPr>
              <w:t>נאשם</w:t>
            </w:r>
          </w:p>
        </w:tc>
      </w:tr>
    </w:tbl>
    <w:p w14:paraId="08A6AEA0" w14:textId="77777777" w:rsidR="00CE7230" w:rsidRDefault="00CE7230" w:rsidP="00047A7E">
      <w:pPr>
        <w:rPr>
          <w:rtl/>
        </w:rPr>
      </w:pPr>
      <w:bookmarkStart w:id="3" w:name="LawTable"/>
      <w:bookmarkEnd w:id="2"/>
      <w:bookmarkEnd w:id="3"/>
    </w:p>
    <w:p w14:paraId="7D85F20F" w14:textId="77777777" w:rsidR="00CE7230" w:rsidRPr="00CE7230" w:rsidRDefault="00CE7230" w:rsidP="00CE7230">
      <w:pPr>
        <w:spacing w:after="120" w:line="240" w:lineRule="exact"/>
        <w:ind w:left="283" w:hanging="283"/>
        <w:jc w:val="both"/>
        <w:rPr>
          <w:rFonts w:ascii="FrankRuehl" w:hAnsi="FrankRuehl" w:cs="FrankRuehl"/>
          <w:rtl/>
        </w:rPr>
      </w:pPr>
    </w:p>
    <w:p w14:paraId="16A423A9" w14:textId="77777777" w:rsidR="00CE7230" w:rsidRPr="00CE7230" w:rsidRDefault="00CE7230" w:rsidP="00CE7230">
      <w:pPr>
        <w:spacing w:after="120" w:line="240" w:lineRule="exact"/>
        <w:ind w:left="283" w:hanging="283"/>
        <w:jc w:val="both"/>
        <w:rPr>
          <w:rFonts w:ascii="FrankRuehl" w:hAnsi="FrankRuehl" w:cs="FrankRuehl"/>
          <w:rtl/>
        </w:rPr>
      </w:pPr>
      <w:r w:rsidRPr="00CE7230">
        <w:rPr>
          <w:rFonts w:ascii="FrankRuehl" w:hAnsi="FrankRuehl" w:cs="FrankRuehl"/>
          <w:rtl/>
        </w:rPr>
        <w:t xml:space="preserve">חקיקה שאוזכרה: </w:t>
      </w:r>
    </w:p>
    <w:p w14:paraId="31F8C7C3" w14:textId="77777777" w:rsidR="00CE7230" w:rsidRPr="00CE7230" w:rsidRDefault="00CE7230" w:rsidP="00CE7230">
      <w:pPr>
        <w:spacing w:after="120" w:line="240" w:lineRule="exact"/>
        <w:ind w:left="283" w:hanging="283"/>
        <w:jc w:val="both"/>
        <w:rPr>
          <w:rFonts w:ascii="FrankRuehl" w:hAnsi="FrankRuehl" w:cs="FrankRuehl"/>
          <w:rtl/>
        </w:rPr>
      </w:pPr>
      <w:hyperlink r:id="rId7" w:history="1">
        <w:r w:rsidRPr="00CE7230">
          <w:rPr>
            <w:rFonts w:ascii="FrankRuehl" w:hAnsi="FrankRuehl" w:cs="FrankRuehl"/>
            <w:color w:val="0000FF"/>
            <w:u w:val="single"/>
            <w:rtl/>
          </w:rPr>
          <w:t>פקודת הסמים המסוכנים [נוסח חדש], תשל"ג-1973</w:t>
        </w:r>
      </w:hyperlink>
      <w:r w:rsidRPr="00CE7230">
        <w:rPr>
          <w:rFonts w:ascii="FrankRuehl" w:hAnsi="FrankRuehl" w:cs="FrankRuehl"/>
          <w:rtl/>
        </w:rPr>
        <w:t xml:space="preserve">: סע'  </w:t>
      </w:r>
      <w:hyperlink r:id="rId8" w:history="1">
        <w:r w:rsidRPr="00CE7230">
          <w:rPr>
            <w:rFonts w:ascii="FrankRuehl" w:hAnsi="FrankRuehl" w:cs="FrankRuehl"/>
            <w:color w:val="0000FF"/>
            <w:u w:val="single"/>
            <w:rtl/>
          </w:rPr>
          <w:t>13</w:t>
        </w:r>
      </w:hyperlink>
      <w:r w:rsidRPr="00CE7230">
        <w:rPr>
          <w:rFonts w:ascii="FrankRuehl" w:hAnsi="FrankRuehl" w:cs="FrankRuehl"/>
          <w:rtl/>
        </w:rPr>
        <w:t xml:space="preserve">, </w:t>
      </w:r>
      <w:hyperlink r:id="rId9" w:history="1">
        <w:r w:rsidRPr="00CE7230">
          <w:rPr>
            <w:rFonts w:ascii="FrankRuehl" w:hAnsi="FrankRuehl" w:cs="FrankRuehl"/>
            <w:color w:val="0000FF"/>
            <w:u w:val="single"/>
            <w:rtl/>
          </w:rPr>
          <w:t>19.א</w:t>
        </w:r>
      </w:hyperlink>
    </w:p>
    <w:p w14:paraId="3014549D" w14:textId="77777777" w:rsidR="00CE7230" w:rsidRPr="00CE7230" w:rsidRDefault="00CE7230" w:rsidP="00CE7230">
      <w:pPr>
        <w:spacing w:after="120" w:line="240" w:lineRule="exact"/>
        <w:ind w:left="283" w:hanging="283"/>
        <w:jc w:val="both"/>
        <w:rPr>
          <w:rFonts w:ascii="FrankRuehl" w:hAnsi="FrankRuehl" w:cs="FrankRuehl"/>
          <w:rtl/>
        </w:rPr>
      </w:pPr>
      <w:hyperlink r:id="rId10" w:history="1">
        <w:r w:rsidRPr="00CE7230">
          <w:rPr>
            <w:rFonts w:ascii="FrankRuehl" w:hAnsi="FrankRuehl" w:cs="FrankRuehl"/>
            <w:color w:val="0000FF"/>
            <w:u w:val="single"/>
            <w:rtl/>
          </w:rPr>
          <w:t>חוק העונשין, תשל"ז-1977</w:t>
        </w:r>
      </w:hyperlink>
      <w:r w:rsidRPr="00CE7230">
        <w:rPr>
          <w:rFonts w:ascii="FrankRuehl" w:hAnsi="FrankRuehl" w:cs="FrankRuehl"/>
          <w:rtl/>
        </w:rPr>
        <w:t xml:space="preserve">: סע'  </w:t>
      </w:r>
      <w:hyperlink r:id="rId11" w:history="1">
        <w:r w:rsidRPr="00CE7230">
          <w:rPr>
            <w:rFonts w:ascii="FrankRuehl" w:hAnsi="FrankRuehl" w:cs="FrankRuehl"/>
            <w:color w:val="0000FF"/>
            <w:u w:val="single"/>
            <w:rtl/>
          </w:rPr>
          <w:t>40ט'</w:t>
        </w:r>
      </w:hyperlink>
      <w:r w:rsidRPr="00CE7230">
        <w:rPr>
          <w:rFonts w:ascii="FrankRuehl" w:hAnsi="FrankRuehl" w:cs="FrankRuehl"/>
          <w:rtl/>
        </w:rPr>
        <w:t xml:space="preserve">, </w:t>
      </w:r>
      <w:hyperlink r:id="rId12" w:history="1">
        <w:r w:rsidRPr="00CE7230">
          <w:rPr>
            <w:rFonts w:ascii="FrankRuehl" w:hAnsi="FrankRuehl" w:cs="FrankRuehl"/>
            <w:color w:val="0000FF"/>
            <w:u w:val="single"/>
            <w:rtl/>
          </w:rPr>
          <w:t>40יא</w:t>
        </w:r>
      </w:hyperlink>
    </w:p>
    <w:p w14:paraId="16FEDD89" w14:textId="77777777" w:rsidR="00CE7230" w:rsidRPr="00CE7230" w:rsidRDefault="00CE7230" w:rsidP="00CE7230">
      <w:pPr>
        <w:spacing w:after="120" w:line="240" w:lineRule="exact"/>
        <w:ind w:left="283" w:hanging="283"/>
        <w:jc w:val="both"/>
        <w:rPr>
          <w:rFonts w:ascii="FrankRuehl" w:hAnsi="FrankRuehl" w:cs="FrankRuehl"/>
          <w:rtl/>
        </w:rPr>
      </w:pPr>
    </w:p>
    <w:p w14:paraId="4A8583B8" w14:textId="77777777" w:rsidR="00CE7230" w:rsidRPr="00CE7230" w:rsidRDefault="00CE7230" w:rsidP="00047A7E">
      <w:pPr>
        <w:rPr>
          <w:rtl/>
        </w:rPr>
      </w:pPr>
      <w:bookmarkStart w:id="4" w:name="LawTable_End"/>
      <w:bookmarkEnd w:id="4"/>
    </w:p>
    <w:p w14:paraId="7F1B1776" w14:textId="77777777" w:rsidR="00047A7E" w:rsidRPr="00C3696E" w:rsidRDefault="00047A7E" w:rsidP="00047A7E">
      <w:pPr>
        <w:rPr>
          <w:rtl/>
        </w:rPr>
      </w:pPr>
    </w:p>
    <w:p w14:paraId="4D60001B" w14:textId="77777777" w:rsidR="005222D4" w:rsidRPr="005222D4" w:rsidRDefault="005222D4" w:rsidP="00047A7E">
      <w:pPr>
        <w:rPr>
          <w:rtl/>
        </w:rPr>
      </w:pPr>
    </w:p>
    <w:p w14:paraId="76F0D78F" w14:textId="77777777" w:rsidR="00047A7E" w:rsidRPr="005222D4" w:rsidRDefault="00047A7E" w:rsidP="00047A7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47A7E" w14:paraId="00184178" w14:textId="77777777" w:rsidTr="00047A7E">
        <w:trPr>
          <w:trHeight w:val="355"/>
          <w:jc w:val="center"/>
        </w:trPr>
        <w:tc>
          <w:tcPr>
            <w:tcW w:w="8820" w:type="dxa"/>
            <w:tcBorders>
              <w:top w:val="nil"/>
              <w:left w:val="nil"/>
              <w:bottom w:val="nil"/>
              <w:right w:val="nil"/>
            </w:tcBorders>
            <w:shd w:val="clear" w:color="auto" w:fill="auto"/>
          </w:tcPr>
          <w:p w14:paraId="108A7B4B" w14:textId="77777777" w:rsidR="005222D4" w:rsidRPr="005222D4" w:rsidRDefault="005222D4" w:rsidP="005222D4">
            <w:pPr>
              <w:jc w:val="center"/>
              <w:rPr>
                <w:rFonts w:ascii="Arial" w:hAnsi="Arial" w:cs="FrankRuehl"/>
                <w:b/>
                <w:bCs/>
                <w:sz w:val="32"/>
                <w:szCs w:val="32"/>
                <w:u w:val="single"/>
                <w:rtl/>
              </w:rPr>
            </w:pPr>
            <w:bookmarkStart w:id="5" w:name="PsakDin" w:colFirst="0" w:colLast="0"/>
            <w:bookmarkEnd w:id="0"/>
            <w:r w:rsidRPr="005222D4">
              <w:rPr>
                <w:rFonts w:ascii="Arial" w:hAnsi="Arial" w:cs="FrankRuehl"/>
                <w:b/>
                <w:bCs/>
                <w:sz w:val="32"/>
                <w:szCs w:val="32"/>
                <w:u w:val="single"/>
                <w:rtl/>
              </w:rPr>
              <w:t>גזר דין</w:t>
            </w:r>
          </w:p>
          <w:p w14:paraId="2BA8A6EB" w14:textId="77777777" w:rsidR="00047A7E" w:rsidRPr="005222D4" w:rsidRDefault="00047A7E" w:rsidP="005222D4">
            <w:pPr>
              <w:jc w:val="center"/>
              <w:rPr>
                <w:rFonts w:ascii="Arial" w:hAnsi="Arial" w:cs="FrankRuehl"/>
                <w:bCs/>
                <w:sz w:val="32"/>
                <w:szCs w:val="32"/>
                <w:u w:val="single"/>
                <w:rtl/>
              </w:rPr>
            </w:pPr>
          </w:p>
        </w:tc>
      </w:tr>
      <w:bookmarkEnd w:id="5"/>
    </w:tbl>
    <w:p w14:paraId="3D943FA2" w14:textId="77777777" w:rsidR="00047A7E" w:rsidRPr="00B05847" w:rsidRDefault="00047A7E" w:rsidP="00047A7E">
      <w:pPr>
        <w:rPr>
          <w:rFonts w:ascii="Arial" w:hAnsi="Arial"/>
          <w:rtl/>
        </w:rPr>
      </w:pPr>
    </w:p>
    <w:p w14:paraId="7B59F5AD" w14:textId="77777777" w:rsidR="00047A7E" w:rsidRPr="00B05847" w:rsidRDefault="00047A7E" w:rsidP="00047A7E">
      <w:pPr>
        <w:rPr>
          <w:rFonts w:ascii="Arial" w:hAnsi="Arial"/>
          <w:rtl/>
        </w:rPr>
      </w:pPr>
    </w:p>
    <w:p w14:paraId="4532F4CB" w14:textId="77777777" w:rsidR="00047A7E" w:rsidRDefault="00047A7E" w:rsidP="00047A7E">
      <w:pPr>
        <w:rPr>
          <w:rFonts w:cs="FrankRuehl"/>
          <w:b/>
          <w:bCs/>
          <w:u w:val="single"/>
        </w:rPr>
      </w:pPr>
      <w:r>
        <w:rPr>
          <w:rFonts w:cs="FrankRuehl" w:hint="cs"/>
          <w:b/>
          <w:bCs/>
          <w:u w:val="single"/>
          <w:rtl/>
        </w:rPr>
        <w:t>כתב האישום</w:t>
      </w:r>
    </w:p>
    <w:p w14:paraId="4EE5EED4" w14:textId="77777777" w:rsidR="00047A7E" w:rsidRPr="00047A7E" w:rsidRDefault="00047A7E" w:rsidP="00047A7E">
      <w:pPr>
        <w:spacing w:after="160" w:line="360" w:lineRule="auto"/>
        <w:jc w:val="both"/>
        <w:rPr>
          <w:rFonts w:ascii="Calibri" w:hAnsi="Calibri" w:cs="FrankRuehl"/>
          <w:rtl/>
        </w:rPr>
      </w:pPr>
    </w:p>
    <w:p w14:paraId="6608281C" w14:textId="77777777" w:rsidR="00047A7E" w:rsidRPr="00047A7E" w:rsidRDefault="00047A7E" w:rsidP="00047A7E">
      <w:pPr>
        <w:spacing w:after="160" w:line="360" w:lineRule="auto"/>
        <w:jc w:val="both"/>
        <w:rPr>
          <w:rFonts w:ascii="Calibri" w:hAnsi="Calibri" w:cs="FrankRuehl"/>
          <w:rtl/>
        </w:rPr>
      </w:pPr>
      <w:bookmarkStart w:id="6" w:name="ABSTRACT_START"/>
      <w:bookmarkEnd w:id="6"/>
      <w:r w:rsidRPr="00047A7E">
        <w:rPr>
          <w:rFonts w:ascii="Calibri" w:hAnsi="Calibri" w:cs="FrankRuehl" w:hint="cs"/>
          <w:rtl/>
        </w:rPr>
        <w:t xml:space="preserve">הנאשם הורשע על פי הודאתו בארבע עבירות של סחר בסמים, לפי סעיפים </w:t>
      </w:r>
      <w:hyperlink r:id="rId13" w:history="1">
        <w:r w:rsidR="00C3696E" w:rsidRPr="00C3696E">
          <w:rPr>
            <w:rFonts w:ascii="Calibri" w:hAnsi="Calibri" w:cs="FrankRuehl"/>
            <w:color w:val="0000FF"/>
            <w:u w:val="single"/>
            <w:rtl/>
          </w:rPr>
          <w:t xml:space="preserve">13 </w:t>
        </w:r>
        <w:r w:rsidR="00C3696E" w:rsidRPr="00C3696E">
          <w:rPr>
            <w:rFonts w:ascii="Calibri" w:hAnsi="Calibri" w:cs="FrankRuehl" w:hint="eastAsia"/>
            <w:color w:val="0000FF"/>
            <w:u w:val="single"/>
            <w:rtl/>
          </w:rPr>
          <w:t>ו</w:t>
        </w:r>
        <w:r w:rsidR="00C3696E" w:rsidRPr="00C3696E">
          <w:rPr>
            <w:rFonts w:ascii="Calibri" w:hAnsi="Calibri" w:cs="FrankRuehl"/>
            <w:color w:val="0000FF"/>
            <w:u w:val="single"/>
            <w:rtl/>
          </w:rPr>
          <w:t>-19</w:t>
        </w:r>
        <w:r w:rsidR="00C3696E" w:rsidRPr="00C3696E">
          <w:rPr>
            <w:rFonts w:ascii="Calibri" w:hAnsi="Calibri" w:cs="FrankRuehl" w:hint="eastAsia"/>
            <w:color w:val="0000FF"/>
            <w:u w:val="single"/>
            <w:rtl/>
          </w:rPr>
          <w:t>א</w:t>
        </w:r>
        <w:r w:rsidR="00C3696E" w:rsidRPr="00C3696E">
          <w:rPr>
            <w:rFonts w:ascii="Calibri" w:hAnsi="Calibri" w:cs="FrankRuehl"/>
            <w:color w:val="0000FF"/>
            <w:u w:val="single"/>
            <w:rtl/>
          </w:rPr>
          <w:t>'</w:t>
        </w:r>
      </w:hyperlink>
      <w:r w:rsidRPr="00047A7E">
        <w:rPr>
          <w:rFonts w:ascii="Calibri" w:hAnsi="Calibri" w:cs="FrankRuehl" w:hint="cs"/>
          <w:rtl/>
        </w:rPr>
        <w:t xml:space="preserve"> ל</w:t>
      </w:r>
      <w:hyperlink r:id="rId14" w:history="1">
        <w:r w:rsidR="005222D4" w:rsidRPr="005222D4">
          <w:rPr>
            <w:rFonts w:ascii="Calibri" w:hAnsi="Calibri" w:cs="FrankRuehl" w:hint="eastAsia"/>
            <w:color w:val="0000FF"/>
            <w:u w:val="single"/>
            <w:rtl/>
          </w:rPr>
          <w:t>פקודת</w:t>
        </w:r>
        <w:r w:rsidR="005222D4" w:rsidRPr="005222D4">
          <w:rPr>
            <w:rFonts w:ascii="Calibri" w:hAnsi="Calibri" w:cs="FrankRuehl"/>
            <w:color w:val="0000FF"/>
            <w:u w:val="single"/>
            <w:rtl/>
          </w:rPr>
          <w:t xml:space="preserve"> </w:t>
        </w:r>
        <w:r w:rsidR="005222D4" w:rsidRPr="005222D4">
          <w:rPr>
            <w:rFonts w:ascii="Calibri" w:hAnsi="Calibri" w:cs="FrankRuehl" w:hint="eastAsia"/>
            <w:color w:val="0000FF"/>
            <w:u w:val="single"/>
            <w:rtl/>
          </w:rPr>
          <w:t>הסמים</w:t>
        </w:r>
        <w:r w:rsidR="005222D4" w:rsidRPr="005222D4">
          <w:rPr>
            <w:rFonts w:ascii="Calibri" w:hAnsi="Calibri" w:cs="FrankRuehl"/>
            <w:color w:val="0000FF"/>
            <w:u w:val="single"/>
            <w:rtl/>
          </w:rPr>
          <w:t xml:space="preserve"> </w:t>
        </w:r>
        <w:r w:rsidR="005222D4" w:rsidRPr="005222D4">
          <w:rPr>
            <w:rFonts w:ascii="Calibri" w:hAnsi="Calibri" w:cs="FrankRuehl" w:hint="eastAsia"/>
            <w:color w:val="0000FF"/>
            <w:u w:val="single"/>
            <w:rtl/>
          </w:rPr>
          <w:t>המסוכנים</w:t>
        </w:r>
      </w:hyperlink>
      <w:r w:rsidRPr="00047A7E">
        <w:rPr>
          <w:rFonts w:ascii="Calibri" w:hAnsi="Calibri" w:cs="FrankRuehl" w:hint="cs"/>
          <w:rtl/>
        </w:rPr>
        <w:t xml:space="preserve">. ואלו הן עובדות כתב האישום: </w:t>
      </w:r>
    </w:p>
    <w:p w14:paraId="61F7A5FE"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rtl/>
        </w:rPr>
        <w:t>במועדים הרלבנטיים לכתב האישום הפעילה המשטרה סוכן סמוי מטעמה במטרה לרכוש נשק וסמים באזור ירושלים ומרכז הארץ. בין הנאשם לסוכן היתה היכרות קודמת.</w:t>
      </w:r>
    </w:p>
    <w:p w14:paraId="74A7E9B8"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rtl/>
        </w:rPr>
        <w:t xml:space="preserve">האישום הראשון </w:t>
      </w:r>
      <w:r w:rsidRPr="00047A7E">
        <w:rPr>
          <w:rFonts w:ascii="Calibri" w:hAnsi="Calibri" w:cs="FrankRuehl"/>
          <w:rtl/>
        </w:rPr>
        <w:t>–</w:t>
      </w:r>
      <w:r w:rsidRPr="00047A7E">
        <w:rPr>
          <w:rFonts w:ascii="Calibri" w:hAnsi="Calibri" w:cs="FrankRuehl" w:hint="cs"/>
          <w:rtl/>
        </w:rPr>
        <w:t xml:space="preserve"> ביום 26.6.2016 מכר הנאשם לסוכן חשיש במשקל 93.51 גרם נטו תמורת 3,000 </w:t>
      </w:r>
      <w:r w:rsidRPr="00047A7E">
        <w:rPr>
          <w:rFonts w:ascii="Calibri" w:hAnsi="Calibri" w:cs="FrankRuehl" w:hint="eastAsia"/>
          <w:rtl/>
        </w:rPr>
        <w:t>₪</w:t>
      </w:r>
      <w:r w:rsidRPr="00047A7E">
        <w:rPr>
          <w:rFonts w:ascii="Calibri" w:hAnsi="Calibri" w:cs="FrankRuehl" w:hint="cs"/>
          <w:rtl/>
        </w:rPr>
        <w:t xml:space="preserve"> לאחר תיאום מוקדם. כשהגיע הסוכן למקום המפגש הוביל אותו הנאשם לסמטה סמוכה שם הוציא את הסם מתחת לערמת קרשים. </w:t>
      </w:r>
    </w:p>
    <w:p w14:paraId="68BE3FFC" w14:textId="77777777" w:rsidR="00047A7E" w:rsidRPr="00047A7E" w:rsidRDefault="00047A7E" w:rsidP="00047A7E">
      <w:pPr>
        <w:spacing w:after="160" w:line="360" w:lineRule="auto"/>
        <w:jc w:val="both"/>
        <w:rPr>
          <w:rFonts w:ascii="Calibri" w:hAnsi="Calibri" w:cs="FrankRuehl"/>
          <w:rtl/>
        </w:rPr>
      </w:pPr>
      <w:bookmarkStart w:id="7" w:name="ABSTRACT_END"/>
      <w:bookmarkEnd w:id="7"/>
      <w:r w:rsidRPr="00047A7E">
        <w:rPr>
          <w:rFonts w:ascii="Calibri" w:hAnsi="Calibri" w:cs="FrankRuehl" w:hint="cs"/>
          <w:rtl/>
        </w:rPr>
        <w:lastRenderedPageBreak/>
        <w:t xml:space="preserve">האישום השני </w:t>
      </w:r>
      <w:r w:rsidRPr="00047A7E">
        <w:rPr>
          <w:rFonts w:ascii="Calibri" w:hAnsi="Calibri" w:cs="FrankRuehl"/>
          <w:rtl/>
        </w:rPr>
        <w:t>–</w:t>
      </w:r>
      <w:r w:rsidRPr="00047A7E">
        <w:rPr>
          <w:rFonts w:ascii="Calibri" w:hAnsi="Calibri" w:cs="FrankRuehl" w:hint="cs"/>
          <w:rtl/>
        </w:rPr>
        <w:t xml:space="preserve"> ביום 23.8.2016 מכר הנאשם לסוכן קוקאין במשקל 1.75 גרם נטו תמורת 1,500 </w:t>
      </w:r>
      <w:r w:rsidRPr="00047A7E">
        <w:rPr>
          <w:rFonts w:ascii="Calibri" w:hAnsi="Calibri" w:cs="FrankRuehl" w:hint="eastAsia"/>
          <w:rtl/>
        </w:rPr>
        <w:t>₪</w:t>
      </w:r>
      <w:r w:rsidRPr="00047A7E">
        <w:rPr>
          <w:rFonts w:ascii="Calibri" w:hAnsi="Calibri" w:cs="FrankRuehl" w:hint="cs"/>
          <w:rtl/>
        </w:rPr>
        <w:t xml:space="preserve">, וזאת לאחר תיאום מוקדם בין השניים. הסוכן הגיע לביתו של הנאשם, שם הוציא הנאשם את הסם הארוז ב-3 פקטים מתוך דלי צבע שהיה בחדרו. </w:t>
      </w:r>
    </w:p>
    <w:p w14:paraId="65A9A865"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rtl/>
        </w:rPr>
        <w:t xml:space="preserve">האישום השלישי </w:t>
      </w:r>
      <w:r w:rsidRPr="00047A7E">
        <w:rPr>
          <w:rFonts w:ascii="Calibri" w:hAnsi="Calibri" w:cs="FrankRuehl"/>
          <w:rtl/>
        </w:rPr>
        <w:t>–</w:t>
      </w:r>
      <w:r w:rsidRPr="00047A7E">
        <w:rPr>
          <w:rFonts w:ascii="Calibri" w:hAnsi="Calibri" w:cs="FrankRuehl" w:hint="cs"/>
          <w:rtl/>
        </w:rPr>
        <w:t xml:space="preserve"> ביום 24.8.2016 מכר הנאשם לסוכן קוקאין במשקל 5.0163 גרם תמורת 5,000 </w:t>
      </w:r>
      <w:r w:rsidRPr="00047A7E">
        <w:rPr>
          <w:rFonts w:ascii="Calibri" w:hAnsi="Calibri" w:cs="FrankRuehl" w:hint="eastAsia"/>
          <w:rtl/>
        </w:rPr>
        <w:t>₪</w:t>
      </w:r>
      <w:r w:rsidRPr="00047A7E">
        <w:rPr>
          <w:rFonts w:ascii="Calibri" w:hAnsi="Calibri" w:cs="FrankRuehl" w:hint="cs"/>
          <w:rtl/>
        </w:rPr>
        <w:t xml:space="preserve">. לאחר תיאום מוקדם ובמקום המפגש שנקבע, ניגש הנאשם לטרסה סמוכה, ממנה הוציא שנתי שקיות סם ואמר שבכל "ג'ולה" יש 5 פקטים. </w:t>
      </w:r>
    </w:p>
    <w:p w14:paraId="38AE2294"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rtl/>
        </w:rPr>
        <w:t xml:space="preserve">האישום הרביעי </w:t>
      </w:r>
      <w:r w:rsidRPr="00047A7E">
        <w:rPr>
          <w:rFonts w:ascii="Calibri" w:hAnsi="Calibri" w:cs="FrankRuehl"/>
          <w:rtl/>
        </w:rPr>
        <w:t>–</w:t>
      </w:r>
      <w:r w:rsidRPr="00047A7E">
        <w:rPr>
          <w:rFonts w:ascii="Calibri" w:hAnsi="Calibri" w:cs="FrankRuehl" w:hint="cs"/>
          <w:rtl/>
        </w:rPr>
        <w:t xml:space="preserve"> ביום 22.9.2016 מכר הנאשם לסוכן קוקאין במשקל 2.6984 גרם תמורת 2,300 </w:t>
      </w:r>
      <w:r w:rsidRPr="00047A7E">
        <w:rPr>
          <w:rFonts w:ascii="Calibri" w:hAnsi="Calibri" w:cs="FrankRuehl" w:hint="eastAsia"/>
          <w:rtl/>
        </w:rPr>
        <w:t>₪</w:t>
      </w:r>
      <w:r w:rsidRPr="00047A7E">
        <w:rPr>
          <w:rFonts w:ascii="Calibri" w:hAnsi="Calibri" w:cs="FrankRuehl" w:hint="cs"/>
          <w:rtl/>
        </w:rPr>
        <w:t xml:space="preserve">. השניים תיאמו את העסקה, וכאשר הסוכן הגיע לסמטה הסמוכה לבית הנאשם, הנאשם נכנס לעבר בניין סמוך, תוך שהסוכן ממתין, לאחר זמן קצר חזר הנאשם כשבידיו 5 חבילות של הסם כשהן בתוך ניילון של סיגריות. </w:t>
      </w:r>
    </w:p>
    <w:p w14:paraId="0B715339" w14:textId="77777777" w:rsidR="00047A7E" w:rsidRPr="00047A7E" w:rsidRDefault="00047A7E" w:rsidP="00047A7E">
      <w:pPr>
        <w:spacing w:after="160" w:line="360" w:lineRule="auto"/>
        <w:jc w:val="both"/>
        <w:rPr>
          <w:rFonts w:ascii="Calibri" w:hAnsi="Calibri" w:cs="FrankRuehl"/>
          <w:rtl/>
        </w:rPr>
      </w:pPr>
    </w:p>
    <w:p w14:paraId="159261D0" w14:textId="77777777" w:rsidR="00047A7E" w:rsidRPr="00047A7E" w:rsidRDefault="00047A7E" w:rsidP="00047A7E">
      <w:pPr>
        <w:spacing w:after="160" w:line="360" w:lineRule="auto"/>
        <w:jc w:val="both"/>
        <w:rPr>
          <w:rFonts w:ascii="Calibri" w:hAnsi="Calibri" w:cs="FrankRuehl"/>
        </w:rPr>
      </w:pPr>
      <w:r w:rsidRPr="00047A7E">
        <w:rPr>
          <w:rFonts w:ascii="Calibri" w:hAnsi="Calibri" w:cs="FrankRuehl" w:hint="cs"/>
          <w:rtl/>
        </w:rPr>
        <w:t xml:space="preserve">הצדדים לא הגיעו להסדר לעניין העונש, והנאשם עבר תהליך שיקומי ממושך. יחד עם זאת ציינתי בפני הנאשם בעת הדיון ביום 4.12.2017, כי "יש סיכוי גדול שהתוצאה תהיה מאסר בפועל" לנוכח העובדה שמדובר בסחר בסם מסוג קוקאין, ולצד זאת שלחתי אותו אל הממונה על עבודות שירות לנוכח התהליך השיקומי שהיה בעיצומו, על-מנת שהתמונה תהא מלאה, ומבלי להבטיח לנאשם דבר ביחס לתוצאה (ש' 12-15). </w:t>
      </w:r>
    </w:p>
    <w:p w14:paraId="2BBF3391" w14:textId="77777777" w:rsidR="00047A7E" w:rsidRPr="00047A7E" w:rsidRDefault="00047A7E" w:rsidP="00047A7E">
      <w:pPr>
        <w:spacing w:after="160" w:line="360" w:lineRule="auto"/>
        <w:jc w:val="both"/>
        <w:rPr>
          <w:rFonts w:ascii="Calibri" w:hAnsi="Calibri" w:cs="FrankRuehl"/>
          <w:b/>
          <w:bCs/>
          <w:u w:val="single"/>
          <w:rtl/>
        </w:rPr>
      </w:pPr>
    </w:p>
    <w:p w14:paraId="612A14B2" w14:textId="77777777" w:rsidR="00047A7E" w:rsidRPr="00047A7E" w:rsidRDefault="00047A7E" w:rsidP="00047A7E">
      <w:pPr>
        <w:spacing w:after="160" w:line="360" w:lineRule="auto"/>
        <w:jc w:val="both"/>
        <w:rPr>
          <w:rFonts w:ascii="Calibri" w:hAnsi="Calibri" w:cs="FrankRuehl"/>
          <w:b/>
          <w:bCs/>
          <w:u w:val="single"/>
          <w:rtl/>
        </w:rPr>
      </w:pPr>
      <w:r w:rsidRPr="00047A7E">
        <w:rPr>
          <w:rFonts w:ascii="Calibri" w:hAnsi="Calibri" w:cs="FrankRuehl" w:hint="cs"/>
          <w:b/>
          <w:bCs/>
          <w:u w:val="single"/>
          <w:rtl/>
        </w:rPr>
        <w:t>תסקיר</w:t>
      </w:r>
    </w:p>
    <w:p w14:paraId="2668D465"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rtl/>
        </w:rPr>
        <w:t xml:space="preserve">מהתסקיר שהוגש בעניינו של הנאשם עולה כי מדובר בבחור כבן 28, רווק ללא ילדים. טרם מעצרו עבד יחד עם קבלן בהתקנת גני שעשועים ברחבי הארץ. הנאשם בא מרקע דתי חרדי, אך בהמשך השתלב במסגרת לימודים שאינה חרדית, אך נשר ממנה בסופו של דבר. הוא עבד בעבודות מזדמנות מגיל צעיר ולא התגייס לצבא. הוא החל לצרוך סמים בהיותו כבן 18, בתחילה חשיש, ואחר כך הסלימה צריכת הסמים לצריכת קוקאין. שירות המבחן מציין כי בתחילה הדבר היה על רקע רצון להשתייכות חברתית בסביבת מגוריו. לנאשם עבר פלילי עוד מהיותו נער בעבירות רכוש והחזקת סכין וכפי שניתן להבין, הוא טרם ריצה עונש של"ץ בגין הרשעתו האחרונה. הנאשם לקח אחריות על מעשיו והסביר אותם בהיותו מכור לסמים. במסגרת תיק המעצר השתלב הנאשם בתהליך טיפולי הכולל שיחות שבועיות פרטניות וקבוצתיות, בדיקות פעמיים בשבוע לגילוי סמים וכן השתתפות בקורס "אוניברסיטה בעם". הצוות שטיפל בנאשם מעריך הוא עשה כברת דרך ארוכה ומשמעותית בטיפול והצליח להגיע להבנה עמוקה יותר של מחוללי התנהגותו העבריינית. אשר לרמת הסיכון הנשקפת מן הנאשם קבע שירות המבחן, כי בשל נסיבות חייו של הנאשם, דפוסי התנהגותו ואישיותו , קיים סיכון להישנות התנהגות פוגעת. לעומת זאת, זקף שירות המבחן לזכותו של הנאשם את התמדתו בטיפול לאורך חצי שנה תוך שמירה על רמת שיתוף פעולה גבוהה, ואת מסירת בדיקות השתן שנמצאו נקיות מסמים לאורך תקופה ארוכה. שירות המבחן ציין שאלו מלמדים על קיומם של סיכויי שיקום. לנוכח חשיבות המשך הטיפול, סבר שירות המבחן כי קטיעתו באמצעות הטלת עונש מאסר ממש תפגע בהישגיו של הנאשם, והדבר עלול להחזירו לדפוסי התנהגותו העברייניים. לנוכח זאת המליץ </w:t>
      </w:r>
      <w:r w:rsidRPr="00047A7E">
        <w:rPr>
          <w:rFonts w:ascii="Calibri" w:hAnsi="Calibri" w:cs="FrankRuehl" w:hint="cs"/>
          <w:rtl/>
        </w:rPr>
        <w:lastRenderedPageBreak/>
        <w:t xml:space="preserve">שירות המבחן להטיל על הנאשם מאסר בעבודות שירות, ומאסר על תנאי מרתיע, לצד הטלת צו מבחן שמטרתו, שימור התהליך השיקומי - טיפולי לאורך זמן. </w:t>
      </w:r>
    </w:p>
    <w:p w14:paraId="1EA8F777" w14:textId="77777777" w:rsidR="00047A7E" w:rsidRPr="00047A7E" w:rsidRDefault="00047A7E" w:rsidP="00047A7E">
      <w:pPr>
        <w:spacing w:after="160" w:line="360" w:lineRule="auto"/>
        <w:jc w:val="both"/>
        <w:rPr>
          <w:rFonts w:ascii="Calibri" w:hAnsi="Calibri" w:cs="FrankRuehl"/>
          <w:rtl/>
        </w:rPr>
      </w:pPr>
    </w:p>
    <w:p w14:paraId="532A62BA" w14:textId="77777777" w:rsidR="00047A7E" w:rsidRPr="00047A7E" w:rsidRDefault="00047A7E" w:rsidP="00047A7E">
      <w:pPr>
        <w:spacing w:after="160" w:line="360" w:lineRule="auto"/>
        <w:jc w:val="both"/>
        <w:rPr>
          <w:rFonts w:ascii="Calibri" w:hAnsi="Calibri" w:cs="FrankRuehl"/>
          <w:b/>
          <w:bCs/>
          <w:u w:val="single"/>
          <w:rtl/>
        </w:rPr>
      </w:pPr>
      <w:r w:rsidRPr="00047A7E">
        <w:rPr>
          <w:rFonts w:ascii="Calibri" w:hAnsi="Calibri" w:cs="FrankRuehl" w:hint="cs"/>
          <w:b/>
          <w:bCs/>
          <w:u w:val="single"/>
          <w:rtl/>
        </w:rPr>
        <w:t>חוות דעת הממונה על עבודות שירות</w:t>
      </w:r>
    </w:p>
    <w:p w14:paraId="1C1A52E3"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rtl/>
        </w:rPr>
        <w:t>הממונה מצא את הנאשם כשיר לביצוע עבודות שירות החל מיום 12.6.2018 בבית אבות "עידן הזהב" ברח' אלעזר הגדול 13 ירושלים.</w:t>
      </w:r>
    </w:p>
    <w:p w14:paraId="38EA95B9" w14:textId="77777777" w:rsidR="00047A7E" w:rsidRPr="00047A7E" w:rsidRDefault="00047A7E" w:rsidP="00047A7E">
      <w:pPr>
        <w:spacing w:after="160" w:line="360" w:lineRule="auto"/>
        <w:jc w:val="both"/>
        <w:rPr>
          <w:rFonts w:ascii="Calibri" w:hAnsi="Calibri" w:cs="FrankRuehl"/>
          <w:b/>
          <w:bCs/>
          <w:u w:val="single"/>
          <w:rtl/>
        </w:rPr>
      </w:pPr>
    </w:p>
    <w:p w14:paraId="1A7EAA15" w14:textId="77777777" w:rsidR="00047A7E" w:rsidRPr="00047A7E" w:rsidRDefault="00047A7E" w:rsidP="00047A7E">
      <w:pPr>
        <w:spacing w:after="160" w:line="360" w:lineRule="auto"/>
        <w:jc w:val="both"/>
        <w:rPr>
          <w:rFonts w:ascii="Calibri" w:hAnsi="Calibri" w:cs="FrankRuehl"/>
          <w:b/>
          <w:bCs/>
          <w:u w:val="single"/>
          <w:rtl/>
        </w:rPr>
      </w:pPr>
      <w:r w:rsidRPr="00047A7E">
        <w:rPr>
          <w:rFonts w:ascii="Calibri" w:hAnsi="Calibri" w:cs="FrankRuehl" w:hint="cs"/>
          <w:b/>
          <w:bCs/>
          <w:u w:val="single"/>
          <w:rtl/>
        </w:rPr>
        <w:t>טיעונים לעונש</w:t>
      </w:r>
    </w:p>
    <w:p w14:paraId="084FB33C"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rtl/>
        </w:rPr>
        <w:t>ב"כ המאשימה ביקש לגזור על הנאשם עונש מאסר דו-ספרתי לנוכח חומרת העבירות, סוג הסמים והמכירות החוזרות ונשנות. הוא היפנה לפסיקה התומכת במתחמי ענישה דו-ספרתיים וטען שיש להביט על כל אישום כעל אירוע נפרד.</w:t>
      </w:r>
    </w:p>
    <w:p w14:paraId="749BC2D6"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rtl/>
        </w:rPr>
        <w:t xml:space="preserve">ב"כ הנאשם טען מצדו, כי זהו המקרה שבו יכול לסטות בית המשפט ממתחמי ענישה מחמירים, בשל שיקולי השיקום, שכן הנאשם הוכיח רצינות, שיקום בפועל ופוטנציאל שיקומי מבטיח בעבר ולעתיד לבוא. לכן ביקש הסניגור לאמץ את המלצת שירות המבחן. </w:t>
      </w:r>
    </w:p>
    <w:p w14:paraId="168E74DF" w14:textId="77777777" w:rsidR="00047A7E" w:rsidRPr="00047A7E" w:rsidRDefault="00047A7E" w:rsidP="00047A7E">
      <w:pPr>
        <w:spacing w:after="160" w:line="360" w:lineRule="auto"/>
        <w:jc w:val="both"/>
        <w:rPr>
          <w:rFonts w:ascii="Calibri" w:hAnsi="Calibri" w:cs="FrankRuehl"/>
          <w:b/>
          <w:bCs/>
          <w:u w:val="single"/>
          <w:rtl/>
        </w:rPr>
      </w:pPr>
    </w:p>
    <w:p w14:paraId="72263C7E" w14:textId="77777777" w:rsidR="00047A7E" w:rsidRPr="00047A7E" w:rsidRDefault="00047A7E" w:rsidP="00047A7E">
      <w:pPr>
        <w:spacing w:after="160" w:line="360" w:lineRule="auto"/>
        <w:jc w:val="both"/>
        <w:rPr>
          <w:rFonts w:ascii="Calibri" w:hAnsi="Calibri" w:cs="FrankRuehl"/>
          <w:b/>
          <w:bCs/>
          <w:u w:val="single"/>
          <w:rtl/>
        </w:rPr>
      </w:pPr>
      <w:r w:rsidRPr="00047A7E">
        <w:rPr>
          <w:rFonts w:ascii="Calibri" w:hAnsi="Calibri" w:cs="FrankRuehl" w:hint="cs"/>
          <w:b/>
          <w:bCs/>
          <w:u w:val="single"/>
          <w:rtl/>
        </w:rPr>
        <w:t xml:space="preserve">קביעת מתחם הענישה </w:t>
      </w:r>
    </w:p>
    <w:p w14:paraId="3FEB916E" w14:textId="77777777" w:rsidR="00047A7E" w:rsidRPr="00047A7E" w:rsidRDefault="00047A7E" w:rsidP="00047A7E">
      <w:pPr>
        <w:spacing w:after="160" w:line="360" w:lineRule="auto"/>
        <w:jc w:val="both"/>
        <w:rPr>
          <w:rFonts w:ascii="Calibri" w:hAnsi="Calibri" w:cs="FrankRuehl"/>
          <w:b/>
          <w:bCs/>
          <w:u w:val="single"/>
          <w:rtl/>
        </w:rPr>
      </w:pPr>
      <w:r w:rsidRPr="00047A7E">
        <w:rPr>
          <w:rFonts w:ascii="Calibri" w:hAnsi="Calibri" w:cs="FrankRuehl" w:hint="cs"/>
          <w:rtl/>
        </w:rPr>
        <w:t xml:space="preserve">מתחם הענישה צריך להתייחס לעקרון ההלימה, הנוגע ליחס לערך החברתי המוגן, מידת הפגיעה בו, מדיניות הענישה הנוהגת ונסיבות ביצוע העבירה. </w:t>
      </w:r>
    </w:p>
    <w:p w14:paraId="4B36F2EA" w14:textId="77777777" w:rsidR="00047A7E" w:rsidRPr="00047A7E" w:rsidRDefault="00047A7E" w:rsidP="00047A7E">
      <w:pPr>
        <w:spacing w:after="160" w:line="360" w:lineRule="auto"/>
        <w:jc w:val="both"/>
        <w:rPr>
          <w:rFonts w:ascii="Calibri" w:hAnsi="Calibri" w:cs="FrankRuehl"/>
          <w:b/>
          <w:bCs/>
          <w:u w:val="single"/>
          <w:rtl/>
        </w:rPr>
      </w:pPr>
    </w:p>
    <w:p w14:paraId="1611DF91" w14:textId="77777777" w:rsidR="00047A7E" w:rsidRPr="00047A7E" w:rsidRDefault="00047A7E" w:rsidP="00047A7E">
      <w:pPr>
        <w:spacing w:after="160" w:line="360" w:lineRule="auto"/>
        <w:jc w:val="both"/>
        <w:rPr>
          <w:rFonts w:ascii="Calibri" w:hAnsi="Calibri" w:cs="FrankRuehl"/>
          <w:b/>
          <w:bCs/>
          <w:u w:val="single"/>
          <w:rtl/>
        </w:rPr>
      </w:pPr>
      <w:r w:rsidRPr="00047A7E">
        <w:rPr>
          <w:rFonts w:ascii="Calibri" w:hAnsi="Calibri" w:cs="FrankRuehl" w:hint="cs"/>
          <w:b/>
          <w:bCs/>
          <w:u w:val="single"/>
          <w:rtl/>
        </w:rPr>
        <w:t xml:space="preserve">אשר לערך המוגן </w:t>
      </w:r>
    </w:p>
    <w:p w14:paraId="46BA6803" w14:textId="77777777" w:rsidR="00047A7E" w:rsidRPr="00047A7E" w:rsidRDefault="00047A7E" w:rsidP="00047A7E">
      <w:pPr>
        <w:spacing w:after="160" w:line="360" w:lineRule="auto"/>
        <w:jc w:val="both"/>
        <w:rPr>
          <w:rFonts w:ascii="Calibri" w:hAnsi="Calibri" w:cs="FrankRuehl"/>
        </w:rPr>
      </w:pPr>
      <w:r w:rsidRPr="00047A7E">
        <w:rPr>
          <w:rFonts w:ascii="Calibri" w:hAnsi="Calibri" w:cs="FrankRuehl" w:hint="cs"/>
          <w:rtl/>
        </w:rPr>
        <w:t>ב</w:t>
      </w:r>
      <w:hyperlink r:id="rId15" w:history="1">
        <w:r w:rsidR="005222D4" w:rsidRPr="005222D4">
          <w:rPr>
            <w:rFonts w:ascii="Calibri" w:hAnsi="Calibri" w:cs="FrankRuehl" w:hint="eastAsia"/>
            <w:color w:val="0000FF"/>
            <w:u w:val="single"/>
            <w:rtl/>
          </w:rPr>
          <w:t>ע</w:t>
        </w:r>
        <w:r w:rsidR="005222D4" w:rsidRPr="005222D4">
          <w:rPr>
            <w:rFonts w:ascii="Calibri" w:hAnsi="Calibri" w:cs="FrankRuehl"/>
            <w:color w:val="0000FF"/>
            <w:u w:val="single"/>
            <w:rtl/>
          </w:rPr>
          <w:t>"</w:t>
        </w:r>
        <w:r w:rsidR="005222D4" w:rsidRPr="005222D4">
          <w:rPr>
            <w:rFonts w:ascii="Calibri" w:hAnsi="Calibri" w:cs="FrankRuehl" w:hint="eastAsia"/>
            <w:color w:val="0000FF"/>
            <w:u w:val="single"/>
            <w:rtl/>
          </w:rPr>
          <w:t>פ</w:t>
        </w:r>
        <w:r w:rsidR="005222D4" w:rsidRPr="005222D4">
          <w:rPr>
            <w:rFonts w:ascii="Calibri" w:hAnsi="Calibri" w:cs="FrankRuehl"/>
            <w:color w:val="0000FF"/>
            <w:u w:val="single"/>
            <w:rtl/>
          </w:rPr>
          <w:t xml:space="preserve"> 3669/14</w:t>
        </w:r>
      </w:hyperlink>
      <w:r w:rsidRPr="00047A7E">
        <w:rPr>
          <w:rFonts w:ascii="Calibri" w:hAnsi="Calibri" w:cs="FrankRuehl" w:hint="cs"/>
          <w:rtl/>
        </w:rPr>
        <w:t xml:space="preserve"> </w:t>
      </w:r>
      <w:r w:rsidRPr="00047A7E">
        <w:rPr>
          <w:rFonts w:ascii="Calibri" w:hAnsi="Calibri" w:cs="FrankRuehl" w:hint="cs"/>
          <w:b/>
          <w:bCs/>
          <w:u w:val="single"/>
          <w:rtl/>
        </w:rPr>
        <w:t>גולן</w:t>
      </w:r>
      <w:r w:rsidRPr="00047A7E">
        <w:rPr>
          <w:rFonts w:ascii="Calibri" w:hAnsi="Calibri" w:cs="FrankRuehl" w:hint="cs"/>
          <w:rtl/>
        </w:rPr>
        <w:t xml:space="preserve"> נ' </w:t>
      </w:r>
      <w:r w:rsidRPr="00047A7E">
        <w:rPr>
          <w:rFonts w:ascii="Calibri" w:hAnsi="Calibri" w:cs="FrankRuehl" w:hint="cs"/>
          <w:b/>
          <w:bCs/>
          <w:u w:val="single"/>
          <w:rtl/>
        </w:rPr>
        <w:t>מ"י</w:t>
      </w:r>
      <w:r w:rsidRPr="00047A7E">
        <w:rPr>
          <w:rFonts w:ascii="Calibri" w:hAnsi="Calibri" w:cs="FrankRuehl" w:hint="cs"/>
          <w:rtl/>
        </w:rPr>
        <w:t xml:space="preserve"> (מיום 18.12.2016) נאמר כך בנוגע לסחר בסמים: "אין צורך להכביר מלים על חומרתן הרבה של עבירות הסמים, לנוכח פוטנציאל הנזק המשמעותי הגלום בהן – הן לחברה בכללה והן לניזוקים הישירים – ועל הצורך להיאבק בהן באמצעות ענישה מרתיעה, שאף מצויה במגמת החמרה". הדבר נכון שעה שמדובר במספרי מקרי סחר. יחד עם זאת, לא ניתן להתעלם מן העובדה כי בין הסוכן לנאשם הייתה היכרות קודמת, ולא נטען כי הנאשם סחר עם אחרים. קיימת משמעוות מפחיתת חומרה לעצם ההיכרות הקודמת בין הנאשם לסוכן [ר' למשל: </w:t>
      </w:r>
      <w:hyperlink r:id="rId16" w:history="1">
        <w:r w:rsidR="005222D4" w:rsidRPr="005222D4">
          <w:rPr>
            <w:rFonts w:ascii="Calibri" w:hAnsi="Calibri" w:cs="FrankRuehl" w:hint="eastAsia"/>
            <w:color w:val="0000FF"/>
            <w:u w:val="single"/>
            <w:rtl/>
          </w:rPr>
          <w:t>עפ</w:t>
        </w:r>
        <w:r w:rsidR="005222D4" w:rsidRPr="005222D4">
          <w:rPr>
            <w:rFonts w:ascii="Calibri" w:hAnsi="Calibri" w:cs="FrankRuehl"/>
            <w:color w:val="0000FF"/>
            <w:u w:val="single"/>
            <w:rtl/>
          </w:rPr>
          <w:t>"</w:t>
        </w:r>
        <w:r w:rsidR="005222D4" w:rsidRPr="005222D4">
          <w:rPr>
            <w:rFonts w:ascii="Calibri" w:hAnsi="Calibri" w:cs="FrankRuehl" w:hint="eastAsia"/>
            <w:color w:val="0000FF"/>
            <w:u w:val="single"/>
            <w:rtl/>
          </w:rPr>
          <w:t>ג</w:t>
        </w:r>
        <w:r w:rsidR="005222D4" w:rsidRPr="005222D4">
          <w:rPr>
            <w:rFonts w:ascii="Calibri" w:hAnsi="Calibri" w:cs="FrankRuehl"/>
            <w:color w:val="0000FF"/>
            <w:u w:val="single"/>
            <w:rtl/>
          </w:rPr>
          <w:t xml:space="preserve"> (</w:t>
        </w:r>
        <w:r w:rsidR="005222D4" w:rsidRPr="005222D4">
          <w:rPr>
            <w:rFonts w:ascii="Calibri" w:hAnsi="Calibri" w:cs="FrankRuehl" w:hint="eastAsia"/>
            <w:color w:val="0000FF"/>
            <w:u w:val="single"/>
            <w:rtl/>
          </w:rPr>
          <w:t>י</w:t>
        </w:r>
        <w:r w:rsidR="005222D4" w:rsidRPr="005222D4">
          <w:rPr>
            <w:rFonts w:ascii="Calibri" w:hAnsi="Calibri" w:cs="FrankRuehl"/>
            <w:color w:val="0000FF"/>
            <w:u w:val="single"/>
            <w:rtl/>
          </w:rPr>
          <w:t>-</w:t>
        </w:r>
        <w:r w:rsidR="005222D4" w:rsidRPr="005222D4">
          <w:rPr>
            <w:rFonts w:ascii="Calibri" w:hAnsi="Calibri" w:cs="FrankRuehl" w:hint="eastAsia"/>
            <w:color w:val="0000FF"/>
            <w:u w:val="single"/>
            <w:rtl/>
          </w:rPr>
          <w:t>ם</w:t>
        </w:r>
        <w:r w:rsidR="005222D4" w:rsidRPr="005222D4">
          <w:rPr>
            <w:rFonts w:ascii="Calibri" w:hAnsi="Calibri" w:cs="FrankRuehl"/>
            <w:color w:val="0000FF"/>
            <w:u w:val="single"/>
            <w:rtl/>
          </w:rPr>
          <w:t>) 65233-03-17</w:t>
        </w:r>
      </w:hyperlink>
      <w:r w:rsidRPr="00047A7E">
        <w:rPr>
          <w:rFonts w:ascii="Calibri" w:hAnsi="Calibri" w:cs="FrankRuehl" w:hint="cs"/>
          <w:rtl/>
        </w:rPr>
        <w:t xml:space="preserve"> </w:t>
      </w:r>
      <w:r w:rsidRPr="00047A7E">
        <w:rPr>
          <w:rFonts w:ascii="Calibri" w:hAnsi="Calibri" w:cs="FrankRuehl" w:hint="cs"/>
          <w:b/>
          <w:bCs/>
          <w:u w:val="single"/>
          <w:rtl/>
        </w:rPr>
        <w:t>רוזנברג</w:t>
      </w:r>
      <w:r w:rsidRPr="00047A7E">
        <w:rPr>
          <w:rFonts w:ascii="Calibri" w:hAnsi="Calibri" w:cs="FrankRuehl" w:hint="cs"/>
          <w:rtl/>
        </w:rPr>
        <w:t xml:space="preserve"> נ' </w:t>
      </w:r>
      <w:r w:rsidRPr="00047A7E">
        <w:rPr>
          <w:rFonts w:ascii="Calibri" w:hAnsi="Calibri" w:cs="FrankRuehl" w:hint="cs"/>
          <w:b/>
          <w:bCs/>
          <w:u w:val="single"/>
          <w:rtl/>
        </w:rPr>
        <w:t>מ"י</w:t>
      </w:r>
      <w:r w:rsidRPr="00047A7E">
        <w:rPr>
          <w:rFonts w:ascii="Calibri" w:hAnsi="Calibri" w:cs="FrankRuehl" w:hint="cs"/>
          <w:rtl/>
        </w:rPr>
        <w:t xml:space="preserve"> (מיום 26.6.2017) (להלן </w:t>
      </w:r>
      <w:r w:rsidRPr="00047A7E">
        <w:rPr>
          <w:rFonts w:ascii="Calibri" w:hAnsi="Calibri" w:cs="FrankRuehl"/>
          <w:rtl/>
        </w:rPr>
        <w:t>–</w:t>
      </w:r>
      <w:r w:rsidRPr="00047A7E">
        <w:rPr>
          <w:rFonts w:ascii="Calibri" w:hAnsi="Calibri" w:cs="FrankRuehl" w:hint="cs"/>
          <w:rtl/>
        </w:rPr>
        <w:t xml:space="preserve"> </w:t>
      </w:r>
      <w:r w:rsidRPr="00047A7E">
        <w:rPr>
          <w:rFonts w:ascii="Calibri" w:hAnsi="Calibri" w:cs="FrankRuehl" w:hint="cs"/>
          <w:b/>
          <w:bCs/>
          <w:rtl/>
        </w:rPr>
        <w:t>עניין רוזנברג</w:t>
      </w:r>
      <w:r w:rsidRPr="00047A7E">
        <w:rPr>
          <w:rFonts w:ascii="Calibri" w:hAnsi="Calibri" w:cs="FrankRuehl" w:hint="cs"/>
          <w:rtl/>
        </w:rPr>
        <w:t>)].</w:t>
      </w:r>
    </w:p>
    <w:p w14:paraId="7835069D" w14:textId="77777777" w:rsidR="00047A7E" w:rsidRPr="00047A7E" w:rsidRDefault="00047A7E" w:rsidP="00047A7E">
      <w:pPr>
        <w:spacing w:after="160" w:line="360" w:lineRule="auto"/>
        <w:jc w:val="both"/>
        <w:rPr>
          <w:rFonts w:ascii="Calibri" w:hAnsi="Calibri" w:cs="FrankRuehl"/>
          <w:b/>
          <w:bCs/>
          <w:u w:val="single"/>
          <w:rtl/>
        </w:rPr>
      </w:pPr>
    </w:p>
    <w:p w14:paraId="254BB8D6"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b/>
          <w:bCs/>
          <w:u w:val="single"/>
          <w:rtl/>
        </w:rPr>
        <w:t xml:space="preserve">נסיבות הקשורות בביצוע העבירה, לפי </w:t>
      </w:r>
      <w:hyperlink r:id="rId17" w:history="1">
        <w:r w:rsidR="00C3696E" w:rsidRPr="00C3696E">
          <w:rPr>
            <w:rFonts w:ascii="Calibri" w:hAnsi="Calibri" w:cs="FrankRuehl" w:hint="eastAsia"/>
            <w:b/>
            <w:bCs/>
            <w:color w:val="0000FF"/>
            <w:u w:val="single"/>
            <w:rtl/>
          </w:rPr>
          <w:t>סעיף</w:t>
        </w:r>
        <w:r w:rsidR="00C3696E" w:rsidRPr="00C3696E">
          <w:rPr>
            <w:rFonts w:ascii="Calibri" w:hAnsi="Calibri" w:cs="FrankRuehl"/>
            <w:b/>
            <w:bCs/>
            <w:color w:val="0000FF"/>
            <w:u w:val="single"/>
            <w:rtl/>
          </w:rPr>
          <w:t xml:space="preserve"> 40</w:t>
        </w:r>
        <w:r w:rsidR="00C3696E" w:rsidRPr="00C3696E">
          <w:rPr>
            <w:rFonts w:ascii="Calibri" w:hAnsi="Calibri" w:cs="FrankRuehl" w:hint="eastAsia"/>
            <w:b/>
            <w:bCs/>
            <w:color w:val="0000FF"/>
            <w:u w:val="single"/>
            <w:rtl/>
          </w:rPr>
          <w:t>ט</w:t>
        </w:r>
        <w:r w:rsidR="00C3696E" w:rsidRPr="00C3696E">
          <w:rPr>
            <w:rFonts w:ascii="Calibri" w:hAnsi="Calibri" w:cs="FrankRuehl"/>
            <w:b/>
            <w:bCs/>
            <w:color w:val="0000FF"/>
            <w:u w:val="single"/>
            <w:rtl/>
          </w:rPr>
          <w:t>'</w:t>
        </w:r>
      </w:hyperlink>
      <w:r w:rsidRPr="00047A7E">
        <w:rPr>
          <w:rFonts w:ascii="Calibri" w:hAnsi="Calibri" w:cs="FrankRuehl" w:hint="cs"/>
          <w:b/>
          <w:bCs/>
          <w:u w:val="single"/>
          <w:rtl/>
        </w:rPr>
        <w:t xml:space="preserve"> ל</w:t>
      </w:r>
      <w:hyperlink r:id="rId18" w:history="1">
        <w:r w:rsidR="005222D4" w:rsidRPr="005222D4">
          <w:rPr>
            <w:rFonts w:ascii="Calibri" w:hAnsi="Calibri" w:cs="FrankRuehl" w:hint="eastAsia"/>
            <w:b/>
            <w:bCs/>
            <w:color w:val="0000FF"/>
            <w:u w:val="single"/>
            <w:rtl/>
          </w:rPr>
          <w:t>חוק</w:t>
        </w:r>
        <w:r w:rsidR="005222D4" w:rsidRPr="005222D4">
          <w:rPr>
            <w:rFonts w:ascii="Calibri" w:hAnsi="Calibri" w:cs="FrankRuehl"/>
            <w:b/>
            <w:bCs/>
            <w:color w:val="0000FF"/>
            <w:u w:val="single"/>
            <w:rtl/>
          </w:rPr>
          <w:t xml:space="preserve"> </w:t>
        </w:r>
        <w:r w:rsidR="005222D4" w:rsidRPr="005222D4">
          <w:rPr>
            <w:rFonts w:ascii="Calibri" w:hAnsi="Calibri" w:cs="FrankRuehl" w:hint="eastAsia"/>
            <w:b/>
            <w:bCs/>
            <w:color w:val="0000FF"/>
            <w:u w:val="single"/>
            <w:rtl/>
          </w:rPr>
          <w:t>העונשין</w:t>
        </w:r>
      </w:hyperlink>
      <w:r w:rsidRPr="00047A7E">
        <w:rPr>
          <w:rFonts w:ascii="Calibri" w:hAnsi="Calibri" w:cs="FrankRuehl" w:hint="cs"/>
          <w:b/>
          <w:bCs/>
          <w:rtl/>
        </w:rPr>
        <w:t xml:space="preserve"> – </w:t>
      </w:r>
      <w:r w:rsidRPr="00047A7E">
        <w:rPr>
          <w:rFonts w:ascii="Calibri" w:hAnsi="Calibri" w:cs="FrankRuehl" w:hint="cs"/>
          <w:rtl/>
        </w:rPr>
        <w:t>בין הנסיבות הקשורות בביצוע העבירה יש לשקול את אלה, לעניין קביעת המתחם: עבירות מסוג זה מצריכות תכנון הכולל הן את עצם תיאום העסקה הן את ביצוע העסקה במקום מסוים. בכל אחת מהעסקאות ראינו כי הסם הוסתר במקום אחר, דבר המעיד על תכנון מוקדם קפדני ועל התמצאות בעולם הסמים; ככל הידוע מכתב האישום, לנאשם אחריות בלעדית למעשיו; הנזק הצפוי להיגרם מסחר בסמים הוא רב ולא נגרם בפועל אך ורק משום שהרוכש היה סוכן משטרתי; הנאשם טוען כי פעל כפי שפעל בשל התמכרותו לסמים, אלא שהיותו מוכר של סמים מחלישה טיעון זה, ומבססת את הסברה כי הדבר נעשה עבור בצע כסף; הנאשם אינו נער או "בגיר-צעיר" וידע היטב מה עושה ויכול היה להימנע מלעשות את המעשים, או לחזור עליהם.</w:t>
      </w:r>
    </w:p>
    <w:p w14:paraId="64FEB0B3" w14:textId="77777777" w:rsidR="00047A7E" w:rsidRPr="00047A7E" w:rsidRDefault="00047A7E" w:rsidP="00047A7E">
      <w:pPr>
        <w:spacing w:after="160" w:line="360" w:lineRule="auto"/>
        <w:jc w:val="both"/>
        <w:rPr>
          <w:rFonts w:ascii="Calibri" w:hAnsi="Calibri" w:cs="FrankRuehl"/>
          <w:b/>
          <w:bCs/>
          <w:u w:val="single"/>
          <w:rtl/>
        </w:rPr>
      </w:pPr>
    </w:p>
    <w:p w14:paraId="19CD9D65" w14:textId="77777777" w:rsidR="00047A7E" w:rsidRPr="00047A7E" w:rsidRDefault="00047A7E" w:rsidP="00047A7E">
      <w:pPr>
        <w:spacing w:after="160" w:line="360" w:lineRule="auto"/>
        <w:jc w:val="both"/>
        <w:rPr>
          <w:rFonts w:ascii="Calibri" w:hAnsi="Calibri" w:cs="FrankRuehl"/>
          <w:b/>
          <w:bCs/>
          <w:rtl/>
        </w:rPr>
      </w:pPr>
      <w:r w:rsidRPr="00047A7E">
        <w:rPr>
          <w:rFonts w:ascii="Calibri" w:hAnsi="Calibri" w:cs="FrankRuehl" w:hint="cs"/>
          <w:b/>
          <w:bCs/>
          <w:u w:val="single"/>
          <w:rtl/>
        </w:rPr>
        <w:t>מדיניות הענישה הנוהגת</w:t>
      </w:r>
      <w:r w:rsidRPr="00047A7E">
        <w:rPr>
          <w:rFonts w:ascii="Calibri" w:hAnsi="Calibri" w:cs="FrankRuehl" w:hint="cs"/>
          <w:b/>
          <w:bCs/>
          <w:rtl/>
        </w:rPr>
        <w:t xml:space="preserve"> </w:t>
      </w:r>
    </w:p>
    <w:p w14:paraId="001BE16B"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b/>
          <w:bCs/>
          <w:rtl/>
        </w:rPr>
        <w:t>אשר לסחר בחשיש</w:t>
      </w:r>
      <w:r w:rsidRPr="00047A7E">
        <w:rPr>
          <w:rFonts w:ascii="Calibri" w:hAnsi="Calibri" w:cs="FrankRuehl" w:hint="cs"/>
          <w:rtl/>
        </w:rPr>
        <w:t xml:space="preserve"> </w:t>
      </w:r>
      <w:r w:rsidRPr="00047A7E">
        <w:rPr>
          <w:rFonts w:ascii="Calibri" w:hAnsi="Calibri" w:cs="FrankRuehl"/>
          <w:rtl/>
        </w:rPr>
        <w:t>–</w:t>
      </w:r>
      <w:r w:rsidRPr="00047A7E">
        <w:rPr>
          <w:rFonts w:ascii="Calibri" w:hAnsi="Calibri" w:cs="FrankRuehl" w:hint="cs"/>
          <w:rtl/>
        </w:rPr>
        <w:t xml:space="preserve"> ב</w:t>
      </w:r>
      <w:r w:rsidRPr="00047A7E">
        <w:rPr>
          <w:rFonts w:ascii="Calibri" w:hAnsi="Calibri" w:cs="FrankRuehl" w:hint="cs"/>
          <w:b/>
          <w:bCs/>
          <w:rtl/>
        </w:rPr>
        <w:t>עניין רוזנברג</w:t>
      </w:r>
      <w:r w:rsidRPr="00047A7E">
        <w:rPr>
          <w:rFonts w:ascii="Calibri" w:hAnsi="Calibri" w:cs="FrankRuehl" w:hint="cs"/>
          <w:rtl/>
        </w:rPr>
        <w:t xml:space="preserve"> לא נסתר מתחם הענישה שקבעתי לסחר בקנביס בשני מקרים במשקל מצטבר של כ-95 גרם, בין 4 ל-14 חודשי מאסר, שם נגזרו בסופו של יום 49 ימי מאסר (הסתפקות בתקופת מעצר); בע"פ (מחוזי י-ם) </w:t>
      </w:r>
      <w:hyperlink r:id="rId19" w:history="1">
        <w:r w:rsidR="00CE7230" w:rsidRPr="00CE7230">
          <w:rPr>
            <w:rFonts w:ascii="Calibri" w:hAnsi="Calibri" w:cs="FrankRuehl"/>
            <w:color w:val="0000FF"/>
            <w:u w:val="single"/>
            <w:rtl/>
          </w:rPr>
          <w:t>13299-02-14</w:t>
        </w:r>
      </w:hyperlink>
      <w:r w:rsidRPr="00047A7E">
        <w:rPr>
          <w:rFonts w:ascii="Calibri" w:hAnsi="Calibri" w:cs="FrankRuehl" w:hint="cs"/>
          <w:rtl/>
        </w:rPr>
        <w:t xml:space="preserve"> </w:t>
      </w:r>
      <w:r w:rsidRPr="00047A7E">
        <w:rPr>
          <w:rFonts w:ascii="Calibri" w:hAnsi="Calibri" w:cs="FrankRuehl" w:hint="cs"/>
          <w:b/>
          <w:bCs/>
          <w:u w:val="single"/>
          <w:rtl/>
        </w:rPr>
        <w:t>מ"י</w:t>
      </w:r>
      <w:r w:rsidRPr="00047A7E">
        <w:rPr>
          <w:rFonts w:ascii="Calibri" w:hAnsi="Calibri" w:cs="FrankRuehl" w:hint="cs"/>
          <w:rtl/>
        </w:rPr>
        <w:t xml:space="preserve"> נ' </w:t>
      </w:r>
      <w:r w:rsidRPr="00047A7E">
        <w:rPr>
          <w:rFonts w:ascii="Calibri" w:hAnsi="Calibri" w:cs="FrankRuehl" w:hint="cs"/>
          <w:b/>
          <w:bCs/>
          <w:u w:val="single"/>
          <w:rtl/>
        </w:rPr>
        <w:t>שמביק</w:t>
      </w:r>
      <w:r w:rsidRPr="00047A7E">
        <w:rPr>
          <w:rFonts w:ascii="Calibri" w:hAnsi="Calibri" w:cs="FrankRuehl" w:hint="cs"/>
          <w:rtl/>
        </w:rPr>
        <w:t xml:space="preserve"> (מיום 10.4.2014) אושר מתחם ענישה שבין חודשים ספורים ל-18 חודשי מאסר בנסיבות של מספר מקרי סחר בכמות דומה של חשיש בכל פעם. רמת הענישה בעבירות מסוג זה כוללת לרוב מאסר בפועל המתחיל בחודשים בודדים.</w:t>
      </w:r>
    </w:p>
    <w:p w14:paraId="48A3826A"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b/>
          <w:bCs/>
          <w:rtl/>
        </w:rPr>
        <w:t>אשר לסחר בקוקאין</w:t>
      </w:r>
      <w:r w:rsidRPr="00047A7E">
        <w:rPr>
          <w:rFonts w:ascii="Calibri" w:hAnsi="Calibri" w:cs="FrankRuehl" w:hint="cs"/>
          <w:rtl/>
        </w:rPr>
        <w:t xml:space="preserve"> </w:t>
      </w:r>
      <w:r w:rsidRPr="00047A7E">
        <w:rPr>
          <w:rFonts w:ascii="Calibri" w:hAnsi="Calibri" w:cs="FrankRuehl"/>
          <w:rtl/>
        </w:rPr>
        <w:t>–</w:t>
      </w:r>
      <w:r w:rsidRPr="00047A7E">
        <w:rPr>
          <w:rFonts w:ascii="Calibri" w:hAnsi="Calibri" w:cs="FrankRuehl" w:hint="cs"/>
          <w:rtl/>
        </w:rPr>
        <w:t xml:space="preserve"> מדובר בסם "קשה" יותר מאשר חשיש, שפגיעתו רעה. סקירת הפסיקה מלמדת על כלל של ענישה משמעותית מאחורי סורג ובריח </w:t>
      </w:r>
      <w:r w:rsidRPr="00047A7E">
        <w:rPr>
          <w:rFonts w:ascii="Calibri" w:hAnsi="Calibri" w:cs="FrankRuehl"/>
          <w:rtl/>
        </w:rPr>
        <w:t>–</w:t>
      </w:r>
      <w:r w:rsidRPr="00047A7E">
        <w:rPr>
          <w:rFonts w:ascii="Calibri" w:hAnsi="Calibri" w:cs="FrankRuehl" w:hint="cs"/>
          <w:rtl/>
        </w:rPr>
        <w:t xml:space="preserve"> ר' למשל </w:t>
      </w:r>
      <w:hyperlink r:id="rId20" w:history="1">
        <w:r w:rsidR="005222D4" w:rsidRPr="005222D4">
          <w:rPr>
            <w:rFonts w:ascii="Calibri" w:hAnsi="Calibri" w:cs="FrankRuehl" w:hint="eastAsia"/>
            <w:color w:val="0000FF"/>
            <w:u w:val="single"/>
            <w:rtl/>
          </w:rPr>
          <w:t>עפ</w:t>
        </w:r>
        <w:r w:rsidR="005222D4" w:rsidRPr="005222D4">
          <w:rPr>
            <w:rFonts w:ascii="Calibri" w:hAnsi="Calibri" w:cs="FrankRuehl"/>
            <w:color w:val="0000FF"/>
            <w:u w:val="single"/>
            <w:rtl/>
          </w:rPr>
          <w:t>"</w:t>
        </w:r>
        <w:r w:rsidR="005222D4" w:rsidRPr="005222D4">
          <w:rPr>
            <w:rFonts w:ascii="Calibri" w:hAnsi="Calibri" w:cs="FrankRuehl" w:hint="eastAsia"/>
            <w:color w:val="0000FF"/>
            <w:u w:val="single"/>
            <w:rtl/>
          </w:rPr>
          <w:t>ג</w:t>
        </w:r>
        <w:r w:rsidR="005222D4" w:rsidRPr="005222D4">
          <w:rPr>
            <w:rFonts w:ascii="Calibri" w:hAnsi="Calibri" w:cs="FrankRuehl"/>
            <w:color w:val="0000FF"/>
            <w:u w:val="single"/>
            <w:rtl/>
          </w:rPr>
          <w:t xml:space="preserve"> 28467-09-16</w:t>
        </w:r>
      </w:hyperlink>
      <w:r w:rsidRPr="00047A7E">
        <w:rPr>
          <w:rFonts w:ascii="Calibri" w:hAnsi="Calibri" w:cs="FrankRuehl" w:hint="cs"/>
          <w:rtl/>
        </w:rPr>
        <w:t xml:space="preserve"> (מחוזי ב"ש) </w:t>
      </w:r>
      <w:r w:rsidRPr="00047A7E">
        <w:rPr>
          <w:rFonts w:ascii="Calibri" w:hAnsi="Calibri" w:cs="FrankRuehl" w:hint="cs"/>
          <w:b/>
          <w:bCs/>
          <w:u w:val="single"/>
          <w:rtl/>
        </w:rPr>
        <w:t>אדוג ואח'</w:t>
      </w:r>
      <w:r w:rsidRPr="00047A7E">
        <w:rPr>
          <w:rFonts w:ascii="Calibri" w:hAnsi="Calibri" w:cs="FrankRuehl" w:hint="cs"/>
          <w:rtl/>
        </w:rPr>
        <w:t xml:space="preserve"> נ' </w:t>
      </w:r>
      <w:r w:rsidRPr="00047A7E">
        <w:rPr>
          <w:rFonts w:ascii="Calibri" w:hAnsi="Calibri" w:cs="FrankRuehl" w:hint="cs"/>
          <w:b/>
          <w:bCs/>
          <w:u w:val="single"/>
          <w:rtl/>
        </w:rPr>
        <w:t>מ"י</w:t>
      </w:r>
      <w:r w:rsidRPr="00047A7E">
        <w:rPr>
          <w:rFonts w:ascii="Calibri" w:hAnsi="Calibri" w:cs="FrankRuehl" w:hint="cs"/>
          <w:rtl/>
        </w:rPr>
        <w:t xml:space="preserve"> (מיום 18.1.2017) שם נדון נאשם ל-9 חודשי מאסר בפועל לאחר שהורשע בסחר בקוקאין וסיוע לסחר בקוקאין בכמות של כ-4.8 גרם, לנוכח מתחם ענישה שבין 9 ל-24 חודשי מאסר בפועל. ב</w:t>
      </w:r>
      <w:hyperlink r:id="rId21" w:history="1">
        <w:r w:rsidR="005222D4" w:rsidRPr="005222D4">
          <w:rPr>
            <w:rFonts w:ascii="Calibri" w:hAnsi="Calibri" w:cs="FrankRuehl" w:hint="eastAsia"/>
            <w:color w:val="0000FF"/>
            <w:u w:val="single"/>
            <w:rtl/>
          </w:rPr>
          <w:t>עפ</w:t>
        </w:r>
        <w:r w:rsidR="005222D4" w:rsidRPr="005222D4">
          <w:rPr>
            <w:rFonts w:ascii="Calibri" w:hAnsi="Calibri" w:cs="FrankRuehl"/>
            <w:color w:val="0000FF"/>
            <w:u w:val="single"/>
            <w:rtl/>
          </w:rPr>
          <w:t>"</w:t>
        </w:r>
        <w:r w:rsidR="005222D4" w:rsidRPr="005222D4">
          <w:rPr>
            <w:rFonts w:ascii="Calibri" w:hAnsi="Calibri" w:cs="FrankRuehl" w:hint="eastAsia"/>
            <w:color w:val="0000FF"/>
            <w:u w:val="single"/>
            <w:rtl/>
          </w:rPr>
          <w:t>ג</w:t>
        </w:r>
        <w:r w:rsidR="005222D4" w:rsidRPr="005222D4">
          <w:rPr>
            <w:rFonts w:ascii="Calibri" w:hAnsi="Calibri" w:cs="FrankRuehl"/>
            <w:color w:val="0000FF"/>
            <w:u w:val="single"/>
            <w:rtl/>
          </w:rPr>
          <w:t xml:space="preserve"> (</w:t>
        </w:r>
        <w:r w:rsidR="005222D4" w:rsidRPr="005222D4">
          <w:rPr>
            <w:rFonts w:ascii="Calibri" w:hAnsi="Calibri" w:cs="FrankRuehl" w:hint="eastAsia"/>
            <w:color w:val="0000FF"/>
            <w:u w:val="single"/>
            <w:rtl/>
          </w:rPr>
          <w:t>מחוזי</w:t>
        </w:r>
        <w:r w:rsidR="005222D4" w:rsidRPr="005222D4">
          <w:rPr>
            <w:rFonts w:ascii="Calibri" w:hAnsi="Calibri" w:cs="FrankRuehl"/>
            <w:color w:val="0000FF"/>
            <w:u w:val="single"/>
            <w:rtl/>
          </w:rPr>
          <w:t xml:space="preserve"> </w:t>
        </w:r>
        <w:r w:rsidR="005222D4" w:rsidRPr="005222D4">
          <w:rPr>
            <w:rFonts w:ascii="Calibri" w:hAnsi="Calibri" w:cs="FrankRuehl" w:hint="eastAsia"/>
            <w:color w:val="0000FF"/>
            <w:u w:val="single"/>
            <w:rtl/>
          </w:rPr>
          <w:t>ב</w:t>
        </w:r>
        <w:r w:rsidR="005222D4" w:rsidRPr="005222D4">
          <w:rPr>
            <w:rFonts w:ascii="Calibri" w:hAnsi="Calibri" w:cs="FrankRuehl"/>
            <w:color w:val="0000FF"/>
            <w:u w:val="single"/>
            <w:rtl/>
          </w:rPr>
          <w:t>"</w:t>
        </w:r>
        <w:r w:rsidR="005222D4" w:rsidRPr="005222D4">
          <w:rPr>
            <w:rFonts w:ascii="Calibri" w:hAnsi="Calibri" w:cs="FrankRuehl" w:hint="eastAsia"/>
            <w:color w:val="0000FF"/>
            <w:u w:val="single"/>
            <w:rtl/>
          </w:rPr>
          <w:t>ש</w:t>
        </w:r>
        <w:r w:rsidR="005222D4" w:rsidRPr="005222D4">
          <w:rPr>
            <w:rFonts w:ascii="Calibri" w:hAnsi="Calibri" w:cs="FrankRuehl"/>
            <w:color w:val="0000FF"/>
            <w:u w:val="single"/>
            <w:rtl/>
          </w:rPr>
          <w:t>) 2811-05-10</w:t>
        </w:r>
      </w:hyperlink>
      <w:r w:rsidRPr="00047A7E">
        <w:rPr>
          <w:rFonts w:ascii="Calibri" w:hAnsi="Calibri" w:cs="FrankRuehl" w:hint="cs"/>
          <w:rtl/>
        </w:rPr>
        <w:t xml:space="preserve"> </w:t>
      </w:r>
      <w:r w:rsidRPr="00047A7E">
        <w:rPr>
          <w:rFonts w:ascii="Calibri" w:hAnsi="Calibri" w:cs="FrankRuehl" w:hint="cs"/>
          <w:b/>
          <w:bCs/>
          <w:u w:val="single"/>
          <w:rtl/>
        </w:rPr>
        <w:t>מ"י</w:t>
      </w:r>
      <w:r w:rsidRPr="00047A7E">
        <w:rPr>
          <w:rFonts w:ascii="Calibri" w:hAnsi="Calibri" w:cs="FrankRuehl" w:hint="cs"/>
          <w:rtl/>
        </w:rPr>
        <w:t xml:space="preserve"> נ' </w:t>
      </w:r>
      <w:r w:rsidRPr="00047A7E">
        <w:rPr>
          <w:rFonts w:ascii="Calibri" w:hAnsi="Calibri" w:cs="FrankRuehl" w:hint="cs"/>
          <w:b/>
          <w:bCs/>
          <w:u w:val="single"/>
          <w:rtl/>
        </w:rPr>
        <w:t>ביטון</w:t>
      </w:r>
      <w:r w:rsidRPr="00047A7E">
        <w:rPr>
          <w:rFonts w:ascii="Calibri" w:hAnsi="Calibri" w:cs="FrankRuehl" w:hint="cs"/>
          <w:rtl/>
        </w:rPr>
        <w:t xml:space="preserve"> (מיום 5.5.2010) אושר גזר דין של 15 חודשי מאסר בגין סחר בקוקאין ב-10 גרם בהזדמנות אחת, 7.4 גרם בהזדמנות אחרת והחזקת 10 גרם קוקאין שלא לצריכה עצמית. יחד עם זאת, ב</w:t>
      </w:r>
      <w:hyperlink r:id="rId22" w:history="1">
        <w:r w:rsidR="005222D4" w:rsidRPr="005222D4">
          <w:rPr>
            <w:rFonts w:ascii="Calibri" w:hAnsi="Calibri" w:cs="FrankRuehl" w:hint="eastAsia"/>
            <w:color w:val="0000FF"/>
            <w:u w:val="single"/>
            <w:rtl/>
          </w:rPr>
          <w:t>ת</w:t>
        </w:r>
        <w:r w:rsidR="005222D4" w:rsidRPr="005222D4">
          <w:rPr>
            <w:rFonts w:ascii="Calibri" w:hAnsi="Calibri" w:cs="FrankRuehl"/>
            <w:color w:val="0000FF"/>
            <w:u w:val="single"/>
            <w:rtl/>
          </w:rPr>
          <w:t>"</w:t>
        </w:r>
        <w:r w:rsidR="005222D4" w:rsidRPr="005222D4">
          <w:rPr>
            <w:rFonts w:ascii="Calibri" w:hAnsi="Calibri" w:cs="FrankRuehl" w:hint="eastAsia"/>
            <w:color w:val="0000FF"/>
            <w:u w:val="single"/>
            <w:rtl/>
          </w:rPr>
          <w:t>פ</w:t>
        </w:r>
        <w:r w:rsidR="005222D4" w:rsidRPr="005222D4">
          <w:rPr>
            <w:rFonts w:ascii="Calibri" w:hAnsi="Calibri" w:cs="FrankRuehl"/>
            <w:color w:val="0000FF"/>
            <w:u w:val="single"/>
            <w:rtl/>
          </w:rPr>
          <w:t xml:space="preserve"> (</w:t>
        </w:r>
        <w:r w:rsidR="005222D4" w:rsidRPr="005222D4">
          <w:rPr>
            <w:rFonts w:ascii="Calibri" w:hAnsi="Calibri" w:cs="FrankRuehl" w:hint="eastAsia"/>
            <w:color w:val="0000FF"/>
            <w:u w:val="single"/>
            <w:rtl/>
          </w:rPr>
          <w:t>מחוזי</w:t>
        </w:r>
        <w:r w:rsidR="005222D4" w:rsidRPr="005222D4">
          <w:rPr>
            <w:rFonts w:ascii="Calibri" w:hAnsi="Calibri" w:cs="FrankRuehl"/>
            <w:color w:val="0000FF"/>
            <w:u w:val="single"/>
            <w:rtl/>
          </w:rPr>
          <w:t xml:space="preserve"> </w:t>
        </w:r>
        <w:r w:rsidR="005222D4" w:rsidRPr="005222D4">
          <w:rPr>
            <w:rFonts w:ascii="Calibri" w:hAnsi="Calibri" w:cs="FrankRuehl" w:hint="eastAsia"/>
            <w:color w:val="0000FF"/>
            <w:u w:val="single"/>
            <w:rtl/>
          </w:rPr>
          <w:t>חיפה</w:t>
        </w:r>
        <w:r w:rsidR="005222D4" w:rsidRPr="005222D4">
          <w:rPr>
            <w:rFonts w:ascii="Calibri" w:hAnsi="Calibri" w:cs="FrankRuehl"/>
            <w:color w:val="0000FF"/>
            <w:u w:val="single"/>
            <w:rtl/>
          </w:rPr>
          <w:t>) 22435-01-15</w:t>
        </w:r>
      </w:hyperlink>
      <w:r w:rsidRPr="00047A7E">
        <w:rPr>
          <w:rFonts w:ascii="Calibri" w:hAnsi="Calibri" w:cs="FrankRuehl" w:hint="cs"/>
          <w:rtl/>
        </w:rPr>
        <w:t xml:space="preserve"> </w:t>
      </w:r>
      <w:r w:rsidRPr="00047A7E">
        <w:rPr>
          <w:rFonts w:ascii="Calibri" w:hAnsi="Calibri" w:cs="FrankRuehl" w:hint="cs"/>
          <w:b/>
          <w:bCs/>
          <w:u w:val="single"/>
          <w:rtl/>
        </w:rPr>
        <w:t>מ"י</w:t>
      </w:r>
      <w:r w:rsidRPr="00047A7E">
        <w:rPr>
          <w:rFonts w:ascii="Calibri" w:hAnsi="Calibri" w:cs="FrankRuehl" w:hint="cs"/>
          <w:rtl/>
        </w:rPr>
        <w:t xml:space="preserve"> נ' </w:t>
      </w:r>
      <w:r w:rsidRPr="00047A7E">
        <w:rPr>
          <w:rFonts w:ascii="Calibri" w:hAnsi="Calibri" w:cs="FrankRuehl" w:hint="cs"/>
          <w:b/>
          <w:bCs/>
          <w:u w:val="single"/>
          <w:rtl/>
        </w:rPr>
        <w:t>שעיב  ואח</w:t>
      </w:r>
      <w:r w:rsidRPr="00047A7E">
        <w:rPr>
          <w:rFonts w:ascii="Calibri" w:hAnsi="Calibri" w:cs="FrankRuehl" w:hint="cs"/>
          <w:rtl/>
        </w:rPr>
        <w:t>' (מיום16.2.2016) נקבע מתחם ענישה שבין חודשי מאסר ספורים לרבות בעבודות שירות, ל- 12 חודשי מאסר, בנסיבות של סיוע לסחר בסם זה בעסקה במשקל העולה על 8 גרם קוקאין. בסופו של יום נגזרו 5 חודשי מאסר בעבודות שירות על אותה נאשמת, מבלי שבוצעה חריגה מן המתחם. ב</w:t>
      </w:r>
      <w:hyperlink r:id="rId23" w:history="1">
        <w:r w:rsidR="005222D4" w:rsidRPr="005222D4">
          <w:rPr>
            <w:rFonts w:ascii="Calibri" w:hAnsi="Calibri" w:cs="FrankRuehl" w:hint="eastAsia"/>
            <w:color w:val="0000FF"/>
            <w:u w:val="single"/>
            <w:rtl/>
          </w:rPr>
          <w:t>עפ</w:t>
        </w:r>
        <w:r w:rsidR="005222D4" w:rsidRPr="005222D4">
          <w:rPr>
            <w:rFonts w:ascii="Calibri" w:hAnsi="Calibri" w:cs="FrankRuehl"/>
            <w:color w:val="0000FF"/>
            <w:u w:val="single"/>
            <w:rtl/>
          </w:rPr>
          <w:t>"</w:t>
        </w:r>
        <w:r w:rsidR="005222D4" w:rsidRPr="005222D4">
          <w:rPr>
            <w:rFonts w:ascii="Calibri" w:hAnsi="Calibri" w:cs="FrankRuehl" w:hint="eastAsia"/>
            <w:color w:val="0000FF"/>
            <w:u w:val="single"/>
            <w:rtl/>
          </w:rPr>
          <w:t>ג</w:t>
        </w:r>
        <w:r w:rsidR="005222D4" w:rsidRPr="005222D4">
          <w:rPr>
            <w:rFonts w:ascii="Calibri" w:hAnsi="Calibri" w:cs="FrankRuehl"/>
            <w:color w:val="0000FF"/>
            <w:u w:val="single"/>
            <w:rtl/>
          </w:rPr>
          <w:t xml:space="preserve"> (</w:t>
        </w:r>
        <w:r w:rsidR="005222D4" w:rsidRPr="005222D4">
          <w:rPr>
            <w:rFonts w:ascii="Calibri" w:hAnsi="Calibri" w:cs="FrankRuehl" w:hint="eastAsia"/>
            <w:color w:val="0000FF"/>
            <w:u w:val="single"/>
            <w:rtl/>
          </w:rPr>
          <w:t>מחוזי</w:t>
        </w:r>
        <w:r w:rsidR="005222D4" w:rsidRPr="005222D4">
          <w:rPr>
            <w:rFonts w:ascii="Calibri" w:hAnsi="Calibri" w:cs="FrankRuehl"/>
            <w:color w:val="0000FF"/>
            <w:u w:val="single"/>
            <w:rtl/>
          </w:rPr>
          <w:t xml:space="preserve"> </w:t>
        </w:r>
        <w:r w:rsidR="005222D4" w:rsidRPr="005222D4">
          <w:rPr>
            <w:rFonts w:ascii="Calibri" w:hAnsi="Calibri" w:cs="FrankRuehl" w:hint="eastAsia"/>
            <w:color w:val="0000FF"/>
            <w:u w:val="single"/>
            <w:rtl/>
          </w:rPr>
          <w:t>חיפה</w:t>
        </w:r>
        <w:r w:rsidR="005222D4" w:rsidRPr="005222D4">
          <w:rPr>
            <w:rFonts w:ascii="Calibri" w:hAnsi="Calibri" w:cs="FrankRuehl"/>
            <w:color w:val="0000FF"/>
            <w:u w:val="single"/>
            <w:rtl/>
          </w:rPr>
          <w:t>) 53142-12-16</w:t>
        </w:r>
      </w:hyperlink>
      <w:r w:rsidRPr="00047A7E">
        <w:rPr>
          <w:rFonts w:ascii="Calibri" w:hAnsi="Calibri" w:cs="FrankRuehl" w:hint="cs"/>
          <w:rtl/>
        </w:rPr>
        <w:t xml:space="preserve"> </w:t>
      </w:r>
      <w:r w:rsidRPr="00047A7E">
        <w:rPr>
          <w:rFonts w:ascii="Calibri" w:hAnsi="Calibri" w:cs="FrankRuehl" w:hint="cs"/>
          <w:b/>
          <w:bCs/>
          <w:u w:val="single"/>
          <w:rtl/>
        </w:rPr>
        <w:t>רחימוב</w:t>
      </w:r>
      <w:r w:rsidRPr="00047A7E">
        <w:rPr>
          <w:rFonts w:ascii="Calibri" w:hAnsi="Calibri" w:cs="FrankRuehl" w:hint="cs"/>
          <w:rtl/>
        </w:rPr>
        <w:t xml:space="preserve"> נ' </w:t>
      </w:r>
      <w:r w:rsidRPr="00047A7E">
        <w:rPr>
          <w:rFonts w:ascii="Calibri" w:hAnsi="Calibri" w:cs="FrankRuehl" w:hint="cs"/>
          <w:b/>
          <w:bCs/>
          <w:u w:val="single"/>
          <w:rtl/>
        </w:rPr>
        <w:t>מ"י</w:t>
      </w:r>
      <w:r w:rsidRPr="00047A7E">
        <w:rPr>
          <w:rFonts w:ascii="Calibri" w:hAnsi="Calibri" w:cs="FrankRuehl" w:hint="cs"/>
          <w:rtl/>
        </w:rPr>
        <w:t xml:space="preserve"> (מיום 17.5.2017) אושר מתחם שבין 13 ל-30 ח' מאסר בנסיבות של סחר ב-15 גרם קוקאין והחזקת חשיש לצריכה עצמית. יחד עם זאת, נגזר על העורר שם מאסר של 6 חודשים לריצוי בדרך של עבודות שירות, לנוכח תהליך שיקומי שעבר. </w:t>
      </w:r>
    </w:p>
    <w:p w14:paraId="43CEED5B" w14:textId="77777777" w:rsidR="00047A7E" w:rsidRPr="00047A7E" w:rsidRDefault="00047A7E" w:rsidP="00047A7E">
      <w:pPr>
        <w:spacing w:after="160" w:line="360" w:lineRule="auto"/>
        <w:jc w:val="both"/>
        <w:rPr>
          <w:rFonts w:ascii="Calibri" w:hAnsi="Calibri" w:cs="FrankRuehl"/>
          <w:rtl/>
        </w:rPr>
      </w:pPr>
    </w:p>
    <w:p w14:paraId="7474A3E8" w14:textId="77777777" w:rsidR="00047A7E" w:rsidRPr="00047A7E" w:rsidRDefault="00047A7E" w:rsidP="00047A7E">
      <w:pPr>
        <w:spacing w:after="160" w:line="360" w:lineRule="auto"/>
        <w:jc w:val="both"/>
        <w:rPr>
          <w:rFonts w:ascii="Calibri" w:hAnsi="Calibri" w:cs="FrankRuehl"/>
          <w:b/>
          <w:bCs/>
          <w:u w:val="single"/>
          <w:rtl/>
        </w:rPr>
      </w:pPr>
    </w:p>
    <w:p w14:paraId="39C0F20B"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b/>
          <w:bCs/>
          <w:u w:val="single"/>
          <w:rtl/>
        </w:rPr>
        <w:t>מתחם הענישה</w:t>
      </w:r>
    </w:p>
    <w:p w14:paraId="3A126617"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rtl/>
        </w:rPr>
        <w:t>אומר תחילה, כי יש לקבוע שהאישום הראשון מהווה אירוע אחד, ואילו האישומים השני עד הרביעי מהווים אירוע נוסף. זאת הואיל ובאישום הראשון מדובר בסחר בחשיש, ואילו באישומים הנותרים מדובר בסחר בקוקאין. אבחנה זו עולה בקנה אחד עם מבחן "הקשר ההדוק" שנקבע ב</w:t>
      </w:r>
      <w:hyperlink r:id="rId24" w:history="1">
        <w:r w:rsidR="005222D4" w:rsidRPr="005222D4">
          <w:rPr>
            <w:rFonts w:ascii="Calibri" w:hAnsi="Calibri" w:cs="FrankRuehl" w:hint="eastAsia"/>
            <w:color w:val="0000FF"/>
            <w:u w:val="single"/>
            <w:rtl/>
          </w:rPr>
          <w:t>ע</w:t>
        </w:r>
        <w:r w:rsidR="005222D4" w:rsidRPr="005222D4">
          <w:rPr>
            <w:rFonts w:ascii="Calibri" w:hAnsi="Calibri" w:cs="FrankRuehl"/>
            <w:color w:val="0000FF"/>
            <w:u w:val="single"/>
            <w:rtl/>
          </w:rPr>
          <w:t>"</w:t>
        </w:r>
        <w:r w:rsidR="005222D4" w:rsidRPr="005222D4">
          <w:rPr>
            <w:rFonts w:ascii="Calibri" w:hAnsi="Calibri" w:cs="FrankRuehl" w:hint="eastAsia"/>
            <w:color w:val="0000FF"/>
            <w:u w:val="single"/>
            <w:rtl/>
          </w:rPr>
          <w:t>פ</w:t>
        </w:r>
        <w:r w:rsidR="005222D4" w:rsidRPr="005222D4">
          <w:rPr>
            <w:rFonts w:ascii="Calibri" w:hAnsi="Calibri" w:cs="FrankRuehl"/>
            <w:color w:val="0000FF"/>
            <w:u w:val="single"/>
            <w:rtl/>
          </w:rPr>
          <w:t xml:space="preserve"> 4910/13</w:t>
        </w:r>
      </w:hyperlink>
      <w:r w:rsidRPr="00047A7E">
        <w:rPr>
          <w:rFonts w:ascii="Calibri" w:hAnsi="Calibri" w:cs="FrankRuehl" w:hint="cs"/>
          <w:rtl/>
        </w:rPr>
        <w:t xml:space="preserve"> </w:t>
      </w:r>
      <w:r w:rsidRPr="00047A7E">
        <w:rPr>
          <w:rFonts w:ascii="Calibri" w:hAnsi="Calibri" w:cs="FrankRuehl" w:hint="cs"/>
          <w:b/>
          <w:bCs/>
          <w:u w:val="single"/>
          <w:rtl/>
        </w:rPr>
        <w:t>בני ג'אבר</w:t>
      </w:r>
      <w:r w:rsidRPr="00047A7E">
        <w:rPr>
          <w:rFonts w:ascii="Calibri" w:hAnsi="Calibri" w:cs="FrankRuehl" w:hint="cs"/>
          <w:rtl/>
        </w:rPr>
        <w:t xml:space="preserve"> נ' </w:t>
      </w:r>
      <w:r w:rsidRPr="00047A7E">
        <w:rPr>
          <w:rFonts w:ascii="Calibri" w:hAnsi="Calibri" w:cs="FrankRuehl" w:hint="cs"/>
          <w:b/>
          <w:bCs/>
          <w:u w:val="single"/>
          <w:rtl/>
        </w:rPr>
        <w:t>מ"י</w:t>
      </w:r>
      <w:r w:rsidRPr="00047A7E">
        <w:rPr>
          <w:rFonts w:ascii="Calibri" w:hAnsi="Calibri" w:cs="FrankRuehl" w:hint="cs"/>
          <w:rtl/>
        </w:rPr>
        <w:t xml:space="preserve"> (מיום 29.10.2014) </w:t>
      </w:r>
      <w:r w:rsidRPr="00047A7E">
        <w:rPr>
          <w:rFonts w:ascii="Calibri" w:hAnsi="Calibri" w:cs="FrankRuehl"/>
          <w:rtl/>
        </w:rPr>
        <w:t>–</w:t>
      </w:r>
      <w:r w:rsidRPr="00047A7E">
        <w:rPr>
          <w:rFonts w:ascii="Calibri" w:hAnsi="Calibri" w:cs="FrankRuehl" w:hint="cs"/>
          <w:rtl/>
        </w:rPr>
        <w:t xml:space="preserve"> מדובר באותם גורמים המעורבים בעסקאות, בפרקי זמן קצרים יחסית, ובאופן ביצוע דומה בנסיבות דומות. הטעם להפריד בין האישום הראשון ליתר נעוץ בסוג הסם וכמותו. </w:t>
      </w:r>
    </w:p>
    <w:p w14:paraId="6EE34EE1"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rtl/>
        </w:rPr>
        <w:t xml:space="preserve">אשר לאישום הראשון </w:t>
      </w:r>
      <w:r w:rsidRPr="00047A7E">
        <w:rPr>
          <w:rFonts w:ascii="Calibri" w:hAnsi="Calibri" w:cs="FrankRuehl"/>
          <w:rtl/>
        </w:rPr>
        <w:t>–</w:t>
      </w:r>
      <w:r w:rsidRPr="00047A7E">
        <w:rPr>
          <w:rFonts w:ascii="Calibri" w:hAnsi="Calibri" w:cs="FrankRuehl" w:hint="cs"/>
          <w:rtl/>
        </w:rPr>
        <w:t xml:space="preserve"> קובע מתחם שבין  חודשים בודדים ל-10 חודשי מאסר וענישה נלווית.</w:t>
      </w:r>
    </w:p>
    <w:p w14:paraId="2155F55E"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rtl/>
        </w:rPr>
        <w:t xml:space="preserve">אשר לאישומים הנותרים </w:t>
      </w:r>
      <w:r w:rsidRPr="00047A7E">
        <w:rPr>
          <w:rFonts w:ascii="Calibri" w:hAnsi="Calibri" w:cs="FrankRuehl"/>
          <w:rtl/>
        </w:rPr>
        <w:t>–</w:t>
      </w:r>
      <w:r w:rsidRPr="00047A7E">
        <w:rPr>
          <w:rFonts w:ascii="Calibri" w:hAnsi="Calibri" w:cs="FrankRuehl" w:hint="cs"/>
          <w:rtl/>
        </w:rPr>
        <w:t xml:space="preserve"> קובע מתחם שבין 5 ל-12 חודשי מאסר וענישה נלווית.</w:t>
      </w:r>
    </w:p>
    <w:p w14:paraId="79B2D2B7" w14:textId="77777777" w:rsidR="00047A7E" w:rsidRPr="00047A7E" w:rsidRDefault="00047A7E" w:rsidP="00047A7E">
      <w:pPr>
        <w:spacing w:after="160" w:line="360" w:lineRule="auto"/>
        <w:jc w:val="both"/>
        <w:rPr>
          <w:rFonts w:ascii="Calibri" w:hAnsi="Calibri" w:cs="FrankRuehl"/>
          <w:b/>
          <w:bCs/>
          <w:rtl/>
        </w:rPr>
      </w:pPr>
    </w:p>
    <w:p w14:paraId="5C4A9FD4"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b/>
          <w:bCs/>
          <w:u w:val="single"/>
          <w:rtl/>
        </w:rPr>
        <w:t xml:space="preserve">נסיבות שאינן קשורות בביצוע העבירה לפי </w:t>
      </w:r>
      <w:hyperlink r:id="rId25" w:history="1">
        <w:r w:rsidR="00C3696E" w:rsidRPr="00C3696E">
          <w:rPr>
            <w:rFonts w:ascii="Calibri" w:hAnsi="Calibri" w:cs="FrankRuehl" w:hint="eastAsia"/>
            <w:b/>
            <w:bCs/>
            <w:color w:val="0000FF"/>
            <w:u w:val="single"/>
            <w:rtl/>
          </w:rPr>
          <w:t>סעיף</w:t>
        </w:r>
        <w:r w:rsidR="00C3696E" w:rsidRPr="00C3696E">
          <w:rPr>
            <w:rFonts w:ascii="Calibri" w:hAnsi="Calibri" w:cs="FrankRuehl"/>
            <w:b/>
            <w:bCs/>
            <w:color w:val="0000FF"/>
            <w:u w:val="single"/>
            <w:rtl/>
          </w:rPr>
          <w:t xml:space="preserve"> 40</w:t>
        </w:r>
        <w:r w:rsidR="00C3696E" w:rsidRPr="00C3696E">
          <w:rPr>
            <w:rFonts w:ascii="Calibri" w:hAnsi="Calibri" w:cs="FrankRuehl" w:hint="eastAsia"/>
            <w:b/>
            <w:bCs/>
            <w:color w:val="0000FF"/>
            <w:u w:val="single"/>
            <w:rtl/>
          </w:rPr>
          <w:t>י</w:t>
        </w:r>
        <w:r w:rsidR="00C3696E" w:rsidRPr="00C3696E">
          <w:rPr>
            <w:rFonts w:ascii="Calibri" w:hAnsi="Calibri" w:cs="FrankRuehl"/>
            <w:b/>
            <w:bCs/>
            <w:color w:val="0000FF"/>
            <w:u w:val="single"/>
            <w:rtl/>
          </w:rPr>
          <w:t>"</w:t>
        </w:r>
        <w:r w:rsidR="00C3696E" w:rsidRPr="00C3696E">
          <w:rPr>
            <w:rFonts w:ascii="Calibri" w:hAnsi="Calibri" w:cs="FrankRuehl" w:hint="eastAsia"/>
            <w:b/>
            <w:bCs/>
            <w:color w:val="0000FF"/>
            <w:u w:val="single"/>
            <w:rtl/>
          </w:rPr>
          <w:t>א</w:t>
        </w:r>
      </w:hyperlink>
      <w:r w:rsidRPr="00047A7E">
        <w:rPr>
          <w:rFonts w:ascii="Calibri" w:hAnsi="Calibri" w:cs="FrankRuehl" w:hint="cs"/>
          <w:b/>
          <w:bCs/>
          <w:u w:val="single"/>
          <w:rtl/>
        </w:rPr>
        <w:t xml:space="preserve"> ל</w:t>
      </w:r>
      <w:hyperlink r:id="rId26" w:history="1">
        <w:r w:rsidR="005222D4" w:rsidRPr="005222D4">
          <w:rPr>
            <w:rFonts w:ascii="Calibri" w:hAnsi="Calibri" w:cs="FrankRuehl" w:hint="eastAsia"/>
            <w:b/>
            <w:bCs/>
            <w:color w:val="0000FF"/>
            <w:u w:val="single"/>
            <w:rtl/>
          </w:rPr>
          <w:t>חוק</w:t>
        </w:r>
        <w:r w:rsidR="005222D4" w:rsidRPr="005222D4">
          <w:rPr>
            <w:rFonts w:ascii="Calibri" w:hAnsi="Calibri" w:cs="FrankRuehl"/>
            <w:b/>
            <w:bCs/>
            <w:color w:val="0000FF"/>
            <w:u w:val="single"/>
            <w:rtl/>
          </w:rPr>
          <w:t xml:space="preserve"> </w:t>
        </w:r>
        <w:r w:rsidR="005222D4" w:rsidRPr="005222D4">
          <w:rPr>
            <w:rFonts w:ascii="Calibri" w:hAnsi="Calibri" w:cs="FrankRuehl" w:hint="eastAsia"/>
            <w:b/>
            <w:bCs/>
            <w:color w:val="0000FF"/>
            <w:u w:val="single"/>
            <w:rtl/>
          </w:rPr>
          <w:t>העונשין</w:t>
        </w:r>
      </w:hyperlink>
      <w:r w:rsidRPr="00047A7E">
        <w:rPr>
          <w:rFonts w:ascii="Calibri" w:hAnsi="Calibri" w:cs="FrankRuehl" w:hint="cs"/>
          <w:b/>
          <w:bCs/>
          <w:rtl/>
        </w:rPr>
        <w:t xml:space="preserve"> – </w:t>
      </w:r>
      <w:r w:rsidRPr="00047A7E">
        <w:rPr>
          <w:rFonts w:ascii="Calibri" w:hAnsi="Calibri" w:cs="FrankRuehl" w:hint="cs"/>
          <w:rtl/>
        </w:rPr>
        <w:t xml:space="preserve">ניתן  לתת משקל לנסיבות הבאות שאינן קשורות בביצוע העבירה, במסגרת גזירת העונש בתוך המתחם: הנאשם מעולם לא ריצה עונש מאסר, ואך ברור כי עונש שכזה יפגע בו; הפגיעה במשפחתו אינה מהחמורות לנוכח העובדה שאין מי שנסמך על שולחנו;  הנאשם נטל אחריות למעשיו ללא הסדר, הודה ועבר תהליך טיפולי ארוך למדי שבמסגרתו שיתף פעולה עם שירות המבחן במידה טובה והפגין כוחות להשתקם ולעלות על דרך המלך; הוא לא הפר את תנאי שחרורו, הגם שהיה משוחרר תקופה ארוכה למדי, אף עוד טרם הגשת כתב האישום, והדבר מלמד על מידת האמון שניתן לתת בו; עברו הפלילי של הנאשם אינו מכביד, ואף אינו רלבנטי לעבירות בהן הורשע כאן. </w:t>
      </w:r>
    </w:p>
    <w:p w14:paraId="35E270D7" w14:textId="77777777" w:rsidR="00047A7E" w:rsidRPr="00047A7E" w:rsidRDefault="00047A7E" w:rsidP="00047A7E">
      <w:pPr>
        <w:spacing w:after="160" w:line="360" w:lineRule="auto"/>
        <w:jc w:val="both"/>
        <w:rPr>
          <w:rFonts w:ascii="Calibri" w:hAnsi="Calibri" w:cs="FrankRuehl"/>
          <w:b/>
          <w:bCs/>
          <w:u w:val="single"/>
          <w:rtl/>
        </w:rPr>
      </w:pPr>
    </w:p>
    <w:p w14:paraId="4B0FC65D"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b/>
          <w:bCs/>
          <w:u w:val="single"/>
          <w:rtl/>
        </w:rPr>
        <w:t>המיקום במתחם</w:t>
      </w:r>
      <w:r w:rsidRPr="00047A7E">
        <w:rPr>
          <w:rFonts w:ascii="Calibri" w:hAnsi="Calibri" w:cs="FrankRuehl" w:hint="cs"/>
          <w:rtl/>
        </w:rPr>
        <w:t xml:space="preserve"> </w:t>
      </w:r>
    </w:p>
    <w:p w14:paraId="3739CAF5"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rtl/>
        </w:rPr>
        <w:t xml:space="preserve">אלמלא שיקולי שיקום, היה מקום להעמיד את הנאשם באמצע המתחם. </w:t>
      </w:r>
    </w:p>
    <w:p w14:paraId="3F2BE56E"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rtl/>
        </w:rPr>
        <w:t xml:space="preserve"> </w:t>
      </w:r>
    </w:p>
    <w:p w14:paraId="120D914B" w14:textId="77777777" w:rsidR="00047A7E" w:rsidRPr="00047A7E" w:rsidRDefault="00047A7E" w:rsidP="00047A7E">
      <w:pPr>
        <w:spacing w:after="160" w:line="360" w:lineRule="auto"/>
        <w:jc w:val="both"/>
        <w:rPr>
          <w:rFonts w:ascii="Calibri" w:hAnsi="Calibri" w:cs="FrankRuehl"/>
          <w:b/>
          <w:bCs/>
          <w:u w:val="single"/>
          <w:rtl/>
        </w:rPr>
      </w:pPr>
      <w:r w:rsidRPr="00047A7E">
        <w:rPr>
          <w:rFonts w:ascii="Calibri" w:hAnsi="Calibri" w:cs="FrankRuehl" w:hint="cs"/>
          <w:b/>
          <w:bCs/>
          <w:u w:val="single"/>
          <w:rtl/>
        </w:rPr>
        <w:t>שיקולים לחריגה מן המתחם במקרים מתאימים</w:t>
      </w:r>
    </w:p>
    <w:p w14:paraId="2D8BA60A"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b/>
          <w:bCs/>
          <w:u w:val="single"/>
          <w:rtl/>
        </w:rPr>
        <w:t>40ד' – שיקום</w:t>
      </w:r>
      <w:r w:rsidRPr="00047A7E">
        <w:rPr>
          <w:rFonts w:ascii="Calibri" w:hAnsi="Calibri" w:cs="FrankRuehl" w:hint="cs"/>
          <w:rtl/>
        </w:rPr>
        <w:t xml:space="preserve"> – </w:t>
      </w:r>
    </w:p>
    <w:p w14:paraId="616DA586"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rtl/>
        </w:rPr>
        <w:t>אני סבור כי בעניינו של הנאשם ניתן לחרוג ממתחם הענישה שקבעתי, וזאת משיקולי שיקום. תהליך השיקום שעבר הנאשם ארך זמן רב והוא משמעותי, כפי שמתרשם שירות המבחן. מעבר לכך, סבור שירות המבחן כי ענישה מאחורי סורג ובריח תסיג לאחור את ההישגים של הנאשם עד כה. השירות המליץ על הטלת צו מבחן לצורך הבטחת המשך הטיפול והפיקוח על הנאשם.  הנאשם עצמו סיפר כי הוא משלים כעת לימודיו לקבלת תעודה של 12 שנות לימוד לצורך לימוד מקצוע. אכן, הנאשם עשה דרך מרשימה ביותר, וקשה להשוות בין הנאשם שעמד לפניי בליווי שב"ס בתחילת הדרך, ולנאשם שניצב לפניי היום, הרבה יותר מיושב ואחראי.</w:t>
      </w:r>
    </w:p>
    <w:p w14:paraId="4673E1FE" w14:textId="77777777" w:rsidR="00047A7E" w:rsidRPr="00047A7E" w:rsidRDefault="00047A7E" w:rsidP="00047A7E">
      <w:pPr>
        <w:spacing w:after="160" w:line="360" w:lineRule="auto"/>
        <w:jc w:val="both"/>
        <w:rPr>
          <w:rFonts w:ascii="Calibri" w:hAnsi="Calibri" w:cs="FrankRuehl"/>
          <w:rtl/>
        </w:rPr>
      </w:pPr>
    </w:p>
    <w:p w14:paraId="66B19EB8" w14:textId="77777777" w:rsidR="00047A7E" w:rsidRPr="00047A7E" w:rsidRDefault="00047A7E" w:rsidP="00047A7E">
      <w:pPr>
        <w:spacing w:after="160" w:line="360" w:lineRule="auto"/>
        <w:jc w:val="both"/>
        <w:rPr>
          <w:rFonts w:ascii="Calibri" w:hAnsi="Calibri" w:cs="FrankRuehl"/>
          <w:rtl/>
        </w:rPr>
      </w:pPr>
      <w:r w:rsidRPr="00047A7E">
        <w:rPr>
          <w:rFonts w:ascii="Calibri" w:hAnsi="Calibri" w:cs="FrankRuehl" w:hint="cs"/>
          <w:rtl/>
        </w:rPr>
        <w:t>לפיכך, אני מחליט לגזור על הנאשם את העונשים הבאים:</w:t>
      </w:r>
    </w:p>
    <w:p w14:paraId="4722E3B1" w14:textId="77777777" w:rsidR="00047A7E" w:rsidRPr="00047A7E" w:rsidRDefault="00047A7E" w:rsidP="00047A7E">
      <w:pPr>
        <w:numPr>
          <w:ilvl w:val="0"/>
          <w:numId w:val="1"/>
        </w:numPr>
        <w:spacing w:after="160" w:line="360" w:lineRule="auto"/>
        <w:contextualSpacing/>
        <w:jc w:val="both"/>
        <w:rPr>
          <w:rFonts w:ascii="Calibri" w:hAnsi="Calibri" w:cs="FrankRuehl"/>
        </w:rPr>
      </w:pPr>
      <w:r w:rsidRPr="00047A7E">
        <w:rPr>
          <w:rFonts w:ascii="Calibri" w:hAnsi="Calibri" w:cs="FrankRuehl" w:hint="cs"/>
          <w:rtl/>
        </w:rPr>
        <w:t>6 חודשי מאסר, אשר ירוצו בעבודות שירות, החל מיום  17.6.2018 ב"עידן הזהב" ברחוב אלעזר הגדול בירושלים, וזאת על פי חוות דעת הממונה על עבודות השירות. מובהר בזה כי הפרת הוראות הממונה ואי עמידה בכללים הנוגעים לריצוי עבודות השירות עלולים להביא להפקעת העבודות ולהמרת העונש בעונש מאסר של ממש. ביום הראשון לריצוי העבודות על הנאשם להתייצב אצל הממונה בבאר שבע עד לשעה 08:30.</w:t>
      </w:r>
    </w:p>
    <w:p w14:paraId="2085D7E4" w14:textId="77777777" w:rsidR="00047A7E" w:rsidRPr="00047A7E" w:rsidRDefault="00047A7E" w:rsidP="00047A7E">
      <w:pPr>
        <w:numPr>
          <w:ilvl w:val="0"/>
          <w:numId w:val="1"/>
        </w:numPr>
        <w:spacing w:after="160" w:line="360" w:lineRule="auto"/>
        <w:contextualSpacing/>
        <w:jc w:val="both"/>
        <w:rPr>
          <w:rFonts w:ascii="Calibri" w:hAnsi="Calibri" w:cs="FrankRuehl"/>
        </w:rPr>
      </w:pPr>
      <w:r w:rsidRPr="00047A7E">
        <w:rPr>
          <w:rFonts w:ascii="Calibri" w:hAnsi="Calibri" w:cs="FrankRuehl" w:hint="cs"/>
          <w:rtl/>
        </w:rPr>
        <w:t>6 חודשי מאסר, שלא ירוצו אלא אם יעבור הנאשם את העבירות בהן הורשע במשך שלוש שנים מהיום;</w:t>
      </w:r>
    </w:p>
    <w:p w14:paraId="49B81075" w14:textId="77777777" w:rsidR="00047A7E" w:rsidRPr="00047A7E" w:rsidRDefault="00047A7E" w:rsidP="00047A7E">
      <w:pPr>
        <w:numPr>
          <w:ilvl w:val="0"/>
          <w:numId w:val="1"/>
        </w:numPr>
        <w:spacing w:after="160" w:line="360" w:lineRule="auto"/>
        <w:contextualSpacing/>
        <w:jc w:val="both"/>
        <w:rPr>
          <w:rFonts w:ascii="Calibri" w:hAnsi="Calibri" w:cs="FrankRuehl"/>
          <w:rtl/>
        </w:rPr>
      </w:pPr>
      <w:r w:rsidRPr="00047A7E">
        <w:rPr>
          <w:rFonts w:ascii="Calibri" w:hAnsi="Calibri" w:cs="FrankRuehl" w:hint="cs"/>
          <w:rtl/>
        </w:rPr>
        <w:t>4 חודשי מאסר, שלא ירוצו אלא אם יעבור הנאשם עבירות של שימוש/החזקת סמים לצריכה עצמית לרבות החזקת כלי סם לצריכה עצמית בתוך תקופה של 3 שנים מהיום;</w:t>
      </w:r>
    </w:p>
    <w:p w14:paraId="355C2F0C" w14:textId="77777777" w:rsidR="00047A7E" w:rsidRPr="00047A7E" w:rsidRDefault="00047A7E" w:rsidP="00047A7E">
      <w:pPr>
        <w:numPr>
          <w:ilvl w:val="0"/>
          <w:numId w:val="1"/>
        </w:numPr>
        <w:spacing w:after="160" w:line="360" w:lineRule="auto"/>
        <w:contextualSpacing/>
        <w:jc w:val="both"/>
        <w:rPr>
          <w:rFonts w:ascii="Calibri" w:hAnsi="Calibri" w:cs="FrankRuehl"/>
        </w:rPr>
      </w:pPr>
      <w:r w:rsidRPr="00047A7E">
        <w:rPr>
          <w:rFonts w:ascii="Calibri" w:hAnsi="Calibri" w:cs="FrankRuehl" w:hint="cs"/>
          <w:rtl/>
        </w:rPr>
        <w:t xml:space="preserve">קנס בסך 8,000  ₪, אשר ישולם החל מיום 1.10.2018 , או  חודש מאסר תמורתו. הקנס ישולם ב-10  תשלומים שווים ורצופים ב-1 לכל  חודש החל מ-1.10.2018. לא ישולם תשלום במועד או לא ישולם כלל, יעמוד הקנס לפירעון מיידי. ניתן לקזז אתה הקנס מההפקדה בתיק המעצר. ככל שתיוותר יתרה היא תוחזר לנאשם. הוראה זו תגבר על כל עיקול. ככל שתיוותר יתרת חובה, המזכירות תחלק את יתרת הקנס לתשלומים כפי שקבעתי. </w:t>
      </w:r>
    </w:p>
    <w:p w14:paraId="2C85B155" w14:textId="77777777" w:rsidR="00047A7E" w:rsidRPr="00047A7E" w:rsidRDefault="00047A7E" w:rsidP="00047A7E">
      <w:pPr>
        <w:numPr>
          <w:ilvl w:val="0"/>
          <w:numId w:val="1"/>
        </w:numPr>
        <w:spacing w:after="160" w:line="360" w:lineRule="auto"/>
        <w:contextualSpacing/>
        <w:jc w:val="both"/>
        <w:rPr>
          <w:rFonts w:ascii="Calibri" w:hAnsi="Calibri" w:cs="FrankRuehl"/>
        </w:rPr>
      </w:pPr>
      <w:r w:rsidRPr="00047A7E">
        <w:rPr>
          <w:rFonts w:ascii="Calibri" w:hAnsi="Calibri" w:cs="FrankRuehl" w:hint="cs"/>
          <w:rtl/>
        </w:rPr>
        <w:t>צו מבחן לתקופה של 18 חודשים מהיום.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1FF0D8C8" w14:textId="77777777" w:rsidR="00047A7E" w:rsidRDefault="00047A7E" w:rsidP="00047A7E">
      <w:pPr>
        <w:rPr>
          <w:rFonts w:cs="FrankRuehl"/>
          <w:b/>
          <w:bCs/>
          <w:u w:val="single"/>
          <w:rtl/>
        </w:rPr>
      </w:pPr>
    </w:p>
    <w:p w14:paraId="75B92E65" w14:textId="77777777" w:rsidR="00047A7E" w:rsidRPr="00D255E5" w:rsidRDefault="00047A7E" w:rsidP="00047A7E">
      <w:pPr>
        <w:rPr>
          <w:rFonts w:cs="FrankRuehl"/>
          <w:b/>
          <w:bCs/>
          <w:u w:val="single"/>
          <w:rtl/>
        </w:rPr>
      </w:pPr>
      <w:r w:rsidRPr="00D255E5">
        <w:rPr>
          <w:rFonts w:cs="FrankRuehl" w:hint="cs"/>
          <w:b/>
          <w:bCs/>
          <w:u w:val="single"/>
          <w:rtl/>
        </w:rPr>
        <w:t>הסמים יושמדו.</w:t>
      </w:r>
    </w:p>
    <w:p w14:paraId="5C35CC4E" w14:textId="77777777" w:rsidR="00047A7E" w:rsidRDefault="00047A7E" w:rsidP="00047A7E">
      <w:pPr>
        <w:rPr>
          <w:rFonts w:cs="FrankRuehl"/>
          <w:rtl/>
        </w:rPr>
      </w:pPr>
    </w:p>
    <w:p w14:paraId="16EBB0AB" w14:textId="77777777" w:rsidR="00047A7E" w:rsidRDefault="00047A7E" w:rsidP="00047A7E">
      <w:pPr>
        <w:rPr>
          <w:rFonts w:cs="FrankRuehl"/>
          <w:rtl/>
        </w:rPr>
      </w:pPr>
      <w:r>
        <w:rPr>
          <w:rFonts w:cs="FrankRuehl" w:hint="cs"/>
          <w:rtl/>
        </w:rPr>
        <w:t>יש לשלוח לשירות המבחן.</w:t>
      </w:r>
    </w:p>
    <w:p w14:paraId="6AE54BE9" w14:textId="77777777" w:rsidR="00047A7E" w:rsidRDefault="00047A7E" w:rsidP="00047A7E">
      <w:pPr>
        <w:rPr>
          <w:rFonts w:cs="FrankRuehl"/>
          <w:rtl/>
        </w:rPr>
      </w:pPr>
    </w:p>
    <w:p w14:paraId="799E27E5" w14:textId="77777777" w:rsidR="00047A7E" w:rsidRDefault="00047A7E" w:rsidP="00047A7E">
      <w:pPr>
        <w:rPr>
          <w:rFonts w:cs="FrankRuehl"/>
          <w:rtl/>
        </w:rPr>
      </w:pPr>
      <w:r>
        <w:rPr>
          <w:rFonts w:cs="FrankRuehl" w:hint="cs"/>
          <w:rtl/>
        </w:rPr>
        <w:t>הנאשם יחתום כעת על ההתחייבות.</w:t>
      </w:r>
    </w:p>
    <w:p w14:paraId="436D7EF1" w14:textId="77777777" w:rsidR="00047A7E" w:rsidRDefault="00047A7E" w:rsidP="00047A7E">
      <w:pPr>
        <w:rPr>
          <w:rFonts w:cs="FrankRuehl"/>
          <w:rtl/>
        </w:rPr>
      </w:pPr>
    </w:p>
    <w:p w14:paraId="5AABBC0A" w14:textId="77777777" w:rsidR="00047A7E" w:rsidRDefault="00047A7E" w:rsidP="00047A7E">
      <w:pPr>
        <w:rPr>
          <w:rFonts w:cs="FrankRuehl"/>
          <w:rtl/>
        </w:rPr>
      </w:pPr>
      <w:r>
        <w:rPr>
          <w:rFonts w:cs="FrankRuehl" w:hint="cs"/>
          <w:rtl/>
        </w:rPr>
        <w:t xml:space="preserve">מובהר בזה כי התנאים המגבילים בהם היה נתון הנאשם פגו עם מתן גזר הדין. </w:t>
      </w:r>
    </w:p>
    <w:p w14:paraId="0959B955" w14:textId="77777777" w:rsidR="00047A7E" w:rsidRDefault="00047A7E" w:rsidP="00047A7E">
      <w:pPr>
        <w:rPr>
          <w:rFonts w:cs="FrankRuehl"/>
          <w:rtl/>
        </w:rPr>
      </w:pPr>
    </w:p>
    <w:p w14:paraId="5227A25B" w14:textId="77777777" w:rsidR="00047A7E" w:rsidRDefault="00047A7E" w:rsidP="00047A7E">
      <w:pPr>
        <w:rPr>
          <w:rFonts w:cs="FrankRuehl"/>
          <w:rtl/>
        </w:rPr>
      </w:pPr>
    </w:p>
    <w:p w14:paraId="558C6AE7" w14:textId="77777777" w:rsidR="00047A7E" w:rsidRDefault="00047A7E" w:rsidP="00047A7E">
      <w:pPr>
        <w:rPr>
          <w:rFonts w:cs="FrankRuehl"/>
          <w:rtl/>
        </w:rPr>
      </w:pPr>
      <w:r>
        <w:rPr>
          <w:rFonts w:cs="FrankRuehl" w:hint="cs"/>
          <w:rtl/>
        </w:rPr>
        <w:t>זכות ערעור כחוק לבית המשפט המחוזי בתוך 45 יום.</w:t>
      </w:r>
    </w:p>
    <w:p w14:paraId="06EE04B3" w14:textId="77777777" w:rsidR="00047A7E" w:rsidRPr="00B05847" w:rsidRDefault="00047A7E" w:rsidP="00047A7E">
      <w:pPr>
        <w:rPr>
          <w:rtl/>
        </w:rPr>
      </w:pPr>
    </w:p>
    <w:p w14:paraId="74370644" w14:textId="77777777" w:rsidR="00047A7E" w:rsidRPr="00B05847" w:rsidRDefault="00047A7E" w:rsidP="00047A7E">
      <w:pPr>
        <w:rPr>
          <w:rtl/>
        </w:rPr>
      </w:pPr>
    </w:p>
    <w:p w14:paraId="7DF8443A" w14:textId="77777777" w:rsidR="00047A7E" w:rsidRPr="00B05847" w:rsidRDefault="00047A7E" w:rsidP="00047A7E">
      <w:pPr>
        <w:rPr>
          <w:rtl/>
        </w:rPr>
      </w:pPr>
    </w:p>
    <w:p w14:paraId="385E6A12" w14:textId="77777777" w:rsidR="00047A7E" w:rsidRPr="005222D4" w:rsidRDefault="005222D4" w:rsidP="00047A7E">
      <w:pPr>
        <w:rPr>
          <w:color w:val="FFFFFF"/>
          <w:sz w:val="2"/>
          <w:szCs w:val="2"/>
          <w:rtl/>
        </w:rPr>
      </w:pPr>
      <w:r w:rsidRPr="005222D4">
        <w:rPr>
          <w:color w:val="FFFFFF"/>
          <w:sz w:val="2"/>
          <w:szCs w:val="2"/>
          <w:rtl/>
        </w:rPr>
        <w:t>5129371</w:t>
      </w:r>
    </w:p>
    <w:p w14:paraId="1917F7E7" w14:textId="77777777" w:rsidR="00047A7E" w:rsidRDefault="005222D4" w:rsidP="00047A7E">
      <w:pPr>
        <w:rPr>
          <w:rFonts w:cs="FrankRuehl"/>
          <w:sz w:val="28"/>
          <w:szCs w:val="28"/>
          <w:rtl/>
        </w:rPr>
      </w:pPr>
      <w:r w:rsidRPr="005222D4">
        <w:rPr>
          <w:rFonts w:ascii="Arial" w:hAnsi="Arial"/>
          <w:color w:val="FFFFFF"/>
          <w:sz w:val="2"/>
          <w:szCs w:val="2"/>
          <w:rtl/>
        </w:rPr>
        <w:t>54678313</w:t>
      </w:r>
      <w:r>
        <w:rPr>
          <w:rFonts w:ascii="Arial" w:hAnsi="Arial"/>
          <w:rtl/>
        </w:rPr>
        <w:t xml:space="preserve">ניתן היום,  ט"ו ט"ו אייר תשע"ח, 30 אפריל 2018, במעמד הצדדים. </w:t>
      </w:r>
    </w:p>
    <w:p w14:paraId="478E17B5" w14:textId="77777777" w:rsidR="00047A7E" w:rsidRDefault="00047A7E" w:rsidP="00047A7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1305CD6" w14:textId="77777777" w:rsidR="00047A7E" w:rsidRDefault="00047A7E" w:rsidP="00047A7E">
      <w:pPr>
        <w:jc w:val="center"/>
        <w:rPr>
          <w:rFonts w:ascii="Arial" w:hAnsi="Arial" w:cs="FrankRuehl"/>
          <w:sz w:val="28"/>
          <w:szCs w:val="28"/>
          <w:rtl/>
        </w:rPr>
      </w:pPr>
    </w:p>
    <w:p w14:paraId="27664EAB" w14:textId="77777777" w:rsidR="00047A7E" w:rsidRDefault="00047A7E" w:rsidP="00047A7E">
      <w:pPr>
        <w:rPr>
          <w:rFonts w:cs="FrankRuehl"/>
          <w:sz w:val="28"/>
          <w:szCs w:val="28"/>
          <w:rtl/>
        </w:rPr>
      </w:pPr>
    </w:p>
    <w:p w14:paraId="1AE4B031" w14:textId="77777777" w:rsidR="00047A7E" w:rsidRPr="00C3696E" w:rsidRDefault="00C3696E" w:rsidP="00047A7E">
      <w:pPr>
        <w:pStyle w:val="a3"/>
        <w:jc w:val="center"/>
        <w:rPr>
          <w:color w:val="FFFFFF"/>
          <w:sz w:val="2"/>
          <w:szCs w:val="2"/>
          <w:rtl/>
        </w:rPr>
      </w:pPr>
      <w:r w:rsidRPr="00C3696E">
        <w:rPr>
          <w:color w:val="FFFFFF"/>
          <w:sz w:val="2"/>
          <w:szCs w:val="2"/>
          <w:rtl/>
        </w:rPr>
        <w:t>5129371</w:t>
      </w:r>
    </w:p>
    <w:p w14:paraId="524818DF" w14:textId="77777777" w:rsidR="002D7B2F" w:rsidRPr="00C3696E" w:rsidRDefault="00C3696E" w:rsidP="005222D4">
      <w:pPr>
        <w:keepNext/>
        <w:rPr>
          <w:rFonts w:ascii="David" w:hAnsi="David"/>
          <w:color w:val="FFFFFF"/>
          <w:sz w:val="2"/>
          <w:szCs w:val="2"/>
          <w:rtl/>
        </w:rPr>
      </w:pPr>
      <w:r w:rsidRPr="00C3696E">
        <w:rPr>
          <w:rFonts w:ascii="David" w:hAnsi="David"/>
          <w:color w:val="FFFFFF"/>
          <w:sz w:val="2"/>
          <w:szCs w:val="2"/>
          <w:rtl/>
        </w:rPr>
        <w:t>54678313</w:t>
      </w:r>
    </w:p>
    <w:p w14:paraId="32EF1162" w14:textId="77777777" w:rsidR="005222D4" w:rsidRPr="005222D4" w:rsidRDefault="005222D4" w:rsidP="005222D4">
      <w:pPr>
        <w:keepNext/>
        <w:rPr>
          <w:rFonts w:ascii="David" w:hAnsi="David"/>
          <w:color w:val="000000"/>
          <w:sz w:val="22"/>
          <w:szCs w:val="22"/>
          <w:rtl/>
        </w:rPr>
      </w:pPr>
      <w:r w:rsidRPr="005222D4">
        <w:rPr>
          <w:rFonts w:ascii="David" w:hAnsi="David"/>
          <w:color w:val="000000"/>
          <w:sz w:val="22"/>
          <w:szCs w:val="22"/>
          <w:rtl/>
        </w:rPr>
        <w:t>דוד שאול גבאי ריכטר 54678313</w:t>
      </w:r>
    </w:p>
    <w:p w14:paraId="187AA56F" w14:textId="77777777" w:rsidR="005222D4" w:rsidRDefault="005222D4" w:rsidP="005222D4">
      <w:r w:rsidRPr="005222D4">
        <w:rPr>
          <w:color w:val="000000"/>
          <w:rtl/>
        </w:rPr>
        <w:t>נוסח מסמך זה כפוף לשינויי ניסוח ועריכה</w:t>
      </w:r>
    </w:p>
    <w:p w14:paraId="34295C15" w14:textId="77777777" w:rsidR="005222D4" w:rsidRDefault="005222D4" w:rsidP="005222D4">
      <w:pPr>
        <w:rPr>
          <w:rtl/>
        </w:rPr>
      </w:pPr>
    </w:p>
    <w:p w14:paraId="31BE536B" w14:textId="77777777" w:rsidR="005222D4" w:rsidRPr="005222D4" w:rsidRDefault="005222D4" w:rsidP="00C3696E">
      <w:pPr>
        <w:jc w:val="center"/>
        <w:rPr>
          <w:rFonts w:hint="cs"/>
          <w:color w:val="0000FF"/>
          <w:u w:val="single"/>
        </w:rPr>
      </w:pPr>
      <w:hyperlink r:id="rId27" w:history="1">
        <w:r>
          <w:rPr>
            <w:color w:val="0000FF"/>
            <w:u w:val="single"/>
            <w:rtl/>
          </w:rPr>
          <w:t>בעניין עריכה ושינויים במסמכי פסיקה, חקיקה ועוד באתר נבו – הקש כאן</w:t>
        </w:r>
      </w:hyperlink>
      <w:r w:rsidR="00CE7230">
        <w:rPr>
          <w:rFonts w:hint="cs"/>
          <w:color w:val="0000FF"/>
          <w:u w:val="single"/>
          <w:rtl/>
        </w:rPr>
        <w:t xml:space="preserve"> </w:t>
      </w:r>
    </w:p>
    <w:sectPr w:rsidR="005222D4" w:rsidRPr="005222D4" w:rsidSect="00C3696E">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01575" w14:textId="77777777" w:rsidR="00E47C3B" w:rsidRDefault="00E47C3B" w:rsidP="00283C63">
      <w:r>
        <w:separator/>
      </w:r>
    </w:p>
  </w:endnote>
  <w:endnote w:type="continuationSeparator" w:id="0">
    <w:p w14:paraId="27FEBF8E" w14:textId="77777777" w:rsidR="00E47C3B" w:rsidRDefault="00E47C3B" w:rsidP="0028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CB101" w14:textId="77777777" w:rsidR="00C3696E" w:rsidRDefault="00C3696E" w:rsidP="00C369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FF427D" w14:textId="77777777" w:rsidR="00333F5B" w:rsidRPr="00C3696E" w:rsidRDefault="00C3696E" w:rsidP="00C3696E">
    <w:pPr>
      <w:pStyle w:val="a5"/>
      <w:pBdr>
        <w:top w:val="single" w:sz="4" w:space="1" w:color="auto"/>
        <w:between w:val="single" w:sz="4" w:space="0" w:color="auto"/>
      </w:pBdr>
      <w:spacing w:after="60"/>
      <w:jc w:val="center"/>
      <w:rPr>
        <w:rFonts w:ascii="FrankRuehl" w:hAnsi="FrankRuehl" w:cs="FrankRuehl"/>
        <w:color w:val="000000"/>
      </w:rPr>
    </w:pPr>
    <w:r w:rsidRPr="00C3696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E6857" w14:textId="77777777" w:rsidR="00C3696E" w:rsidRDefault="00C3696E" w:rsidP="00C369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6415">
      <w:rPr>
        <w:rFonts w:ascii="FrankRuehl" w:hAnsi="FrankRuehl" w:cs="FrankRuehl"/>
        <w:noProof/>
        <w:rtl/>
      </w:rPr>
      <w:t>2</w:t>
    </w:r>
    <w:r>
      <w:rPr>
        <w:rFonts w:ascii="FrankRuehl" w:hAnsi="FrankRuehl" w:cs="FrankRuehl"/>
        <w:rtl/>
      </w:rPr>
      <w:fldChar w:fldCharType="end"/>
    </w:r>
  </w:p>
  <w:p w14:paraId="15B590A0" w14:textId="77777777" w:rsidR="00333F5B" w:rsidRPr="00C3696E" w:rsidRDefault="00C3696E" w:rsidP="00C3696E">
    <w:pPr>
      <w:pStyle w:val="a5"/>
      <w:pBdr>
        <w:top w:val="single" w:sz="4" w:space="1" w:color="auto"/>
        <w:between w:val="single" w:sz="4" w:space="0" w:color="auto"/>
      </w:pBdr>
      <w:spacing w:after="60"/>
      <w:jc w:val="center"/>
      <w:rPr>
        <w:rFonts w:ascii="FrankRuehl" w:hAnsi="FrankRuehl" w:cs="FrankRuehl"/>
        <w:color w:val="000000"/>
      </w:rPr>
    </w:pPr>
    <w:r w:rsidRPr="00C3696E">
      <w:rPr>
        <w:rFonts w:ascii="FrankRuehl" w:hAnsi="FrankRuehl" w:cs="FrankRuehl"/>
        <w:color w:val="000000"/>
      </w:rPr>
      <w:pict w14:anchorId="3AE87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BBF31" w14:textId="77777777" w:rsidR="00E47C3B" w:rsidRDefault="00E47C3B" w:rsidP="00283C63">
      <w:r>
        <w:separator/>
      </w:r>
    </w:p>
  </w:footnote>
  <w:footnote w:type="continuationSeparator" w:id="0">
    <w:p w14:paraId="75594637" w14:textId="77777777" w:rsidR="00E47C3B" w:rsidRDefault="00E47C3B" w:rsidP="00283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AD3A7" w14:textId="77777777" w:rsidR="005222D4" w:rsidRPr="00C3696E" w:rsidRDefault="00C3696E" w:rsidP="00C369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66475-11-16</w:t>
    </w:r>
    <w:r>
      <w:rPr>
        <w:rFonts w:ascii="David" w:hAnsi="David"/>
        <w:color w:val="000000"/>
        <w:sz w:val="22"/>
        <w:szCs w:val="22"/>
        <w:rtl/>
      </w:rPr>
      <w:tab/>
      <w:t xml:space="preserve"> מדינת ישראל נ' נועם אבו חצירה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C2124" w14:textId="77777777" w:rsidR="005222D4" w:rsidRPr="00C3696E" w:rsidRDefault="00C3696E" w:rsidP="00C369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66475-11-16</w:t>
    </w:r>
    <w:r>
      <w:rPr>
        <w:rFonts w:ascii="David" w:hAnsi="David"/>
        <w:color w:val="000000"/>
        <w:sz w:val="22"/>
        <w:szCs w:val="22"/>
        <w:rtl/>
      </w:rPr>
      <w:tab/>
      <w:t xml:space="preserve"> מדינת ישראל נ' נועם אבו חצירה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6825845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7A7E"/>
    <w:rsid w:val="00047A7E"/>
    <w:rsid w:val="00283C63"/>
    <w:rsid w:val="002D7B2F"/>
    <w:rsid w:val="00333F5B"/>
    <w:rsid w:val="00446415"/>
    <w:rsid w:val="005222D4"/>
    <w:rsid w:val="009B690D"/>
    <w:rsid w:val="00BA16A0"/>
    <w:rsid w:val="00C3696E"/>
    <w:rsid w:val="00CB6573"/>
    <w:rsid w:val="00CE7230"/>
    <w:rsid w:val="00D51619"/>
    <w:rsid w:val="00E425FE"/>
    <w:rsid w:val="00E47C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9371ECE"/>
  <w15:chartTrackingRefBased/>
  <w15:docId w15:val="{DAEBC02B-016B-4E0A-A980-1C8DC8E9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7A7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47A7E"/>
    <w:pPr>
      <w:tabs>
        <w:tab w:val="center" w:pos="4153"/>
        <w:tab w:val="right" w:pos="8306"/>
      </w:tabs>
    </w:pPr>
  </w:style>
  <w:style w:type="character" w:customStyle="1" w:styleId="a4">
    <w:name w:val="כותרת עליונה תו"/>
    <w:link w:val="a3"/>
    <w:rsid w:val="00047A7E"/>
    <w:rPr>
      <w:rFonts w:ascii="Times New Roman" w:eastAsia="Times New Roman" w:hAnsi="Times New Roman" w:cs="David"/>
      <w:sz w:val="24"/>
      <w:szCs w:val="24"/>
    </w:rPr>
  </w:style>
  <w:style w:type="paragraph" w:styleId="a5">
    <w:name w:val="footer"/>
    <w:basedOn w:val="a"/>
    <w:link w:val="a6"/>
    <w:rsid w:val="00047A7E"/>
    <w:pPr>
      <w:tabs>
        <w:tab w:val="center" w:pos="4153"/>
        <w:tab w:val="right" w:pos="8306"/>
      </w:tabs>
    </w:pPr>
  </w:style>
  <w:style w:type="character" w:customStyle="1" w:styleId="a6">
    <w:name w:val="כותרת תחתונה תו"/>
    <w:link w:val="a5"/>
    <w:rsid w:val="00047A7E"/>
    <w:rPr>
      <w:rFonts w:ascii="Times New Roman" w:eastAsia="Times New Roman" w:hAnsi="Times New Roman" w:cs="David"/>
      <w:sz w:val="24"/>
      <w:szCs w:val="24"/>
    </w:rPr>
  </w:style>
  <w:style w:type="table" w:styleId="a7">
    <w:name w:val="Table Grid"/>
    <w:basedOn w:val="a1"/>
    <w:rsid w:val="00047A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47A7E"/>
  </w:style>
  <w:style w:type="character" w:styleId="Hyperlink">
    <w:name w:val="Hyperlink"/>
    <w:rsid w:val="005222D4"/>
    <w:rPr>
      <w:color w:val="0563C1"/>
      <w:u w:val="single"/>
    </w:rPr>
  </w:style>
  <w:style w:type="character" w:styleId="a9">
    <w:name w:val="Unresolved Mention"/>
    <w:rsid w:val="005222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19.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5956327"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40j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2368098" TargetMode="External"/><Relationship Id="rId20" Type="http://schemas.openxmlformats.org/officeDocument/2006/relationships/hyperlink" Target="http://www.nevo.co.il/case/21712233"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1309372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16968058" TargetMode="External"/><Relationship Id="rId23" Type="http://schemas.openxmlformats.org/officeDocument/2006/relationships/hyperlink" Target="http://www.nevo.co.il/case/21827077" TargetMode="External"/><Relationship Id="rId28"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11300869"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8809103"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1947</Words>
  <Characters>9738</Characters>
  <Application>Microsoft Office Word</Application>
  <DocSecurity>0</DocSecurity>
  <Lines>81</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11662</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3801207</vt:i4>
      </vt:variant>
      <vt:variant>
        <vt:i4>48</vt:i4>
      </vt:variant>
      <vt:variant>
        <vt:i4>0</vt:i4>
      </vt:variant>
      <vt:variant>
        <vt:i4>5</vt:i4>
      </vt:variant>
      <vt:variant>
        <vt:lpwstr>http://www.nevo.co.il/case/21827077</vt:lpwstr>
      </vt:variant>
      <vt:variant>
        <vt:lpwstr/>
      </vt:variant>
      <vt:variant>
        <vt:i4>3145853</vt:i4>
      </vt:variant>
      <vt:variant>
        <vt:i4>45</vt:i4>
      </vt:variant>
      <vt:variant>
        <vt:i4>0</vt:i4>
      </vt:variant>
      <vt:variant>
        <vt:i4>5</vt:i4>
      </vt:variant>
      <vt:variant>
        <vt:lpwstr>http://www.nevo.co.il/case/18809103</vt:lpwstr>
      </vt:variant>
      <vt:variant>
        <vt:lpwstr/>
      </vt:variant>
      <vt:variant>
        <vt:i4>3407993</vt:i4>
      </vt:variant>
      <vt:variant>
        <vt:i4>42</vt:i4>
      </vt:variant>
      <vt:variant>
        <vt:i4>0</vt:i4>
      </vt:variant>
      <vt:variant>
        <vt:i4>5</vt:i4>
      </vt:variant>
      <vt:variant>
        <vt:lpwstr>http://www.nevo.co.il/case/5956327</vt:lpwstr>
      </vt:variant>
      <vt:variant>
        <vt:lpwstr/>
      </vt:variant>
      <vt:variant>
        <vt:i4>3407990</vt:i4>
      </vt:variant>
      <vt:variant>
        <vt:i4>39</vt:i4>
      </vt:variant>
      <vt:variant>
        <vt:i4>0</vt:i4>
      </vt:variant>
      <vt:variant>
        <vt:i4>5</vt:i4>
      </vt:variant>
      <vt:variant>
        <vt:lpwstr>http://www.nevo.co.il/case/21712233</vt:lpwstr>
      </vt:variant>
      <vt:variant>
        <vt:lpwstr/>
      </vt:variant>
      <vt:variant>
        <vt:i4>3407997</vt:i4>
      </vt:variant>
      <vt:variant>
        <vt:i4>36</vt:i4>
      </vt:variant>
      <vt:variant>
        <vt:i4>0</vt:i4>
      </vt:variant>
      <vt:variant>
        <vt:i4>5</vt:i4>
      </vt:variant>
      <vt:variant>
        <vt:lpwstr>http://www.nevo.co.il/case/11300869</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3145840</vt:i4>
      </vt:variant>
      <vt:variant>
        <vt:i4>27</vt:i4>
      </vt:variant>
      <vt:variant>
        <vt:i4>0</vt:i4>
      </vt:variant>
      <vt:variant>
        <vt:i4>5</vt:i4>
      </vt:variant>
      <vt:variant>
        <vt:lpwstr>http://www.nevo.co.il/case/22368098</vt:lpwstr>
      </vt:variant>
      <vt:variant>
        <vt:lpwstr/>
      </vt:variant>
      <vt:variant>
        <vt:i4>3473524</vt:i4>
      </vt:variant>
      <vt:variant>
        <vt:i4>24</vt:i4>
      </vt:variant>
      <vt:variant>
        <vt:i4>0</vt:i4>
      </vt:variant>
      <vt:variant>
        <vt:i4>5</vt:i4>
      </vt:variant>
      <vt:variant>
        <vt:lpwstr>http://www.nevo.co.il/case/16968058</vt:lpwstr>
      </vt:variant>
      <vt:variant>
        <vt:lpwstr/>
      </vt:variant>
      <vt:variant>
        <vt:i4>8257637</vt:i4>
      </vt:variant>
      <vt:variant>
        <vt:i4>21</vt:i4>
      </vt:variant>
      <vt:variant>
        <vt:i4>0</vt:i4>
      </vt:variant>
      <vt:variant>
        <vt:i4>5</vt:i4>
      </vt:variant>
      <vt:variant>
        <vt:lpwstr>http://www.nevo.co.il/law/4216</vt:lpwstr>
      </vt:variant>
      <vt:variant>
        <vt:lpwstr/>
      </vt:variant>
      <vt:variant>
        <vt:i4>2883686</vt:i4>
      </vt:variant>
      <vt:variant>
        <vt:i4>18</vt:i4>
      </vt:variant>
      <vt:variant>
        <vt:i4>0</vt:i4>
      </vt:variant>
      <vt:variant>
        <vt:i4>5</vt:i4>
      </vt:variant>
      <vt:variant>
        <vt:lpwstr>http://www.nevo.co.il/law/4216/13;19.a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2025-04-22T23:14:00Z</dcterms:created>
  <dcterms:modified xsi:type="dcterms:W3CDTF">2025-04-22T23:14:00Z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66475</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נועם אבו חצירה</vt:lpwstr>
  </property>
  <property fmtid="{D5CDD505-2E9C-101B-9397-08002B2CF9AE}" pid="10" name="LAWYER">
    <vt:lpwstr>מיכאל עירוני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20180430</vt:lpwstr>
  </property>
  <property fmtid="{D5CDD505-2E9C-101B-9397-08002B2CF9AE}" pid="14" name="TYPE_N_DATE">
    <vt:lpwstr>38020180430</vt:lpwstr>
  </property>
  <property fmtid="{D5CDD505-2E9C-101B-9397-08002B2CF9AE}" pid="15" name="WORDNUMPAGES">
    <vt:lpwstr>6</vt:lpwstr>
  </property>
  <property fmtid="{D5CDD505-2E9C-101B-9397-08002B2CF9AE}" pid="16" name="TYPE_ABS_DATE">
    <vt:lpwstr>380020180430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16968058;22368098;11300869;21712233;5956327;18809103;21827077;13093721</vt:lpwstr>
  </property>
  <property fmtid="{D5CDD505-2E9C-101B-9397-08002B2CF9AE}" pid="36" name="LAWLISTTMP1">
    <vt:lpwstr>4216/013;019.a</vt:lpwstr>
  </property>
  <property fmtid="{D5CDD505-2E9C-101B-9397-08002B2CF9AE}" pid="37" name="LAWLISTTMP2">
    <vt:lpwstr>70301/040i;40ja</vt:lpwstr>
  </property>
</Properties>
</file>