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97845" w:rsidRPr="00967E75" w14:paraId="514A13EB" w14:textId="77777777" w:rsidTr="0017638B">
        <w:trPr>
          <w:trHeight w:hRule="exact" w:val="418"/>
          <w:jc w:val="center"/>
        </w:trPr>
        <w:tc>
          <w:tcPr>
            <w:tcW w:w="8721" w:type="dxa"/>
            <w:gridSpan w:val="2"/>
          </w:tcPr>
          <w:p w14:paraId="7F03D688" w14:textId="77777777" w:rsidR="00497845" w:rsidRPr="00967E75" w:rsidRDefault="00497845" w:rsidP="00967E75">
            <w:pPr>
              <w:pStyle w:val="a3"/>
              <w:jc w:val="center"/>
              <w:rPr>
                <w:rFonts w:ascii="Tahoma" w:hAnsi="Tahoma" w:cs="Tahoma"/>
                <w:color w:val="000080"/>
                <w:rtl/>
              </w:rPr>
            </w:pPr>
            <w:bookmarkStart w:id="0" w:name="LastJudge"/>
            <w:r w:rsidRPr="00967E75">
              <w:rPr>
                <w:rFonts w:ascii="Tahoma" w:hAnsi="Tahoma" w:cs="Tahoma"/>
                <w:b/>
                <w:bCs/>
                <w:color w:val="000080"/>
                <w:rtl/>
              </w:rPr>
              <w:t>בית משפט השלום בירושלים</w:t>
            </w:r>
          </w:p>
        </w:tc>
      </w:tr>
      <w:tr w:rsidR="00497845" w:rsidRPr="00967E75" w14:paraId="2B58F3B3" w14:textId="77777777" w:rsidTr="0017638B">
        <w:trPr>
          <w:trHeight w:val="337"/>
          <w:jc w:val="center"/>
        </w:trPr>
        <w:tc>
          <w:tcPr>
            <w:tcW w:w="5060" w:type="dxa"/>
          </w:tcPr>
          <w:p w14:paraId="21EB0998" w14:textId="77777777" w:rsidR="00497845" w:rsidRPr="00967E75" w:rsidRDefault="00497845" w:rsidP="00967E75">
            <w:pPr>
              <w:rPr>
                <w:rFonts w:cs="FrankRuehl"/>
                <w:sz w:val="28"/>
                <w:szCs w:val="28"/>
                <w:rtl/>
              </w:rPr>
            </w:pPr>
            <w:r w:rsidRPr="00967E75">
              <w:rPr>
                <w:rFonts w:cs="FrankRuehl"/>
                <w:sz w:val="28"/>
                <w:szCs w:val="28"/>
                <w:rtl/>
              </w:rPr>
              <w:t>ת"פ</w:t>
            </w:r>
            <w:r w:rsidRPr="00967E75">
              <w:rPr>
                <w:rFonts w:cs="FrankRuehl" w:hint="cs"/>
                <w:sz w:val="28"/>
                <w:szCs w:val="28"/>
                <w:rtl/>
              </w:rPr>
              <w:t xml:space="preserve"> </w:t>
            </w:r>
            <w:r w:rsidRPr="00967E75">
              <w:rPr>
                <w:rFonts w:cs="FrankRuehl"/>
                <w:sz w:val="28"/>
                <w:szCs w:val="28"/>
                <w:rtl/>
              </w:rPr>
              <w:t>14379-12-16</w:t>
            </w:r>
            <w:r w:rsidRPr="00967E75">
              <w:rPr>
                <w:rFonts w:cs="FrankRuehl" w:hint="cs"/>
                <w:sz w:val="28"/>
                <w:szCs w:val="28"/>
                <w:rtl/>
              </w:rPr>
              <w:t xml:space="preserve"> </w:t>
            </w:r>
            <w:r w:rsidRPr="00967E75">
              <w:rPr>
                <w:rFonts w:cs="FrankRuehl"/>
                <w:sz w:val="28"/>
                <w:szCs w:val="28"/>
                <w:rtl/>
              </w:rPr>
              <w:t>ישראל נ' שמאסנה(עציר)</w:t>
            </w:r>
          </w:p>
          <w:p w14:paraId="50DBE349" w14:textId="77777777" w:rsidR="00497845" w:rsidRPr="00967E75" w:rsidRDefault="00497845" w:rsidP="00967E75">
            <w:pPr>
              <w:pStyle w:val="a3"/>
              <w:rPr>
                <w:rFonts w:cs="FrankRuehl"/>
                <w:sz w:val="28"/>
                <w:szCs w:val="28"/>
                <w:rtl/>
              </w:rPr>
            </w:pPr>
          </w:p>
        </w:tc>
        <w:tc>
          <w:tcPr>
            <w:tcW w:w="3661" w:type="dxa"/>
          </w:tcPr>
          <w:p w14:paraId="1EAB43E9" w14:textId="77777777" w:rsidR="00497845" w:rsidRPr="00967E75" w:rsidRDefault="00497845" w:rsidP="00967E75">
            <w:pPr>
              <w:pStyle w:val="a3"/>
              <w:jc w:val="right"/>
              <w:rPr>
                <w:rFonts w:cs="FrankRuehl"/>
                <w:sz w:val="28"/>
                <w:szCs w:val="28"/>
                <w:rtl/>
              </w:rPr>
            </w:pPr>
          </w:p>
        </w:tc>
      </w:tr>
    </w:tbl>
    <w:p w14:paraId="0E89DA65" w14:textId="77777777" w:rsidR="00497845" w:rsidRPr="00967E75" w:rsidRDefault="00497845" w:rsidP="00497845">
      <w:pPr>
        <w:pStyle w:val="a3"/>
        <w:rPr>
          <w:rtl/>
        </w:rPr>
      </w:pPr>
      <w:r w:rsidRPr="00967E75">
        <w:rPr>
          <w:rFonts w:hint="cs"/>
          <w:rtl/>
        </w:rPr>
        <w:t xml:space="preserve"> </w:t>
      </w:r>
    </w:p>
    <w:p w14:paraId="598C094A" w14:textId="77777777" w:rsidR="00497845" w:rsidRPr="00967E75" w:rsidRDefault="00497845" w:rsidP="004978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97845" w:rsidRPr="00967E75" w14:paraId="5039E45B" w14:textId="77777777" w:rsidTr="00497845">
        <w:trPr>
          <w:trHeight w:val="295"/>
          <w:jc w:val="center"/>
        </w:trPr>
        <w:tc>
          <w:tcPr>
            <w:tcW w:w="923" w:type="dxa"/>
            <w:tcBorders>
              <w:top w:val="nil"/>
              <w:left w:val="nil"/>
              <w:bottom w:val="nil"/>
              <w:right w:val="nil"/>
            </w:tcBorders>
            <w:shd w:val="clear" w:color="auto" w:fill="auto"/>
          </w:tcPr>
          <w:p w14:paraId="6C4D495A" w14:textId="77777777" w:rsidR="00497845" w:rsidRPr="00967E75" w:rsidRDefault="00497845" w:rsidP="00497845">
            <w:pPr>
              <w:jc w:val="both"/>
              <w:rPr>
                <w:rFonts w:ascii="Arial" w:hAnsi="Arial" w:cs="FrankRuehl"/>
                <w:sz w:val="28"/>
                <w:szCs w:val="28"/>
              </w:rPr>
            </w:pPr>
            <w:r w:rsidRPr="00967E75">
              <w:rPr>
                <w:rFonts w:ascii="Arial" w:hAnsi="Arial" w:cs="FrankRuehl" w:hint="cs"/>
                <w:sz w:val="28"/>
                <w:szCs w:val="28"/>
                <w:rtl/>
              </w:rPr>
              <w:t>ב</w:t>
            </w:r>
            <w:r w:rsidRPr="00967E7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C03E9FE" w14:textId="77777777" w:rsidR="00497845" w:rsidRPr="00967E75" w:rsidRDefault="00497845" w:rsidP="00967E75">
            <w:pPr>
              <w:rPr>
                <w:rFonts w:ascii="Arial" w:hAnsi="Arial"/>
                <w:b/>
                <w:bCs/>
                <w:rtl/>
              </w:rPr>
            </w:pPr>
            <w:r w:rsidRPr="00967E75">
              <w:rPr>
                <w:rFonts w:ascii="Arial" w:hAnsi="Arial" w:hint="cs"/>
                <w:b/>
                <w:bCs/>
                <w:rtl/>
              </w:rPr>
              <w:t>כבוד ה</w:t>
            </w:r>
            <w:r w:rsidRPr="00967E75">
              <w:rPr>
                <w:rFonts w:ascii="Arial" w:hAnsi="Arial"/>
                <w:b/>
                <w:bCs/>
                <w:rtl/>
              </w:rPr>
              <w:t>שופט</w:t>
            </w:r>
            <w:r w:rsidRPr="00967E75">
              <w:rPr>
                <w:rFonts w:ascii="Arial" w:hAnsi="Arial" w:hint="cs"/>
                <w:b/>
                <w:bCs/>
                <w:rtl/>
              </w:rPr>
              <w:t xml:space="preserve">  </w:t>
            </w:r>
            <w:r w:rsidRPr="00967E75">
              <w:rPr>
                <w:rFonts w:ascii="Arial" w:hAnsi="Arial"/>
                <w:b/>
                <w:bCs/>
                <w:rtl/>
              </w:rPr>
              <w:t>שמואל הרבסט</w:t>
            </w:r>
          </w:p>
          <w:p w14:paraId="6D34AF7B" w14:textId="77777777" w:rsidR="00497845" w:rsidRPr="00967E75" w:rsidRDefault="00497845" w:rsidP="00967E75">
            <w:pPr>
              <w:rPr>
                <w:rtl/>
              </w:rPr>
            </w:pPr>
          </w:p>
          <w:p w14:paraId="193CE56A" w14:textId="77777777" w:rsidR="00497845" w:rsidRPr="00967E75" w:rsidRDefault="00497845" w:rsidP="00497845">
            <w:pPr>
              <w:jc w:val="both"/>
              <w:rPr>
                <w:rFonts w:ascii="Arial" w:hAnsi="Arial" w:cs="FrankRuehl"/>
                <w:sz w:val="28"/>
                <w:szCs w:val="28"/>
              </w:rPr>
            </w:pPr>
          </w:p>
        </w:tc>
      </w:tr>
      <w:tr w:rsidR="00497845" w:rsidRPr="00967E75" w14:paraId="0258EF15" w14:textId="77777777" w:rsidTr="00497845">
        <w:trPr>
          <w:trHeight w:val="355"/>
          <w:jc w:val="center"/>
        </w:trPr>
        <w:tc>
          <w:tcPr>
            <w:tcW w:w="923" w:type="dxa"/>
            <w:tcBorders>
              <w:top w:val="nil"/>
              <w:left w:val="nil"/>
              <w:bottom w:val="nil"/>
              <w:right w:val="nil"/>
            </w:tcBorders>
            <w:shd w:val="clear" w:color="auto" w:fill="auto"/>
          </w:tcPr>
          <w:p w14:paraId="57FA5086" w14:textId="77777777" w:rsidR="00497845" w:rsidRPr="00967E75" w:rsidRDefault="00497845" w:rsidP="00497845">
            <w:pPr>
              <w:jc w:val="both"/>
              <w:rPr>
                <w:rFonts w:ascii="Arial" w:hAnsi="Arial" w:cs="FrankRuehl"/>
                <w:sz w:val="28"/>
                <w:szCs w:val="28"/>
              </w:rPr>
            </w:pPr>
            <w:bookmarkStart w:id="1" w:name="FirstAppellant"/>
            <w:r w:rsidRPr="00967E7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8EFF9E0" w14:textId="77777777" w:rsidR="00497845" w:rsidRPr="00967E75" w:rsidRDefault="00497845" w:rsidP="00967E75">
            <w:r w:rsidRPr="00967E7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951CE01" w14:textId="77777777" w:rsidR="00497845" w:rsidRPr="00967E75" w:rsidRDefault="00497845" w:rsidP="00497845">
            <w:pPr>
              <w:jc w:val="both"/>
              <w:rPr>
                <w:rFonts w:ascii="Arial" w:hAnsi="Arial" w:cs="FrankRuehl"/>
                <w:sz w:val="28"/>
                <w:szCs w:val="28"/>
              </w:rPr>
            </w:pPr>
          </w:p>
        </w:tc>
      </w:tr>
      <w:bookmarkEnd w:id="1"/>
      <w:tr w:rsidR="00497845" w:rsidRPr="00967E75" w14:paraId="2593E1F5" w14:textId="77777777" w:rsidTr="00497845">
        <w:trPr>
          <w:trHeight w:val="355"/>
          <w:jc w:val="center"/>
        </w:trPr>
        <w:tc>
          <w:tcPr>
            <w:tcW w:w="923" w:type="dxa"/>
            <w:tcBorders>
              <w:top w:val="nil"/>
              <w:left w:val="nil"/>
              <w:bottom w:val="nil"/>
              <w:right w:val="nil"/>
            </w:tcBorders>
            <w:shd w:val="clear" w:color="auto" w:fill="auto"/>
          </w:tcPr>
          <w:p w14:paraId="28D8AFA1" w14:textId="77777777" w:rsidR="00497845" w:rsidRPr="00967E75" w:rsidRDefault="00497845" w:rsidP="004978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D67368" w14:textId="77777777" w:rsidR="00497845" w:rsidRPr="00967E75" w:rsidRDefault="00497845" w:rsidP="00497845">
            <w:pPr>
              <w:jc w:val="both"/>
              <w:rPr>
                <w:rtl/>
              </w:rPr>
            </w:pPr>
          </w:p>
        </w:tc>
        <w:tc>
          <w:tcPr>
            <w:tcW w:w="3771" w:type="dxa"/>
            <w:tcBorders>
              <w:top w:val="nil"/>
              <w:left w:val="nil"/>
              <w:bottom w:val="nil"/>
              <w:right w:val="nil"/>
            </w:tcBorders>
            <w:shd w:val="clear" w:color="auto" w:fill="auto"/>
          </w:tcPr>
          <w:p w14:paraId="0D1624F1" w14:textId="77777777" w:rsidR="00497845" w:rsidRPr="00967E75" w:rsidRDefault="00497845" w:rsidP="00497845">
            <w:pPr>
              <w:jc w:val="right"/>
              <w:rPr>
                <w:rFonts w:ascii="Arial" w:hAnsi="Arial" w:cs="FrankRuehl"/>
                <w:sz w:val="28"/>
                <w:szCs w:val="28"/>
                <w:rtl/>
              </w:rPr>
            </w:pPr>
            <w:r w:rsidRPr="00967E75">
              <w:rPr>
                <w:rFonts w:ascii="Arial" w:hAnsi="Arial" w:cs="FrankRuehl" w:hint="cs"/>
                <w:sz w:val="28"/>
                <w:szCs w:val="28"/>
                <w:rtl/>
              </w:rPr>
              <w:t>ה</w:t>
            </w:r>
            <w:r w:rsidRPr="00967E75">
              <w:rPr>
                <w:rFonts w:ascii="Arial" w:hAnsi="Arial" w:cs="FrankRuehl"/>
                <w:sz w:val="28"/>
                <w:szCs w:val="28"/>
                <w:rtl/>
              </w:rPr>
              <w:t>מאשימה</w:t>
            </w:r>
          </w:p>
        </w:tc>
      </w:tr>
      <w:tr w:rsidR="00497845" w:rsidRPr="00967E75" w14:paraId="1CD96953" w14:textId="77777777" w:rsidTr="00497845">
        <w:trPr>
          <w:trHeight w:val="355"/>
          <w:jc w:val="center"/>
        </w:trPr>
        <w:tc>
          <w:tcPr>
            <w:tcW w:w="923" w:type="dxa"/>
            <w:tcBorders>
              <w:top w:val="nil"/>
              <w:left w:val="nil"/>
              <w:bottom w:val="nil"/>
              <w:right w:val="nil"/>
            </w:tcBorders>
            <w:shd w:val="clear" w:color="auto" w:fill="auto"/>
          </w:tcPr>
          <w:p w14:paraId="35503485" w14:textId="77777777" w:rsidR="00497845" w:rsidRPr="00967E75" w:rsidRDefault="00497845" w:rsidP="0049784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0FB94DA" w14:textId="77777777" w:rsidR="00497845" w:rsidRPr="00967E75" w:rsidRDefault="00497845" w:rsidP="00497845">
            <w:pPr>
              <w:jc w:val="center"/>
              <w:rPr>
                <w:rFonts w:ascii="Arial" w:hAnsi="Arial" w:cs="FrankRuehl"/>
                <w:b/>
                <w:bCs/>
                <w:sz w:val="28"/>
                <w:szCs w:val="28"/>
                <w:rtl/>
              </w:rPr>
            </w:pPr>
          </w:p>
          <w:p w14:paraId="2E8A546D" w14:textId="77777777" w:rsidR="00497845" w:rsidRPr="00967E75" w:rsidRDefault="00497845" w:rsidP="00497845">
            <w:pPr>
              <w:jc w:val="center"/>
              <w:rPr>
                <w:rFonts w:ascii="Arial" w:hAnsi="Arial" w:cs="FrankRuehl"/>
                <w:b/>
                <w:bCs/>
                <w:sz w:val="28"/>
                <w:szCs w:val="28"/>
                <w:rtl/>
              </w:rPr>
            </w:pPr>
            <w:r w:rsidRPr="00967E75">
              <w:rPr>
                <w:rFonts w:ascii="Arial" w:hAnsi="Arial" w:cs="FrankRuehl"/>
                <w:b/>
                <w:bCs/>
                <w:sz w:val="28"/>
                <w:szCs w:val="28"/>
                <w:rtl/>
              </w:rPr>
              <w:t>נגד</w:t>
            </w:r>
          </w:p>
          <w:p w14:paraId="0BD59C4A" w14:textId="77777777" w:rsidR="00497845" w:rsidRPr="00967E75" w:rsidRDefault="00497845" w:rsidP="00497845">
            <w:pPr>
              <w:jc w:val="both"/>
              <w:rPr>
                <w:rFonts w:ascii="Arial" w:hAnsi="Arial" w:cs="FrankRuehl"/>
                <w:sz w:val="28"/>
                <w:szCs w:val="28"/>
              </w:rPr>
            </w:pPr>
          </w:p>
        </w:tc>
      </w:tr>
      <w:tr w:rsidR="00497845" w:rsidRPr="00967E75" w14:paraId="44AA919A" w14:textId="77777777" w:rsidTr="00497845">
        <w:trPr>
          <w:trHeight w:val="355"/>
          <w:jc w:val="center"/>
        </w:trPr>
        <w:tc>
          <w:tcPr>
            <w:tcW w:w="923" w:type="dxa"/>
            <w:tcBorders>
              <w:top w:val="nil"/>
              <w:left w:val="nil"/>
              <w:bottom w:val="nil"/>
              <w:right w:val="nil"/>
            </w:tcBorders>
            <w:shd w:val="clear" w:color="auto" w:fill="auto"/>
          </w:tcPr>
          <w:p w14:paraId="5BAA4F98" w14:textId="77777777" w:rsidR="00497845" w:rsidRPr="00967E75" w:rsidRDefault="00497845" w:rsidP="00967E75">
            <w:pPr>
              <w:rPr>
                <w:rFonts w:ascii="Arial" w:hAnsi="Arial" w:cs="FrankRuehl"/>
                <w:sz w:val="28"/>
                <w:szCs w:val="28"/>
                <w:rtl/>
              </w:rPr>
            </w:pPr>
          </w:p>
        </w:tc>
        <w:tc>
          <w:tcPr>
            <w:tcW w:w="4126" w:type="dxa"/>
            <w:tcBorders>
              <w:top w:val="nil"/>
              <w:left w:val="nil"/>
              <w:bottom w:val="nil"/>
              <w:right w:val="nil"/>
            </w:tcBorders>
            <w:shd w:val="clear" w:color="auto" w:fill="auto"/>
          </w:tcPr>
          <w:p w14:paraId="2FBC6E22" w14:textId="77777777" w:rsidR="00497845" w:rsidRPr="00967E75" w:rsidRDefault="00497845" w:rsidP="00967E75">
            <w:pPr>
              <w:rPr>
                <w:rtl/>
              </w:rPr>
            </w:pPr>
            <w:r w:rsidRPr="00967E75">
              <w:rPr>
                <w:rFonts w:ascii="Arial" w:hAnsi="Arial" w:cs="FrankRuehl"/>
                <w:sz w:val="28"/>
                <w:szCs w:val="28"/>
                <w:rtl/>
              </w:rPr>
              <w:t>מוצטפא שמאסנה (עציר)</w:t>
            </w:r>
          </w:p>
        </w:tc>
        <w:tc>
          <w:tcPr>
            <w:tcW w:w="3771" w:type="dxa"/>
            <w:tcBorders>
              <w:top w:val="nil"/>
              <w:left w:val="nil"/>
              <w:bottom w:val="nil"/>
              <w:right w:val="nil"/>
            </w:tcBorders>
            <w:shd w:val="clear" w:color="auto" w:fill="auto"/>
          </w:tcPr>
          <w:p w14:paraId="6AD9E81D" w14:textId="77777777" w:rsidR="00497845" w:rsidRPr="00967E75" w:rsidRDefault="00497845" w:rsidP="00497845">
            <w:pPr>
              <w:jc w:val="right"/>
              <w:rPr>
                <w:rFonts w:ascii="Arial" w:hAnsi="Arial" w:cs="FrankRuehl"/>
                <w:sz w:val="28"/>
                <w:szCs w:val="28"/>
              </w:rPr>
            </w:pPr>
          </w:p>
        </w:tc>
      </w:tr>
      <w:tr w:rsidR="00497845" w:rsidRPr="00967E75" w14:paraId="4CCFF3AA" w14:textId="77777777" w:rsidTr="00497845">
        <w:trPr>
          <w:trHeight w:val="355"/>
          <w:jc w:val="center"/>
        </w:trPr>
        <w:tc>
          <w:tcPr>
            <w:tcW w:w="923" w:type="dxa"/>
            <w:tcBorders>
              <w:top w:val="nil"/>
              <w:left w:val="nil"/>
              <w:bottom w:val="nil"/>
              <w:right w:val="nil"/>
            </w:tcBorders>
            <w:shd w:val="clear" w:color="auto" w:fill="auto"/>
          </w:tcPr>
          <w:p w14:paraId="5EA09E87" w14:textId="77777777" w:rsidR="00497845" w:rsidRPr="00967E75" w:rsidRDefault="00497845" w:rsidP="004978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2EE9C39" w14:textId="77777777" w:rsidR="00497845" w:rsidRPr="00967E75" w:rsidRDefault="00497845" w:rsidP="00497845">
            <w:pPr>
              <w:jc w:val="both"/>
              <w:rPr>
                <w:rtl/>
              </w:rPr>
            </w:pPr>
          </w:p>
        </w:tc>
        <w:tc>
          <w:tcPr>
            <w:tcW w:w="3771" w:type="dxa"/>
            <w:tcBorders>
              <w:top w:val="nil"/>
              <w:left w:val="nil"/>
              <w:bottom w:val="nil"/>
              <w:right w:val="nil"/>
            </w:tcBorders>
            <w:shd w:val="clear" w:color="auto" w:fill="auto"/>
          </w:tcPr>
          <w:p w14:paraId="26EC283A" w14:textId="77777777" w:rsidR="00497845" w:rsidRPr="00967E75" w:rsidRDefault="00497845" w:rsidP="00497845">
            <w:pPr>
              <w:jc w:val="right"/>
              <w:rPr>
                <w:rFonts w:ascii="Arial" w:hAnsi="Arial" w:cs="FrankRuehl"/>
                <w:sz w:val="28"/>
                <w:szCs w:val="28"/>
              </w:rPr>
            </w:pPr>
            <w:r w:rsidRPr="00967E75">
              <w:rPr>
                <w:rFonts w:ascii="Arial" w:hAnsi="Arial" w:cs="FrankRuehl" w:hint="cs"/>
                <w:sz w:val="28"/>
                <w:szCs w:val="28"/>
                <w:rtl/>
              </w:rPr>
              <w:t>ה</w:t>
            </w:r>
            <w:r w:rsidRPr="00967E75">
              <w:rPr>
                <w:rFonts w:ascii="Arial" w:hAnsi="Arial" w:cs="FrankRuehl"/>
                <w:sz w:val="28"/>
                <w:szCs w:val="28"/>
                <w:rtl/>
              </w:rPr>
              <w:t>נאשם</w:t>
            </w:r>
          </w:p>
        </w:tc>
      </w:tr>
    </w:tbl>
    <w:p w14:paraId="60C39C3E" w14:textId="77777777" w:rsidR="00333600" w:rsidRDefault="00333600" w:rsidP="00497845">
      <w:pPr>
        <w:rPr>
          <w:rtl/>
        </w:rPr>
      </w:pPr>
      <w:bookmarkStart w:id="2" w:name="LawTable"/>
      <w:bookmarkEnd w:id="2"/>
    </w:p>
    <w:p w14:paraId="4B4DEE69" w14:textId="77777777" w:rsidR="00333600" w:rsidRPr="00333600" w:rsidRDefault="00333600" w:rsidP="00333600">
      <w:pPr>
        <w:spacing w:after="120" w:line="240" w:lineRule="exact"/>
        <w:ind w:left="283" w:hanging="283"/>
        <w:jc w:val="both"/>
        <w:rPr>
          <w:rFonts w:ascii="FrankRuehl" w:hAnsi="FrankRuehl" w:cs="FrankRuehl"/>
          <w:rtl/>
        </w:rPr>
      </w:pPr>
    </w:p>
    <w:p w14:paraId="07BFFD9A" w14:textId="77777777" w:rsidR="00333600" w:rsidRPr="00333600" w:rsidRDefault="00333600" w:rsidP="00333600">
      <w:pPr>
        <w:spacing w:after="120" w:line="240" w:lineRule="exact"/>
        <w:ind w:left="283" w:hanging="283"/>
        <w:jc w:val="both"/>
        <w:rPr>
          <w:rFonts w:ascii="FrankRuehl" w:hAnsi="FrankRuehl" w:cs="FrankRuehl"/>
          <w:rtl/>
        </w:rPr>
      </w:pPr>
      <w:r w:rsidRPr="00333600">
        <w:rPr>
          <w:rFonts w:ascii="FrankRuehl" w:hAnsi="FrankRuehl" w:cs="FrankRuehl"/>
          <w:rtl/>
        </w:rPr>
        <w:t xml:space="preserve">חקיקה שאוזכרה: </w:t>
      </w:r>
    </w:p>
    <w:p w14:paraId="6B70AD0C" w14:textId="77777777" w:rsidR="00333600" w:rsidRPr="00333600" w:rsidRDefault="00333600" w:rsidP="00333600">
      <w:pPr>
        <w:spacing w:after="120" w:line="240" w:lineRule="exact"/>
        <w:ind w:left="283" w:hanging="283"/>
        <w:jc w:val="both"/>
        <w:rPr>
          <w:rFonts w:ascii="FrankRuehl" w:hAnsi="FrankRuehl" w:cs="FrankRuehl"/>
          <w:rtl/>
        </w:rPr>
      </w:pPr>
      <w:hyperlink r:id="rId7" w:history="1">
        <w:r w:rsidRPr="00333600">
          <w:rPr>
            <w:rFonts w:ascii="FrankRuehl" w:hAnsi="FrankRuehl" w:cs="FrankRuehl"/>
            <w:color w:val="0000FF"/>
            <w:u w:val="single"/>
            <w:rtl/>
          </w:rPr>
          <w:t>חוק העונשין, תשל"ז-1977</w:t>
        </w:r>
      </w:hyperlink>
      <w:r w:rsidRPr="00333600">
        <w:rPr>
          <w:rFonts w:ascii="FrankRuehl" w:hAnsi="FrankRuehl" w:cs="FrankRuehl"/>
          <w:rtl/>
        </w:rPr>
        <w:t xml:space="preserve">: סע'  </w:t>
      </w:r>
      <w:hyperlink r:id="rId8" w:history="1">
        <w:r w:rsidRPr="00333600">
          <w:rPr>
            <w:rFonts w:ascii="FrankRuehl" w:hAnsi="FrankRuehl" w:cs="FrankRuehl"/>
            <w:color w:val="0000FF"/>
            <w:u w:val="single"/>
            <w:rtl/>
          </w:rPr>
          <w:t>40 ג</w:t>
        </w:r>
      </w:hyperlink>
      <w:r w:rsidRPr="00333600">
        <w:rPr>
          <w:rFonts w:ascii="FrankRuehl" w:hAnsi="FrankRuehl" w:cs="FrankRuehl"/>
          <w:rtl/>
        </w:rPr>
        <w:t xml:space="preserve">, </w:t>
      </w:r>
      <w:hyperlink r:id="rId9" w:history="1">
        <w:r w:rsidRPr="00333600">
          <w:rPr>
            <w:rFonts w:ascii="FrankRuehl" w:hAnsi="FrankRuehl" w:cs="FrankRuehl"/>
            <w:color w:val="0000FF"/>
            <w:u w:val="single"/>
            <w:rtl/>
          </w:rPr>
          <w:t>40 ט</w:t>
        </w:r>
      </w:hyperlink>
      <w:r w:rsidRPr="00333600">
        <w:rPr>
          <w:rFonts w:ascii="FrankRuehl" w:hAnsi="FrankRuehl" w:cs="FrankRuehl"/>
          <w:rtl/>
        </w:rPr>
        <w:t xml:space="preserve">, </w:t>
      </w:r>
      <w:hyperlink r:id="rId10" w:history="1">
        <w:r w:rsidRPr="00333600">
          <w:rPr>
            <w:rFonts w:ascii="FrankRuehl" w:hAnsi="FrankRuehl" w:cs="FrankRuehl"/>
            <w:color w:val="0000FF"/>
            <w:u w:val="single"/>
            <w:rtl/>
          </w:rPr>
          <w:t>384</w:t>
        </w:r>
      </w:hyperlink>
      <w:r w:rsidRPr="00333600">
        <w:rPr>
          <w:rFonts w:ascii="FrankRuehl" w:hAnsi="FrankRuehl" w:cs="FrankRuehl"/>
          <w:rtl/>
        </w:rPr>
        <w:t xml:space="preserve">, </w:t>
      </w:r>
      <w:hyperlink r:id="rId11" w:history="1">
        <w:r w:rsidRPr="00333600">
          <w:rPr>
            <w:rFonts w:ascii="FrankRuehl" w:hAnsi="FrankRuehl" w:cs="FrankRuehl"/>
            <w:color w:val="0000FF"/>
            <w:u w:val="single"/>
            <w:rtl/>
          </w:rPr>
          <w:t>406(ב)</w:t>
        </w:r>
      </w:hyperlink>
      <w:r w:rsidRPr="00333600">
        <w:rPr>
          <w:rFonts w:ascii="FrankRuehl" w:hAnsi="FrankRuehl" w:cs="FrankRuehl"/>
          <w:rtl/>
        </w:rPr>
        <w:t xml:space="preserve">, </w:t>
      </w:r>
      <w:hyperlink r:id="rId12" w:history="1">
        <w:r w:rsidRPr="00333600">
          <w:rPr>
            <w:rFonts w:ascii="FrankRuehl" w:hAnsi="FrankRuehl" w:cs="FrankRuehl"/>
            <w:color w:val="0000FF"/>
            <w:u w:val="single"/>
            <w:rtl/>
          </w:rPr>
          <w:t>409</w:t>
        </w:r>
      </w:hyperlink>
      <w:r w:rsidRPr="00333600">
        <w:rPr>
          <w:rFonts w:ascii="FrankRuehl" w:hAnsi="FrankRuehl" w:cs="FrankRuehl"/>
          <w:rtl/>
        </w:rPr>
        <w:t xml:space="preserve">, </w:t>
      </w:r>
      <w:hyperlink r:id="rId13" w:history="1">
        <w:r w:rsidRPr="00333600">
          <w:rPr>
            <w:rFonts w:ascii="FrankRuehl" w:hAnsi="FrankRuehl" w:cs="FrankRuehl"/>
            <w:color w:val="0000FF"/>
            <w:u w:val="single"/>
            <w:rtl/>
          </w:rPr>
          <w:t>452</w:t>
        </w:r>
      </w:hyperlink>
    </w:p>
    <w:p w14:paraId="5CAB96B9" w14:textId="77777777" w:rsidR="00333600" w:rsidRPr="00333600" w:rsidRDefault="00333600" w:rsidP="00333600">
      <w:pPr>
        <w:spacing w:after="120" w:line="240" w:lineRule="exact"/>
        <w:ind w:left="283" w:hanging="283"/>
        <w:jc w:val="both"/>
        <w:rPr>
          <w:rFonts w:ascii="FrankRuehl" w:hAnsi="FrankRuehl" w:cs="FrankRuehl"/>
          <w:rtl/>
        </w:rPr>
      </w:pPr>
      <w:hyperlink r:id="rId14" w:history="1">
        <w:r w:rsidRPr="00333600">
          <w:rPr>
            <w:rFonts w:ascii="FrankRuehl" w:hAnsi="FrankRuehl" w:cs="FrankRuehl"/>
            <w:color w:val="0000FF"/>
            <w:u w:val="single"/>
            <w:rtl/>
          </w:rPr>
          <w:t>חוק סדר הדין הפלילי [נוסח משולב], תשמ"ב-1982</w:t>
        </w:r>
      </w:hyperlink>
      <w:r w:rsidRPr="00333600">
        <w:rPr>
          <w:rFonts w:ascii="FrankRuehl" w:hAnsi="FrankRuehl" w:cs="FrankRuehl"/>
          <w:rtl/>
        </w:rPr>
        <w:t xml:space="preserve">: סע'  </w:t>
      </w:r>
      <w:hyperlink r:id="rId15" w:history="1">
        <w:r w:rsidRPr="00333600">
          <w:rPr>
            <w:rFonts w:ascii="FrankRuehl" w:hAnsi="FrankRuehl" w:cs="FrankRuehl"/>
            <w:color w:val="0000FF"/>
            <w:u w:val="single"/>
            <w:rtl/>
          </w:rPr>
          <w:t>39</w:t>
        </w:r>
      </w:hyperlink>
    </w:p>
    <w:p w14:paraId="3DC230AB" w14:textId="77777777" w:rsidR="00333600" w:rsidRPr="00333600" w:rsidRDefault="00333600" w:rsidP="00333600">
      <w:pPr>
        <w:spacing w:after="120" w:line="240" w:lineRule="exact"/>
        <w:ind w:left="283" w:hanging="283"/>
        <w:jc w:val="both"/>
        <w:rPr>
          <w:rFonts w:ascii="FrankRuehl" w:hAnsi="FrankRuehl" w:cs="FrankRuehl"/>
          <w:rtl/>
        </w:rPr>
      </w:pPr>
      <w:hyperlink r:id="rId16" w:history="1">
        <w:r w:rsidRPr="00333600">
          <w:rPr>
            <w:rFonts w:ascii="FrankRuehl" w:hAnsi="FrankRuehl" w:cs="FrankRuehl"/>
            <w:color w:val="0000FF"/>
            <w:u w:val="single"/>
            <w:rtl/>
          </w:rPr>
          <w:t>פקודת הסמים המסוכנים [נוסח חדש], תשל"ג-1973</w:t>
        </w:r>
      </w:hyperlink>
    </w:p>
    <w:p w14:paraId="5DD1D474" w14:textId="77777777" w:rsidR="00967E75" w:rsidRPr="00967E75" w:rsidRDefault="00967E75" w:rsidP="00497845">
      <w:pPr>
        <w:rPr>
          <w:rtl/>
        </w:rPr>
      </w:pPr>
    </w:p>
    <w:p w14:paraId="55D05928" w14:textId="77777777" w:rsidR="00967E75" w:rsidRPr="00967E75" w:rsidRDefault="00967E75" w:rsidP="00497845">
      <w:pPr>
        <w:rPr>
          <w:rtl/>
        </w:rPr>
      </w:pPr>
    </w:p>
    <w:p w14:paraId="34F92667" w14:textId="77777777" w:rsidR="00497845" w:rsidRPr="00967E75" w:rsidRDefault="00497845" w:rsidP="004978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7845" w14:paraId="31113399" w14:textId="77777777" w:rsidTr="00497845">
        <w:trPr>
          <w:trHeight w:val="355"/>
          <w:jc w:val="center"/>
        </w:trPr>
        <w:tc>
          <w:tcPr>
            <w:tcW w:w="8820" w:type="dxa"/>
            <w:tcBorders>
              <w:top w:val="nil"/>
              <w:left w:val="nil"/>
              <w:bottom w:val="nil"/>
              <w:right w:val="nil"/>
            </w:tcBorders>
            <w:shd w:val="clear" w:color="auto" w:fill="auto"/>
          </w:tcPr>
          <w:p w14:paraId="55431336" w14:textId="77777777" w:rsidR="00967E75" w:rsidRPr="00967E75" w:rsidRDefault="00967E75" w:rsidP="00967E75">
            <w:pPr>
              <w:jc w:val="center"/>
              <w:rPr>
                <w:rFonts w:ascii="Arial" w:hAnsi="Arial" w:cs="FrankRuehl"/>
                <w:b/>
                <w:bCs/>
                <w:sz w:val="32"/>
                <w:szCs w:val="32"/>
                <w:u w:val="single"/>
                <w:rtl/>
              </w:rPr>
            </w:pPr>
            <w:bookmarkStart w:id="3" w:name="PsakDin" w:colFirst="0" w:colLast="0"/>
            <w:bookmarkEnd w:id="0"/>
            <w:r w:rsidRPr="00967E75">
              <w:rPr>
                <w:rFonts w:ascii="Arial" w:hAnsi="Arial" w:cs="FrankRuehl"/>
                <w:b/>
                <w:bCs/>
                <w:sz w:val="32"/>
                <w:szCs w:val="32"/>
                <w:u w:val="single"/>
                <w:rtl/>
              </w:rPr>
              <w:t>גזר דין</w:t>
            </w:r>
          </w:p>
          <w:p w14:paraId="0944D7A3" w14:textId="77777777" w:rsidR="00497845" w:rsidRPr="00967E75" w:rsidRDefault="00497845" w:rsidP="00967E75">
            <w:pPr>
              <w:jc w:val="center"/>
              <w:rPr>
                <w:rFonts w:ascii="Arial" w:hAnsi="Arial" w:cs="FrankRuehl"/>
                <w:bCs/>
                <w:sz w:val="32"/>
                <w:szCs w:val="32"/>
                <w:u w:val="single"/>
                <w:rtl/>
              </w:rPr>
            </w:pPr>
          </w:p>
        </w:tc>
      </w:tr>
      <w:bookmarkEnd w:id="3"/>
    </w:tbl>
    <w:p w14:paraId="7BF554F0" w14:textId="77777777" w:rsidR="00497845" w:rsidRPr="00B05847" w:rsidRDefault="00497845" w:rsidP="00497845">
      <w:pPr>
        <w:rPr>
          <w:rFonts w:ascii="Arial" w:hAnsi="Arial"/>
          <w:rtl/>
        </w:rPr>
      </w:pPr>
    </w:p>
    <w:p w14:paraId="0DC86BA9" w14:textId="77777777" w:rsidR="00497845" w:rsidRDefault="00497845" w:rsidP="00497845">
      <w:pPr>
        <w:spacing w:after="160" w:line="360" w:lineRule="auto"/>
        <w:jc w:val="both"/>
        <w:rPr>
          <w:rFonts w:ascii="Calibri" w:eastAsia="Calibri" w:hAnsi="Calibri"/>
          <w:b/>
          <w:bCs/>
          <w:rtl/>
        </w:rPr>
      </w:pPr>
    </w:p>
    <w:p w14:paraId="5CD6D83B"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כתב האישום</w:t>
      </w:r>
    </w:p>
    <w:p w14:paraId="39324539" w14:textId="77777777" w:rsidR="00497845" w:rsidRPr="00EA142A" w:rsidRDefault="00497845" w:rsidP="00497845">
      <w:pPr>
        <w:spacing w:after="160" w:line="360" w:lineRule="auto"/>
        <w:jc w:val="both"/>
        <w:rPr>
          <w:rFonts w:ascii="Calibri" w:eastAsia="Calibri" w:hAnsi="Calibri"/>
          <w:rtl/>
        </w:rPr>
      </w:pPr>
      <w:bookmarkStart w:id="4" w:name="ABSTRACT_START"/>
      <w:bookmarkEnd w:id="4"/>
      <w:r>
        <w:rPr>
          <w:rFonts w:ascii="Calibri" w:eastAsia="Calibri" w:hAnsi="Calibri" w:hint="cs"/>
          <w:rtl/>
        </w:rPr>
        <w:t>הנאשם הורשע על פי הודאתו</w:t>
      </w:r>
      <w:r w:rsidRPr="00EA142A">
        <w:rPr>
          <w:rFonts w:ascii="Calibri" w:eastAsia="Calibri" w:hAnsi="Calibri" w:hint="cs"/>
          <w:rtl/>
        </w:rPr>
        <w:t xml:space="preserve"> אשר ניתנה במסגרת הסדר טיעון לאחר תיקונו של כתב האישום, בעבירות של התפרצות למקום המשמש לתפילה לבצע עבירה, גניבה, החזקת מכשירי פריצה, היזק לרכוש במזיד לפי </w:t>
      </w:r>
      <w:hyperlink r:id="rId17" w:history="1">
        <w:r w:rsidR="00333600" w:rsidRPr="00333600">
          <w:rPr>
            <w:rFonts w:ascii="Calibri" w:eastAsia="Calibri" w:hAnsi="Calibri" w:hint="cs"/>
            <w:color w:val="0000FF"/>
            <w:u w:val="single"/>
            <w:rtl/>
          </w:rPr>
          <w:t>סעיפים</w:t>
        </w:r>
        <w:r w:rsidR="00333600" w:rsidRPr="00333600">
          <w:rPr>
            <w:rFonts w:ascii="Calibri" w:eastAsia="Calibri" w:hAnsi="Calibri"/>
            <w:color w:val="0000FF"/>
            <w:u w:val="single"/>
            <w:rtl/>
          </w:rPr>
          <w:t xml:space="preserve"> 406(</w:t>
        </w:r>
        <w:r w:rsidR="00333600" w:rsidRPr="00333600">
          <w:rPr>
            <w:rFonts w:ascii="Calibri" w:eastAsia="Calibri" w:hAnsi="Calibri" w:hint="cs"/>
            <w:color w:val="0000FF"/>
            <w:u w:val="single"/>
            <w:rtl/>
          </w:rPr>
          <w:t>ב</w:t>
        </w:r>
        <w:r w:rsidR="00333600" w:rsidRPr="00333600">
          <w:rPr>
            <w:rFonts w:ascii="Calibri" w:eastAsia="Calibri" w:hAnsi="Calibri"/>
            <w:color w:val="0000FF"/>
            <w:u w:val="single"/>
            <w:rtl/>
          </w:rPr>
          <w:t>)</w:t>
        </w:r>
      </w:hyperlink>
      <w:r w:rsidRPr="00EA142A">
        <w:rPr>
          <w:rFonts w:ascii="Calibri" w:eastAsia="Calibri" w:hAnsi="Calibri" w:hint="cs"/>
          <w:rtl/>
        </w:rPr>
        <w:t xml:space="preserve">, </w:t>
      </w:r>
      <w:hyperlink r:id="rId18" w:history="1">
        <w:r w:rsidR="00333600" w:rsidRPr="00333600">
          <w:rPr>
            <w:rFonts w:ascii="Calibri" w:eastAsia="Calibri" w:hAnsi="Calibri"/>
            <w:color w:val="0000FF"/>
            <w:u w:val="single"/>
            <w:rtl/>
          </w:rPr>
          <w:t>384</w:t>
        </w:r>
      </w:hyperlink>
      <w:r w:rsidRPr="00EA142A">
        <w:rPr>
          <w:rFonts w:ascii="Calibri" w:eastAsia="Calibri" w:hAnsi="Calibri" w:hint="cs"/>
          <w:rtl/>
        </w:rPr>
        <w:t xml:space="preserve">, </w:t>
      </w:r>
      <w:hyperlink r:id="rId19" w:history="1">
        <w:r w:rsidR="00333600" w:rsidRPr="00333600">
          <w:rPr>
            <w:rFonts w:ascii="Calibri" w:eastAsia="Calibri" w:hAnsi="Calibri"/>
            <w:color w:val="0000FF"/>
            <w:u w:val="single"/>
            <w:rtl/>
          </w:rPr>
          <w:t>409</w:t>
        </w:r>
      </w:hyperlink>
      <w:r w:rsidRPr="00EA142A">
        <w:rPr>
          <w:rFonts w:ascii="Calibri" w:eastAsia="Calibri" w:hAnsi="Calibri" w:hint="cs"/>
          <w:rtl/>
        </w:rPr>
        <w:t xml:space="preserve"> ו-</w:t>
      </w:r>
      <w:hyperlink r:id="rId20" w:history="1">
        <w:r w:rsidR="00333600" w:rsidRPr="00333600">
          <w:rPr>
            <w:rFonts w:ascii="Calibri" w:eastAsia="Calibri" w:hAnsi="Calibri"/>
            <w:color w:val="0000FF"/>
            <w:u w:val="single"/>
            <w:rtl/>
          </w:rPr>
          <w:t>452</w:t>
        </w:r>
      </w:hyperlink>
      <w:r w:rsidRPr="00EA142A">
        <w:rPr>
          <w:rFonts w:ascii="Calibri" w:eastAsia="Calibri" w:hAnsi="Calibri" w:hint="cs"/>
          <w:rtl/>
        </w:rPr>
        <w:t xml:space="preserve"> ל</w:t>
      </w:r>
      <w:hyperlink r:id="rId21" w:history="1">
        <w:r w:rsidR="00967E75" w:rsidRPr="00967E75">
          <w:rPr>
            <w:rFonts w:ascii="Calibri" w:eastAsia="Calibri" w:hAnsi="Calibri" w:hint="cs"/>
            <w:color w:val="0000FF"/>
            <w:u w:val="single"/>
            <w:rtl/>
          </w:rPr>
          <w:t>חוק</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העונשין</w:t>
        </w:r>
      </w:hyperlink>
      <w:r w:rsidRPr="00EA142A">
        <w:rPr>
          <w:rFonts w:ascii="Calibri" w:eastAsia="Calibri" w:hAnsi="Calibri" w:hint="cs"/>
          <w:rtl/>
        </w:rPr>
        <w:t xml:space="preserve">, התשל"ז-1977 (להלן: </w:t>
      </w:r>
      <w:r w:rsidRPr="00EA142A">
        <w:rPr>
          <w:rFonts w:ascii="Calibri" w:eastAsia="Calibri" w:hAnsi="Calibri" w:hint="cs"/>
          <w:b/>
          <w:bCs/>
          <w:rtl/>
        </w:rPr>
        <w:t>"חוק העונשין"</w:t>
      </w:r>
      <w:r w:rsidRPr="00EA142A">
        <w:rPr>
          <w:rFonts w:ascii="Calibri" w:eastAsia="Calibri" w:hAnsi="Calibri" w:hint="cs"/>
          <w:rtl/>
        </w:rPr>
        <w:t>).</w:t>
      </w:r>
    </w:p>
    <w:p w14:paraId="589663DD"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מכתב האישום המתוקן עולה כי ביום 26.9.16 בשעה 21:25 נסע הנאשם יחד עם </w:t>
      </w:r>
      <w:r>
        <w:rPr>
          <w:rFonts w:ascii="Calibri" w:eastAsia="Calibri" w:hAnsi="Calibri" w:hint="cs"/>
          <w:rtl/>
        </w:rPr>
        <w:t>שלושה</w:t>
      </w:r>
      <w:r w:rsidRPr="00EA142A">
        <w:rPr>
          <w:rFonts w:ascii="Calibri" w:eastAsia="Calibri" w:hAnsi="Calibri" w:hint="cs"/>
          <w:rtl/>
        </w:rPr>
        <w:t xml:space="preserve"> אחרים ברכב מסוג מזדה. הרכב על נוסעיו הגיע סמוך למנזר רוזרי, בבית חנינה (להלן: </w:t>
      </w:r>
      <w:r w:rsidRPr="00EA142A">
        <w:rPr>
          <w:rFonts w:ascii="Calibri" w:eastAsia="Calibri" w:hAnsi="Calibri" w:hint="cs"/>
          <w:b/>
          <w:bCs/>
          <w:rtl/>
        </w:rPr>
        <w:t>"המנזר"</w:t>
      </w:r>
      <w:r w:rsidRPr="00EA142A">
        <w:rPr>
          <w:rFonts w:ascii="Calibri" w:eastAsia="Calibri" w:hAnsi="Calibri" w:hint="cs"/>
          <w:rtl/>
        </w:rPr>
        <w:t>).</w:t>
      </w:r>
    </w:p>
    <w:p w14:paraId="1C81EC0E" w14:textId="77777777" w:rsidR="00497845" w:rsidRPr="00EA142A" w:rsidRDefault="00497845" w:rsidP="00497845">
      <w:pPr>
        <w:spacing w:after="160" w:line="360" w:lineRule="auto"/>
        <w:jc w:val="both"/>
        <w:rPr>
          <w:rFonts w:ascii="Calibri" w:eastAsia="Calibri" w:hAnsi="Calibri"/>
          <w:rtl/>
        </w:rPr>
      </w:pPr>
      <w:bookmarkStart w:id="5" w:name="ABSTRACT_END"/>
      <w:bookmarkEnd w:id="5"/>
      <w:r w:rsidRPr="00EA142A">
        <w:rPr>
          <w:rFonts w:ascii="Calibri" w:eastAsia="Calibri" w:hAnsi="Calibri" w:hint="cs"/>
          <w:rtl/>
        </w:rPr>
        <w:t>הנאשם ואחד האחרים, ירדו מהרכב כאשר הם מצוידים בלום ברזל, תיקים וכלי פריצה נוספים וניגשו אל עבר המנזר.</w:t>
      </w:r>
    </w:p>
    <w:p w14:paraId="3F49959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lastRenderedPageBreak/>
        <w:t>באותן נסיבות, השניים הנוספים החנו את הרכב במפרץ הסמוך למנזר, כיבו את האורות והמתינו לנאשם והאחר ברכב.</w:t>
      </w:r>
    </w:p>
    <w:p w14:paraId="04FCF77C"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הנאשם והאחר נכנסו אל חצר המנזר ומשם ניגשו את דלת הכניסה למנזר, חתכו באמצעות מכשיר חד את סורג החלון ופתחו את דלת הסורג. לאחר מכן ניגשו אל הדלת, שברו את זכוכית החלון של הדלת, </w:t>
      </w:r>
      <w:r>
        <w:rPr>
          <w:rFonts w:ascii="Calibri" w:eastAsia="Calibri" w:hAnsi="Calibri" w:hint="cs"/>
          <w:rtl/>
        </w:rPr>
        <w:t>השחילו את ידם</w:t>
      </w:r>
      <w:r w:rsidRPr="00EA142A">
        <w:rPr>
          <w:rFonts w:ascii="Calibri" w:eastAsia="Calibri" w:hAnsi="Calibri" w:hint="cs"/>
          <w:rtl/>
        </w:rPr>
        <w:t xml:space="preserve"> ופתחו את הבריח של הדלת הנעולה </w:t>
      </w:r>
      <w:r>
        <w:rPr>
          <w:rFonts w:ascii="Calibri" w:eastAsia="Calibri" w:hAnsi="Calibri" w:hint="cs"/>
          <w:rtl/>
        </w:rPr>
        <w:t>על מנת להכנס</w:t>
      </w:r>
      <w:r w:rsidRPr="00EA142A">
        <w:rPr>
          <w:rFonts w:ascii="Calibri" w:eastAsia="Calibri" w:hAnsi="Calibri" w:hint="cs"/>
          <w:rtl/>
        </w:rPr>
        <w:t xml:space="preserve"> אל תוך המנזר.</w:t>
      </w:r>
    </w:p>
    <w:p w14:paraId="77AF0EE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השניים עלו אל הקומה השנייה</w:t>
      </w:r>
      <w:r>
        <w:rPr>
          <w:rFonts w:ascii="Calibri" w:eastAsia="Calibri" w:hAnsi="Calibri" w:hint="cs"/>
          <w:rtl/>
        </w:rPr>
        <w:t>,</w:t>
      </w:r>
      <w:r w:rsidRPr="00EA142A">
        <w:rPr>
          <w:rFonts w:ascii="Calibri" w:eastAsia="Calibri" w:hAnsi="Calibri" w:hint="cs"/>
          <w:rtl/>
        </w:rPr>
        <w:t xml:space="preserve"> ושם פ</w:t>
      </w:r>
      <w:r>
        <w:rPr>
          <w:rFonts w:ascii="Calibri" w:eastAsia="Calibri" w:hAnsi="Calibri" w:hint="cs"/>
          <w:rtl/>
        </w:rPr>
        <w:t>רצו את דלת הכניסה לחדר אם המנזר</w:t>
      </w:r>
      <w:r w:rsidRPr="00EA142A">
        <w:rPr>
          <w:rFonts w:ascii="Calibri" w:eastAsia="Calibri" w:hAnsi="Calibri" w:hint="cs"/>
          <w:rtl/>
        </w:rPr>
        <w:t xml:space="preserve"> באמצעות לום, נכנסו לחדרה, חיטטו בארונות ובמגירות ופנו אל דלת המובילה אל חדר פנימי. לאחר שפרצו </w:t>
      </w:r>
      <w:r>
        <w:rPr>
          <w:rFonts w:ascii="Calibri" w:eastAsia="Calibri" w:hAnsi="Calibri" w:hint="cs"/>
          <w:rtl/>
        </w:rPr>
        <w:t>אף אותה</w:t>
      </w:r>
      <w:r w:rsidRPr="00EA142A">
        <w:rPr>
          <w:rFonts w:ascii="Calibri" w:eastAsia="Calibri" w:hAnsi="Calibri" w:hint="cs"/>
          <w:rtl/>
        </w:rPr>
        <w:t xml:space="preserve"> באמצעות לום, נכנסו אל החדר הפנימי שם הייתה </w:t>
      </w:r>
      <w:r>
        <w:rPr>
          <w:rFonts w:ascii="Calibri" w:eastAsia="Calibri" w:hAnsi="Calibri" w:hint="cs"/>
          <w:rtl/>
        </w:rPr>
        <w:t xml:space="preserve">מוצבת </w:t>
      </w:r>
      <w:r w:rsidRPr="00EA142A">
        <w:rPr>
          <w:rFonts w:ascii="Calibri" w:eastAsia="Calibri" w:hAnsi="Calibri" w:hint="cs"/>
          <w:rtl/>
        </w:rPr>
        <w:t>כספת. השניים חיטטו בארון ומצאו קופסא המכילה מספר רב של מפתחות ושפכו את תכולתה, כך שמפתחות רבים הושלכו לרצפה. בהמשך לקח הנאשם מפתח מיוחד המתאים לכספת מסוג רב בריח ופתח את הכספת אשר הכילה כמיליון שקלים.</w:t>
      </w:r>
    </w:p>
    <w:p w14:paraId="11DBE9B2"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הנאשם והאחר פרצו גם את דלת חדר מנהל המנזר, חיטטו בו וגנבו תיק מחשב ושעונים. הנאשם והאחר נטלו את הכסף שהיה בכספת והכניסו </w:t>
      </w:r>
      <w:r>
        <w:rPr>
          <w:rFonts w:ascii="Calibri" w:eastAsia="Calibri" w:hAnsi="Calibri" w:hint="cs"/>
          <w:rtl/>
        </w:rPr>
        <w:t>אותו</w:t>
      </w:r>
      <w:r w:rsidRPr="00EA142A">
        <w:rPr>
          <w:rFonts w:ascii="Calibri" w:eastAsia="Calibri" w:hAnsi="Calibri" w:hint="cs"/>
          <w:rtl/>
        </w:rPr>
        <w:t xml:space="preserve"> לתיקים שנשאו ולתיק שגנבו ועזבו את המנזר. הרכב שהמתין לשניים אסף אותם והארבעה נסעו מהמקום.</w:t>
      </w:r>
    </w:p>
    <w:p w14:paraId="3CA11E9E"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בכתב האישום צוין כי באותה עת, נמו את שנתן בקומתו הרביעית של המנזר </w:t>
      </w:r>
      <w:r>
        <w:rPr>
          <w:rFonts w:ascii="Calibri" w:eastAsia="Calibri" w:hAnsi="Calibri" w:hint="cs"/>
          <w:rtl/>
        </w:rPr>
        <w:t>שלוש עשרה</w:t>
      </w:r>
      <w:r w:rsidRPr="00EA142A">
        <w:rPr>
          <w:rFonts w:ascii="Calibri" w:eastAsia="Calibri" w:hAnsi="Calibri" w:hint="cs"/>
          <w:rtl/>
        </w:rPr>
        <w:t xml:space="preserve"> נזירות. </w:t>
      </w:r>
    </w:p>
    <w:p w14:paraId="0C205BC8" w14:textId="77777777" w:rsidR="00497845" w:rsidRDefault="00497845" w:rsidP="00497845">
      <w:pPr>
        <w:spacing w:after="160" w:line="360" w:lineRule="auto"/>
        <w:jc w:val="both"/>
        <w:rPr>
          <w:rFonts w:ascii="Calibri" w:eastAsia="Calibri" w:hAnsi="Calibri"/>
          <w:rtl/>
        </w:rPr>
      </w:pPr>
      <w:r w:rsidRPr="00EA142A">
        <w:rPr>
          <w:rFonts w:ascii="Calibri" w:eastAsia="Calibri" w:hAnsi="Calibri" w:hint="cs"/>
          <w:rtl/>
        </w:rPr>
        <w:t>עוד צוין בסעיף 13 ל</w:t>
      </w:r>
      <w:r>
        <w:rPr>
          <w:rFonts w:ascii="Calibri" w:eastAsia="Calibri" w:hAnsi="Calibri" w:hint="cs"/>
          <w:rtl/>
        </w:rPr>
        <w:t>פרק העובדות אשר ב</w:t>
      </w:r>
      <w:r w:rsidRPr="00EA142A">
        <w:rPr>
          <w:rFonts w:ascii="Calibri" w:eastAsia="Calibri" w:hAnsi="Calibri" w:hint="cs"/>
          <w:rtl/>
        </w:rPr>
        <w:t>כתב האישום, כי לאחר האירוע העביר הנאשם חלק מהכסף שנגנב לאימו, גב' סארה שמאסנה שהעבירה את הכסף לגב' חלימה טהא, והאחרונה הטמינה את הכסף, שם נתפסו 18,900 יורו.</w:t>
      </w:r>
    </w:p>
    <w:p w14:paraId="506DCCF7" w14:textId="77777777" w:rsidR="00497845" w:rsidRPr="00EA142A" w:rsidRDefault="00497845" w:rsidP="00497845">
      <w:pPr>
        <w:spacing w:after="160" w:line="360" w:lineRule="auto"/>
        <w:jc w:val="both"/>
        <w:rPr>
          <w:rFonts w:ascii="Calibri" w:eastAsia="Calibri" w:hAnsi="Calibri"/>
          <w:rtl/>
        </w:rPr>
      </w:pPr>
    </w:p>
    <w:p w14:paraId="1F5CFA3F"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הטיעונים לעונש</w:t>
      </w:r>
    </w:p>
    <w:p w14:paraId="4CF9068C"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ב"כ המאשימה טען, כי לחובת הנאשם, יליד שנת 1992, הרשעה משנת 2014 בביצוע עבירות שונות, בגינן ריצה  26 חודשי מאסר בפועל ממש.  </w:t>
      </w:r>
    </w:p>
    <w:p w14:paraId="087D0387"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אשר לנסיבות ביצוע העבירות כאן, הדגיש ב"כ המאשימה, כי הנאשם חבר לאחרים על מנת לבצע את ההתפרצות, ויחד התפרצו למנזר בתחכום תוך גרימת נזק, ולאחר מכן העביר הנאשם לאמו חלק מהשלל, בסך של 18,900 יורו. </w:t>
      </w:r>
    </w:p>
    <w:p w14:paraId="3EFCFD47"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אשר למתחם הענישה נטען, כי מתקיימות במקרה זה כלל הנסיבות המנויות </w:t>
      </w:r>
      <w:hyperlink r:id="rId22" w:history="1">
        <w:r w:rsidR="00333600" w:rsidRPr="00333600">
          <w:rPr>
            <w:rFonts w:ascii="Calibri" w:eastAsia="Calibri" w:hAnsi="Calibri" w:hint="cs"/>
            <w:color w:val="0000FF"/>
            <w:u w:val="single"/>
            <w:rtl/>
          </w:rPr>
          <w:t>בסעיף</w:t>
        </w:r>
        <w:r w:rsidR="00333600" w:rsidRPr="00333600">
          <w:rPr>
            <w:rFonts w:ascii="Calibri" w:eastAsia="Calibri" w:hAnsi="Calibri"/>
            <w:color w:val="0000FF"/>
            <w:u w:val="single"/>
            <w:rtl/>
          </w:rPr>
          <w:t xml:space="preserve"> 40 </w:t>
        </w:r>
        <w:r w:rsidR="00333600" w:rsidRPr="00333600">
          <w:rPr>
            <w:rFonts w:ascii="Calibri" w:eastAsia="Calibri" w:hAnsi="Calibri" w:hint="cs"/>
            <w:color w:val="0000FF"/>
            <w:u w:val="single"/>
            <w:rtl/>
          </w:rPr>
          <w:t>ט</w:t>
        </w:r>
      </w:hyperlink>
      <w:r w:rsidRPr="00EA142A">
        <w:rPr>
          <w:rFonts w:ascii="Calibri" w:eastAsia="Calibri" w:hAnsi="Calibri" w:hint="cs"/>
          <w:rtl/>
        </w:rPr>
        <w:t xml:space="preserve"> ל</w:t>
      </w:r>
      <w:hyperlink r:id="rId23" w:history="1">
        <w:r w:rsidR="00967E75" w:rsidRPr="00967E75">
          <w:rPr>
            <w:rFonts w:ascii="Calibri" w:eastAsia="Calibri" w:hAnsi="Calibri" w:hint="cs"/>
            <w:color w:val="0000FF"/>
            <w:u w:val="single"/>
            <w:rtl/>
          </w:rPr>
          <w:t>חוק</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העונשין</w:t>
        </w:r>
      </w:hyperlink>
      <w:r w:rsidRPr="00EA142A">
        <w:rPr>
          <w:rFonts w:ascii="Calibri" w:eastAsia="Calibri" w:hAnsi="Calibri" w:hint="cs"/>
          <w:rtl/>
        </w:rPr>
        <w:t xml:space="preserve">, ועל כן מתחם הענישה הראשוני הינו לא מן הנמוכים. ב"כ המאשימה התייחס לתכנון שקדם לביצוע העבירה, לחבירתו של הנאשם לאחרים, ההתפרצות בצוותא וחלקו העיקרי של הנאשם בביצוע העבירות, וכן לנזק הכספי העצום של כמיליון ₪, נוסף לנזקים אחרים אשר נגרמו למבנה. </w:t>
      </w:r>
    </w:p>
    <w:p w14:paraId="0A8D5F38"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lastRenderedPageBreak/>
        <w:t>ב"כ המאשימה הוסיף, כי מאחר שמדובר בעבירות שקל לבצע אותן, אך קשה ללכוד את מבצעיהן, נדרשת ענישה מרתיעה שיהיה בה כדי לצמצם את הכדאיות בביצוען וטען למתחם ענישה הולם הנע בין 18 עד 36 חודשים.</w:t>
      </w:r>
    </w:p>
    <w:p w14:paraId="6C8A9353"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אשר לנסיבותיו האישיות של הנאשם, נטען כי מחד הנאשם הודה במיוחס לו, אך מאידך רק בשנת 2014 נשפט ל-26 חודשי מאסר, </w:t>
      </w:r>
      <w:r>
        <w:rPr>
          <w:rFonts w:ascii="Calibri" w:eastAsia="Calibri" w:hAnsi="Calibri" w:hint="cs"/>
          <w:rtl/>
        </w:rPr>
        <w:t>השתחרר מהכלא ומיד החל בתכנונה של</w:t>
      </w:r>
      <w:r w:rsidRPr="00EA142A">
        <w:rPr>
          <w:rFonts w:ascii="Calibri" w:eastAsia="Calibri" w:hAnsi="Calibri" w:hint="cs"/>
          <w:rtl/>
        </w:rPr>
        <w:t xml:space="preserve"> העבירה הבאה. </w:t>
      </w:r>
    </w:p>
    <w:p w14:paraId="1B42C8E5"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אשר לכספים שנתפסו, טען ב"כ המאשימה כי לא מדובר בכספים של הנאשם, אשר אינו יכול להוכיח זאת, ועל כן ביקש לחלט את הכסף, על מנת שיוחזר למתלוננים. </w:t>
      </w:r>
    </w:p>
    <w:p w14:paraId="6C21C8D6"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לבסוף ביקש ב"כ המאשימה לגזור את עונשו של הנאשם בחלק העליון של המתח</w:t>
      </w:r>
      <w:r>
        <w:rPr>
          <w:rFonts w:ascii="Calibri" w:eastAsia="Calibri" w:hAnsi="Calibri" w:hint="cs"/>
          <w:rtl/>
        </w:rPr>
        <w:t>ם העונשי</w:t>
      </w:r>
      <w:r w:rsidRPr="00EA142A">
        <w:rPr>
          <w:rFonts w:ascii="Calibri" w:eastAsia="Calibri" w:hAnsi="Calibri" w:hint="cs"/>
          <w:rtl/>
        </w:rPr>
        <w:t xml:space="preserve">, </w:t>
      </w:r>
      <w:r>
        <w:rPr>
          <w:rFonts w:ascii="Calibri" w:eastAsia="Calibri" w:hAnsi="Calibri" w:hint="cs"/>
          <w:rtl/>
        </w:rPr>
        <w:t xml:space="preserve">וכן </w:t>
      </w:r>
      <w:r w:rsidRPr="00EA142A">
        <w:rPr>
          <w:rFonts w:ascii="Calibri" w:eastAsia="Calibri" w:hAnsi="Calibri" w:hint="cs"/>
          <w:rtl/>
        </w:rPr>
        <w:t>להשית עליו מאסר על תנאי, קנס ופיצוי כספי למתלוננים.</w:t>
      </w:r>
    </w:p>
    <w:p w14:paraId="6722BD2A"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b/>
          <w:bCs/>
          <w:rtl/>
        </w:rPr>
        <w:t xml:space="preserve">הסניגור </w:t>
      </w:r>
      <w:r w:rsidRPr="00F72A51">
        <w:rPr>
          <w:rFonts w:ascii="Calibri" w:eastAsia="Calibri" w:hAnsi="Calibri" w:hint="cs"/>
          <w:rtl/>
        </w:rPr>
        <w:t>טען מנגד כי</w:t>
      </w:r>
      <w:r w:rsidRPr="00EA142A">
        <w:rPr>
          <w:rFonts w:ascii="Calibri" w:eastAsia="Calibri" w:hAnsi="Calibri" w:hint="cs"/>
          <w:rtl/>
        </w:rPr>
        <w:t xml:space="preserve"> הנאשם </w:t>
      </w:r>
      <w:r>
        <w:rPr>
          <w:rFonts w:ascii="Calibri" w:eastAsia="Calibri" w:hAnsi="Calibri" w:hint="cs"/>
          <w:rtl/>
        </w:rPr>
        <w:t>נטל</w:t>
      </w:r>
      <w:r w:rsidRPr="00EA142A">
        <w:rPr>
          <w:rFonts w:ascii="Calibri" w:eastAsia="Calibri" w:hAnsi="Calibri" w:hint="cs"/>
          <w:rtl/>
        </w:rPr>
        <w:t xml:space="preserve"> אחריות על מעשיו ללא כל הבטחה מצד המאשימה, קיצר הליכים </w:t>
      </w:r>
      <w:r>
        <w:rPr>
          <w:rFonts w:ascii="Calibri" w:eastAsia="Calibri" w:hAnsi="Calibri" w:hint="cs"/>
          <w:rtl/>
        </w:rPr>
        <w:t xml:space="preserve">משפטיים </w:t>
      </w:r>
      <w:r w:rsidRPr="00EA142A">
        <w:rPr>
          <w:rFonts w:ascii="Calibri" w:eastAsia="Calibri" w:hAnsi="Calibri" w:hint="cs"/>
          <w:rtl/>
        </w:rPr>
        <w:t xml:space="preserve">וחסך בזמן, אך הוא מבקש לעמוד על עניינים מהותיים </w:t>
      </w:r>
      <w:r>
        <w:rPr>
          <w:rFonts w:ascii="Calibri" w:eastAsia="Calibri" w:hAnsi="Calibri" w:hint="cs"/>
          <w:rtl/>
        </w:rPr>
        <w:t xml:space="preserve">אשר </w:t>
      </w:r>
      <w:r w:rsidRPr="00EA142A">
        <w:rPr>
          <w:rFonts w:ascii="Calibri" w:eastAsia="Calibri" w:hAnsi="Calibri" w:hint="cs"/>
          <w:rtl/>
        </w:rPr>
        <w:t xml:space="preserve">עולים מחומר החקירה באשר לסכום שנגנב. לדבריו, כתב האישום המתוקן מציין שנגנבו </w:t>
      </w:r>
      <w:r w:rsidRPr="00EA142A">
        <w:rPr>
          <w:rFonts w:ascii="Calibri" w:eastAsia="Calibri" w:hAnsi="Calibri" w:hint="cs"/>
          <w:b/>
          <w:bCs/>
          <w:rtl/>
        </w:rPr>
        <w:t>כ</w:t>
      </w:r>
      <w:r w:rsidRPr="00EA142A">
        <w:rPr>
          <w:rFonts w:ascii="Calibri" w:eastAsia="Calibri" w:hAnsi="Calibri" w:hint="cs"/>
          <w:rtl/>
        </w:rPr>
        <w:t xml:space="preserve">מיליון שקלים ומשאיר טווח מאוד רחב, בהתבסס על דברי מנהלת המנזר בלבד, ומעבר לכך אין ראיה חד משמעית לסכום. </w:t>
      </w:r>
    </w:p>
    <w:p w14:paraId="3ABFE52D"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הסניגור הוסיף וטען, כי הנאשם לא פעל לבדו, ועל כן יש להתחשב בחלוקה היחסית בין האחרים וליתן את הדעת לכך </w:t>
      </w:r>
      <w:r>
        <w:rPr>
          <w:rFonts w:ascii="Calibri" w:eastAsia="Calibri" w:hAnsi="Calibri" w:hint="cs"/>
          <w:rtl/>
        </w:rPr>
        <w:t xml:space="preserve">כי </w:t>
      </w:r>
      <w:r w:rsidRPr="00EA142A">
        <w:rPr>
          <w:rFonts w:ascii="Calibri" w:eastAsia="Calibri" w:hAnsi="Calibri" w:hint="cs"/>
          <w:rtl/>
        </w:rPr>
        <w:t>העובדה שהנאשם פעל בתוך המנזר, אין משמעותה שחלקו בביצוע העבירות היה המרכזי מבין כל המבצעים.</w:t>
      </w:r>
    </w:p>
    <w:p w14:paraId="6EC7BEEB"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הסניגור הוסיף כי אמנם הנזירות ישנו במנזר, אך מדובר במבנה גדול והנזירות ישנו בקומה הרביעית, כך שאף אחת מהן </w:t>
      </w:r>
      <w:r>
        <w:rPr>
          <w:rFonts w:ascii="Calibri" w:eastAsia="Calibri" w:hAnsi="Calibri" w:hint="cs"/>
          <w:rtl/>
        </w:rPr>
        <w:t xml:space="preserve">לא </w:t>
      </w:r>
      <w:r w:rsidRPr="00EA142A">
        <w:rPr>
          <w:rFonts w:ascii="Calibri" w:eastAsia="Calibri" w:hAnsi="Calibri" w:hint="cs"/>
          <w:rtl/>
        </w:rPr>
        <w:t xml:space="preserve">שמעה רעש או נחשפה לסכנה מוחשית. </w:t>
      </w:r>
    </w:p>
    <w:p w14:paraId="7FF439D3"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לשיטת הסניגור, נע מתחם הענישה ההולם במקרה זה בין </w:t>
      </w:r>
      <w:r w:rsidRPr="00420CD7">
        <w:rPr>
          <w:rFonts w:ascii="Calibri" w:eastAsia="Calibri" w:hAnsi="Calibri" w:hint="cs"/>
          <w:b/>
          <w:bCs/>
          <w:rtl/>
        </w:rPr>
        <w:t>6 ל-18</w:t>
      </w:r>
      <w:r w:rsidRPr="00EA142A">
        <w:rPr>
          <w:rFonts w:ascii="Calibri" w:eastAsia="Calibri" w:hAnsi="Calibri" w:hint="cs"/>
          <w:rtl/>
        </w:rPr>
        <w:t xml:space="preserve"> חודשי מאסר, בהתאם לפסיקה אשר אליה הפנה בטיעוניו. </w:t>
      </w:r>
    </w:p>
    <w:p w14:paraId="575B489D"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אשר לעונשו של הנאשם בתוך המתחם, הדגיש הסניגור, כי מדובר בנאשם בן 24 שנים, המתגורר בבית הוריו. אמו סובלת מסוכרת שבגינה אושפזה מספר פעמים, הוא נמצא בשלב קריטי בחייו וצפוי להינשא בקרוב וככל שתקופת המאסר תהיה ארוכה, גורמים רבים יפגעו. </w:t>
      </w:r>
    </w:p>
    <w:p w14:paraId="63FD9DB4"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הנאשם נעצר ביום 18.11.16 ומצוי במעצר עד ה</w:t>
      </w:r>
      <w:r>
        <w:rPr>
          <w:rFonts w:ascii="Calibri" w:eastAsia="Calibri" w:hAnsi="Calibri" w:hint="cs"/>
          <w:rtl/>
        </w:rPr>
        <w:t>יום, ומעורבותו בעבירות דנן, הינה פרי</w:t>
      </w:r>
      <w:r w:rsidRPr="00EA142A">
        <w:rPr>
          <w:rFonts w:ascii="Calibri" w:eastAsia="Calibri" w:hAnsi="Calibri" w:hint="cs"/>
          <w:rtl/>
        </w:rPr>
        <w:t xml:space="preserve"> היכרותו עם גורמים עבריינים בעת ריצוי מאסרו הקודם, בגין הסתבכות יחידה עם הדין הפלילי, עת היה בגיר צעיר. </w:t>
      </w:r>
    </w:p>
    <w:p w14:paraId="1397E71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לפיכך, ביקש הסניגור לקבוע רף ענישה כולל של 10 חודשי</w:t>
      </w:r>
      <w:r>
        <w:rPr>
          <w:rFonts w:ascii="Calibri" w:eastAsia="Calibri" w:hAnsi="Calibri" w:hint="cs"/>
          <w:rtl/>
        </w:rPr>
        <w:t xml:space="preserve"> מאסר אך </w:t>
      </w:r>
      <w:r w:rsidRPr="00EA142A">
        <w:rPr>
          <w:rFonts w:ascii="Calibri" w:eastAsia="Calibri" w:hAnsi="Calibri" w:hint="cs"/>
          <w:rtl/>
        </w:rPr>
        <w:t>לא יותר מכך.</w:t>
      </w:r>
    </w:p>
    <w:p w14:paraId="4589625A" w14:textId="77777777" w:rsidR="00497845" w:rsidRPr="00EA142A" w:rsidRDefault="00497845" w:rsidP="00497845">
      <w:pPr>
        <w:spacing w:after="160" w:line="360" w:lineRule="auto"/>
        <w:jc w:val="both"/>
        <w:rPr>
          <w:rFonts w:ascii="Calibri" w:eastAsia="Calibri" w:hAnsi="Calibri"/>
          <w:rtl/>
        </w:rPr>
      </w:pPr>
      <w:r w:rsidRPr="001C713C">
        <w:rPr>
          <w:rFonts w:ascii="Calibri" w:eastAsia="Calibri" w:hAnsi="Calibri" w:hint="cs"/>
          <w:rtl/>
        </w:rPr>
        <w:t>במועד הטיעונים לעונש התייצב לדיון גם</w:t>
      </w:r>
      <w:r w:rsidRPr="00EA142A">
        <w:rPr>
          <w:rFonts w:ascii="Calibri" w:eastAsia="Calibri" w:hAnsi="Calibri" w:hint="cs"/>
          <w:b/>
          <w:bCs/>
          <w:rtl/>
        </w:rPr>
        <w:t xml:space="preserve"> עוה"ד קרקבי,</w:t>
      </w:r>
      <w:r w:rsidRPr="00EA142A">
        <w:rPr>
          <w:rFonts w:ascii="Calibri" w:eastAsia="Calibri" w:hAnsi="Calibri" w:hint="cs"/>
          <w:rtl/>
        </w:rPr>
        <w:t xml:space="preserve"> המייצג את המנזר ו</w:t>
      </w:r>
      <w:r>
        <w:rPr>
          <w:rFonts w:ascii="Calibri" w:eastAsia="Calibri" w:hAnsi="Calibri" w:hint="cs"/>
          <w:rtl/>
        </w:rPr>
        <w:t xml:space="preserve">את </w:t>
      </w:r>
      <w:r w:rsidRPr="00EA142A">
        <w:rPr>
          <w:rFonts w:ascii="Calibri" w:eastAsia="Calibri" w:hAnsi="Calibri" w:hint="cs"/>
          <w:rtl/>
        </w:rPr>
        <w:t xml:space="preserve">אם המנזר. הוא ביקש כי הסכום </w:t>
      </w:r>
      <w:r>
        <w:rPr>
          <w:rFonts w:ascii="Calibri" w:eastAsia="Calibri" w:hAnsi="Calibri" w:hint="cs"/>
          <w:rtl/>
        </w:rPr>
        <w:t xml:space="preserve">אשר </w:t>
      </w:r>
      <w:r w:rsidRPr="00EA142A">
        <w:rPr>
          <w:rFonts w:ascii="Calibri" w:eastAsia="Calibri" w:hAnsi="Calibri" w:hint="cs"/>
          <w:rtl/>
        </w:rPr>
        <w:t xml:space="preserve">נתפס אצל הנאשם יוחזר למנזר, מאחר שהסכום </w:t>
      </w:r>
      <w:r>
        <w:rPr>
          <w:rFonts w:ascii="Calibri" w:eastAsia="Calibri" w:hAnsi="Calibri" w:hint="cs"/>
          <w:rtl/>
        </w:rPr>
        <w:t xml:space="preserve">אשר </w:t>
      </w:r>
      <w:r w:rsidRPr="00EA142A">
        <w:rPr>
          <w:rFonts w:ascii="Calibri" w:eastAsia="Calibri" w:hAnsi="Calibri" w:hint="cs"/>
          <w:rtl/>
        </w:rPr>
        <w:t xml:space="preserve">נגנב גבוה </w:t>
      </w:r>
      <w:r>
        <w:rPr>
          <w:rFonts w:ascii="Calibri" w:eastAsia="Calibri" w:hAnsi="Calibri" w:hint="cs"/>
          <w:rtl/>
        </w:rPr>
        <w:t>בהרבה</w:t>
      </w:r>
      <w:r w:rsidRPr="00EA142A">
        <w:rPr>
          <w:rFonts w:ascii="Calibri" w:eastAsia="Calibri" w:hAnsi="Calibri" w:hint="cs"/>
          <w:rtl/>
        </w:rPr>
        <w:t>. עוד ביקש, שככל שבית המשפט לא יורה על חילוט הסכום, יעוכב</w:t>
      </w:r>
      <w:r>
        <w:rPr>
          <w:rFonts w:ascii="Calibri" w:eastAsia="Calibri" w:hAnsi="Calibri" w:hint="cs"/>
          <w:rtl/>
        </w:rPr>
        <w:t xml:space="preserve"> זה</w:t>
      </w:r>
      <w:r w:rsidRPr="00EA142A">
        <w:rPr>
          <w:rFonts w:ascii="Calibri" w:eastAsia="Calibri" w:hAnsi="Calibri" w:hint="cs"/>
          <w:rtl/>
        </w:rPr>
        <w:t xml:space="preserve"> לצורך עיקולו בתביעה מסודרת</w:t>
      </w:r>
      <w:r>
        <w:rPr>
          <w:rFonts w:ascii="Calibri" w:eastAsia="Calibri" w:hAnsi="Calibri" w:hint="cs"/>
          <w:rtl/>
        </w:rPr>
        <w:t xml:space="preserve"> אשר תוגש על ידו</w:t>
      </w:r>
      <w:r w:rsidRPr="00EA142A">
        <w:rPr>
          <w:rFonts w:ascii="Calibri" w:eastAsia="Calibri" w:hAnsi="Calibri" w:hint="cs"/>
          <w:rtl/>
        </w:rPr>
        <w:t>.</w:t>
      </w:r>
    </w:p>
    <w:p w14:paraId="428F0058"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הסניגור השיב </w:t>
      </w:r>
      <w:r>
        <w:rPr>
          <w:rFonts w:ascii="Calibri" w:eastAsia="Calibri" w:hAnsi="Calibri" w:hint="cs"/>
          <w:rtl/>
        </w:rPr>
        <w:t xml:space="preserve">בטיעוניו </w:t>
      </w:r>
      <w:r w:rsidRPr="00EA142A">
        <w:rPr>
          <w:rFonts w:ascii="Calibri" w:eastAsia="Calibri" w:hAnsi="Calibri" w:hint="cs"/>
          <w:rtl/>
        </w:rPr>
        <w:t>לעוה"ד קרקבי, כי מנהלת המנזר מסרה גרסאות שונות בנוגע לסכום ה</w:t>
      </w:r>
      <w:r>
        <w:rPr>
          <w:rFonts w:ascii="Calibri" w:eastAsia="Calibri" w:hAnsi="Calibri" w:hint="cs"/>
          <w:rtl/>
        </w:rPr>
        <w:t>כסף המדוי</w:t>
      </w:r>
      <w:r w:rsidRPr="00EA142A">
        <w:rPr>
          <w:rFonts w:ascii="Calibri" w:eastAsia="Calibri" w:hAnsi="Calibri" w:hint="cs"/>
          <w:rtl/>
        </w:rPr>
        <w:t xml:space="preserve">ק, וגורמי החקירה לא שאלו את הנזירה כיצד הכסף מחולק וכדומה ורק מציינים </w:t>
      </w:r>
      <w:r>
        <w:rPr>
          <w:rFonts w:ascii="Calibri" w:eastAsia="Calibri" w:hAnsi="Calibri" w:hint="cs"/>
          <w:rtl/>
        </w:rPr>
        <w:t>את הסכום הכולל, כך שסוגיה עובדתית זו נותרה עלומה</w:t>
      </w:r>
      <w:r w:rsidRPr="00EA142A">
        <w:rPr>
          <w:rFonts w:ascii="Calibri" w:eastAsia="Calibri" w:hAnsi="Calibri" w:hint="cs"/>
          <w:rtl/>
        </w:rPr>
        <w:t xml:space="preserve">. </w:t>
      </w:r>
    </w:p>
    <w:p w14:paraId="030D0E28" w14:textId="77777777" w:rsidR="00497845" w:rsidRPr="00EA142A" w:rsidRDefault="00497845" w:rsidP="00497845">
      <w:pPr>
        <w:spacing w:after="160" w:line="360" w:lineRule="auto"/>
        <w:jc w:val="both"/>
        <w:rPr>
          <w:rFonts w:ascii="Calibri" w:eastAsia="Calibri" w:hAnsi="Calibri"/>
          <w:rtl/>
        </w:rPr>
      </w:pPr>
      <w:r w:rsidRPr="001C713C">
        <w:rPr>
          <w:rFonts w:ascii="Calibri" w:eastAsia="Calibri" w:hAnsi="Calibri" w:hint="cs"/>
          <w:b/>
          <w:bCs/>
          <w:rtl/>
        </w:rPr>
        <w:t>בדברו האחרון</w:t>
      </w:r>
      <w:r w:rsidRPr="00EA142A">
        <w:rPr>
          <w:rFonts w:ascii="Calibri" w:eastAsia="Calibri" w:hAnsi="Calibri" w:hint="cs"/>
          <w:rtl/>
        </w:rPr>
        <w:t xml:space="preserve">, אמר </w:t>
      </w:r>
      <w:r w:rsidRPr="001C713C">
        <w:rPr>
          <w:rFonts w:ascii="Calibri" w:eastAsia="Calibri" w:hAnsi="Calibri" w:hint="cs"/>
          <w:b/>
          <w:bCs/>
          <w:rtl/>
        </w:rPr>
        <w:t>הנאשם</w:t>
      </w:r>
      <w:r w:rsidRPr="00EA142A">
        <w:rPr>
          <w:rFonts w:ascii="Calibri" w:eastAsia="Calibri" w:hAnsi="Calibri" w:hint="cs"/>
          <w:rtl/>
        </w:rPr>
        <w:t xml:space="preserve"> כי הוא מתחרט על המעשים, </w:t>
      </w:r>
      <w:r>
        <w:rPr>
          <w:rFonts w:ascii="Calibri" w:eastAsia="Calibri" w:hAnsi="Calibri" w:hint="cs"/>
          <w:rtl/>
        </w:rPr>
        <w:t xml:space="preserve">וכי </w:t>
      </w:r>
      <w:r w:rsidRPr="00EA142A">
        <w:rPr>
          <w:rFonts w:ascii="Calibri" w:eastAsia="Calibri" w:hAnsi="Calibri" w:hint="cs"/>
          <w:rtl/>
        </w:rPr>
        <w:t>הוא לא גנב בחייו ומצפה שבית המשפט יתחשב</w:t>
      </w:r>
      <w:r>
        <w:rPr>
          <w:rFonts w:ascii="Calibri" w:eastAsia="Calibri" w:hAnsi="Calibri" w:hint="cs"/>
          <w:rtl/>
        </w:rPr>
        <w:t xml:space="preserve"> בכך, </w:t>
      </w:r>
      <w:r w:rsidRPr="00EA142A">
        <w:rPr>
          <w:rFonts w:ascii="Calibri" w:eastAsia="Calibri" w:hAnsi="Calibri" w:hint="cs"/>
          <w:rtl/>
        </w:rPr>
        <w:t xml:space="preserve"> וייתן לו הזדמנות לשפר את דרכיו.</w:t>
      </w:r>
    </w:p>
    <w:p w14:paraId="26E4D45F"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 </w:t>
      </w:r>
    </w:p>
    <w:p w14:paraId="33B41110"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דיון והכרעה</w:t>
      </w:r>
    </w:p>
    <w:p w14:paraId="1DFF6769"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מתחם העונש ההולם</w:t>
      </w:r>
    </w:p>
    <w:p w14:paraId="6A2EDD64" w14:textId="77777777" w:rsidR="00497845" w:rsidRPr="00EA142A" w:rsidRDefault="00333600" w:rsidP="00497845">
      <w:pPr>
        <w:spacing w:after="160" w:line="360" w:lineRule="auto"/>
        <w:jc w:val="both"/>
        <w:rPr>
          <w:rFonts w:ascii="Calibri" w:eastAsia="Calibri" w:hAnsi="Calibri"/>
          <w:rtl/>
        </w:rPr>
      </w:pPr>
      <w:hyperlink r:id="rId24" w:history="1">
        <w:r w:rsidRPr="00333600">
          <w:rPr>
            <w:rFonts w:ascii="Calibri" w:eastAsia="Calibri" w:hAnsi="Calibri" w:hint="cs"/>
            <w:color w:val="0000FF"/>
            <w:u w:val="single"/>
            <w:rtl/>
          </w:rPr>
          <w:t>סעיף</w:t>
        </w:r>
        <w:r w:rsidRPr="00333600">
          <w:rPr>
            <w:rFonts w:ascii="Calibri" w:eastAsia="Calibri" w:hAnsi="Calibri"/>
            <w:color w:val="0000FF"/>
            <w:u w:val="single"/>
            <w:rtl/>
          </w:rPr>
          <w:t xml:space="preserve"> 40 </w:t>
        </w:r>
        <w:r w:rsidRPr="00333600">
          <w:rPr>
            <w:rFonts w:ascii="Calibri" w:eastAsia="Calibri" w:hAnsi="Calibri" w:hint="cs"/>
            <w:color w:val="0000FF"/>
            <w:u w:val="single"/>
            <w:rtl/>
          </w:rPr>
          <w:t>ג</w:t>
        </w:r>
      </w:hyperlink>
      <w:r w:rsidR="00497845" w:rsidRPr="00EA142A">
        <w:rPr>
          <w:rFonts w:ascii="Calibri" w:eastAsia="Calibri" w:hAnsi="Calibri" w:hint="cs"/>
          <w:rtl/>
        </w:rPr>
        <w:t xml:space="preserve"> ל</w:t>
      </w:r>
      <w:hyperlink r:id="rId25" w:history="1">
        <w:r w:rsidR="00967E75" w:rsidRPr="00967E75">
          <w:rPr>
            <w:rFonts w:ascii="Calibri" w:eastAsia="Calibri" w:hAnsi="Calibri" w:hint="cs"/>
            <w:color w:val="0000FF"/>
            <w:u w:val="single"/>
            <w:rtl/>
          </w:rPr>
          <w:t>חוק</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העונשין</w:t>
        </w:r>
      </w:hyperlink>
      <w:r w:rsidR="00497845" w:rsidRPr="00EA142A">
        <w:rPr>
          <w:rFonts w:ascii="Calibri" w:eastAsia="Calibri" w:hAnsi="Calibri" w:hint="cs"/>
          <w:rtl/>
        </w:rPr>
        <w:t xml:space="preserve"> מורה כי מתחם העונש ההולם ייקבע בהתחשב בערך החברתי </w:t>
      </w:r>
      <w:r w:rsidR="00497845">
        <w:rPr>
          <w:rFonts w:ascii="Calibri" w:eastAsia="Calibri" w:hAnsi="Calibri" w:hint="cs"/>
          <w:rtl/>
        </w:rPr>
        <w:t xml:space="preserve">אשר </w:t>
      </w:r>
      <w:r w:rsidR="00497845" w:rsidRPr="00EA142A">
        <w:rPr>
          <w:rFonts w:ascii="Calibri" w:eastAsia="Calibri" w:hAnsi="Calibri" w:hint="cs"/>
          <w:rtl/>
        </w:rPr>
        <w:t xml:space="preserve">נפגע מביצוע העבירה, במידת הפגיעה בו, במדיניות הענישה הנהוגה ובנסיבות הקשורות בביצוע העבירה. </w:t>
      </w:r>
    </w:p>
    <w:p w14:paraId="22F032A7"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הערך החברתי המוגן בעבירות שלפניי הוא ההגנה על זכות הקניין ושמירה על הרכוש הפרטי. לא רק הקניין מוגן בעבירות אלה, אלא גם זכותם של דיירי הבית או מקום התפילה, לפרטיות, לביטחון ולשלום. </w:t>
      </w:r>
    </w:p>
    <w:p w14:paraId="73D3E4AA"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העובדה </w:t>
      </w:r>
      <w:r>
        <w:rPr>
          <w:rFonts w:ascii="Calibri" w:eastAsia="Calibri" w:hAnsi="Calibri" w:hint="cs"/>
          <w:rtl/>
        </w:rPr>
        <w:t xml:space="preserve">כי </w:t>
      </w:r>
      <w:r w:rsidRPr="00EA142A">
        <w:rPr>
          <w:rFonts w:ascii="Calibri" w:eastAsia="Calibri" w:hAnsi="Calibri" w:hint="cs"/>
          <w:rtl/>
        </w:rPr>
        <w:t xml:space="preserve">המחוקק ראה לנכון לציין במפורש </w:t>
      </w:r>
      <w:hyperlink r:id="rId26" w:history="1">
        <w:r w:rsidR="00333600" w:rsidRPr="00333600">
          <w:rPr>
            <w:rFonts w:ascii="Calibri" w:eastAsia="Calibri" w:hAnsi="Calibri" w:hint="cs"/>
            <w:color w:val="0000FF"/>
            <w:u w:val="single"/>
            <w:rtl/>
          </w:rPr>
          <w:t>בסעיף</w:t>
        </w:r>
        <w:r w:rsidR="00333600" w:rsidRPr="00333600">
          <w:rPr>
            <w:rFonts w:ascii="Calibri" w:eastAsia="Calibri" w:hAnsi="Calibri"/>
            <w:color w:val="0000FF"/>
            <w:u w:val="single"/>
            <w:rtl/>
          </w:rPr>
          <w:t xml:space="preserve"> 406(</w:t>
        </w:r>
        <w:r w:rsidR="00333600" w:rsidRPr="00333600">
          <w:rPr>
            <w:rFonts w:ascii="Calibri" w:eastAsia="Calibri" w:hAnsi="Calibri" w:hint="cs"/>
            <w:color w:val="0000FF"/>
            <w:u w:val="single"/>
            <w:rtl/>
          </w:rPr>
          <w:t>ב</w:t>
        </w:r>
        <w:r w:rsidR="00333600" w:rsidRPr="00333600">
          <w:rPr>
            <w:rFonts w:ascii="Calibri" w:eastAsia="Calibri" w:hAnsi="Calibri"/>
            <w:color w:val="0000FF"/>
            <w:u w:val="single"/>
            <w:rtl/>
          </w:rPr>
          <w:t>)</w:t>
        </w:r>
      </w:hyperlink>
      <w:r w:rsidRPr="00EA142A">
        <w:rPr>
          <w:rFonts w:ascii="Calibri" w:eastAsia="Calibri" w:hAnsi="Calibri" w:hint="cs"/>
          <w:rtl/>
        </w:rPr>
        <w:t xml:space="preserve"> ל</w:t>
      </w:r>
      <w:hyperlink r:id="rId27" w:history="1">
        <w:r w:rsidR="00967E75" w:rsidRPr="00967E75">
          <w:rPr>
            <w:rFonts w:ascii="Calibri" w:eastAsia="Calibri" w:hAnsi="Calibri" w:hint="cs"/>
            <w:color w:val="0000FF"/>
            <w:u w:val="single"/>
            <w:rtl/>
          </w:rPr>
          <w:t>חוק</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העונשין</w:t>
        </w:r>
      </w:hyperlink>
      <w:r w:rsidRPr="00EA142A">
        <w:rPr>
          <w:rFonts w:ascii="Calibri" w:eastAsia="Calibri" w:hAnsi="Calibri" w:hint="cs"/>
          <w:rtl/>
        </w:rPr>
        <w:t xml:space="preserve">, לצדו של בית המגורים, מקום המשמש לתפילה, מלמדת על ייחודו של מקום זה. בהתפרצות למקום המשמש לפולחן דתי, מקום המקודש לבני אותה דת, יש גם משום ביזוי של הדת ומאמיניה ועל חומרתה של עבירה זו מעיד העונש המירבי הקבוע לצידה - 7 שנות מאסר. </w:t>
      </w:r>
    </w:p>
    <w:p w14:paraId="22F85036"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נסיבות ביצוע העבירות שלפניי מעידות על פגיעה משמעותית בערכים המוגנים. </w:t>
      </w:r>
    </w:p>
    <w:p w14:paraId="2B29E43C"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מדובר בעבירות </w:t>
      </w:r>
      <w:r>
        <w:rPr>
          <w:rFonts w:ascii="Calibri" w:eastAsia="Calibri" w:hAnsi="Calibri" w:hint="cs"/>
          <w:rtl/>
        </w:rPr>
        <w:t xml:space="preserve">אשר </w:t>
      </w:r>
      <w:r w:rsidRPr="00EA142A">
        <w:rPr>
          <w:rFonts w:ascii="Calibri" w:eastAsia="Calibri" w:hAnsi="Calibri" w:hint="cs"/>
          <w:rtl/>
        </w:rPr>
        <w:t xml:space="preserve">בוצעו לאחר תכנון מבעוד מועד, לאחר שהנאשם חבר ל-3 אחרים לצורך ביצוע העבירות. הנאשם התפרץ אל המנזר, תוך שימוש במכשירי פריצה שהכין מראש, תוך גרימת נזקים לדלתות המנזר, שבירת חלון זכוכית, תלישת מנגנוני נעילה ושבירת הדלתות. </w:t>
      </w:r>
    </w:p>
    <w:p w14:paraId="0125A99E"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נוסף לנזקים אשר נגרמו למבנה המנזר, גם פרטיותם של דייריו נפגעה כתוצאה ממעשיו של הנאשם. הנאשם והאדם האחר, התפרצו לחדרה של אם המנזר, חיטטו בארונות ובמגירות שוודאי הכילו חפצים אישיים, וכך עשו גם בחדרו של מנהל המנזר. לאחר שמצאו מפתח מתאים, גנבו מכספת המנזר.</w:t>
      </w:r>
    </w:p>
    <w:p w14:paraId="1CE8C162"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סכום הגניבה, בסך של כמיליון שקלים, הוא גבוה ביותר, ובהתאמה גם הנזק הכלכלי למנזר- רב הוא.</w:t>
      </w:r>
    </w:p>
    <w:p w14:paraId="284F7BCF"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נוסף על כך, בהתפרצויות מסוג זה, קיים החשש כי הפורצים יתקלו בדיירי הבית, והמפגש הלא רצוי יסלים ויוביל למעשי אלימות, שוד  ואף לפגיעה בנפש. במקרה זה, </w:t>
      </w:r>
      <w:r>
        <w:rPr>
          <w:rFonts w:ascii="Calibri" w:eastAsia="Calibri" w:hAnsi="Calibri" w:hint="cs"/>
          <w:rtl/>
        </w:rPr>
        <w:t xml:space="preserve">שלוש עשרה </w:t>
      </w:r>
      <w:r w:rsidRPr="00EA142A">
        <w:rPr>
          <w:rFonts w:ascii="Calibri" w:eastAsia="Calibri" w:hAnsi="Calibri" w:hint="cs"/>
          <w:rtl/>
        </w:rPr>
        <w:t>נזירות</w:t>
      </w:r>
      <w:r>
        <w:rPr>
          <w:rFonts w:ascii="Calibri" w:eastAsia="Calibri" w:hAnsi="Calibri" w:hint="cs"/>
          <w:rtl/>
        </w:rPr>
        <w:t xml:space="preserve"> נמו את שנתן</w:t>
      </w:r>
      <w:r w:rsidRPr="00EA142A">
        <w:rPr>
          <w:rFonts w:ascii="Calibri" w:eastAsia="Calibri" w:hAnsi="Calibri" w:hint="cs"/>
          <w:rtl/>
        </w:rPr>
        <w:t xml:space="preserve"> במנזר בעת שהנאשם התפרץ לתוכו עם האחרים. למרבה המזל, לא התרחש בפועל מפגש שכזה, אך ההתפרצות הברוטלית, מעידה כי הנאשם בז לביטחונם האישי ולפרטיותם של דיירי המנזר, ולנזקים אפשריים </w:t>
      </w:r>
      <w:r>
        <w:rPr>
          <w:rFonts w:ascii="Calibri" w:eastAsia="Calibri" w:hAnsi="Calibri" w:hint="cs"/>
          <w:rtl/>
        </w:rPr>
        <w:t>אשר</w:t>
      </w:r>
      <w:r w:rsidRPr="00EA142A">
        <w:rPr>
          <w:rFonts w:ascii="Calibri" w:eastAsia="Calibri" w:hAnsi="Calibri" w:hint="cs"/>
          <w:rtl/>
        </w:rPr>
        <w:t xml:space="preserve"> עשויים</w:t>
      </w:r>
      <w:r>
        <w:rPr>
          <w:rFonts w:ascii="Calibri" w:eastAsia="Calibri" w:hAnsi="Calibri" w:hint="cs"/>
          <w:rtl/>
        </w:rPr>
        <w:t xml:space="preserve"> היו</w:t>
      </w:r>
      <w:r w:rsidRPr="00EA142A">
        <w:rPr>
          <w:rFonts w:ascii="Calibri" w:eastAsia="Calibri" w:hAnsi="Calibri" w:hint="cs"/>
          <w:rtl/>
        </w:rPr>
        <w:t xml:space="preserve"> להיגרם להם.</w:t>
      </w:r>
    </w:p>
    <w:p w14:paraId="0C4D83D0"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נראה כי המניע של הנאשם בביצוע העבירות הינו בצע כסף. למרבה הצער, הנאשם לא בחל ברמיסת זכותם של בעלי המנזר לקניינם, בפגיעה בפרטיותם בבוטות ובהעמדת הנזירות שהתגוררו בו בסכנה, כדי להשיג את מטרתו ולשים ידיו על סכום הכסף שגנב.</w:t>
      </w:r>
    </w:p>
    <w:p w14:paraId="14C688F6"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הנאשם לא פעל לבדו, ועמו פעלו </w:t>
      </w:r>
      <w:r>
        <w:rPr>
          <w:rFonts w:ascii="Calibri" w:eastAsia="Calibri" w:hAnsi="Calibri" w:hint="cs"/>
          <w:rtl/>
        </w:rPr>
        <w:t>שלושה</w:t>
      </w:r>
      <w:r w:rsidRPr="00EA142A">
        <w:rPr>
          <w:rFonts w:ascii="Calibri" w:eastAsia="Calibri" w:hAnsi="Calibri" w:hint="cs"/>
          <w:rtl/>
        </w:rPr>
        <w:t xml:space="preserve"> אחרים, אשר זהותם אינם ידועה. בחינת האירוע על שלביו, האופן בו מתוארת התפרצות הנאשם והאחר לתוך מבנה המנזר, שלב אחר שלב, דלת אחר דלת, מלמדת כי הנאשם והאחר פעלו בצוותא ובמיומנות וחלקו של הנאשם בביצוע העבירות </w:t>
      </w:r>
      <w:r>
        <w:rPr>
          <w:rFonts w:ascii="Calibri" w:eastAsia="Calibri" w:hAnsi="Calibri" w:hint="cs"/>
          <w:rtl/>
        </w:rPr>
        <w:t>בינו שווה ערך, לכל הפחות, לחבריו האחרים</w:t>
      </w:r>
      <w:r w:rsidRPr="00EA142A">
        <w:rPr>
          <w:rFonts w:ascii="Calibri" w:eastAsia="Calibri" w:hAnsi="Calibri" w:hint="cs"/>
          <w:rtl/>
        </w:rPr>
        <w:t xml:space="preserve">. </w:t>
      </w:r>
    </w:p>
    <w:p w14:paraId="1F80FEA7" w14:textId="77777777" w:rsidR="00497845"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בהתחשב בערכים המוגנים, בפגיעה המשמעותית בהם בנסיבות ביצוע העבירות ובענישה הנוהגת בפסיקה, שוכנעתי כי </w:t>
      </w:r>
      <w:r w:rsidRPr="00EA142A">
        <w:rPr>
          <w:rFonts w:ascii="Calibri" w:eastAsia="Calibri" w:hAnsi="Calibri" w:hint="cs"/>
          <w:b/>
          <w:bCs/>
          <w:rtl/>
        </w:rPr>
        <w:t>מתחם העונש ההולם במקרה זה נע בין 14 ל- 28 חודשי מאסר, נוסף לעונשים נלווים בעלי רכיב כלכלי</w:t>
      </w:r>
      <w:r w:rsidRPr="00EA142A">
        <w:rPr>
          <w:rFonts w:ascii="Calibri" w:eastAsia="Calibri" w:hAnsi="Calibri" w:hint="cs"/>
          <w:rtl/>
        </w:rPr>
        <w:t xml:space="preserve">.  </w:t>
      </w:r>
    </w:p>
    <w:p w14:paraId="32B60E1E" w14:textId="77777777" w:rsidR="00497845" w:rsidRPr="00EA142A" w:rsidRDefault="00497845" w:rsidP="00497845">
      <w:pPr>
        <w:spacing w:after="160" w:line="360" w:lineRule="auto"/>
        <w:jc w:val="both"/>
        <w:rPr>
          <w:rFonts w:ascii="Calibri" w:eastAsia="Calibri" w:hAnsi="Calibri"/>
          <w:rtl/>
        </w:rPr>
      </w:pPr>
    </w:p>
    <w:p w14:paraId="0D4874FF"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העונש המתאים</w:t>
      </w:r>
    </w:p>
    <w:p w14:paraId="2FBD1F8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הנאשם, בן כ-24 שנים, רווק המתגורר בבית הוריו בירושלים.</w:t>
      </w:r>
    </w:p>
    <w:p w14:paraId="056F9225"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לזכות הנאשם אשקול את הודאתו בעבירות המיוחסות לו, נטילת האחריות </w:t>
      </w:r>
      <w:r>
        <w:rPr>
          <w:rFonts w:ascii="Calibri" w:eastAsia="Calibri" w:hAnsi="Calibri" w:hint="cs"/>
          <w:rtl/>
        </w:rPr>
        <w:t>מעשיו</w:t>
      </w:r>
      <w:r w:rsidRPr="00EA142A">
        <w:rPr>
          <w:rFonts w:ascii="Calibri" w:eastAsia="Calibri" w:hAnsi="Calibri" w:hint="cs"/>
          <w:rtl/>
        </w:rPr>
        <w:t>,</w:t>
      </w:r>
      <w:r>
        <w:rPr>
          <w:rFonts w:ascii="Calibri" w:eastAsia="Calibri" w:hAnsi="Calibri" w:hint="cs"/>
          <w:rtl/>
        </w:rPr>
        <w:t xml:space="preserve"> וזאת</w:t>
      </w:r>
      <w:r w:rsidRPr="00EA142A">
        <w:rPr>
          <w:rFonts w:ascii="Calibri" w:eastAsia="Calibri" w:hAnsi="Calibri" w:hint="cs"/>
          <w:rtl/>
        </w:rPr>
        <w:t xml:space="preserve"> ללא הבטחה או התחייבות מצד המאשימה לעניין העונש </w:t>
      </w:r>
      <w:r>
        <w:rPr>
          <w:rFonts w:ascii="Calibri" w:eastAsia="Calibri" w:hAnsi="Calibri" w:hint="cs"/>
          <w:rtl/>
        </w:rPr>
        <w:t>אשר עתיד יהיה לה</w:t>
      </w:r>
      <w:r w:rsidRPr="00EA142A">
        <w:rPr>
          <w:rFonts w:ascii="Calibri" w:eastAsia="Calibri" w:hAnsi="Calibri" w:hint="cs"/>
          <w:rtl/>
        </w:rPr>
        <w:t>גזר עליו.</w:t>
      </w:r>
    </w:p>
    <w:p w14:paraId="2446363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גילו הצעיר של הנאשם, צעידתו בראשית דרכו בחיים, כוונתו להינשא בקרוב ולהקים תא משפחתי חדש משלו- כל אלה ייפגעו ויידחו כתוצאה מריצוי עונש מאסר מאחורי סורג ובריח, ואלה הובאו במניין השיקולים בעת גזירת העונש המתאים לו. </w:t>
      </w:r>
    </w:p>
    <w:p w14:paraId="349B0150"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הנאשם עצור מיום 28.11.16, וגם בכך התחשבתי בעת קביעת העונש המתאים לו.</w:t>
      </w:r>
    </w:p>
    <w:p w14:paraId="398E18AA"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לחובת הנאשם עבר פלילי בעל משקל. הנאשם הורשע בראשית שנת 2014 בבית המשפט המחוזי בעבירות של חבלה במזיד ברכב, הצתת רכב במזיד, רכישת/החזקת נשק שלא כדין, סחר/עסקה בנשק שלא כדין, בפרעה לשוטר במילוי תפקידו, תקיפת שוטר ואיומים. בגין כל אלה נגזר על הנאשם עונש מאסר בפועל לתקופה בת 26 חודשים, נוסף למאסר על תנאי ופיצוי לנפגע העבירה. </w:t>
      </w:r>
    </w:p>
    <w:p w14:paraId="1B55159A"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את העבירות דנן ביצע הנאשם ביום 26.9.16, חודשים ספורים לאחר שחרורו ממאסר, ומכאן שעונש המאסר לא הרתיעו מלשוב ולעבור עבירות, עובדה שיש לזקוף לחובתו.</w:t>
      </w:r>
    </w:p>
    <w:p w14:paraId="2A2A7D07"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הסניגור טען בטיעוניו לעונש כי יש ליתן משקל לכך שהנאשם לא פעל לבדו, ולמעשה מאחר שלא נתפסו מבצעי העבירות הנוספות, הוא נותן את הדין לבדו, על אף שעל העונש היה להתחלק באופן יחסי בין כל המבצעים. אלא, שכפי שציינתי, חלקו של הנאשם בפרשה היה לא מבוטל והמציאות היא כזו, ששאר מבצעי העבירה לא נתפסו. מכל מקום יודגש, שהנאשם יישא בעונש המתאים עבורו, מבלי שיוטל על כתפיו נטל </w:t>
      </w:r>
      <w:r>
        <w:rPr>
          <w:rFonts w:ascii="Calibri" w:eastAsia="Calibri" w:hAnsi="Calibri" w:hint="cs"/>
          <w:rtl/>
        </w:rPr>
        <w:t xml:space="preserve">אשר </w:t>
      </w:r>
      <w:r w:rsidRPr="00EA142A">
        <w:rPr>
          <w:rFonts w:ascii="Calibri" w:eastAsia="Calibri" w:hAnsi="Calibri" w:hint="cs"/>
          <w:rtl/>
        </w:rPr>
        <w:t>צריך היה להתחלק בין כלל העבריינים בפרשה זו, גם לא באשר לגובה הפיצוי.</w:t>
      </w:r>
    </w:p>
    <w:p w14:paraId="3B0B4558" w14:textId="77777777" w:rsidR="00497845" w:rsidRPr="00B90D6C"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מכל אלו עולה, כי מקומו של הנאשם הוא </w:t>
      </w:r>
      <w:r w:rsidRPr="00EA142A">
        <w:rPr>
          <w:rFonts w:ascii="Calibri" w:eastAsia="Calibri" w:hAnsi="Calibri" w:hint="cs"/>
          <w:b/>
          <w:bCs/>
          <w:u w:val="single"/>
          <w:rtl/>
        </w:rPr>
        <w:t>במרכזו</w:t>
      </w:r>
      <w:r w:rsidRPr="00EA142A">
        <w:rPr>
          <w:rFonts w:ascii="Calibri" w:eastAsia="Calibri" w:hAnsi="Calibri" w:hint="cs"/>
          <w:rtl/>
        </w:rPr>
        <w:t xml:space="preserve"> של מתחם הענישה ההולם כפי שצויין לעיל.</w:t>
      </w:r>
    </w:p>
    <w:p w14:paraId="3A70059B" w14:textId="77777777" w:rsidR="00497845" w:rsidRPr="00EA142A" w:rsidRDefault="00497845" w:rsidP="00497845">
      <w:pPr>
        <w:spacing w:after="160" w:line="360" w:lineRule="auto"/>
        <w:jc w:val="both"/>
        <w:rPr>
          <w:rFonts w:ascii="Calibri" w:eastAsia="Calibri" w:hAnsi="Calibri"/>
          <w:b/>
          <w:bCs/>
          <w:u w:val="single"/>
          <w:rtl/>
        </w:rPr>
      </w:pPr>
      <w:r w:rsidRPr="00EA142A">
        <w:rPr>
          <w:rFonts w:ascii="Calibri" w:eastAsia="Calibri" w:hAnsi="Calibri" w:hint="cs"/>
          <w:b/>
          <w:bCs/>
          <w:u w:val="single"/>
          <w:rtl/>
        </w:rPr>
        <w:t>חילוט – נטל הראיה</w:t>
      </w:r>
    </w:p>
    <w:p w14:paraId="7693CD78"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כפי שצוין בסעיף 13 לכתב האישום המתוקן, לאחר האירוע, העביר הנאשם חלק מהכסף </w:t>
      </w:r>
      <w:r>
        <w:rPr>
          <w:rFonts w:ascii="Calibri" w:eastAsia="Calibri" w:hAnsi="Calibri" w:hint="cs"/>
          <w:rtl/>
        </w:rPr>
        <w:t xml:space="preserve">אשר </w:t>
      </w:r>
      <w:r w:rsidRPr="00EA142A">
        <w:rPr>
          <w:rFonts w:ascii="Calibri" w:eastAsia="Calibri" w:hAnsi="Calibri" w:hint="cs"/>
          <w:rtl/>
        </w:rPr>
        <w:t xml:space="preserve">נגנב לאימו גב' סארה שמאסנה שהעבירה את הכסף לגב' חלימה טהא והאחרונה הטמינה את הכסף, ואצלה נתפסו 18,900 יורו. </w:t>
      </w:r>
    </w:p>
    <w:p w14:paraId="1F3E5D5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ב"כ המאשימה עמד על כך </w:t>
      </w:r>
      <w:r>
        <w:rPr>
          <w:rFonts w:ascii="Calibri" w:eastAsia="Calibri" w:hAnsi="Calibri" w:hint="cs"/>
          <w:rtl/>
        </w:rPr>
        <w:t>כי סכומי הכסף אשר נתפסו</w:t>
      </w:r>
      <w:r w:rsidRPr="00EA142A">
        <w:rPr>
          <w:rFonts w:ascii="Calibri" w:eastAsia="Calibri" w:hAnsi="Calibri" w:hint="cs"/>
          <w:rtl/>
        </w:rPr>
        <w:t xml:space="preserve"> לא שייכים לנאשם, אין בידו להוכיח כי כך הוא, ועל כן ביקש לחלט את הכסף שנתפס כדי להחזיר למתלוננים.</w:t>
      </w:r>
    </w:p>
    <w:p w14:paraId="368FD069"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לכך השיב הסניגור כי הנאשם לא כופר בכך שסכום זה נתפס אצל דודתו, אלא טוען </w:t>
      </w:r>
      <w:r>
        <w:rPr>
          <w:rFonts w:ascii="Calibri" w:eastAsia="Calibri" w:hAnsi="Calibri" w:hint="cs"/>
          <w:rtl/>
        </w:rPr>
        <w:t xml:space="preserve">כי </w:t>
      </w:r>
      <w:r w:rsidRPr="00EA142A">
        <w:rPr>
          <w:rFonts w:ascii="Calibri" w:eastAsia="Calibri" w:hAnsi="Calibri" w:hint="cs"/>
          <w:rtl/>
        </w:rPr>
        <w:t xml:space="preserve">לא מדובר בכסף שמקורו בגניבה. הסניגור טען שהמאשימה לא עמדה בדרישות החוק והפסיקה להרמת הנטל על פי </w:t>
      </w:r>
      <w:hyperlink r:id="rId28" w:history="1">
        <w:r w:rsidR="00333600" w:rsidRPr="00333600">
          <w:rPr>
            <w:rFonts w:ascii="Calibri" w:eastAsia="Calibri" w:hAnsi="Calibri" w:hint="cs"/>
            <w:color w:val="0000FF"/>
            <w:u w:val="single"/>
            <w:rtl/>
          </w:rPr>
          <w:t>סעיף</w:t>
        </w:r>
        <w:r w:rsidR="00333600" w:rsidRPr="00333600">
          <w:rPr>
            <w:rFonts w:ascii="Calibri" w:eastAsia="Calibri" w:hAnsi="Calibri"/>
            <w:color w:val="0000FF"/>
            <w:u w:val="single"/>
            <w:rtl/>
          </w:rPr>
          <w:t xml:space="preserve"> 39</w:t>
        </w:r>
      </w:hyperlink>
      <w:r w:rsidRPr="00EA142A">
        <w:rPr>
          <w:rFonts w:ascii="Calibri" w:eastAsia="Calibri" w:hAnsi="Calibri" w:hint="cs"/>
          <w:rtl/>
        </w:rPr>
        <w:t xml:space="preserve"> ל</w:t>
      </w:r>
      <w:hyperlink r:id="rId29" w:history="1">
        <w:r w:rsidR="00967E75" w:rsidRPr="00967E75">
          <w:rPr>
            <w:rFonts w:ascii="Calibri" w:eastAsia="Calibri" w:hAnsi="Calibri" w:hint="cs"/>
            <w:color w:val="0000FF"/>
            <w:u w:val="single"/>
            <w:rtl/>
          </w:rPr>
          <w:t>חוק</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סדר</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הדין</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הפלילי</w:t>
        </w:r>
      </w:hyperlink>
      <w:r>
        <w:rPr>
          <w:rFonts w:ascii="Calibri" w:eastAsia="Calibri" w:hAnsi="Calibri" w:hint="cs"/>
          <w:rtl/>
        </w:rPr>
        <w:t xml:space="preserve">, </w:t>
      </w:r>
      <w:r w:rsidRPr="00EA142A">
        <w:rPr>
          <w:rFonts w:ascii="Calibri" w:eastAsia="Calibri" w:hAnsi="Calibri" w:hint="cs"/>
          <w:rtl/>
        </w:rPr>
        <w:t xml:space="preserve">בניגוד להסדר </w:t>
      </w:r>
      <w:r>
        <w:rPr>
          <w:rFonts w:ascii="Calibri" w:eastAsia="Calibri" w:hAnsi="Calibri" w:hint="cs"/>
          <w:rtl/>
        </w:rPr>
        <w:t xml:space="preserve">דומה </w:t>
      </w:r>
      <w:r w:rsidRPr="00EA142A">
        <w:rPr>
          <w:rFonts w:ascii="Calibri" w:eastAsia="Calibri" w:hAnsi="Calibri" w:hint="cs"/>
          <w:rtl/>
        </w:rPr>
        <w:t>ב</w:t>
      </w:r>
      <w:hyperlink r:id="rId30" w:history="1">
        <w:r w:rsidR="00967E75" w:rsidRPr="00967E75">
          <w:rPr>
            <w:rFonts w:ascii="Calibri" w:eastAsia="Calibri" w:hAnsi="Calibri" w:hint="cs"/>
            <w:color w:val="0000FF"/>
            <w:u w:val="single"/>
            <w:rtl/>
          </w:rPr>
          <w:t>פקודת</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הסמים</w:t>
        </w:r>
        <w:r w:rsidR="00967E75" w:rsidRPr="00967E75">
          <w:rPr>
            <w:rFonts w:ascii="Calibri" w:eastAsia="Calibri" w:hAnsi="Calibri"/>
            <w:color w:val="0000FF"/>
            <w:u w:val="single"/>
            <w:rtl/>
          </w:rPr>
          <w:t xml:space="preserve"> </w:t>
        </w:r>
        <w:r w:rsidR="00967E75" w:rsidRPr="00967E75">
          <w:rPr>
            <w:rFonts w:ascii="Calibri" w:eastAsia="Calibri" w:hAnsi="Calibri" w:hint="cs"/>
            <w:color w:val="0000FF"/>
            <w:u w:val="single"/>
            <w:rtl/>
          </w:rPr>
          <w:t>המסוכנים</w:t>
        </w:r>
      </w:hyperlink>
      <w:r w:rsidRPr="00EA142A">
        <w:rPr>
          <w:rFonts w:ascii="Calibri" w:eastAsia="Calibri" w:hAnsi="Calibri" w:hint="cs"/>
          <w:rtl/>
        </w:rPr>
        <w:t>, מטיל את נטל השכנוע על התביעה על פי מאזן ההסתברויות, כפי שנקבע בפסיקה שאליה הפנה.</w:t>
      </w:r>
    </w:p>
    <w:p w14:paraId="463B2502"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הסניגור הפנה לתיקון </w:t>
      </w:r>
      <w:r>
        <w:rPr>
          <w:rFonts w:ascii="Calibri" w:eastAsia="Calibri" w:hAnsi="Calibri" w:hint="cs"/>
          <w:rtl/>
        </w:rPr>
        <w:t xml:space="preserve">אשר </w:t>
      </w:r>
      <w:r w:rsidRPr="00EA142A">
        <w:rPr>
          <w:rFonts w:ascii="Calibri" w:eastAsia="Calibri" w:hAnsi="Calibri" w:hint="cs"/>
          <w:rtl/>
        </w:rPr>
        <w:t>בוצע בסעיף 13 בכתב האישום, ממנו נמחק המשפט שעל פיו הנאשם גנב 18,900 יורו, וטען שלא בכדי כך תוקן. לדבריו, בסופו של דבר נתפסו אצל הגב' טהא, דודתו של הנאשם, שתי שקיות בתוך שקית אחת, אחת בסך של 8,400 יורו, השניה בסך של 10,500 יורו.</w:t>
      </w:r>
    </w:p>
    <w:p w14:paraId="6607A7E6"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 על מנת להגיע לעמק השווה, ומתוך הבעת חרטה, הסכים הסניגור שאותם 8,400 יורו, קרי חלק מהכסף, יהיו פיצוי למתלוננת, אם המנזר, וזאת, לדבריו, למעלה מן הצורך. </w:t>
      </w:r>
    </w:p>
    <w:p w14:paraId="4EC10B27"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כידוע, לפי </w:t>
      </w:r>
      <w:hyperlink r:id="rId31" w:history="1">
        <w:r w:rsidR="00333600" w:rsidRPr="00333600">
          <w:rPr>
            <w:rFonts w:ascii="Calibri" w:eastAsia="Calibri" w:hAnsi="Calibri" w:hint="cs"/>
            <w:color w:val="0000FF"/>
            <w:u w:val="single"/>
            <w:rtl/>
          </w:rPr>
          <w:t>סעיף</w:t>
        </w:r>
        <w:r w:rsidR="00333600" w:rsidRPr="00333600">
          <w:rPr>
            <w:rFonts w:ascii="Calibri" w:eastAsia="Calibri" w:hAnsi="Calibri"/>
            <w:color w:val="0000FF"/>
            <w:u w:val="single"/>
            <w:rtl/>
          </w:rPr>
          <w:t xml:space="preserve"> 39</w:t>
        </w:r>
      </w:hyperlink>
      <w:r w:rsidRPr="00EA142A">
        <w:rPr>
          <w:rFonts w:ascii="Calibri" w:eastAsia="Calibri" w:hAnsi="Calibri" w:hint="cs"/>
          <w:rtl/>
        </w:rPr>
        <w:t xml:space="preserve"> לפקודת סדר הדין הפלילי, נטל הראיה להוכחת הבעלות, במסגרת הליכים הקשורים בהכרעה בגורל התפוס, הוא על פי מאזן ההסתברויות במשפט האזרחי</w:t>
      </w:r>
      <w:r>
        <w:rPr>
          <w:rFonts w:ascii="Calibri" w:eastAsia="Calibri" w:hAnsi="Calibri" w:hint="cs"/>
          <w:rtl/>
        </w:rPr>
        <w:t>, כאמור</w:t>
      </w:r>
      <w:r w:rsidRPr="00EA142A">
        <w:rPr>
          <w:rFonts w:ascii="Calibri" w:eastAsia="Calibri" w:hAnsi="Calibri" w:hint="cs"/>
          <w:rtl/>
        </w:rPr>
        <w:t>. נטל השכנוע רובץ על התביעה, ורק לאחר שזו הרימה אותו, עובר הנטל אל הצד שכנגד (ר' פסק דינו של כב' השופט א' רובינשטיין ב</w:t>
      </w:r>
      <w:hyperlink r:id="rId32" w:history="1">
        <w:r w:rsidR="00967E75" w:rsidRPr="00967E75">
          <w:rPr>
            <w:rFonts w:ascii="Calibri" w:eastAsia="Calibri" w:hAnsi="Calibri" w:hint="cs"/>
            <w:color w:val="0000FF"/>
            <w:u w:val="single"/>
            <w:rtl/>
          </w:rPr>
          <w:t>רע</w:t>
        </w:r>
        <w:r w:rsidR="00967E75" w:rsidRPr="00967E75">
          <w:rPr>
            <w:rFonts w:ascii="Calibri" w:eastAsia="Calibri" w:hAnsi="Calibri"/>
            <w:color w:val="0000FF"/>
            <w:u w:val="single"/>
            <w:rtl/>
          </w:rPr>
          <w:t>"</w:t>
        </w:r>
        <w:r w:rsidR="00967E75" w:rsidRPr="00967E75">
          <w:rPr>
            <w:rFonts w:ascii="Calibri" w:eastAsia="Calibri" w:hAnsi="Calibri" w:hint="cs"/>
            <w:color w:val="0000FF"/>
            <w:u w:val="single"/>
            <w:rtl/>
          </w:rPr>
          <w:t>פ</w:t>
        </w:r>
        <w:r w:rsidR="00967E75" w:rsidRPr="00967E75">
          <w:rPr>
            <w:rFonts w:ascii="Calibri" w:eastAsia="Calibri" w:hAnsi="Calibri"/>
            <w:color w:val="0000FF"/>
            <w:u w:val="single"/>
            <w:rtl/>
          </w:rPr>
          <w:t xml:space="preserve"> 5776/05</w:t>
        </w:r>
      </w:hyperlink>
      <w:r w:rsidRPr="00EA142A">
        <w:rPr>
          <w:rFonts w:ascii="Calibri" w:eastAsia="Calibri" w:hAnsi="Calibri" w:hint="cs"/>
          <w:rtl/>
        </w:rPr>
        <w:t xml:space="preserve"> </w:t>
      </w:r>
      <w:r w:rsidRPr="00EA142A">
        <w:rPr>
          <w:rFonts w:ascii="Calibri" w:eastAsia="Calibri" w:hAnsi="Calibri" w:hint="cs"/>
          <w:b/>
          <w:bCs/>
          <w:rtl/>
        </w:rPr>
        <w:t>ראובן נ' מדינת ישראל</w:t>
      </w:r>
      <w:r w:rsidRPr="00EA142A">
        <w:rPr>
          <w:rFonts w:ascii="Calibri" w:eastAsia="Calibri" w:hAnsi="Calibri" w:hint="cs"/>
          <w:rtl/>
        </w:rPr>
        <w:t>, מיום 31.7.05, והפסיקה המובאת שם).</w:t>
      </w:r>
    </w:p>
    <w:p w14:paraId="5ED5C6E2"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עיון מדוקדק בסעיף 13 ותיקונו בכתב האישום, מעלה כי בנוסחו המתוקן, הסעיף אינו קובע כי הנאשם העביר לדודתו את הסך המלא של 18,900 יורו. תיקון כתב האישום מלמדנו רק כי הנאשם העביר </w:t>
      </w:r>
      <w:r w:rsidRPr="00B90D6C">
        <w:rPr>
          <w:rFonts w:ascii="Calibri" w:eastAsia="Calibri" w:hAnsi="Calibri" w:hint="cs"/>
          <w:b/>
          <w:bCs/>
          <w:rtl/>
        </w:rPr>
        <w:t>חלק</w:t>
      </w:r>
      <w:r w:rsidRPr="00EA142A">
        <w:rPr>
          <w:rFonts w:ascii="Calibri" w:eastAsia="Calibri" w:hAnsi="Calibri" w:hint="cs"/>
          <w:rtl/>
        </w:rPr>
        <w:t xml:space="preserve"> מסכום הגניבה, כשלא ידוע מה גובה הסכום, ובבית דודתו נמצא הסכום האמור. לכך יש להוסיף את טענת הסניגור, על פיה נתפסו שתי שקיות כסף בתוך שקית אחת, כאשר באחת מהן 8,400 יורו ובשנייה 10,500 יורו. </w:t>
      </w:r>
    </w:p>
    <w:p w14:paraId="4A3BC5A3"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בשלב זה, נוכח האופן </w:t>
      </w:r>
      <w:r>
        <w:rPr>
          <w:rFonts w:ascii="Calibri" w:eastAsia="Calibri" w:hAnsi="Calibri" w:hint="cs"/>
          <w:rtl/>
        </w:rPr>
        <w:t xml:space="preserve">אשר </w:t>
      </w:r>
      <w:r w:rsidRPr="00EA142A">
        <w:rPr>
          <w:rFonts w:ascii="Calibri" w:eastAsia="Calibri" w:hAnsi="Calibri" w:hint="cs"/>
          <w:rtl/>
        </w:rPr>
        <w:t>בו נמצא סכום הכסף, היה על המאשימה להרים את נטל הראיה, ולו על פי מאזן ההסתברויות במשפט האזרחי</w:t>
      </w:r>
      <w:r>
        <w:rPr>
          <w:rFonts w:ascii="Calibri" w:eastAsia="Calibri" w:hAnsi="Calibri" w:hint="cs"/>
          <w:rtl/>
        </w:rPr>
        <w:t xml:space="preserve">, כי מדובר באותו כסף שהנאשם גנב - </w:t>
      </w:r>
      <w:r w:rsidRPr="00EA142A">
        <w:rPr>
          <w:rFonts w:ascii="Calibri" w:eastAsia="Calibri" w:hAnsi="Calibri" w:hint="cs"/>
          <w:rtl/>
        </w:rPr>
        <w:t xml:space="preserve"> אך המאשימה לא עשתה כן.</w:t>
      </w:r>
    </w:p>
    <w:p w14:paraId="7219C984"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 xml:space="preserve">בדבריו, הצליח הסניגור לעורר תמיהות אודות טיב הבירור </w:t>
      </w:r>
      <w:r>
        <w:rPr>
          <w:rFonts w:ascii="Calibri" w:eastAsia="Calibri" w:hAnsi="Calibri" w:hint="cs"/>
          <w:rtl/>
        </w:rPr>
        <w:t>אשר ערכה</w:t>
      </w:r>
      <w:r w:rsidRPr="00EA142A">
        <w:rPr>
          <w:rFonts w:ascii="Calibri" w:eastAsia="Calibri" w:hAnsi="Calibri" w:hint="cs"/>
          <w:rtl/>
        </w:rPr>
        <w:t xml:space="preserve"> המאשימה בדבר סכום הכסף שנמצא וחקירתה הבלתי מספקת של אם המנזר באשר לזיהוי הכסף שנגנב- חלוקתו לשטרות, לשקיות או חבילות, ומציאת התאמה בין הסכום שנגנב לזה שנתפס בידי דודתו של הנאשם.</w:t>
      </w:r>
    </w:p>
    <w:p w14:paraId="6254BBD8"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משכך, סבורני כי לא עלה בידי המאשימה להרים את הנטל המוטל עליה, הגם שמדובר בנטל לפי מאזן ההסתברויות, ומשלא הוכח שמדובר בכסף שגנב הנאשם, הרי שאני דוחה את הבקשה לחלטו.</w:t>
      </w:r>
    </w:p>
    <w:p w14:paraId="67B74713" w14:textId="77777777" w:rsidR="00497845" w:rsidRDefault="00497845" w:rsidP="00497845">
      <w:pPr>
        <w:spacing w:after="160" w:line="360" w:lineRule="auto"/>
        <w:jc w:val="both"/>
        <w:rPr>
          <w:rFonts w:ascii="Calibri" w:eastAsia="Calibri" w:hAnsi="Calibri"/>
          <w:rtl/>
        </w:rPr>
      </w:pPr>
      <w:r>
        <w:rPr>
          <w:rFonts w:ascii="Calibri" w:eastAsia="Calibri" w:hAnsi="Calibri" w:hint="cs"/>
          <w:rtl/>
        </w:rPr>
        <w:t>עם זאת, ולסיום, יש לציין את כיעורו הרב של מעשה ההתפרצות המתואר בכתב האישום המתוקן. הנאשם ומרעיו קשרו קשר לביצוע התפרצות זאת. סביר להניח כי עמדו בפניהם מספר יעדים פוטנציאליים, אולם הם בחרו בבית תפילה ומנזר, מקום בו מתכנסים בני אנוש על מנת להתקרב לאלוהיהם ולשפר את דרכיהם. הניגוד בין המנזר ואנשיו לנאשם ומרעיו גדול הוא עד מאד, וחבל שכך.</w:t>
      </w:r>
    </w:p>
    <w:p w14:paraId="7D2E9C89" w14:textId="77777777" w:rsidR="00497845" w:rsidRPr="00EA142A" w:rsidRDefault="00497845" w:rsidP="00497845">
      <w:pPr>
        <w:spacing w:after="160" w:line="360" w:lineRule="auto"/>
        <w:jc w:val="both"/>
        <w:rPr>
          <w:rFonts w:ascii="Calibri" w:eastAsia="Calibri" w:hAnsi="Calibri"/>
          <w:rtl/>
        </w:rPr>
      </w:pPr>
      <w:r>
        <w:rPr>
          <w:rFonts w:ascii="Calibri" w:eastAsia="Calibri" w:hAnsi="Calibri" w:hint="cs"/>
          <w:rtl/>
        </w:rPr>
        <w:t>הנזק אשר נגרם מביצוע העבירה גדול הוא ורחב היקף, ומשכך ראיתי לפסוק פיצוי שאינו קטן בהיקפו אך אין בו כדי להשיב את מצבו הכללי של המנזר לקדמותו. בהליך פלילי אנו מצויים, ואין הליך זה עוסק בטיפול בנזקים ממוניים אשר נגרמו כתוצאה ממעשים כאלו ואחרים. נדמה כי עניין זה יטופל באפיק משפטי אזרחי, אולם לנוכח כיעורו של מעשה הפשע שתואר בכתב האישום, הרי שפטור בלא כלום אי אפשר, ועל כן הפיצוי שנפסק ואשר יפורט בהמשך.</w:t>
      </w:r>
    </w:p>
    <w:p w14:paraId="00381E8C" w14:textId="77777777" w:rsidR="00497845" w:rsidRPr="00EA142A" w:rsidRDefault="00497845" w:rsidP="00497845">
      <w:pPr>
        <w:spacing w:after="160" w:line="360" w:lineRule="auto"/>
        <w:jc w:val="both"/>
        <w:rPr>
          <w:rFonts w:ascii="Calibri" w:eastAsia="Calibri" w:hAnsi="Calibri"/>
          <w:rtl/>
        </w:rPr>
      </w:pPr>
      <w:r w:rsidRPr="00EA142A">
        <w:rPr>
          <w:rFonts w:ascii="Calibri" w:eastAsia="Calibri" w:hAnsi="Calibri" w:hint="cs"/>
          <w:rtl/>
        </w:rPr>
        <w:t>נוכח כל האמור לעיל, לאחר ששקלתי את כל הנדרש, אני גוזר על הנאשם את העונשים הבאים:</w:t>
      </w:r>
    </w:p>
    <w:p w14:paraId="03F88E32" w14:textId="77777777" w:rsidR="00497845" w:rsidRPr="00EA142A" w:rsidRDefault="00497845" w:rsidP="00497845">
      <w:pPr>
        <w:numPr>
          <w:ilvl w:val="0"/>
          <w:numId w:val="1"/>
        </w:numPr>
        <w:spacing w:after="160" w:line="360" w:lineRule="auto"/>
        <w:contextualSpacing/>
        <w:jc w:val="both"/>
        <w:rPr>
          <w:rFonts w:ascii="Calibri" w:eastAsia="Calibri" w:hAnsi="Calibri"/>
          <w:b/>
          <w:bCs/>
          <w:rtl/>
        </w:rPr>
      </w:pPr>
      <w:r w:rsidRPr="00EA142A">
        <w:rPr>
          <w:rFonts w:ascii="Calibri" w:eastAsia="Calibri" w:hAnsi="Calibri" w:hint="cs"/>
          <w:b/>
          <w:bCs/>
          <w:rtl/>
        </w:rPr>
        <w:t>שבעה עשר (17) חודשי מאסר לריצוי בפועל בניכוי ימי מעצרו.</w:t>
      </w:r>
    </w:p>
    <w:p w14:paraId="7173C384" w14:textId="77777777" w:rsidR="00497845" w:rsidRPr="00EA142A" w:rsidRDefault="00497845" w:rsidP="00497845">
      <w:pPr>
        <w:numPr>
          <w:ilvl w:val="0"/>
          <w:numId w:val="1"/>
        </w:numPr>
        <w:spacing w:after="160" w:line="360" w:lineRule="auto"/>
        <w:contextualSpacing/>
        <w:jc w:val="both"/>
        <w:rPr>
          <w:rFonts w:ascii="Calibri" w:eastAsia="Calibri" w:hAnsi="Calibri"/>
          <w:b/>
          <w:bCs/>
        </w:rPr>
      </w:pPr>
      <w:r w:rsidRPr="00EA142A">
        <w:rPr>
          <w:rFonts w:ascii="Calibri" w:eastAsia="Calibri" w:hAnsi="Calibri" w:hint="cs"/>
          <w:b/>
          <w:bCs/>
          <w:rtl/>
        </w:rPr>
        <w:t>שמונה (8) חודשי מאסר אשר אותם לא ירצה הנאשם אלא אם יעבור תוך 3 שנים מיום שחרורו על כל עבירת רכוש מסוג פשע.</w:t>
      </w:r>
    </w:p>
    <w:p w14:paraId="0120A5BD" w14:textId="77777777" w:rsidR="00497845" w:rsidRPr="00EA142A" w:rsidRDefault="00497845" w:rsidP="00497845">
      <w:pPr>
        <w:numPr>
          <w:ilvl w:val="0"/>
          <w:numId w:val="1"/>
        </w:numPr>
        <w:spacing w:after="160" w:line="360" w:lineRule="auto"/>
        <w:contextualSpacing/>
        <w:jc w:val="both"/>
        <w:rPr>
          <w:rFonts w:ascii="Calibri" w:eastAsia="Calibri" w:hAnsi="Calibri"/>
          <w:b/>
          <w:bCs/>
        </w:rPr>
      </w:pPr>
      <w:r w:rsidRPr="00EA142A">
        <w:rPr>
          <w:rFonts w:ascii="Calibri" w:eastAsia="Calibri" w:hAnsi="Calibri" w:hint="cs"/>
          <w:b/>
          <w:bCs/>
          <w:rtl/>
        </w:rPr>
        <w:t>ארבעה (4) חודשי מאסר אשר אותם לא ירצה הנאשם אלא אם יעבור תוך 3 שנים מיום שחרורו על כל עבירת רכוש מסוג עוון.</w:t>
      </w:r>
    </w:p>
    <w:p w14:paraId="5C82FDE1" w14:textId="77777777" w:rsidR="00497845" w:rsidRPr="00EA142A" w:rsidRDefault="00497845" w:rsidP="00497845">
      <w:pPr>
        <w:numPr>
          <w:ilvl w:val="0"/>
          <w:numId w:val="1"/>
        </w:numPr>
        <w:spacing w:after="160" w:line="360" w:lineRule="auto"/>
        <w:contextualSpacing/>
        <w:jc w:val="both"/>
        <w:rPr>
          <w:rFonts w:ascii="Calibri" w:eastAsia="Calibri" w:hAnsi="Calibri"/>
          <w:b/>
          <w:bCs/>
        </w:rPr>
      </w:pPr>
      <w:r w:rsidRPr="00EA142A">
        <w:rPr>
          <w:rFonts w:ascii="Calibri" w:eastAsia="Calibri" w:hAnsi="Calibri" w:hint="cs"/>
          <w:b/>
          <w:bCs/>
          <w:rtl/>
        </w:rPr>
        <w:t>פיצוי בסך של 10,500 יורו אשר יועבר למתלוננת עד יום 1.9.17.</w:t>
      </w:r>
      <w:r>
        <w:rPr>
          <w:rFonts w:ascii="Calibri" w:eastAsia="Calibri" w:hAnsi="Calibri" w:hint="cs"/>
          <w:b/>
          <w:bCs/>
          <w:rtl/>
        </w:rPr>
        <w:t xml:space="preserve"> יכול ונכון שייעשה הדבר מסכומי הכסף אשר נתפסו במסגרתו של התיק דנן.</w:t>
      </w:r>
    </w:p>
    <w:p w14:paraId="28527FC0" w14:textId="77777777" w:rsidR="00497845" w:rsidRDefault="00497845" w:rsidP="00497845">
      <w:pPr>
        <w:spacing w:after="160" w:line="360" w:lineRule="auto"/>
        <w:jc w:val="both"/>
        <w:rPr>
          <w:rFonts w:ascii="Calibri" w:eastAsia="Calibri" w:hAnsi="Calibri"/>
          <w:rtl/>
        </w:rPr>
      </w:pPr>
    </w:p>
    <w:p w14:paraId="7FFBB3F9" w14:textId="77777777" w:rsidR="00497845" w:rsidRPr="00EA142A" w:rsidRDefault="00497845" w:rsidP="00497845">
      <w:pPr>
        <w:spacing w:after="160" w:line="360" w:lineRule="auto"/>
        <w:jc w:val="both"/>
        <w:rPr>
          <w:rFonts w:ascii="Calibri" w:eastAsia="Calibri" w:hAnsi="Calibri"/>
        </w:rPr>
      </w:pPr>
      <w:r w:rsidRPr="00EA142A">
        <w:rPr>
          <w:rFonts w:ascii="Calibri" w:eastAsia="Calibri" w:hAnsi="Calibri" w:hint="cs"/>
          <w:rtl/>
        </w:rPr>
        <w:t>זכות ערעור לבית המשפט המחוזי תוך 45 יום.</w:t>
      </w:r>
    </w:p>
    <w:p w14:paraId="763465BE" w14:textId="77777777" w:rsidR="00497845" w:rsidRPr="00967E75" w:rsidRDefault="00967E75" w:rsidP="00497845">
      <w:pPr>
        <w:rPr>
          <w:color w:val="FFFFFF"/>
          <w:sz w:val="2"/>
          <w:szCs w:val="2"/>
          <w:rtl/>
        </w:rPr>
      </w:pPr>
      <w:r w:rsidRPr="00967E75">
        <w:rPr>
          <w:color w:val="FFFFFF"/>
          <w:sz w:val="2"/>
          <w:szCs w:val="2"/>
          <w:rtl/>
        </w:rPr>
        <w:t>5129371</w:t>
      </w:r>
    </w:p>
    <w:p w14:paraId="533027D4" w14:textId="77777777" w:rsidR="00497845" w:rsidRDefault="00967E75" w:rsidP="00497845">
      <w:pPr>
        <w:rPr>
          <w:rFonts w:cs="FrankRuehl"/>
          <w:sz w:val="28"/>
          <w:szCs w:val="28"/>
          <w:rtl/>
        </w:rPr>
      </w:pPr>
      <w:r w:rsidRPr="00967E75">
        <w:rPr>
          <w:rFonts w:ascii="Arial" w:hAnsi="Arial"/>
          <w:color w:val="FFFFFF"/>
          <w:sz w:val="2"/>
          <w:szCs w:val="2"/>
          <w:rtl/>
        </w:rPr>
        <w:t>54678313</w:t>
      </w:r>
      <w:r>
        <w:rPr>
          <w:rFonts w:ascii="Arial" w:hAnsi="Arial"/>
          <w:rtl/>
        </w:rPr>
        <w:t xml:space="preserve">ניתן היום,  י"ב תמוז תשע"ז, 06 יולי 2017, בנוכחות הצדדים ובאי כוחם. </w:t>
      </w:r>
    </w:p>
    <w:p w14:paraId="7974C8F4" w14:textId="77777777" w:rsidR="00497845" w:rsidRDefault="00497845" w:rsidP="004978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04E29C9" w14:textId="77777777" w:rsidR="00497845" w:rsidRDefault="00497845" w:rsidP="00497845">
      <w:pPr>
        <w:jc w:val="center"/>
        <w:rPr>
          <w:rFonts w:ascii="Arial" w:hAnsi="Arial" w:cs="FrankRuehl"/>
          <w:sz w:val="28"/>
          <w:szCs w:val="28"/>
          <w:rtl/>
        </w:rPr>
      </w:pPr>
    </w:p>
    <w:p w14:paraId="21A5C24A" w14:textId="77777777" w:rsidR="00497845" w:rsidRDefault="00497845" w:rsidP="00497845">
      <w:pPr>
        <w:rPr>
          <w:rFonts w:cs="FrankRuehl"/>
          <w:sz w:val="28"/>
          <w:szCs w:val="28"/>
          <w:rtl/>
        </w:rPr>
      </w:pPr>
    </w:p>
    <w:p w14:paraId="6F1B422F" w14:textId="77777777" w:rsidR="00497845" w:rsidRPr="00333600" w:rsidRDefault="00333600" w:rsidP="00497845">
      <w:pPr>
        <w:pStyle w:val="a3"/>
        <w:jc w:val="center"/>
        <w:rPr>
          <w:color w:val="FFFFFF"/>
          <w:sz w:val="2"/>
          <w:szCs w:val="2"/>
          <w:rtl/>
        </w:rPr>
      </w:pPr>
      <w:r w:rsidRPr="00333600">
        <w:rPr>
          <w:color w:val="FFFFFF"/>
          <w:sz w:val="2"/>
          <w:szCs w:val="2"/>
          <w:rtl/>
        </w:rPr>
        <w:t>5129371</w:t>
      </w:r>
    </w:p>
    <w:p w14:paraId="03C6F2D9" w14:textId="77777777" w:rsidR="00967E75" w:rsidRPr="00333600" w:rsidRDefault="00333600" w:rsidP="00967E75">
      <w:pPr>
        <w:keepNext/>
        <w:rPr>
          <w:rFonts w:ascii="David" w:hAnsi="David"/>
          <w:color w:val="FFFFFF"/>
          <w:sz w:val="2"/>
          <w:szCs w:val="2"/>
          <w:rtl/>
        </w:rPr>
      </w:pPr>
      <w:r w:rsidRPr="00333600">
        <w:rPr>
          <w:rFonts w:ascii="David" w:hAnsi="David"/>
          <w:color w:val="FFFFFF"/>
          <w:sz w:val="2"/>
          <w:szCs w:val="2"/>
          <w:rtl/>
        </w:rPr>
        <w:t>54678313</w:t>
      </w:r>
    </w:p>
    <w:p w14:paraId="025F265C" w14:textId="77777777" w:rsidR="00967E75" w:rsidRPr="00967E75" w:rsidRDefault="00967E75" w:rsidP="00967E75">
      <w:pPr>
        <w:keepNext/>
        <w:rPr>
          <w:rFonts w:ascii="David" w:hAnsi="David"/>
          <w:color w:val="000000"/>
          <w:sz w:val="22"/>
          <w:szCs w:val="22"/>
          <w:rtl/>
        </w:rPr>
      </w:pPr>
      <w:r w:rsidRPr="00967E75">
        <w:rPr>
          <w:rFonts w:ascii="David" w:hAnsi="David"/>
          <w:color w:val="000000"/>
          <w:sz w:val="22"/>
          <w:szCs w:val="22"/>
          <w:rtl/>
        </w:rPr>
        <w:t>שמואל הרבסט 54678313</w:t>
      </w:r>
    </w:p>
    <w:p w14:paraId="174F3B64" w14:textId="77777777" w:rsidR="00967E75" w:rsidRDefault="00967E75" w:rsidP="00967E75">
      <w:r w:rsidRPr="00967E75">
        <w:rPr>
          <w:color w:val="000000"/>
          <w:rtl/>
        </w:rPr>
        <w:t>נוסח מסמך זה כפוף לשינויי ניסוח ועריכה</w:t>
      </w:r>
    </w:p>
    <w:p w14:paraId="55A62600" w14:textId="77777777" w:rsidR="00967E75" w:rsidRDefault="00967E75" w:rsidP="00967E75">
      <w:pPr>
        <w:rPr>
          <w:rtl/>
        </w:rPr>
      </w:pPr>
    </w:p>
    <w:p w14:paraId="620CA118" w14:textId="77777777" w:rsidR="00967E75" w:rsidRDefault="00967E75" w:rsidP="00967E7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98D006B" w14:textId="77777777" w:rsidR="00333600" w:rsidRPr="00333600" w:rsidRDefault="00333600" w:rsidP="00333600">
      <w:pPr>
        <w:keepNext/>
        <w:rPr>
          <w:rFonts w:ascii="David" w:hAnsi="David"/>
          <w:color w:val="000000"/>
          <w:sz w:val="22"/>
          <w:szCs w:val="22"/>
          <w:rtl/>
        </w:rPr>
      </w:pPr>
    </w:p>
    <w:p w14:paraId="5155D586" w14:textId="77777777" w:rsidR="002D7B2F" w:rsidRPr="00967E75" w:rsidRDefault="002D7B2F" w:rsidP="00333600">
      <w:pPr>
        <w:rPr>
          <w:color w:val="0000FF"/>
          <w:u w:val="single"/>
        </w:rPr>
      </w:pPr>
    </w:p>
    <w:sectPr w:rsidR="002D7B2F" w:rsidRPr="00967E75" w:rsidSect="0033360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3F0D6" w14:textId="77777777" w:rsidR="00606662" w:rsidRDefault="00606662">
      <w:r>
        <w:separator/>
      </w:r>
    </w:p>
  </w:endnote>
  <w:endnote w:type="continuationSeparator" w:id="0">
    <w:p w14:paraId="27BFEC78" w14:textId="77777777" w:rsidR="00606662" w:rsidRDefault="0060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369D9" w14:textId="77777777" w:rsidR="00606662" w:rsidRDefault="00606662" w:rsidP="003336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A0968D" w14:textId="77777777" w:rsidR="00606662" w:rsidRPr="00333600" w:rsidRDefault="00606662" w:rsidP="00333600">
    <w:pPr>
      <w:pStyle w:val="a5"/>
      <w:pBdr>
        <w:top w:val="single" w:sz="4" w:space="1" w:color="auto"/>
        <w:between w:val="single" w:sz="4" w:space="0" w:color="auto"/>
      </w:pBdr>
      <w:spacing w:after="60"/>
      <w:jc w:val="center"/>
      <w:rPr>
        <w:rFonts w:ascii="FrankRuehl" w:hAnsi="FrankRuehl" w:cs="FrankRuehl"/>
        <w:color w:val="000000"/>
      </w:rPr>
    </w:pPr>
    <w:r w:rsidRPr="003336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6275D" w14:textId="77777777" w:rsidR="00606662" w:rsidRDefault="00606662" w:rsidP="003336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254C">
      <w:rPr>
        <w:rFonts w:ascii="FrankRuehl" w:hAnsi="FrankRuehl" w:cs="FrankRuehl"/>
        <w:noProof/>
        <w:rtl/>
      </w:rPr>
      <w:t>1</w:t>
    </w:r>
    <w:r>
      <w:rPr>
        <w:rFonts w:ascii="FrankRuehl" w:hAnsi="FrankRuehl" w:cs="FrankRuehl"/>
        <w:rtl/>
      </w:rPr>
      <w:fldChar w:fldCharType="end"/>
    </w:r>
  </w:p>
  <w:p w14:paraId="3A11210F" w14:textId="77777777" w:rsidR="00606662" w:rsidRPr="00333600" w:rsidRDefault="00606662" w:rsidP="00333600">
    <w:pPr>
      <w:pStyle w:val="a5"/>
      <w:pBdr>
        <w:top w:val="single" w:sz="4" w:space="1" w:color="auto"/>
        <w:between w:val="single" w:sz="4" w:space="0" w:color="auto"/>
      </w:pBdr>
      <w:spacing w:after="60"/>
      <w:jc w:val="center"/>
      <w:rPr>
        <w:rFonts w:ascii="FrankRuehl" w:hAnsi="FrankRuehl" w:cs="FrankRuehl"/>
        <w:color w:val="000000"/>
      </w:rPr>
    </w:pPr>
    <w:r w:rsidRPr="00333600">
      <w:rPr>
        <w:rFonts w:ascii="FrankRuehl" w:hAnsi="FrankRuehl" w:cs="FrankRuehl"/>
        <w:color w:val="000000"/>
      </w:rPr>
      <w:pict w14:anchorId="7B44C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51F03" w14:textId="77777777" w:rsidR="00606662" w:rsidRDefault="00606662">
      <w:r>
        <w:separator/>
      </w:r>
    </w:p>
  </w:footnote>
  <w:footnote w:type="continuationSeparator" w:id="0">
    <w:p w14:paraId="48D58E57" w14:textId="77777777" w:rsidR="00606662" w:rsidRDefault="00606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5B847" w14:textId="77777777" w:rsidR="00606662" w:rsidRPr="00333600" w:rsidRDefault="00606662" w:rsidP="003336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14379-12-16</w:t>
    </w:r>
    <w:r>
      <w:rPr>
        <w:rFonts w:ascii="David" w:hAnsi="David"/>
        <w:color w:val="000000"/>
        <w:sz w:val="22"/>
        <w:szCs w:val="22"/>
        <w:rtl/>
      </w:rPr>
      <w:tab/>
      <w:t xml:space="preserve"> מדינת ישראל נ' מוצטפא שמאסנה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E6645" w14:textId="77777777" w:rsidR="00606662" w:rsidRPr="00333600" w:rsidRDefault="00606662" w:rsidP="003336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14379-12-16</w:t>
    </w:r>
    <w:r>
      <w:rPr>
        <w:rFonts w:ascii="David" w:hAnsi="David"/>
        <w:color w:val="000000"/>
        <w:sz w:val="22"/>
        <w:szCs w:val="22"/>
        <w:rtl/>
      </w:rPr>
      <w:tab/>
      <w:t xml:space="preserve"> מדינת ישראל נ' מוצטפא שמאסנה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765DE"/>
    <w:multiLevelType w:val="hybridMultilevel"/>
    <w:tmpl w:val="25EA0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110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7845"/>
    <w:rsid w:val="0017638B"/>
    <w:rsid w:val="002D7B2F"/>
    <w:rsid w:val="003122FB"/>
    <w:rsid w:val="00333600"/>
    <w:rsid w:val="003732C8"/>
    <w:rsid w:val="00407F84"/>
    <w:rsid w:val="00413B2B"/>
    <w:rsid w:val="00497845"/>
    <w:rsid w:val="00606662"/>
    <w:rsid w:val="0077629C"/>
    <w:rsid w:val="007F5E52"/>
    <w:rsid w:val="00967E75"/>
    <w:rsid w:val="00A6254C"/>
    <w:rsid w:val="00BA16A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2C54E8A7"/>
  <w15:chartTrackingRefBased/>
  <w15:docId w15:val="{B3B3B2EF-E8EB-4790-B1BC-E0B62B1E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845"/>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97845"/>
    <w:pPr>
      <w:tabs>
        <w:tab w:val="center" w:pos="4153"/>
        <w:tab w:val="right" w:pos="8306"/>
      </w:tabs>
    </w:pPr>
  </w:style>
  <w:style w:type="character" w:customStyle="1" w:styleId="a4">
    <w:name w:val="כותרת עליונה תו"/>
    <w:link w:val="a3"/>
    <w:rsid w:val="00497845"/>
    <w:rPr>
      <w:rFonts w:ascii="Times New Roman" w:eastAsia="Times New Roman" w:hAnsi="Times New Roman" w:cs="David"/>
      <w:sz w:val="24"/>
      <w:szCs w:val="24"/>
    </w:rPr>
  </w:style>
  <w:style w:type="paragraph" w:styleId="a5">
    <w:name w:val="footer"/>
    <w:basedOn w:val="a"/>
    <w:link w:val="a6"/>
    <w:rsid w:val="00497845"/>
    <w:pPr>
      <w:tabs>
        <w:tab w:val="center" w:pos="4153"/>
        <w:tab w:val="right" w:pos="8306"/>
      </w:tabs>
    </w:pPr>
  </w:style>
  <w:style w:type="character" w:customStyle="1" w:styleId="a6">
    <w:name w:val="כותרת תחתונה תו"/>
    <w:link w:val="a5"/>
    <w:rsid w:val="00497845"/>
    <w:rPr>
      <w:rFonts w:ascii="Times New Roman" w:eastAsia="Times New Roman" w:hAnsi="Times New Roman" w:cs="David"/>
      <w:sz w:val="24"/>
      <w:szCs w:val="24"/>
    </w:rPr>
  </w:style>
  <w:style w:type="table" w:styleId="a7">
    <w:name w:val="Table Grid"/>
    <w:basedOn w:val="a1"/>
    <w:rsid w:val="004978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7845"/>
  </w:style>
  <w:style w:type="character" w:styleId="Hyperlink">
    <w:name w:val="Hyperlink"/>
    <w:basedOn w:val="a0"/>
    <w:rsid w:val="00967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406.b"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9"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52" TargetMode="External"/><Relationship Id="rId29"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6.b"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603230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903/3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903/39" TargetMode="External"/><Relationship Id="rId36" Type="http://schemas.openxmlformats.org/officeDocument/2006/relationships/footer" Target="footer1.xml"/><Relationship Id="rId10" Type="http://schemas.openxmlformats.org/officeDocument/2006/relationships/hyperlink" Target="http://www.nevo.co.il/law/70301/384" TargetMode="External"/><Relationship Id="rId19" Type="http://schemas.openxmlformats.org/officeDocument/2006/relationships/hyperlink" Target="http://www.nevo.co.il/law/70301/409" TargetMode="External"/><Relationship Id="rId31" Type="http://schemas.openxmlformats.org/officeDocument/2006/relationships/hyperlink" Target="http://www.nevo.co.il/law/74903/39"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4903"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70301/40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2409</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14429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3145846</vt:i4>
      </vt:variant>
      <vt:variant>
        <vt:i4>75</vt:i4>
      </vt:variant>
      <vt:variant>
        <vt:i4>0</vt:i4>
      </vt:variant>
      <vt:variant>
        <vt:i4>5</vt:i4>
      </vt:variant>
      <vt:variant>
        <vt:lpwstr>http://www.nevo.co.il/case/6032306</vt:lpwstr>
      </vt:variant>
      <vt:variant>
        <vt:lpwstr/>
      </vt:variant>
      <vt:variant>
        <vt:i4>6815854</vt:i4>
      </vt:variant>
      <vt:variant>
        <vt:i4>72</vt:i4>
      </vt:variant>
      <vt:variant>
        <vt:i4>0</vt:i4>
      </vt:variant>
      <vt:variant>
        <vt:i4>5</vt:i4>
      </vt:variant>
      <vt:variant>
        <vt:lpwstr>http://www.nevo.co.il/law/74903/39</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8257646</vt:i4>
      </vt:variant>
      <vt:variant>
        <vt:i4>66</vt:i4>
      </vt:variant>
      <vt:variant>
        <vt:i4>0</vt:i4>
      </vt:variant>
      <vt:variant>
        <vt:i4>5</vt:i4>
      </vt:variant>
      <vt:variant>
        <vt:lpwstr>http://www.nevo.co.il/law/74903</vt:lpwstr>
      </vt:variant>
      <vt:variant>
        <vt:lpwstr/>
      </vt:variant>
      <vt:variant>
        <vt:i4>6815854</vt:i4>
      </vt:variant>
      <vt:variant>
        <vt:i4>63</vt:i4>
      </vt:variant>
      <vt:variant>
        <vt:i4>0</vt:i4>
      </vt:variant>
      <vt:variant>
        <vt:i4>5</vt:i4>
      </vt:variant>
      <vt:variant>
        <vt:lpwstr>http://www.nevo.co.il/law/74903/39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4915287</vt:i4>
      </vt:variant>
      <vt:variant>
        <vt:i4>57</vt:i4>
      </vt:variant>
      <vt:variant>
        <vt:i4>0</vt:i4>
      </vt:variant>
      <vt:variant>
        <vt:i4>5</vt:i4>
      </vt:variant>
      <vt:variant>
        <vt:lpwstr>http://www.nevo.co.il/law/70301/406.b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6619233</vt:i4>
      </vt:variant>
      <vt:variant>
        <vt:i4>36</vt:i4>
      </vt:variant>
      <vt:variant>
        <vt:i4>0</vt:i4>
      </vt:variant>
      <vt:variant>
        <vt:i4>5</vt:i4>
      </vt:variant>
      <vt:variant>
        <vt:lpwstr>http://www.nevo.co.il/law/70301/409</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8257637</vt:i4>
      </vt:variant>
      <vt:variant>
        <vt:i4>27</vt:i4>
      </vt:variant>
      <vt:variant>
        <vt:i4>0</vt:i4>
      </vt:variant>
      <vt:variant>
        <vt:i4>5</vt:i4>
      </vt:variant>
      <vt:variant>
        <vt:lpwstr>http://www.nevo.co.il/law/4216</vt:lpwstr>
      </vt:variant>
      <vt:variant>
        <vt:lpwstr/>
      </vt:variant>
      <vt:variant>
        <vt:i4>6815854</vt:i4>
      </vt:variant>
      <vt:variant>
        <vt:i4>24</vt:i4>
      </vt:variant>
      <vt:variant>
        <vt:i4>0</vt:i4>
      </vt:variant>
      <vt:variant>
        <vt:i4>5</vt:i4>
      </vt:variant>
      <vt:variant>
        <vt:lpwstr>http://www.nevo.co.il/law/74903/39</vt:lpwstr>
      </vt:variant>
      <vt:variant>
        <vt:lpwstr/>
      </vt:variant>
      <vt:variant>
        <vt:i4>8257646</vt:i4>
      </vt:variant>
      <vt:variant>
        <vt:i4>21</vt:i4>
      </vt:variant>
      <vt:variant>
        <vt:i4>0</vt:i4>
      </vt:variant>
      <vt:variant>
        <vt:i4>5</vt:i4>
      </vt:variant>
      <vt:variant>
        <vt:lpwstr>http://www.nevo.co.il/law/74903</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6619233</vt:i4>
      </vt:variant>
      <vt:variant>
        <vt:i4>15</vt:i4>
      </vt:variant>
      <vt:variant>
        <vt:i4>0</vt:i4>
      </vt:variant>
      <vt:variant>
        <vt:i4>5</vt:i4>
      </vt:variant>
      <vt:variant>
        <vt:lpwstr>http://www.nevo.co.il/law/70301/409</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14379</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מוצטפא שמאסנה</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20170706</vt:lpwstr>
  </property>
  <property fmtid="{D5CDD505-2E9C-101B-9397-08002B2CF9AE}" pid="13" name="TYPE_N_DATE">
    <vt:lpwstr>38020170706</vt:lpwstr>
  </property>
  <property fmtid="{D5CDD505-2E9C-101B-9397-08002B2CF9AE}" pid="14" name="CASESLISTTMP1">
    <vt:lpwstr>6032306</vt:lpwstr>
  </property>
  <property fmtid="{D5CDD505-2E9C-101B-9397-08002B2CF9AE}" pid="15" name="WORDNUMPAGES">
    <vt:lpwstr>8</vt:lpwstr>
  </property>
  <property fmtid="{D5CDD505-2E9C-101B-9397-08002B2CF9AE}" pid="16" name="TYPE_ABS_DATE">
    <vt:lpwstr>380020170706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70301/406.b:2;384;409;452;040i;040c</vt:lpwstr>
  </property>
  <property fmtid="{D5CDD505-2E9C-101B-9397-08002B2CF9AE}" pid="37" name="LAWLISTTMP2">
    <vt:lpwstr>74903/039:2</vt:lpwstr>
  </property>
  <property fmtid="{D5CDD505-2E9C-101B-9397-08002B2CF9AE}" pid="38" name="LAWLISTTMP3">
    <vt:lpwstr>4216</vt:lpwstr>
  </property>
</Properties>
</file>