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F1388" w:rsidRPr="00F44A2A" w14:paraId="76F98412" w14:textId="77777777" w:rsidTr="001E2F55">
        <w:trPr>
          <w:trHeight w:hRule="exact" w:val="418"/>
          <w:jc w:val="center"/>
        </w:trPr>
        <w:tc>
          <w:tcPr>
            <w:tcW w:w="8721" w:type="dxa"/>
            <w:gridSpan w:val="2"/>
          </w:tcPr>
          <w:p w14:paraId="67A9C50D" w14:textId="77777777" w:rsidR="001F1388" w:rsidRPr="00F44A2A" w:rsidRDefault="001F1388" w:rsidP="009D5DA8">
            <w:pPr>
              <w:pStyle w:val="a3"/>
              <w:jc w:val="center"/>
              <w:rPr>
                <w:rFonts w:ascii="Tahoma" w:hAnsi="Tahoma" w:cs="Tahoma"/>
                <w:color w:val="000080"/>
                <w:rtl/>
              </w:rPr>
            </w:pPr>
            <w:r w:rsidRPr="00F44A2A">
              <w:rPr>
                <w:rFonts w:ascii="Tahoma" w:hAnsi="Tahoma" w:cs="Tahoma"/>
                <w:b/>
                <w:bCs/>
                <w:color w:val="000080"/>
                <w:rtl/>
              </w:rPr>
              <w:t>בית משפט השלום ברחובות</w:t>
            </w:r>
          </w:p>
        </w:tc>
      </w:tr>
      <w:tr w:rsidR="001F1388" w:rsidRPr="00F44A2A" w14:paraId="5F7F0CEC" w14:textId="77777777" w:rsidTr="001E2F55">
        <w:trPr>
          <w:trHeight w:val="337"/>
          <w:jc w:val="center"/>
        </w:trPr>
        <w:tc>
          <w:tcPr>
            <w:tcW w:w="5054" w:type="dxa"/>
          </w:tcPr>
          <w:p w14:paraId="5D4CAC82" w14:textId="77777777" w:rsidR="001F1388" w:rsidRPr="00F44A2A" w:rsidRDefault="001F1388" w:rsidP="009D5DA8">
            <w:pPr>
              <w:rPr>
                <w:rFonts w:cs="FrankRuehl"/>
                <w:sz w:val="28"/>
                <w:szCs w:val="28"/>
                <w:rtl/>
              </w:rPr>
            </w:pPr>
            <w:r w:rsidRPr="00F44A2A">
              <w:rPr>
                <w:rFonts w:cs="FrankRuehl"/>
                <w:sz w:val="28"/>
                <w:szCs w:val="28"/>
                <w:rtl/>
              </w:rPr>
              <w:t>ת"פ</w:t>
            </w:r>
            <w:r w:rsidRPr="00F44A2A">
              <w:rPr>
                <w:rFonts w:cs="FrankRuehl" w:hint="cs"/>
                <w:sz w:val="28"/>
                <w:szCs w:val="28"/>
                <w:rtl/>
              </w:rPr>
              <w:t xml:space="preserve"> </w:t>
            </w:r>
            <w:r w:rsidRPr="00F44A2A">
              <w:rPr>
                <w:rFonts w:cs="FrankRuehl"/>
                <w:sz w:val="28"/>
                <w:szCs w:val="28"/>
                <w:rtl/>
              </w:rPr>
              <w:t>18487-01-17</w:t>
            </w:r>
            <w:r w:rsidRPr="00F44A2A">
              <w:rPr>
                <w:rFonts w:cs="FrankRuehl" w:hint="cs"/>
                <w:sz w:val="28"/>
                <w:szCs w:val="28"/>
                <w:rtl/>
              </w:rPr>
              <w:t xml:space="preserve"> </w:t>
            </w:r>
            <w:r w:rsidRPr="00F44A2A">
              <w:rPr>
                <w:rFonts w:cs="FrankRuehl"/>
                <w:sz w:val="28"/>
                <w:szCs w:val="28"/>
                <w:rtl/>
              </w:rPr>
              <w:t>מדינת ישראל נ' דדיה</w:t>
            </w:r>
          </w:p>
          <w:p w14:paraId="6182EEBC" w14:textId="77777777" w:rsidR="001F1388" w:rsidRPr="00F44A2A" w:rsidRDefault="001F1388" w:rsidP="009D5DA8">
            <w:pPr>
              <w:pStyle w:val="a3"/>
              <w:rPr>
                <w:rFonts w:cs="FrankRuehl"/>
                <w:sz w:val="28"/>
                <w:szCs w:val="28"/>
                <w:rtl/>
              </w:rPr>
            </w:pPr>
          </w:p>
        </w:tc>
        <w:tc>
          <w:tcPr>
            <w:tcW w:w="3667" w:type="dxa"/>
          </w:tcPr>
          <w:p w14:paraId="770D97A2" w14:textId="77777777" w:rsidR="001F1388" w:rsidRPr="00F44A2A" w:rsidRDefault="001F1388" w:rsidP="009D5DA8">
            <w:pPr>
              <w:pStyle w:val="a3"/>
              <w:jc w:val="right"/>
              <w:rPr>
                <w:rFonts w:cs="FrankRuehl"/>
                <w:sz w:val="28"/>
                <w:szCs w:val="28"/>
                <w:rtl/>
              </w:rPr>
            </w:pPr>
          </w:p>
        </w:tc>
      </w:tr>
    </w:tbl>
    <w:p w14:paraId="281FA94E" w14:textId="77777777" w:rsidR="001F1388" w:rsidRPr="00F44A2A" w:rsidRDefault="001F1388" w:rsidP="001F1388">
      <w:pPr>
        <w:pStyle w:val="a3"/>
        <w:rPr>
          <w:rtl/>
        </w:rPr>
      </w:pPr>
      <w:r w:rsidRPr="00F44A2A">
        <w:rPr>
          <w:rFonts w:hint="cs"/>
          <w:rtl/>
        </w:rPr>
        <w:t xml:space="preserve"> </w:t>
      </w:r>
    </w:p>
    <w:p w14:paraId="61AEDA91" w14:textId="77777777" w:rsidR="001F1388" w:rsidRPr="00F44A2A" w:rsidRDefault="001F1388" w:rsidP="001F138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F1388" w:rsidRPr="00F44A2A" w14:paraId="7BB08E64" w14:textId="77777777" w:rsidTr="001F1388">
        <w:trPr>
          <w:trHeight w:val="295"/>
          <w:jc w:val="center"/>
        </w:trPr>
        <w:tc>
          <w:tcPr>
            <w:tcW w:w="923" w:type="dxa"/>
            <w:tcBorders>
              <w:top w:val="nil"/>
              <w:left w:val="nil"/>
              <w:bottom w:val="nil"/>
              <w:right w:val="nil"/>
            </w:tcBorders>
            <w:shd w:val="clear" w:color="auto" w:fill="auto"/>
          </w:tcPr>
          <w:p w14:paraId="0C03E696" w14:textId="77777777" w:rsidR="001F1388" w:rsidRPr="00F44A2A" w:rsidRDefault="001F1388" w:rsidP="001F1388">
            <w:pPr>
              <w:jc w:val="both"/>
              <w:rPr>
                <w:rFonts w:ascii="Arial" w:hAnsi="Arial" w:cs="FrankRuehl"/>
                <w:sz w:val="28"/>
                <w:szCs w:val="28"/>
              </w:rPr>
            </w:pPr>
            <w:r w:rsidRPr="00F44A2A">
              <w:rPr>
                <w:rFonts w:ascii="Arial" w:hAnsi="Arial" w:cs="FrankRuehl" w:hint="cs"/>
                <w:sz w:val="28"/>
                <w:szCs w:val="28"/>
                <w:rtl/>
              </w:rPr>
              <w:t>ב</w:t>
            </w:r>
            <w:r w:rsidRPr="00F44A2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CB1D047" w14:textId="77777777" w:rsidR="001F1388" w:rsidRPr="00F44A2A" w:rsidRDefault="001F1388" w:rsidP="009D5DA8">
            <w:pPr>
              <w:rPr>
                <w:rFonts w:ascii="Arial" w:hAnsi="Arial"/>
                <w:b/>
                <w:bCs/>
                <w:rtl/>
              </w:rPr>
            </w:pPr>
            <w:r w:rsidRPr="00F44A2A">
              <w:rPr>
                <w:rFonts w:ascii="Arial" w:hAnsi="Arial" w:hint="cs"/>
                <w:b/>
                <w:bCs/>
                <w:rtl/>
              </w:rPr>
              <w:t>כבוד ה</w:t>
            </w:r>
            <w:r w:rsidRPr="00F44A2A">
              <w:rPr>
                <w:rFonts w:ascii="Arial" w:hAnsi="Arial"/>
                <w:b/>
                <w:bCs/>
                <w:rtl/>
              </w:rPr>
              <w:t>שופטת, סגנית הנשיאה</w:t>
            </w:r>
            <w:r w:rsidRPr="00F44A2A">
              <w:rPr>
                <w:rFonts w:ascii="Arial" w:hAnsi="Arial" w:hint="cs"/>
                <w:b/>
                <w:bCs/>
                <w:rtl/>
              </w:rPr>
              <w:t xml:space="preserve">  </w:t>
            </w:r>
            <w:r w:rsidRPr="00F44A2A">
              <w:rPr>
                <w:rFonts w:ascii="Arial" w:hAnsi="Arial"/>
                <w:b/>
                <w:bCs/>
                <w:rtl/>
              </w:rPr>
              <w:t>אפרת פינק</w:t>
            </w:r>
          </w:p>
          <w:p w14:paraId="1C8FE7B9" w14:textId="77777777" w:rsidR="001F1388" w:rsidRPr="00F44A2A" w:rsidRDefault="001F1388" w:rsidP="009D5DA8">
            <w:pPr>
              <w:rPr>
                <w:rtl/>
              </w:rPr>
            </w:pPr>
          </w:p>
          <w:p w14:paraId="57B952F6" w14:textId="77777777" w:rsidR="001F1388" w:rsidRPr="00F44A2A" w:rsidRDefault="001F1388" w:rsidP="001F1388">
            <w:pPr>
              <w:jc w:val="both"/>
              <w:rPr>
                <w:rFonts w:ascii="Arial" w:hAnsi="Arial" w:cs="FrankRuehl"/>
                <w:sz w:val="28"/>
                <w:szCs w:val="28"/>
              </w:rPr>
            </w:pPr>
          </w:p>
        </w:tc>
      </w:tr>
      <w:tr w:rsidR="001F1388" w:rsidRPr="00F44A2A" w14:paraId="43AB02B2" w14:textId="77777777" w:rsidTr="001F1388">
        <w:trPr>
          <w:trHeight w:val="355"/>
          <w:jc w:val="center"/>
        </w:trPr>
        <w:tc>
          <w:tcPr>
            <w:tcW w:w="923" w:type="dxa"/>
            <w:tcBorders>
              <w:top w:val="nil"/>
              <w:left w:val="nil"/>
              <w:bottom w:val="nil"/>
              <w:right w:val="nil"/>
            </w:tcBorders>
            <w:shd w:val="clear" w:color="auto" w:fill="auto"/>
          </w:tcPr>
          <w:p w14:paraId="3F53892A" w14:textId="77777777" w:rsidR="001F1388" w:rsidRPr="00F44A2A" w:rsidRDefault="001F1388" w:rsidP="001F1388">
            <w:pPr>
              <w:jc w:val="both"/>
              <w:rPr>
                <w:rFonts w:ascii="Arial" w:hAnsi="Arial" w:cs="FrankRuehl"/>
                <w:b/>
                <w:bCs/>
                <w:sz w:val="28"/>
                <w:szCs w:val="28"/>
              </w:rPr>
            </w:pPr>
            <w:bookmarkStart w:id="0" w:name="FirstAppellant"/>
            <w:bookmarkStart w:id="1" w:name="LastJudge"/>
            <w:bookmarkEnd w:id="1"/>
            <w:r w:rsidRPr="00F44A2A">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02C1ED66" w14:textId="77777777" w:rsidR="001F1388" w:rsidRPr="00F44A2A" w:rsidRDefault="001F1388" w:rsidP="009D5DA8">
            <w:pPr>
              <w:rPr>
                <w:b/>
                <w:bCs/>
              </w:rPr>
            </w:pPr>
            <w:r w:rsidRPr="00F44A2A">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64BD0D10" w14:textId="77777777" w:rsidR="001F1388" w:rsidRPr="00F44A2A" w:rsidRDefault="001F1388" w:rsidP="001F1388">
            <w:pPr>
              <w:jc w:val="both"/>
              <w:rPr>
                <w:rFonts w:ascii="Arial" w:hAnsi="Arial" w:cs="FrankRuehl"/>
                <w:b/>
                <w:bCs/>
                <w:sz w:val="28"/>
                <w:szCs w:val="28"/>
              </w:rPr>
            </w:pPr>
          </w:p>
        </w:tc>
      </w:tr>
      <w:tr w:rsidR="001F1388" w:rsidRPr="00F44A2A" w14:paraId="260969BC" w14:textId="77777777" w:rsidTr="001F1388">
        <w:trPr>
          <w:trHeight w:val="355"/>
          <w:jc w:val="center"/>
        </w:trPr>
        <w:tc>
          <w:tcPr>
            <w:tcW w:w="923" w:type="dxa"/>
            <w:tcBorders>
              <w:top w:val="nil"/>
              <w:left w:val="nil"/>
              <w:bottom w:val="nil"/>
              <w:right w:val="nil"/>
            </w:tcBorders>
            <w:shd w:val="clear" w:color="auto" w:fill="auto"/>
          </w:tcPr>
          <w:p w14:paraId="12933604" w14:textId="77777777" w:rsidR="001F1388" w:rsidRPr="00F44A2A" w:rsidRDefault="001F1388" w:rsidP="001F1388">
            <w:pPr>
              <w:jc w:val="both"/>
              <w:rPr>
                <w:rFonts w:ascii="Arial" w:hAnsi="Arial" w:cs="FrankRuehl"/>
                <w:b/>
                <w:bCs/>
                <w:sz w:val="28"/>
                <w:szCs w:val="28"/>
                <w:rtl/>
              </w:rPr>
            </w:pPr>
            <w:bookmarkStart w:id="2" w:name="FirstLawyer"/>
            <w:bookmarkEnd w:id="0"/>
          </w:p>
        </w:tc>
        <w:tc>
          <w:tcPr>
            <w:tcW w:w="4126" w:type="dxa"/>
            <w:tcBorders>
              <w:top w:val="nil"/>
              <w:left w:val="nil"/>
              <w:bottom w:val="nil"/>
              <w:right w:val="nil"/>
            </w:tcBorders>
            <w:shd w:val="clear" w:color="auto" w:fill="auto"/>
          </w:tcPr>
          <w:p w14:paraId="348BF8A4" w14:textId="77777777" w:rsidR="001F1388" w:rsidRPr="00F44A2A" w:rsidRDefault="001F1388" w:rsidP="001F1388">
            <w:pPr>
              <w:jc w:val="both"/>
              <w:rPr>
                <w:rtl/>
              </w:rPr>
            </w:pPr>
            <w:r w:rsidRPr="00F44A2A">
              <w:rPr>
                <w:rFonts w:hint="cs"/>
                <w:rtl/>
              </w:rPr>
              <w:t>ע"י ב"כ עו"ד עדי סעדיה</w:t>
            </w:r>
          </w:p>
        </w:tc>
        <w:tc>
          <w:tcPr>
            <w:tcW w:w="3771" w:type="dxa"/>
            <w:tcBorders>
              <w:top w:val="nil"/>
              <w:left w:val="nil"/>
              <w:bottom w:val="nil"/>
              <w:right w:val="nil"/>
            </w:tcBorders>
            <w:shd w:val="clear" w:color="auto" w:fill="auto"/>
          </w:tcPr>
          <w:p w14:paraId="78CE8677" w14:textId="77777777" w:rsidR="001F1388" w:rsidRPr="00F44A2A" w:rsidRDefault="001F1388" w:rsidP="001F1388">
            <w:pPr>
              <w:jc w:val="right"/>
              <w:rPr>
                <w:rFonts w:ascii="Arial" w:hAnsi="Arial" w:cs="FrankRuehl"/>
                <w:b/>
                <w:bCs/>
                <w:sz w:val="28"/>
                <w:szCs w:val="28"/>
                <w:rtl/>
              </w:rPr>
            </w:pPr>
            <w:r w:rsidRPr="00F44A2A">
              <w:rPr>
                <w:rFonts w:ascii="Arial" w:hAnsi="Arial" w:cs="FrankRuehl" w:hint="cs"/>
                <w:b/>
                <w:bCs/>
                <w:sz w:val="28"/>
                <w:szCs w:val="28"/>
                <w:rtl/>
              </w:rPr>
              <w:t>ה</w:t>
            </w:r>
            <w:r w:rsidRPr="00F44A2A">
              <w:rPr>
                <w:rFonts w:ascii="Arial" w:hAnsi="Arial" w:cs="FrankRuehl"/>
                <w:b/>
                <w:bCs/>
                <w:sz w:val="28"/>
                <w:szCs w:val="28"/>
                <w:rtl/>
              </w:rPr>
              <w:t>מאשימה</w:t>
            </w:r>
          </w:p>
        </w:tc>
      </w:tr>
      <w:bookmarkEnd w:id="2"/>
      <w:tr w:rsidR="001F1388" w:rsidRPr="00F44A2A" w14:paraId="141E81DC" w14:textId="77777777" w:rsidTr="001F1388">
        <w:trPr>
          <w:trHeight w:val="355"/>
          <w:jc w:val="center"/>
        </w:trPr>
        <w:tc>
          <w:tcPr>
            <w:tcW w:w="923" w:type="dxa"/>
            <w:tcBorders>
              <w:top w:val="nil"/>
              <w:left w:val="nil"/>
              <w:bottom w:val="nil"/>
              <w:right w:val="nil"/>
            </w:tcBorders>
            <w:shd w:val="clear" w:color="auto" w:fill="auto"/>
          </w:tcPr>
          <w:p w14:paraId="522A175B" w14:textId="77777777" w:rsidR="001F1388" w:rsidRPr="00F44A2A" w:rsidRDefault="001F1388" w:rsidP="001F1388">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3CED188" w14:textId="77777777" w:rsidR="001F1388" w:rsidRPr="00F44A2A" w:rsidRDefault="001F1388" w:rsidP="001F1388">
            <w:pPr>
              <w:jc w:val="center"/>
              <w:rPr>
                <w:rFonts w:ascii="Arial" w:hAnsi="Arial" w:cs="FrankRuehl"/>
                <w:b/>
                <w:bCs/>
                <w:sz w:val="28"/>
                <w:szCs w:val="28"/>
                <w:rtl/>
              </w:rPr>
            </w:pPr>
          </w:p>
          <w:p w14:paraId="20490F39" w14:textId="77777777" w:rsidR="001F1388" w:rsidRPr="00F44A2A" w:rsidRDefault="001F1388" w:rsidP="001F1388">
            <w:pPr>
              <w:jc w:val="center"/>
              <w:rPr>
                <w:rFonts w:ascii="Arial" w:hAnsi="Arial" w:cs="FrankRuehl"/>
                <w:b/>
                <w:bCs/>
                <w:sz w:val="28"/>
                <w:szCs w:val="28"/>
                <w:rtl/>
              </w:rPr>
            </w:pPr>
            <w:r w:rsidRPr="00F44A2A">
              <w:rPr>
                <w:rFonts w:ascii="Arial" w:hAnsi="Arial" w:cs="FrankRuehl"/>
                <w:b/>
                <w:bCs/>
                <w:sz w:val="28"/>
                <w:szCs w:val="28"/>
                <w:rtl/>
              </w:rPr>
              <w:t>נגד</w:t>
            </w:r>
          </w:p>
          <w:p w14:paraId="2DD9B5C1" w14:textId="77777777" w:rsidR="001F1388" w:rsidRPr="00F44A2A" w:rsidRDefault="001F1388" w:rsidP="001F1388">
            <w:pPr>
              <w:jc w:val="both"/>
              <w:rPr>
                <w:rFonts w:ascii="Arial" w:hAnsi="Arial" w:cs="FrankRuehl"/>
                <w:b/>
                <w:bCs/>
                <w:sz w:val="28"/>
                <w:szCs w:val="28"/>
              </w:rPr>
            </w:pPr>
          </w:p>
        </w:tc>
      </w:tr>
      <w:tr w:rsidR="001F1388" w:rsidRPr="00F44A2A" w14:paraId="4B5652AE" w14:textId="77777777" w:rsidTr="001F1388">
        <w:trPr>
          <w:trHeight w:val="355"/>
          <w:jc w:val="center"/>
        </w:trPr>
        <w:tc>
          <w:tcPr>
            <w:tcW w:w="923" w:type="dxa"/>
            <w:tcBorders>
              <w:top w:val="nil"/>
              <w:left w:val="nil"/>
              <w:bottom w:val="nil"/>
              <w:right w:val="nil"/>
            </w:tcBorders>
            <w:shd w:val="clear" w:color="auto" w:fill="auto"/>
          </w:tcPr>
          <w:p w14:paraId="7168991B" w14:textId="77777777" w:rsidR="001F1388" w:rsidRPr="00F44A2A" w:rsidRDefault="001F1388" w:rsidP="009D5DA8">
            <w:pPr>
              <w:rPr>
                <w:rFonts w:ascii="Arial" w:hAnsi="Arial" w:cs="FrankRuehl"/>
                <w:b/>
                <w:bCs/>
                <w:sz w:val="28"/>
                <w:szCs w:val="28"/>
                <w:rtl/>
              </w:rPr>
            </w:pPr>
          </w:p>
        </w:tc>
        <w:tc>
          <w:tcPr>
            <w:tcW w:w="4126" w:type="dxa"/>
            <w:tcBorders>
              <w:top w:val="nil"/>
              <w:left w:val="nil"/>
              <w:bottom w:val="nil"/>
              <w:right w:val="nil"/>
            </w:tcBorders>
            <w:shd w:val="clear" w:color="auto" w:fill="auto"/>
          </w:tcPr>
          <w:p w14:paraId="54C685E3" w14:textId="77777777" w:rsidR="001F1388" w:rsidRPr="00F44A2A" w:rsidRDefault="001F1388" w:rsidP="009D5DA8">
            <w:pPr>
              <w:rPr>
                <w:b/>
                <w:bCs/>
                <w:rtl/>
              </w:rPr>
            </w:pPr>
            <w:r w:rsidRPr="00F44A2A">
              <w:rPr>
                <w:rFonts w:ascii="Arial" w:hAnsi="Arial" w:cs="FrankRuehl"/>
                <w:b/>
                <w:bCs/>
                <w:sz w:val="28"/>
                <w:szCs w:val="28"/>
                <w:rtl/>
              </w:rPr>
              <w:t>טל דדיה</w:t>
            </w:r>
            <w:r w:rsidRPr="00F44A2A">
              <w:rPr>
                <w:rFonts w:hint="cs"/>
                <w:b/>
                <w:bCs/>
                <w:rtl/>
              </w:rPr>
              <w:t xml:space="preserve"> </w:t>
            </w:r>
            <w:r w:rsidR="006B14D7">
              <w:rPr>
                <w:b/>
                <w:bCs/>
                <w:rtl/>
              </w:rPr>
              <w:t>–</w:t>
            </w:r>
            <w:r w:rsidRPr="00F44A2A">
              <w:rPr>
                <w:rFonts w:hint="cs"/>
                <w:b/>
                <w:bCs/>
                <w:rtl/>
              </w:rPr>
              <w:t xml:space="preserve"> </w:t>
            </w:r>
            <w:r w:rsidRPr="00F44A2A">
              <w:rPr>
                <w:rFonts w:hint="cs"/>
                <w:rtl/>
              </w:rPr>
              <w:t>בעצמו</w:t>
            </w:r>
          </w:p>
        </w:tc>
        <w:tc>
          <w:tcPr>
            <w:tcW w:w="3771" w:type="dxa"/>
            <w:tcBorders>
              <w:top w:val="nil"/>
              <w:left w:val="nil"/>
              <w:bottom w:val="nil"/>
              <w:right w:val="nil"/>
            </w:tcBorders>
            <w:shd w:val="clear" w:color="auto" w:fill="auto"/>
          </w:tcPr>
          <w:p w14:paraId="5F0B30A7" w14:textId="77777777" w:rsidR="001F1388" w:rsidRPr="00F44A2A" w:rsidRDefault="001F1388" w:rsidP="001F1388">
            <w:pPr>
              <w:jc w:val="right"/>
              <w:rPr>
                <w:rFonts w:ascii="Arial" w:hAnsi="Arial" w:cs="FrankRuehl"/>
                <w:b/>
                <w:bCs/>
                <w:sz w:val="28"/>
                <w:szCs w:val="28"/>
              </w:rPr>
            </w:pPr>
          </w:p>
        </w:tc>
      </w:tr>
      <w:tr w:rsidR="001F1388" w:rsidRPr="00F44A2A" w14:paraId="1DA8BC89" w14:textId="77777777" w:rsidTr="001F1388">
        <w:trPr>
          <w:trHeight w:val="355"/>
          <w:jc w:val="center"/>
        </w:trPr>
        <w:tc>
          <w:tcPr>
            <w:tcW w:w="923" w:type="dxa"/>
            <w:tcBorders>
              <w:top w:val="nil"/>
              <w:left w:val="nil"/>
              <w:bottom w:val="nil"/>
              <w:right w:val="nil"/>
            </w:tcBorders>
            <w:shd w:val="clear" w:color="auto" w:fill="auto"/>
          </w:tcPr>
          <w:p w14:paraId="49AEB926" w14:textId="77777777" w:rsidR="001F1388" w:rsidRPr="00F44A2A" w:rsidRDefault="001F1388" w:rsidP="001F1388">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F01BBC6" w14:textId="77777777" w:rsidR="001F1388" w:rsidRPr="00F44A2A" w:rsidRDefault="001F1388" w:rsidP="001F1388">
            <w:pPr>
              <w:jc w:val="both"/>
              <w:rPr>
                <w:rtl/>
              </w:rPr>
            </w:pPr>
            <w:r w:rsidRPr="00F44A2A">
              <w:rPr>
                <w:rFonts w:hint="cs"/>
                <w:rtl/>
              </w:rPr>
              <w:t>ע"י ב"כ עו"ד ענבל רביב</w:t>
            </w:r>
          </w:p>
        </w:tc>
        <w:tc>
          <w:tcPr>
            <w:tcW w:w="3771" w:type="dxa"/>
            <w:tcBorders>
              <w:top w:val="nil"/>
              <w:left w:val="nil"/>
              <w:bottom w:val="nil"/>
              <w:right w:val="nil"/>
            </w:tcBorders>
            <w:shd w:val="clear" w:color="auto" w:fill="auto"/>
          </w:tcPr>
          <w:p w14:paraId="108D7406" w14:textId="77777777" w:rsidR="001F1388" w:rsidRPr="00F44A2A" w:rsidRDefault="001F1388" w:rsidP="001F1388">
            <w:pPr>
              <w:jc w:val="right"/>
              <w:rPr>
                <w:rFonts w:ascii="Arial" w:hAnsi="Arial" w:cs="FrankRuehl"/>
                <w:b/>
                <w:bCs/>
                <w:sz w:val="28"/>
                <w:szCs w:val="28"/>
              </w:rPr>
            </w:pPr>
            <w:r w:rsidRPr="00F44A2A">
              <w:rPr>
                <w:rFonts w:ascii="Arial" w:hAnsi="Arial" w:cs="FrankRuehl" w:hint="cs"/>
                <w:b/>
                <w:bCs/>
                <w:sz w:val="28"/>
                <w:szCs w:val="28"/>
                <w:rtl/>
              </w:rPr>
              <w:t>ה</w:t>
            </w:r>
            <w:r w:rsidRPr="00F44A2A">
              <w:rPr>
                <w:rFonts w:ascii="Arial" w:hAnsi="Arial" w:cs="FrankRuehl"/>
                <w:b/>
                <w:bCs/>
                <w:sz w:val="28"/>
                <w:szCs w:val="28"/>
                <w:rtl/>
              </w:rPr>
              <w:t>נאשם</w:t>
            </w:r>
          </w:p>
        </w:tc>
      </w:tr>
    </w:tbl>
    <w:p w14:paraId="6D5589A4" w14:textId="77777777" w:rsidR="001E2F55" w:rsidRDefault="001E2F55" w:rsidP="001F1388">
      <w:pPr>
        <w:rPr>
          <w:rtl/>
        </w:rPr>
      </w:pPr>
    </w:p>
    <w:p w14:paraId="058E496D" w14:textId="77777777" w:rsidR="001E2F55" w:rsidRPr="001E2F55" w:rsidRDefault="001E2F55" w:rsidP="001E2F55">
      <w:pPr>
        <w:spacing w:after="120" w:line="240" w:lineRule="exact"/>
        <w:ind w:left="283" w:hanging="283"/>
        <w:jc w:val="both"/>
        <w:rPr>
          <w:rFonts w:ascii="FrankRuehl" w:hAnsi="FrankRuehl" w:cs="FrankRuehl"/>
          <w:rtl/>
        </w:rPr>
      </w:pPr>
    </w:p>
    <w:p w14:paraId="3EA37CFD" w14:textId="77777777" w:rsidR="006B2CB4" w:rsidRPr="006B2CB4" w:rsidRDefault="006B2CB4" w:rsidP="006B2CB4">
      <w:pPr>
        <w:spacing w:before="120" w:after="120" w:line="240" w:lineRule="exact"/>
        <w:ind w:left="283" w:hanging="283"/>
        <w:jc w:val="both"/>
        <w:rPr>
          <w:rFonts w:ascii="FrankRuehl" w:hAnsi="FrankRuehl" w:cs="FrankRuehl"/>
          <w:rtl/>
        </w:rPr>
      </w:pPr>
      <w:bookmarkStart w:id="3" w:name="LawTable"/>
      <w:bookmarkEnd w:id="3"/>
    </w:p>
    <w:p w14:paraId="20FEDE10" w14:textId="77777777" w:rsidR="006B2CB4" w:rsidRPr="006B2CB4" w:rsidRDefault="006B2CB4" w:rsidP="006B2CB4">
      <w:pPr>
        <w:spacing w:before="120" w:after="120" w:line="240" w:lineRule="exact"/>
        <w:ind w:left="283" w:hanging="283"/>
        <w:jc w:val="both"/>
        <w:rPr>
          <w:rFonts w:ascii="FrankRuehl" w:hAnsi="FrankRuehl" w:cs="FrankRuehl"/>
          <w:rtl/>
        </w:rPr>
      </w:pPr>
    </w:p>
    <w:p w14:paraId="6C99D1B8" w14:textId="77777777" w:rsidR="006B2CB4" w:rsidRPr="006B2CB4" w:rsidRDefault="006B2CB4" w:rsidP="006B2CB4">
      <w:pPr>
        <w:spacing w:before="120" w:after="120" w:line="240" w:lineRule="exact"/>
        <w:ind w:left="283" w:hanging="283"/>
        <w:jc w:val="both"/>
        <w:rPr>
          <w:rFonts w:ascii="FrankRuehl" w:hAnsi="FrankRuehl" w:cs="FrankRuehl"/>
          <w:rtl/>
        </w:rPr>
      </w:pPr>
      <w:r w:rsidRPr="006B2CB4">
        <w:rPr>
          <w:rFonts w:ascii="FrankRuehl" w:hAnsi="FrankRuehl" w:cs="FrankRuehl"/>
          <w:rtl/>
        </w:rPr>
        <w:t xml:space="preserve">חקיקה שאוזכרה: </w:t>
      </w:r>
    </w:p>
    <w:p w14:paraId="640F6BBD" w14:textId="77777777" w:rsidR="006B2CB4" w:rsidRPr="006B2CB4" w:rsidRDefault="006B2CB4" w:rsidP="006B2CB4">
      <w:pPr>
        <w:spacing w:before="120" w:after="120" w:line="240" w:lineRule="exact"/>
        <w:ind w:left="283" w:hanging="283"/>
        <w:jc w:val="both"/>
        <w:rPr>
          <w:rFonts w:ascii="FrankRuehl" w:hAnsi="FrankRuehl" w:cs="FrankRuehl"/>
          <w:color w:val="0000FF"/>
          <w:rtl/>
        </w:rPr>
      </w:pPr>
      <w:hyperlink r:id="rId7" w:history="1">
        <w:r w:rsidRPr="006B2CB4">
          <w:rPr>
            <w:rStyle w:val="Hyperlink"/>
            <w:rFonts w:ascii="FrankRuehl" w:hAnsi="FrankRuehl" w:cs="FrankRuehl"/>
            <w:rtl/>
          </w:rPr>
          <w:t>פקודת הסמים המסוכנים [נוסח חדש], תשל"ג-1973</w:t>
        </w:r>
      </w:hyperlink>
      <w:r w:rsidRPr="006B2CB4">
        <w:rPr>
          <w:rFonts w:ascii="FrankRuehl" w:hAnsi="FrankRuehl" w:cs="FrankRuehl"/>
          <w:color w:val="0000FF"/>
          <w:u w:val="single"/>
          <w:rtl/>
        </w:rPr>
        <w:t xml:space="preserve">: סע'  </w:t>
      </w:r>
      <w:hyperlink r:id="rId8" w:history="1">
        <w:r w:rsidRPr="006B2CB4">
          <w:rPr>
            <w:rStyle w:val="Hyperlink"/>
            <w:rFonts w:ascii="FrankRuehl" w:hAnsi="FrankRuehl" w:cs="FrankRuehl"/>
          </w:rPr>
          <w:t>7</w:t>
        </w:r>
      </w:hyperlink>
      <w:r w:rsidRPr="006B2CB4">
        <w:rPr>
          <w:rFonts w:ascii="FrankRuehl" w:hAnsi="FrankRuehl" w:cs="FrankRuehl"/>
          <w:color w:val="0000FF"/>
          <w:rtl/>
        </w:rPr>
        <w:t xml:space="preserve">(א), </w:t>
      </w:r>
      <w:hyperlink r:id="rId9" w:history="1">
        <w:r w:rsidRPr="006B2CB4">
          <w:rPr>
            <w:rStyle w:val="Hyperlink"/>
            <w:rFonts w:ascii="FrankRuehl" w:hAnsi="FrankRuehl" w:cs="FrankRuehl"/>
          </w:rPr>
          <w:t>7</w:t>
        </w:r>
      </w:hyperlink>
      <w:r w:rsidRPr="006B2CB4">
        <w:rPr>
          <w:rFonts w:ascii="FrankRuehl" w:hAnsi="FrankRuehl" w:cs="FrankRuehl"/>
          <w:color w:val="0000FF"/>
          <w:rtl/>
        </w:rPr>
        <w:t xml:space="preserve">(ג), </w:t>
      </w:r>
      <w:hyperlink r:id="rId10" w:history="1">
        <w:r w:rsidRPr="006B2CB4">
          <w:rPr>
            <w:rStyle w:val="Hyperlink"/>
            <w:rFonts w:ascii="FrankRuehl" w:hAnsi="FrankRuehl" w:cs="FrankRuehl"/>
          </w:rPr>
          <w:t>10</w:t>
        </w:r>
      </w:hyperlink>
    </w:p>
    <w:p w14:paraId="3EA52114" w14:textId="77777777" w:rsidR="001F1388" w:rsidRPr="006B2CB4" w:rsidRDefault="001F1388" w:rsidP="006B2CB4">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F1388" w:rsidRPr="00D0614D" w14:paraId="30BCAF80" w14:textId="77777777" w:rsidTr="001F1388">
        <w:trPr>
          <w:trHeight w:val="355"/>
          <w:jc w:val="center"/>
        </w:trPr>
        <w:tc>
          <w:tcPr>
            <w:tcW w:w="8820" w:type="dxa"/>
            <w:tcBorders>
              <w:top w:val="nil"/>
              <w:left w:val="nil"/>
              <w:bottom w:val="nil"/>
              <w:right w:val="nil"/>
            </w:tcBorders>
            <w:shd w:val="clear" w:color="auto" w:fill="auto"/>
          </w:tcPr>
          <w:p w14:paraId="5FF2D9ED" w14:textId="77777777" w:rsidR="00F44A2A" w:rsidRPr="00F44A2A" w:rsidRDefault="00F44A2A" w:rsidP="00F44A2A">
            <w:pPr>
              <w:jc w:val="center"/>
              <w:rPr>
                <w:rFonts w:ascii="Arial" w:hAnsi="Arial" w:cs="FrankRuehl"/>
                <w:b/>
                <w:bCs/>
                <w:sz w:val="36"/>
                <w:szCs w:val="36"/>
                <w:u w:val="single"/>
                <w:rtl/>
              </w:rPr>
            </w:pPr>
            <w:bookmarkStart w:id="5" w:name="PsakDin" w:colFirst="0" w:colLast="0"/>
            <w:r w:rsidRPr="00F44A2A">
              <w:rPr>
                <w:rFonts w:ascii="Arial" w:hAnsi="Arial" w:cs="FrankRuehl"/>
                <w:b/>
                <w:bCs/>
                <w:sz w:val="36"/>
                <w:szCs w:val="36"/>
                <w:u w:val="single"/>
                <w:rtl/>
              </w:rPr>
              <w:t>גזר - דין</w:t>
            </w:r>
          </w:p>
          <w:p w14:paraId="029F34E4" w14:textId="77777777" w:rsidR="001F1388" w:rsidRPr="00F44A2A" w:rsidRDefault="001F1388" w:rsidP="00F44A2A">
            <w:pPr>
              <w:jc w:val="center"/>
              <w:rPr>
                <w:rFonts w:ascii="Arial" w:hAnsi="Arial" w:cs="FrankRuehl"/>
                <w:b/>
                <w:bCs/>
                <w:sz w:val="36"/>
                <w:szCs w:val="36"/>
                <w:u w:val="single"/>
                <w:rtl/>
              </w:rPr>
            </w:pPr>
          </w:p>
        </w:tc>
      </w:tr>
      <w:bookmarkEnd w:id="5"/>
    </w:tbl>
    <w:p w14:paraId="51A57C78" w14:textId="77777777" w:rsidR="001F1388" w:rsidRPr="00B05847" w:rsidRDefault="001F1388" w:rsidP="001F1388">
      <w:pPr>
        <w:rPr>
          <w:rFonts w:ascii="Arial" w:hAnsi="Arial"/>
          <w:rtl/>
        </w:rPr>
      </w:pPr>
    </w:p>
    <w:p w14:paraId="54A4F690" w14:textId="77777777" w:rsidR="001F1388" w:rsidRPr="00B05847" w:rsidRDefault="001F1388" w:rsidP="001F1388">
      <w:pPr>
        <w:rPr>
          <w:rFonts w:ascii="Arial" w:hAnsi="Arial"/>
          <w:rtl/>
        </w:rPr>
      </w:pPr>
    </w:p>
    <w:p w14:paraId="5793CC86" w14:textId="77777777" w:rsidR="001F1388" w:rsidRDefault="001F1388" w:rsidP="001F1388">
      <w:pPr>
        <w:spacing w:before="120" w:after="120"/>
        <w:ind w:left="509" w:hanging="567"/>
        <w:contextualSpacing/>
        <w:jc w:val="both"/>
        <w:rPr>
          <w:b/>
          <w:bCs/>
          <w:u w:val="single"/>
        </w:rPr>
      </w:pPr>
      <w:r>
        <w:rPr>
          <w:rFonts w:hint="cs"/>
          <w:b/>
          <w:bCs/>
          <w:u w:val="single"/>
          <w:rtl/>
        </w:rPr>
        <w:t>מבוא</w:t>
      </w:r>
      <w:bookmarkStart w:id="6" w:name="ABSTRACT_START"/>
      <w:bookmarkEnd w:id="6"/>
    </w:p>
    <w:p w14:paraId="5C1A2531" w14:textId="77777777" w:rsidR="001F1388" w:rsidRDefault="001F1388" w:rsidP="001F1388">
      <w:pPr>
        <w:pStyle w:val="aa"/>
        <w:numPr>
          <w:ilvl w:val="0"/>
          <w:numId w:val="1"/>
        </w:numPr>
        <w:bidi/>
        <w:spacing w:before="120" w:after="120"/>
        <w:ind w:left="567" w:hanging="567"/>
        <w:jc w:val="both"/>
        <w:rPr>
          <w:rFonts w:cs="David"/>
          <w:sz w:val="24"/>
          <w:szCs w:val="24"/>
          <w:rtl/>
        </w:rPr>
      </w:pPr>
      <w:r>
        <w:rPr>
          <w:rFonts w:cs="David" w:hint="cs"/>
          <w:sz w:val="24"/>
          <w:szCs w:val="24"/>
          <w:rtl/>
        </w:rPr>
        <w:t xml:space="preserve">בהכרעת דין מיום 22.5.17 ומיום 21.1.19, הורשע הנאשם, לפי הודאתו בעובדות כתב האישום המתוקן, בעבירה של החזקת סמים לצריכה עצמית, לפי </w:t>
      </w:r>
      <w:hyperlink r:id="rId11" w:history="1">
        <w:r w:rsidR="001E2F55" w:rsidRPr="001E2F55">
          <w:rPr>
            <w:rFonts w:cs="David" w:hint="cs"/>
            <w:color w:val="0000FF"/>
            <w:sz w:val="24"/>
            <w:szCs w:val="24"/>
            <w:u w:val="single"/>
            <w:rtl/>
          </w:rPr>
          <w:t>סעיף</w:t>
        </w:r>
        <w:r w:rsidR="001E2F55" w:rsidRPr="001E2F55">
          <w:rPr>
            <w:rFonts w:cs="David"/>
            <w:color w:val="0000FF"/>
            <w:sz w:val="24"/>
            <w:szCs w:val="24"/>
            <w:u w:val="single"/>
            <w:rtl/>
          </w:rPr>
          <w:t xml:space="preserve"> 7(</w:t>
        </w:r>
        <w:r w:rsidR="001E2F55" w:rsidRPr="001E2F55">
          <w:rPr>
            <w:rFonts w:cs="David" w:hint="cs"/>
            <w:color w:val="0000FF"/>
            <w:sz w:val="24"/>
            <w:szCs w:val="24"/>
            <w:u w:val="single"/>
            <w:rtl/>
          </w:rPr>
          <w:t>א</w:t>
        </w:r>
        <w:r w:rsidR="001E2F55" w:rsidRPr="001E2F55">
          <w:rPr>
            <w:rFonts w:cs="David"/>
            <w:color w:val="0000FF"/>
            <w:sz w:val="24"/>
            <w:szCs w:val="24"/>
            <w:u w:val="single"/>
            <w:rtl/>
          </w:rPr>
          <w:t>)</w:t>
        </w:r>
      </w:hyperlink>
      <w:r>
        <w:rPr>
          <w:rFonts w:cs="David" w:hint="cs"/>
          <w:sz w:val="24"/>
          <w:szCs w:val="24"/>
          <w:rtl/>
        </w:rPr>
        <w:t xml:space="preserve"> יחד עם סעיף </w:t>
      </w:r>
      <w:hyperlink r:id="rId12" w:history="1">
        <w:r w:rsidR="001E2F55" w:rsidRPr="001E2F55">
          <w:rPr>
            <w:rFonts w:cs="David"/>
            <w:color w:val="0000FF"/>
            <w:sz w:val="24"/>
            <w:szCs w:val="24"/>
            <w:u w:val="single"/>
            <w:rtl/>
          </w:rPr>
          <w:t>7(</w:t>
        </w:r>
        <w:r w:rsidR="001E2F55" w:rsidRPr="001E2F55">
          <w:rPr>
            <w:rFonts w:cs="David" w:hint="cs"/>
            <w:color w:val="0000FF"/>
            <w:sz w:val="24"/>
            <w:szCs w:val="24"/>
            <w:u w:val="single"/>
            <w:rtl/>
          </w:rPr>
          <w:t>ג</w:t>
        </w:r>
        <w:r w:rsidR="001E2F55" w:rsidRPr="001E2F55">
          <w:rPr>
            <w:rFonts w:cs="David"/>
            <w:color w:val="0000FF"/>
            <w:sz w:val="24"/>
            <w:szCs w:val="24"/>
            <w:u w:val="single"/>
            <w:rtl/>
          </w:rPr>
          <w:t>)</w:t>
        </w:r>
      </w:hyperlink>
      <w:r>
        <w:rPr>
          <w:rFonts w:cs="David" w:hint="cs"/>
          <w:sz w:val="24"/>
          <w:szCs w:val="24"/>
          <w:rtl/>
        </w:rPr>
        <w:t xml:space="preserve"> סיפא ל</w:t>
      </w:r>
      <w:hyperlink r:id="rId13" w:history="1">
        <w:r w:rsidR="00F44A2A" w:rsidRPr="00F44A2A">
          <w:rPr>
            <w:rFonts w:cs="David" w:hint="cs"/>
            <w:color w:val="0000FF"/>
            <w:sz w:val="24"/>
            <w:szCs w:val="24"/>
            <w:u w:val="single"/>
            <w:rtl/>
          </w:rPr>
          <w:t>פקודת</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הסמים</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המסוכנים</w:t>
        </w:r>
      </w:hyperlink>
      <w:r>
        <w:rPr>
          <w:rFonts w:cs="David" w:hint="cs"/>
          <w:sz w:val="24"/>
          <w:szCs w:val="24"/>
          <w:rtl/>
        </w:rPr>
        <w:t xml:space="preserve"> [נוסח חדש], התשל"ג – 1973, ובעבירה של החזקת כלים להכנת סם לצריכה עצמית, לפי </w:t>
      </w:r>
      <w:hyperlink r:id="rId14" w:history="1">
        <w:r w:rsidR="001E2F55" w:rsidRPr="001E2F55">
          <w:rPr>
            <w:rFonts w:cs="David" w:hint="cs"/>
            <w:color w:val="0000FF"/>
            <w:sz w:val="24"/>
            <w:szCs w:val="24"/>
            <w:u w:val="single"/>
            <w:rtl/>
          </w:rPr>
          <w:t>סעיף</w:t>
        </w:r>
        <w:r w:rsidR="001E2F55" w:rsidRPr="001E2F55">
          <w:rPr>
            <w:rFonts w:cs="David"/>
            <w:color w:val="0000FF"/>
            <w:sz w:val="24"/>
            <w:szCs w:val="24"/>
            <w:u w:val="single"/>
            <w:rtl/>
          </w:rPr>
          <w:t xml:space="preserve"> 10</w:t>
        </w:r>
      </w:hyperlink>
      <w:r>
        <w:rPr>
          <w:rFonts w:cs="David" w:hint="cs"/>
          <w:sz w:val="24"/>
          <w:szCs w:val="24"/>
          <w:rtl/>
        </w:rPr>
        <w:t xml:space="preserve"> סיפא לפקודת הסמים המסוכנים.</w:t>
      </w:r>
    </w:p>
    <w:p w14:paraId="7211B3F2" w14:textId="77777777" w:rsidR="001F1388" w:rsidRDefault="001F1388" w:rsidP="001F1388">
      <w:pPr>
        <w:pStyle w:val="aa"/>
        <w:bidi/>
        <w:spacing w:before="120" w:after="120"/>
        <w:ind w:left="567"/>
        <w:jc w:val="both"/>
        <w:rPr>
          <w:rFonts w:cs="David"/>
          <w:sz w:val="24"/>
          <w:szCs w:val="24"/>
        </w:rPr>
      </w:pPr>
      <w:r>
        <w:rPr>
          <w:rFonts w:cs="David" w:hint="cs"/>
          <w:sz w:val="24"/>
          <w:szCs w:val="24"/>
          <w:rtl/>
        </w:rPr>
        <w:t>לפי כתב האישום, ביום 2.6.16, בשעות הצהרים, בעת עריכת חיפוש בביתו של הנאשם לפי צו, החזיק הנאשם בסם מסוכן מסוג חשיש במשקל 1.2733 גרם נטו ובשני משקלים דיגיטליים</w:t>
      </w:r>
      <w:bookmarkStart w:id="7" w:name="ABSTRACT_END"/>
      <w:bookmarkEnd w:id="7"/>
      <w:r>
        <w:rPr>
          <w:rFonts w:cs="David" w:hint="cs"/>
          <w:sz w:val="24"/>
          <w:szCs w:val="24"/>
          <w:rtl/>
        </w:rPr>
        <w:t>.</w:t>
      </w:r>
    </w:p>
    <w:p w14:paraId="2C314161" w14:textId="77777777" w:rsidR="001F1388" w:rsidRDefault="001F1388" w:rsidP="001F1388">
      <w:pPr>
        <w:pStyle w:val="aa"/>
        <w:numPr>
          <w:ilvl w:val="0"/>
          <w:numId w:val="1"/>
        </w:numPr>
        <w:bidi/>
        <w:spacing w:before="120" w:after="120"/>
        <w:ind w:left="567" w:hanging="567"/>
        <w:jc w:val="both"/>
        <w:rPr>
          <w:rFonts w:cs="David"/>
          <w:sz w:val="24"/>
          <w:szCs w:val="24"/>
        </w:rPr>
      </w:pPr>
      <w:r>
        <w:rPr>
          <w:rFonts w:cs="David" w:hint="cs"/>
          <w:sz w:val="24"/>
          <w:szCs w:val="24"/>
          <w:rtl/>
        </w:rPr>
        <w:t>לפי הסדר הטיעון, נשלח הנאשם לעריכת תסקיר שירות מבחן בעניינו. התביעה הסכימה להארכת מאסר על תנאי בר הפעלה, קנס ופסילה על תנאי בכפוף לבדיקות שתן ללא שרידי סם, שיתוף פעולה עם שירות המבחן והיעדר פתיחת תיקים חדשים נגד הנאשם. עוד הוסכם בהסדר, שככל שיוגש תסקיר שלילי נגד הנאשם, אין הסכמה עונשית.</w:t>
      </w:r>
    </w:p>
    <w:p w14:paraId="78A5E074" w14:textId="77777777" w:rsidR="001F1388" w:rsidRDefault="001F1388" w:rsidP="001F1388">
      <w:pPr>
        <w:spacing w:before="120" w:after="120"/>
        <w:contextualSpacing/>
        <w:jc w:val="both"/>
        <w:rPr>
          <w:b/>
          <w:bCs/>
          <w:u w:val="single"/>
        </w:rPr>
      </w:pPr>
    </w:p>
    <w:p w14:paraId="0EA0C784" w14:textId="77777777" w:rsidR="001F1388" w:rsidRDefault="001F1388" w:rsidP="001F1388">
      <w:pPr>
        <w:spacing w:before="120" w:after="120"/>
        <w:contextualSpacing/>
        <w:jc w:val="both"/>
        <w:rPr>
          <w:b/>
          <w:bCs/>
          <w:u w:val="single"/>
          <w:rtl/>
        </w:rPr>
      </w:pPr>
      <w:r>
        <w:rPr>
          <w:rFonts w:hint="cs"/>
          <w:b/>
          <w:bCs/>
          <w:u w:val="single"/>
          <w:rtl/>
        </w:rPr>
        <w:lastRenderedPageBreak/>
        <w:t>תסקירי שירות מבחן</w:t>
      </w:r>
    </w:p>
    <w:p w14:paraId="4912D2B8" w14:textId="77777777" w:rsidR="001F1388" w:rsidRDefault="001F1388" w:rsidP="001F1388">
      <w:pPr>
        <w:pStyle w:val="aa"/>
        <w:numPr>
          <w:ilvl w:val="0"/>
          <w:numId w:val="1"/>
        </w:numPr>
        <w:bidi/>
        <w:spacing w:before="120" w:after="120"/>
        <w:ind w:left="567" w:hanging="567"/>
        <w:jc w:val="both"/>
        <w:rPr>
          <w:rFonts w:cs="David"/>
          <w:sz w:val="24"/>
          <w:szCs w:val="24"/>
          <w:rtl/>
        </w:rPr>
      </w:pPr>
      <w:r>
        <w:rPr>
          <w:rFonts w:cs="David" w:hint="cs"/>
          <w:sz w:val="24"/>
          <w:szCs w:val="24"/>
          <w:rtl/>
        </w:rPr>
        <w:t>שירות המבחן, בתסקירו מיום 17.6.18, ציין כי הנאשם בן 29, נשוי ואב לשתי פעוטות. הנאשם מתגורר עם משפחתו ביבנה. הנאשם בעלים של מינימרקט ומנהל את העסק יחד עם אשתו. עוד ציין שירות המבחן, כי לנאשם קשר מרוחק עם הוריו, אשר התקשו להוות עבורו דמויות סמכותיות ומציבות גבול. עוד התייחס שירות המבחן להרשעותיו של הנאשם בעבירות סמים, רכוש, עבירות כלפי שוטרים, הפרת צווים והוראות חוקיות ושיבוש מהלכי משפט. הנאשם נדון לשני עונשי מאסר ותלוי ועומד נגדו מאסר על תנאי בר הפעלה.</w:t>
      </w:r>
    </w:p>
    <w:p w14:paraId="722AA66C" w14:textId="77777777" w:rsidR="001F1388" w:rsidRDefault="001F1388" w:rsidP="001F1388">
      <w:pPr>
        <w:pStyle w:val="aa"/>
        <w:bidi/>
        <w:spacing w:before="120" w:after="120"/>
        <w:ind w:left="567"/>
        <w:jc w:val="both"/>
        <w:rPr>
          <w:rFonts w:cs="David"/>
          <w:sz w:val="24"/>
          <w:szCs w:val="24"/>
        </w:rPr>
      </w:pPr>
      <w:r>
        <w:rPr>
          <w:rFonts w:cs="David" w:hint="cs"/>
          <w:sz w:val="24"/>
          <w:szCs w:val="24"/>
          <w:rtl/>
        </w:rPr>
        <w:t xml:space="preserve">עוד הוסיף שירות המבחן, כי הנאשם עשה שימוש בסמים במשך שנים כאמצעי להימנע מהתמודדות עם מצוקות רגשיות והוא מסר שהפסיק לצרוך סמים באופן עצמאי. גם בבדיקות שתן שמסר לא נמצאו שרידי סם. עוד מסר שירות המבחן, כי הנאשם מעוניין לשתף פעולה והביע נכונות להשתלב בטיפול ייעודי בתחום ההתמכרות במסגרת היחידה לנפגעי סמים. עם זאת, הנאשם גילה התנהלות בעייתית בעת האבחון, לא הגיע באופן סדיר לפגישות, לא מסר בדיקות שתן ברצף ולא קידם פניה לטיפול ייעודי. </w:t>
      </w:r>
    </w:p>
    <w:p w14:paraId="693F654F" w14:textId="77777777" w:rsidR="001F1388" w:rsidRDefault="001F1388" w:rsidP="001F1388">
      <w:pPr>
        <w:pStyle w:val="aa"/>
        <w:bidi/>
        <w:spacing w:before="120" w:after="120"/>
        <w:ind w:left="567"/>
        <w:jc w:val="both"/>
        <w:rPr>
          <w:rFonts w:cs="David"/>
          <w:sz w:val="24"/>
          <w:szCs w:val="24"/>
          <w:rtl/>
        </w:rPr>
      </w:pPr>
      <w:r>
        <w:rPr>
          <w:rFonts w:cs="David" w:hint="cs"/>
          <w:sz w:val="24"/>
          <w:szCs w:val="24"/>
          <w:rtl/>
        </w:rPr>
        <w:t>להתרשמות שירות המבחן, לנאשם כוחות מצומצמים וצרכי תלות גבוהים והוא מתקשה להתנהל בתוך משברים ומתקשה בהתנהלות עצמאית ואחראית. עוד התרשם שירות המבחן, מפער בין הצהרות הנאשם בדבר רצונו לשינוי באורח חייו ובין היעדר כוחותיו לקדם שינוי משמעותי. לאור האמור, סבר שירות המבחן, כי הנאשם אינו פנוי ואינו בשל להשתלב בהליך טיפולי משמעותי. מכאן, שירות המבחן לא בא בהמלצה להארכת מאסר על תנאי אלא המליץ על ביצוע המאסר בדרך של עבודות שירות.</w:t>
      </w:r>
    </w:p>
    <w:p w14:paraId="401E6D14" w14:textId="77777777" w:rsidR="001F1388" w:rsidRDefault="001F1388" w:rsidP="001F1388">
      <w:pPr>
        <w:pStyle w:val="aa"/>
        <w:numPr>
          <w:ilvl w:val="0"/>
          <w:numId w:val="1"/>
        </w:numPr>
        <w:bidi/>
        <w:spacing w:before="120" w:after="120"/>
        <w:ind w:left="567" w:hanging="567"/>
        <w:jc w:val="both"/>
        <w:rPr>
          <w:rFonts w:cs="David"/>
          <w:sz w:val="24"/>
          <w:szCs w:val="24"/>
          <w:rtl/>
        </w:rPr>
      </w:pPr>
      <w:r>
        <w:rPr>
          <w:rFonts w:cs="David" w:hint="cs"/>
          <w:sz w:val="24"/>
          <w:szCs w:val="24"/>
          <w:rtl/>
        </w:rPr>
        <w:t>בתסקיר משלים מיום 14.1.19 ציין שירות המבחן, כי הנאשם לא יצר קשר מיוזמתו עם שירות המבחן, לא הגיע לפגישה שתואמה ולא התייצב למתן בדיקות שתן. לאור האמור, שירות המבחן חזר על המלצתו.</w:t>
      </w:r>
    </w:p>
    <w:p w14:paraId="6A4B68E3" w14:textId="77777777" w:rsidR="001F1388" w:rsidRDefault="001F1388" w:rsidP="001F1388">
      <w:pPr>
        <w:spacing w:before="120" w:after="120"/>
        <w:ind w:left="509" w:hanging="567"/>
        <w:contextualSpacing/>
        <w:jc w:val="both"/>
        <w:rPr>
          <w:b/>
          <w:bCs/>
          <w:u w:val="single"/>
          <w:rtl/>
        </w:rPr>
      </w:pPr>
    </w:p>
    <w:p w14:paraId="6A03B763" w14:textId="77777777" w:rsidR="001F1388" w:rsidRDefault="001F1388" w:rsidP="001F1388">
      <w:pPr>
        <w:spacing w:before="120" w:after="120"/>
        <w:ind w:left="509" w:hanging="567"/>
        <w:contextualSpacing/>
        <w:jc w:val="both"/>
        <w:rPr>
          <w:b/>
          <w:bCs/>
          <w:u w:val="single"/>
          <w:rtl/>
        </w:rPr>
      </w:pPr>
      <w:r>
        <w:rPr>
          <w:rFonts w:hint="cs"/>
          <w:b/>
          <w:bCs/>
          <w:u w:val="single"/>
          <w:rtl/>
        </w:rPr>
        <w:t>טענות הצדדים לעונש</w:t>
      </w:r>
    </w:p>
    <w:p w14:paraId="2B9F3286" w14:textId="77777777" w:rsidR="001F1388" w:rsidRDefault="001F1388" w:rsidP="001F1388">
      <w:pPr>
        <w:pStyle w:val="aa"/>
        <w:numPr>
          <w:ilvl w:val="0"/>
          <w:numId w:val="1"/>
        </w:numPr>
        <w:bidi/>
        <w:spacing w:before="120" w:after="120"/>
        <w:ind w:left="509" w:hanging="567"/>
        <w:jc w:val="both"/>
        <w:rPr>
          <w:rFonts w:cs="David"/>
          <w:b/>
          <w:bCs/>
          <w:sz w:val="24"/>
          <w:szCs w:val="24"/>
          <w:u w:val="single"/>
          <w:rtl/>
        </w:rPr>
      </w:pPr>
      <w:r>
        <w:rPr>
          <w:rFonts w:cs="David" w:hint="cs"/>
          <w:sz w:val="24"/>
          <w:szCs w:val="24"/>
          <w:rtl/>
        </w:rPr>
        <w:t>באת כוח התביעה טענה, שכתוצאה מביצוע העבירות בהן הורשע הנאשם נפגעו הערכים החברתיים של הגנה על בריאותו ושלומו הפיסי והנפשי של הציבור מפני נגע הסמים. לטענתה, מידת הפגיעה נמוכה, לאור כמות הסם הקטנה שהחזיק הנאשם בביתו.</w:t>
      </w:r>
    </w:p>
    <w:p w14:paraId="15620531"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מכאן טענה, כי מתחם העונש ההולם את העבירות מושא כתב האישום, נע בין מאסר על תנאי ובין מאסר לתקופה של מספר חודשים, לצד ענישה נלווית.</w:t>
      </w:r>
    </w:p>
    <w:p w14:paraId="6C6DD95A"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טענה והוסיפה, כי יש לקחת בחשבון את הנסיבות הבאות שאינן קשורות בביצוע העבירות: לחובת הנאשם הרשעות קודמות בעבירות סמים, רכוש ועבירות נגד שוטרים ואף הוטלו עליו עונשי מאסר בפועל. נגד הנאשם גם תלוי ועומד מאסר על תנאי בר הפעלה לתקופה של 5 חודשים ופסילה על תנאי לתקופה של 4 חודשים. מתסקירי שירות המבחן עולה, כי הנאשם הצהיר על הפסקת שימוש בסמים אך לא הגיע באופן רציף לביצוע בדיקות שתן, לא שיתף פעולה באופן סדיר עם שירות המבחן ולא עשה מאמץ לקדם את עניינו.</w:t>
      </w:r>
    </w:p>
    <w:p w14:paraId="4D384682"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lastRenderedPageBreak/>
        <w:t>עוד טענה, כי גם בגזר דינו הקודם, הנאשם לא הגיע לפגישות עם שירות המבחן והממונה על עבודות שירות.</w:t>
      </w:r>
    </w:p>
    <w:p w14:paraId="02F5C9F7"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לאור האמור, עתרה באת כוח התביעה להטיל על הנאשם מאסר לתקופה של חודש בגין תיק זה, להפעיל המאסר על תנאי התלוי ועומד נגד הנאשם במצטבר ולצד זאת, גם להטיל עליו קנס, מאסר על תנאי, פסילה בפועל ופסילה על תנאי.</w:t>
      </w:r>
    </w:p>
    <w:p w14:paraId="2A51A8F4"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באת כוח הנאשם טענה, לעומת זאת, כי בביתו של הנאשם נתפסה כמות קטנה של סם, ומכאן שהעונש לו עותרת התביעה אינו מידתי בנסיבות המקרה. </w:t>
      </w:r>
    </w:p>
    <w:p w14:paraId="19CB502B"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טענה, כי יש לקחת בחשבון את הנסיבות הבאות שאינן קשורות בביצוע העבירות: הנאשם אב לשתי בנות קטינות; הנאשם נמצא בהליך גירושין, אשר גרם לו פגיעה רגשית ומצבו הנפשי ירוד. הנאשם משלם מזונות ומתגורר עם אמו (ענ/1); כתב האישום עניינו באירוע מחודש יוני 2016 ומאז לא נפתחו לחובתו של הנאשם תיקים נוספים; הנאשם מנהל עסק בבעלותו ומצוי בחובות; הנאשם אינו עושה עוד שימוש בסמים.</w:t>
      </w:r>
    </w:p>
    <w:p w14:paraId="27CF3C97"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עוד טענה, כי יש מקום ליתן לנאשם הזדמנות נוספת ללכת לממונה על עבודות שירות.</w:t>
      </w:r>
    </w:p>
    <w:p w14:paraId="545444D2"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לאור האמור, עתרה באת כוח הנאשם להאריך מאסר על תנאי ולחלופין, להטיל מאסר בדרך של עבודות שירות.</w:t>
      </w:r>
    </w:p>
    <w:p w14:paraId="3FE10F92"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בדברו האחרון מסר הנאשם,  כי הוא נתון בחובות, מסוכסך עם גרושתו וכמעט אינו רואה את בנותיו. </w:t>
      </w:r>
    </w:p>
    <w:p w14:paraId="381F215E" w14:textId="77777777" w:rsidR="001F1388" w:rsidRDefault="001F1388" w:rsidP="001F1388">
      <w:pPr>
        <w:pStyle w:val="aa"/>
        <w:bidi/>
        <w:spacing w:before="120" w:after="120"/>
        <w:ind w:left="567"/>
        <w:jc w:val="both"/>
        <w:rPr>
          <w:rFonts w:cs="David"/>
          <w:sz w:val="24"/>
          <w:szCs w:val="24"/>
          <w:highlight w:val="yellow"/>
        </w:rPr>
      </w:pPr>
      <w:r>
        <w:rPr>
          <w:rFonts w:cs="David" w:hint="cs"/>
          <w:sz w:val="24"/>
          <w:szCs w:val="24"/>
          <w:highlight w:val="yellow"/>
          <w:rtl/>
        </w:rPr>
        <w:t xml:space="preserve"> </w:t>
      </w:r>
    </w:p>
    <w:p w14:paraId="1D4FD803" w14:textId="77777777" w:rsidR="001F1388" w:rsidRDefault="001F1388" w:rsidP="001F1388">
      <w:pPr>
        <w:spacing w:before="120" w:after="120"/>
        <w:ind w:left="-58"/>
        <w:jc w:val="both"/>
        <w:rPr>
          <w:b/>
          <w:bCs/>
          <w:u w:val="single"/>
          <w:rtl/>
        </w:rPr>
      </w:pPr>
      <w:r>
        <w:rPr>
          <w:rFonts w:hint="cs"/>
          <w:b/>
          <w:bCs/>
          <w:u w:val="single"/>
          <w:rtl/>
        </w:rPr>
        <w:t>דיון והכרעה</w:t>
      </w:r>
    </w:p>
    <w:p w14:paraId="1B1E9BCC" w14:textId="77777777" w:rsidR="001F1388" w:rsidRDefault="001F1388" w:rsidP="001F1388">
      <w:pPr>
        <w:spacing w:before="120" w:after="120"/>
        <w:ind w:left="-58"/>
        <w:jc w:val="both"/>
        <w:rPr>
          <w:u w:val="single"/>
          <w:rtl/>
        </w:rPr>
      </w:pPr>
      <w:r>
        <w:rPr>
          <w:rFonts w:hint="cs"/>
          <w:u w:val="single"/>
          <w:rtl/>
        </w:rPr>
        <w:t>קביעת מתחם הענישה</w:t>
      </w:r>
    </w:p>
    <w:p w14:paraId="004B9723" w14:textId="77777777" w:rsidR="001F1388" w:rsidRDefault="001F1388" w:rsidP="001F1388">
      <w:pPr>
        <w:pStyle w:val="aa"/>
        <w:numPr>
          <w:ilvl w:val="0"/>
          <w:numId w:val="1"/>
        </w:numPr>
        <w:bidi/>
        <w:spacing w:before="120" w:after="120"/>
        <w:ind w:left="509" w:hanging="567"/>
        <w:jc w:val="both"/>
        <w:rPr>
          <w:rFonts w:cs="David"/>
          <w:sz w:val="24"/>
          <w:szCs w:val="24"/>
          <w:rtl/>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העבירה</w:t>
      </w:r>
      <w:r>
        <w:rPr>
          <w:rFonts w:cs="David" w:hint="cs"/>
          <w:sz w:val="24"/>
          <w:szCs w:val="24"/>
          <w:rtl/>
        </w:rPr>
        <w:t>.</w:t>
      </w:r>
    </w:p>
    <w:p w14:paraId="6EF1CBC4"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5" w:history="1">
        <w:r w:rsidR="00F44A2A" w:rsidRPr="00F44A2A">
          <w:rPr>
            <w:rFonts w:cs="David" w:hint="cs"/>
            <w:color w:val="0000FF"/>
            <w:sz w:val="24"/>
            <w:szCs w:val="24"/>
            <w:u w:val="single"/>
            <w:rtl/>
          </w:rPr>
          <w:t>ע</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16" w:history="1">
        <w:r w:rsidR="00F44A2A" w:rsidRPr="00F44A2A">
          <w:rPr>
            <w:rFonts w:cs="David" w:hint="cs"/>
            <w:color w:val="0000FF"/>
            <w:sz w:val="24"/>
            <w:szCs w:val="24"/>
            <w:u w:val="single"/>
            <w:rtl/>
          </w:rPr>
          <w:t>ע</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6029/03 </w:t>
        </w:r>
        <w:r w:rsidR="00F44A2A" w:rsidRPr="00F44A2A">
          <w:rPr>
            <w:rFonts w:cs="David" w:hint="cs"/>
            <w:color w:val="0000FF"/>
            <w:sz w:val="24"/>
            <w:szCs w:val="24"/>
            <w:u w:val="single"/>
            <w:rtl/>
          </w:rPr>
          <w:t>מדינת</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ישראל</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נ</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שמאי</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פ</w:t>
        </w:r>
        <w:r w:rsidR="00F44A2A" w:rsidRPr="00F44A2A">
          <w:rPr>
            <w:rFonts w:cs="David"/>
            <w:color w:val="0000FF"/>
            <w:sz w:val="24"/>
            <w:szCs w:val="24"/>
            <w:u w:val="single"/>
            <w:rtl/>
          </w:rPr>
          <w:t>"</w:t>
        </w:r>
        <w:r w:rsidR="00F44A2A" w:rsidRPr="00F44A2A">
          <w:rPr>
            <w:rFonts w:cs="David" w:hint="cs"/>
            <w:color w:val="0000FF"/>
            <w:sz w:val="24"/>
            <w:szCs w:val="24"/>
            <w:u w:val="single"/>
            <w:rtl/>
          </w:rPr>
          <w:t>ד</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נח</w:t>
        </w:r>
      </w:hyperlink>
      <w:r>
        <w:rPr>
          <w:rFonts w:cs="David" w:hint="cs"/>
          <w:sz w:val="24"/>
          <w:szCs w:val="24"/>
          <w:rtl/>
        </w:rPr>
        <w:t xml:space="preserve"> (2) 734 (9.2.04); </w:t>
      </w:r>
      <w:hyperlink r:id="rId17" w:history="1">
        <w:r w:rsidR="00F44A2A" w:rsidRPr="00F44A2A">
          <w:rPr>
            <w:rFonts w:cs="David" w:hint="cs"/>
            <w:color w:val="0000FF"/>
            <w:sz w:val="24"/>
            <w:szCs w:val="24"/>
            <w:u w:val="single"/>
            <w:rtl/>
          </w:rPr>
          <w:t>ע</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6021/95</w:t>
        </w:r>
      </w:hyperlink>
      <w:r>
        <w:rPr>
          <w:rFonts w:cs="David" w:hint="cs"/>
          <w:sz w:val="24"/>
          <w:szCs w:val="24"/>
          <w:rtl/>
        </w:rPr>
        <w:t xml:space="preserve">, 4998/95, 5267/95, 5313/95 </w:t>
      </w:r>
      <w:r>
        <w:rPr>
          <w:rFonts w:cs="David" w:hint="cs"/>
          <w:b/>
          <w:bCs/>
          <w:sz w:val="24"/>
          <w:szCs w:val="24"/>
          <w:rtl/>
        </w:rPr>
        <w:t xml:space="preserve">מדינת ישראל נ' גומז </w:t>
      </w:r>
      <w:r>
        <w:rPr>
          <w:rFonts w:cs="David" w:hint="cs"/>
          <w:sz w:val="24"/>
          <w:szCs w:val="24"/>
          <w:rtl/>
        </w:rPr>
        <w:t xml:space="preserve">(31.7.97); </w:t>
      </w:r>
      <w:hyperlink r:id="rId18" w:history="1">
        <w:r w:rsidR="00F44A2A" w:rsidRPr="00F44A2A">
          <w:rPr>
            <w:rFonts w:cs="David" w:hint="cs"/>
            <w:color w:val="0000FF"/>
            <w:sz w:val="24"/>
            <w:szCs w:val="24"/>
            <w:u w:val="single"/>
            <w:rtl/>
          </w:rPr>
          <w:t>ע</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575/88 </w:t>
        </w:r>
        <w:r w:rsidR="00F44A2A" w:rsidRPr="00F44A2A">
          <w:rPr>
            <w:rFonts w:cs="David" w:hint="cs"/>
            <w:color w:val="0000FF"/>
            <w:sz w:val="24"/>
            <w:szCs w:val="24"/>
            <w:u w:val="single"/>
            <w:rtl/>
          </w:rPr>
          <w:t>עודה</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נ</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מדינת</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ישראל</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פ</w:t>
        </w:r>
        <w:r w:rsidR="00F44A2A" w:rsidRPr="00F44A2A">
          <w:rPr>
            <w:rFonts w:cs="David"/>
            <w:color w:val="0000FF"/>
            <w:sz w:val="24"/>
            <w:szCs w:val="24"/>
            <w:u w:val="single"/>
            <w:rtl/>
          </w:rPr>
          <w:t>"</w:t>
        </w:r>
        <w:r w:rsidR="00F44A2A" w:rsidRPr="00F44A2A">
          <w:rPr>
            <w:rFonts w:cs="David" w:hint="cs"/>
            <w:color w:val="0000FF"/>
            <w:sz w:val="24"/>
            <w:szCs w:val="24"/>
            <w:u w:val="single"/>
            <w:rtl/>
          </w:rPr>
          <w:t>ד</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מב</w:t>
        </w:r>
      </w:hyperlink>
      <w:r>
        <w:rPr>
          <w:rFonts w:cs="David" w:hint="cs"/>
          <w:sz w:val="24"/>
          <w:szCs w:val="24"/>
          <w:rtl/>
        </w:rPr>
        <w:t xml:space="preserve"> (4) 242 (11.12.88)).</w:t>
      </w:r>
    </w:p>
    <w:p w14:paraId="4D2304EE" w14:textId="77777777" w:rsidR="001F1388" w:rsidRDefault="001F1388" w:rsidP="001F1388">
      <w:pPr>
        <w:pStyle w:val="aa"/>
        <w:numPr>
          <w:ilvl w:val="0"/>
          <w:numId w:val="1"/>
        </w:numPr>
        <w:bidi/>
        <w:spacing w:before="120" w:after="120"/>
        <w:ind w:left="509" w:hanging="567"/>
        <w:jc w:val="both"/>
        <w:rPr>
          <w:rFonts w:cs="David"/>
          <w:b/>
          <w:bCs/>
          <w:sz w:val="24"/>
          <w:szCs w:val="24"/>
          <w:u w:val="single"/>
        </w:rPr>
      </w:pPr>
      <w:r>
        <w:rPr>
          <w:rFonts w:cs="David" w:hint="cs"/>
          <w:sz w:val="24"/>
          <w:szCs w:val="24"/>
          <w:rtl/>
        </w:rPr>
        <w:t xml:space="preserve">הפגיעה בערכים המוגנים כתוצאה מביצוע עבירה של החזקת סמים וכלים לצריכה עצמית, היא נמוכה. הנאשם החזיק סם מסוג חשיש במשקל 1.2733 גרם נטו וכלים להכנת סם. </w:t>
      </w:r>
    </w:p>
    <w:p w14:paraId="538107E2"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 xml:space="preserve">ממדיניות הפסיקה עולה, כי מתחם העונש ההולם הרלוונטי להחזקת סמים מסוג חשיש לצריכה עצמית ובמשקל קטין והחזקת כלים להכנת סם לצריכה עצמית, נע בין מאסר על תנאי ובין מאסר לתקופה קצרה, לצד ענישה נלווית (ראו, למשל: </w:t>
      </w:r>
      <w:hyperlink r:id="rId19"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רמ</w:t>
        </w:r>
        <w:r w:rsidR="00F44A2A" w:rsidRPr="00F44A2A">
          <w:rPr>
            <w:rFonts w:cs="David"/>
            <w:color w:val="0000FF"/>
            <w:sz w:val="24"/>
            <w:szCs w:val="24"/>
            <w:u w:val="single"/>
            <w:rtl/>
          </w:rPr>
          <w:t>') 36431-04-15</w:t>
        </w:r>
      </w:hyperlink>
      <w:r>
        <w:rPr>
          <w:rFonts w:cs="David" w:hint="cs"/>
          <w:b/>
          <w:bCs/>
          <w:sz w:val="24"/>
          <w:szCs w:val="24"/>
          <w:rtl/>
        </w:rPr>
        <w:t xml:space="preserve"> מדינת ישראל נ' קורקין</w:t>
      </w:r>
      <w:r>
        <w:rPr>
          <w:rFonts w:cs="David" w:hint="cs"/>
          <w:sz w:val="24"/>
          <w:szCs w:val="24"/>
          <w:rtl/>
        </w:rPr>
        <w:t xml:space="preserve"> (6.1.16); </w:t>
      </w:r>
      <w:hyperlink r:id="rId20"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רמ</w:t>
        </w:r>
        <w:r w:rsidR="00F44A2A" w:rsidRPr="00F44A2A">
          <w:rPr>
            <w:rFonts w:cs="David"/>
            <w:color w:val="0000FF"/>
            <w:sz w:val="24"/>
            <w:szCs w:val="24"/>
            <w:u w:val="single"/>
            <w:rtl/>
          </w:rPr>
          <w:t>') 44601-05-14</w:t>
        </w:r>
      </w:hyperlink>
      <w:r>
        <w:rPr>
          <w:rFonts w:cs="David" w:hint="cs"/>
          <w:b/>
          <w:bCs/>
          <w:sz w:val="24"/>
          <w:szCs w:val="24"/>
          <w:rtl/>
        </w:rPr>
        <w:t xml:space="preserve"> משטרת ישראל תביעות - שלוחת רמלה נ' לוי</w:t>
      </w:r>
      <w:r>
        <w:rPr>
          <w:rFonts w:cs="David" w:hint="cs"/>
          <w:sz w:val="24"/>
          <w:szCs w:val="24"/>
          <w:rtl/>
        </w:rPr>
        <w:t xml:space="preserve"> (28.6.15); </w:t>
      </w:r>
      <w:hyperlink r:id="rId21"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חי</w:t>
        </w:r>
        <w:r w:rsidR="00F44A2A" w:rsidRPr="00F44A2A">
          <w:rPr>
            <w:rFonts w:cs="David"/>
            <w:color w:val="0000FF"/>
            <w:sz w:val="24"/>
            <w:szCs w:val="24"/>
            <w:u w:val="single"/>
            <w:rtl/>
          </w:rPr>
          <w:t>')  25039-07-13</w:t>
        </w:r>
      </w:hyperlink>
      <w:r>
        <w:rPr>
          <w:rFonts w:cs="David" w:hint="cs"/>
          <w:sz w:val="24"/>
          <w:szCs w:val="24"/>
          <w:rtl/>
        </w:rPr>
        <w:t xml:space="preserve"> </w:t>
      </w:r>
      <w:r>
        <w:rPr>
          <w:rFonts w:cs="David" w:hint="cs"/>
          <w:b/>
          <w:bCs/>
          <w:sz w:val="24"/>
          <w:szCs w:val="24"/>
          <w:rtl/>
        </w:rPr>
        <w:t xml:space="preserve"> מדינת ישראל נ' מארון </w:t>
      </w:r>
      <w:r>
        <w:rPr>
          <w:rFonts w:cs="David" w:hint="cs"/>
          <w:sz w:val="24"/>
          <w:szCs w:val="24"/>
          <w:rtl/>
        </w:rPr>
        <w:t xml:space="preserve"> (12.5.15); </w:t>
      </w:r>
      <w:hyperlink r:id="rId22"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רמ</w:t>
        </w:r>
        <w:r w:rsidR="00F44A2A" w:rsidRPr="00F44A2A">
          <w:rPr>
            <w:rFonts w:cs="David"/>
            <w:color w:val="0000FF"/>
            <w:sz w:val="24"/>
            <w:szCs w:val="24"/>
            <w:u w:val="single"/>
            <w:rtl/>
          </w:rPr>
          <w:t>') 20574-06-13</w:t>
        </w:r>
      </w:hyperlink>
      <w:r>
        <w:rPr>
          <w:rFonts w:cs="David" w:hint="cs"/>
          <w:sz w:val="24"/>
          <w:szCs w:val="24"/>
          <w:rtl/>
        </w:rPr>
        <w:t xml:space="preserve"> </w:t>
      </w:r>
      <w:r>
        <w:rPr>
          <w:rFonts w:cs="David" w:hint="cs"/>
          <w:b/>
          <w:bCs/>
          <w:sz w:val="24"/>
          <w:szCs w:val="24"/>
          <w:rtl/>
        </w:rPr>
        <w:t xml:space="preserve">משטרת ישראל תביעות- שלוחת רמלה נ' זוארץ </w:t>
      </w:r>
      <w:r>
        <w:rPr>
          <w:rFonts w:cs="David" w:hint="cs"/>
          <w:sz w:val="24"/>
          <w:szCs w:val="24"/>
          <w:rtl/>
        </w:rPr>
        <w:t>(29.3.15)).</w:t>
      </w:r>
    </w:p>
    <w:p w14:paraId="181858BF"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לאור האמור, מתחם העונש ההולם את העבירות של החזקת סמים לצריכה עצמית והחזקת כלים להכנת סם לצריכה עצמית, נע בין מאסר על תנאי ובין מאסר לתקופה של מספר חודשים, לצד ענישה נלווית.</w:t>
      </w:r>
    </w:p>
    <w:p w14:paraId="79116396" w14:textId="77777777" w:rsidR="001F1388" w:rsidRDefault="001F1388" w:rsidP="001F1388">
      <w:pPr>
        <w:spacing w:before="120" w:after="120"/>
        <w:jc w:val="both"/>
      </w:pPr>
      <w:r>
        <w:rPr>
          <w:rFonts w:hint="cs"/>
          <w:u w:val="single"/>
          <w:rtl/>
        </w:rPr>
        <w:t>העונש ההולם בתוך המתחם</w:t>
      </w:r>
      <w:r>
        <w:rPr>
          <w:rFonts w:hint="cs"/>
          <w:rtl/>
        </w:rPr>
        <w:t xml:space="preserve"> </w:t>
      </w:r>
    </w:p>
    <w:p w14:paraId="2B266748"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בקביעת העונש ההולם בתוך המתחם</w:t>
      </w:r>
      <w:r>
        <w:rPr>
          <w:rFonts w:cs="David" w:hint="cs"/>
          <w:b/>
          <w:bCs/>
          <w:sz w:val="24"/>
          <w:szCs w:val="24"/>
          <w:rtl/>
        </w:rPr>
        <w:t xml:space="preserve"> </w:t>
      </w:r>
      <w:r>
        <w:rPr>
          <w:rFonts w:cs="David" w:hint="cs"/>
          <w:sz w:val="24"/>
          <w:szCs w:val="24"/>
          <w:rtl/>
        </w:rPr>
        <w:t>לקחתי בחשבון את</w:t>
      </w:r>
      <w:r>
        <w:rPr>
          <w:rFonts w:cs="David" w:hint="cs"/>
          <w:b/>
          <w:bCs/>
          <w:sz w:val="24"/>
          <w:szCs w:val="24"/>
          <w:rtl/>
        </w:rPr>
        <w:t xml:space="preserve"> </w:t>
      </w:r>
      <w:r>
        <w:rPr>
          <w:rFonts w:cs="David" w:hint="cs"/>
          <w:sz w:val="24"/>
          <w:szCs w:val="24"/>
          <w:rtl/>
        </w:rPr>
        <w:t xml:space="preserve">הנסיבות הבאות אשר אינן קשורות בביצוע העבירות: </w:t>
      </w:r>
    </w:p>
    <w:p w14:paraId="7B54FD4F" w14:textId="77777777" w:rsidR="001F1388" w:rsidRDefault="001F1388" w:rsidP="001F1388">
      <w:pPr>
        <w:pStyle w:val="aa"/>
        <w:bidi/>
        <w:spacing w:before="120" w:after="120"/>
        <w:ind w:left="509"/>
        <w:jc w:val="both"/>
        <w:rPr>
          <w:rFonts w:cs="David"/>
          <w:sz w:val="24"/>
          <w:szCs w:val="24"/>
        </w:rPr>
      </w:pPr>
      <w:r>
        <w:rPr>
          <w:rFonts w:cs="David" w:hint="cs"/>
          <w:sz w:val="24"/>
          <w:szCs w:val="24"/>
          <w:rtl/>
        </w:rPr>
        <w:t>לזכותו של הנאשם עומדת הודאתו במיוחס ונטילת אחריות על מעשיו; הנאשם אב לשתי בנות קטינות ונמצא בהליך גירושין לא פשוט; הנאשם בעל מינימרקט ונמצא בחובות; הנאשם נמצא במצב נפשי ירוד.</w:t>
      </w:r>
    </w:p>
    <w:p w14:paraId="0686BCD5" w14:textId="77777777" w:rsidR="001F1388" w:rsidRDefault="001F1388" w:rsidP="001F1388">
      <w:pPr>
        <w:pStyle w:val="aa"/>
        <w:bidi/>
        <w:spacing w:before="120" w:after="120"/>
        <w:ind w:left="509"/>
        <w:jc w:val="both"/>
        <w:rPr>
          <w:rFonts w:cs="David"/>
          <w:sz w:val="24"/>
          <w:szCs w:val="24"/>
          <w:rtl/>
        </w:rPr>
      </w:pPr>
      <w:r>
        <w:rPr>
          <w:rFonts w:cs="David" w:hint="cs"/>
          <w:sz w:val="24"/>
          <w:szCs w:val="24"/>
          <w:rtl/>
        </w:rPr>
        <w:t>לחובתו של הנאשם עומד בעיקר עברו הפלילי בעבירות סמים, רכוש, עבירות כלפי שוטרים, הפרות צווי בית משפט והוראה חוקית (עת/1). על הנאשם הוטלו שתי תקופות מאסר; נגד הנאשם גם תלוי ועומד מאסר על תנאי בר הפעלה לתקופה של 5 חודשים ופסילה על תנאי לתקופה של 4 חודשים (עת/2); לנאשם ניתנו מספר הזדמנויות להתגייס להליך טיפולי במסגרת שירות המבחן, אולם הוא לא ניצל ההזדמנויות שניתנו לו. הנאשם גם לא שיתף פעולה כראוי עם הממונה על עבודות שירות. מטעם זה, ההליך הפלילי נמשך שלא לצורך.</w:t>
      </w:r>
    </w:p>
    <w:p w14:paraId="7A06F80A" w14:textId="77777777" w:rsidR="001F1388" w:rsidRDefault="001F1388" w:rsidP="001F1388">
      <w:pPr>
        <w:pStyle w:val="aa"/>
        <w:bidi/>
        <w:spacing w:before="120" w:after="120"/>
        <w:ind w:left="509"/>
        <w:jc w:val="both"/>
        <w:rPr>
          <w:rFonts w:cs="David"/>
          <w:sz w:val="24"/>
          <w:szCs w:val="24"/>
          <w:rtl/>
        </w:rPr>
      </w:pPr>
      <w:r>
        <w:rPr>
          <w:rFonts w:cs="David" w:hint="cs"/>
          <w:sz w:val="24"/>
          <w:szCs w:val="24"/>
          <w:rtl/>
        </w:rPr>
        <w:t>מתסקירי שירות המבחן עולה, כי הנאשם מתקשה להתנהל בתוך משברים באופן מקדם ומתקשה בהתנהלות עצמאית ואחראית. שירות המבחן גם התרשם מפער בין הצהרותיו של הנאשם בדבר רצונו לשינוי באורח חייו ובין היעדר כוחותיו בפועל לקדם שינוי משמעותי. שירות המבחן סבר, כי הנאשם אינו פנוי בשלב זה של חייו להשתלב בהליך טיפולי משמעותי. מכאן, כי שירות המבחן לא בא בהמלצה טיפולית וגם לא המליץ להאריך מאסר על תנאי התלוי ועומד נגד הנאשם.</w:t>
      </w:r>
    </w:p>
    <w:p w14:paraId="78668E77" w14:textId="77777777" w:rsidR="001F1388" w:rsidRDefault="001F1388" w:rsidP="001F1388">
      <w:pPr>
        <w:pStyle w:val="aa"/>
        <w:numPr>
          <w:ilvl w:val="0"/>
          <w:numId w:val="1"/>
        </w:numPr>
        <w:bidi/>
        <w:spacing w:before="120" w:after="120"/>
        <w:ind w:left="509" w:hanging="567"/>
        <w:jc w:val="both"/>
        <w:rPr>
          <w:rFonts w:cs="David"/>
          <w:sz w:val="24"/>
          <w:szCs w:val="24"/>
          <w:rtl/>
        </w:rPr>
      </w:pPr>
      <w:r>
        <w:rPr>
          <w:rFonts w:cs="David" w:hint="cs"/>
          <w:sz w:val="24"/>
          <w:szCs w:val="24"/>
          <w:rtl/>
        </w:rPr>
        <w:t>לאור האמור, באיזון בין הנסיבות העומדות לזכותו ולחובתו של הנאשם, העונש ההולם נמצא במחצית מתחם העונש ההולם.</w:t>
      </w:r>
    </w:p>
    <w:p w14:paraId="11746EBC" w14:textId="77777777" w:rsidR="001F1388" w:rsidRDefault="001F1388" w:rsidP="001F1388">
      <w:pPr>
        <w:pStyle w:val="aa"/>
        <w:numPr>
          <w:ilvl w:val="0"/>
          <w:numId w:val="1"/>
        </w:numPr>
        <w:bidi/>
        <w:spacing w:before="120" w:after="120"/>
        <w:ind w:left="509" w:hanging="567"/>
        <w:jc w:val="both"/>
        <w:rPr>
          <w:rFonts w:cs="David"/>
          <w:sz w:val="24"/>
          <w:szCs w:val="24"/>
          <w:rtl/>
        </w:rPr>
      </w:pPr>
      <w:r>
        <w:rPr>
          <w:rFonts w:cs="David" w:hint="cs"/>
          <w:sz w:val="24"/>
          <w:szCs w:val="24"/>
          <w:rtl/>
        </w:rPr>
        <w:t>בהיעדר הליך שיקומי ממשי והיעדר שיתוף פעולה עם שירות המבחן, גם אין הצדקה להארכת המאסר על תנאי והפסילה על תנאי התלויים ועומדים נגד הנאשם. עם זאת, לאור הודאת הנאשם ורף העבירה הנמוך, המאסר על תנאי יופעל בחופף למאסר המוטל בתיק זה.</w:t>
      </w:r>
    </w:p>
    <w:p w14:paraId="3AC8CD62"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מכאן, שיש להטיל על הנאשם מאסר לתקופה קצרה שיכול ויבוצע בדרך של עבודות שירות, להפעיל המאסר על תנאי בחופף, ולצד זאת, להטיל על הנאשם מאסר על תנאי והפעלת הפסילה על תנאי. בשל חובותיו, הטלת מאסר בדרך של עבודות שירות, ורף העבירה הנמוך, לא מצאתי לנכון להטיל על הנאשם גם קנס.</w:t>
      </w:r>
    </w:p>
    <w:p w14:paraId="447BED16" w14:textId="77777777" w:rsidR="001F1388" w:rsidRDefault="001F1388" w:rsidP="001F1388">
      <w:pPr>
        <w:pStyle w:val="aa"/>
        <w:numPr>
          <w:ilvl w:val="0"/>
          <w:numId w:val="1"/>
        </w:numPr>
        <w:bidi/>
        <w:spacing w:before="120" w:after="120"/>
        <w:ind w:left="509" w:hanging="567"/>
        <w:jc w:val="both"/>
        <w:rPr>
          <w:rFonts w:cs="David"/>
          <w:sz w:val="24"/>
          <w:szCs w:val="24"/>
        </w:rPr>
      </w:pPr>
      <w:r>
        <w:rPr>
          <w:rFonts w:cs="David" w:hint="cs"/>
          <w:sz w:val="24"/>
          <w:szCs w:val="24"/>
          <w:rtl/>
        </w:rPr>
        <w:t>לפי חוות דעת הממונה על עבודות שירות מיום 7.4.19 הנאשם נמצא מתאים לביצוע עבודות שירות.</w:t>
      </w:r>
    </w:p>
    <w:p w14:paraId="61433F94" w14:textId="77777777" w:rsidR="001F1388" w:rsidRDefault="001F1388" w:rsidP="001F1388">
      <w:pPr>
        <w:spacing w:before="120" w:after="120"/>
        <w:ind w:left="-58"/>
        <w:jc w:val="both"/>
        <w:rPr>
          <w:b/>
          <w:bCs/>
          <w:u w:val="single"/>
        </w:rPr>
      </w:pPr>
    </w:p>
    <w:p w14:paraId="6BEB01C1" w14:textId="77777777" w:rsidR="001F1388" w:rsidRDefault="001F1388" w:rsidP="001F1388">
      <w:pPr>
        <w:spacing w:before="120" w:after="120"/>
        <w:ind w:left="-58"/>
        <w:jc w:val="both"/>
        <w:rPr>
          <w:rtl/>
        </w:rPr>
      </w:pPr>
      <w:r>
        <w:rPr>
          <w:rFonts w:hint="cs"/>
          <w:b/>
          <w:bCs/>
          <w:u w:val="single"/>
          <w:rtl/>
        </w:rPr>
        <w:t>סוף דבר</w:t>
      </w:r>
      <w:r>
        <w:rPr>
          <w:rFonts w:hint="cs"/>
          <w:rtl/>
        </w:rPr>
        <w:t xml:space="preserve"> </w:t>
      </w:r>
    </w:p>
    <w:p w14:paraId="31AF4605" w14:textId="77777777" w:rsidR="001F1388" w:rsidRDefault="001F1388" w:rsidP="001F1388">
      <w:pPr>
        <w:pStyle w:val="aa"/>
        <w:numPr>
          <w:ilvl w:val="0"/>
          <w:numId w:val="1"/>
        </w:numPr>
        <w:bidi/>
        <w:spacing w:before="120" w:after="120"/>
        <w:ind w:left="509" w:hanging="567"/>
        <w:jc w:val="both"/>
        <w:rPr>
          <w:rFonts w:cs="David"/>
          <w:b/>
          <w:bCs/>
          <w:sz w:val="24"/>
          <w:szCs w:val="24"/>
        </w:rPr>
      </w:pPr>
      <w:r>
        <w:rPr>
          <w:rFonts w:cs="David" w:hint="cs"/>
          <w:sz w:val="24"/>
          <w:szCs w:val="24"/>
          <w:rtl/>
        </w:rPr>
        <w:t xml:space="preserve">לפיכך, </w:t>
      </w:r>
      <w:r>
        <w:rPr>
          <w:rFonts w:cs="David" w:hint="cs"/>
          <w:b/>
          <w:bCs/>
          <w:sz w:val="24"/>
          <w:szCs w:val="24"/>
          <w:rtl/>
        </w:rPr>
        <w:t>אני גוזרת על הנאשם את העונשים הבאים:</w:t>
      </w:r>
    </w:p>
    <w:p w14:paraId="2C1DFFDD" w14:textId="77777777" w:rsidR="001F1388" w:rsidRDefault="001F1388" w:rsidP="001F1388">
      <w:pPr>
        <w:pStyle w:val="aa"/>
        <w:numPr>
          <w:ilvl w:val="0"/>
          <w:numId w:val="2"/>
        </w:numPr>
        <w:bidi/>
        <w:spacing w:before="120" w:after="120"/>
        <w:jc w:val="both"/>
        <w:rPr>
          <w:rFonts w:cs="David"/>
          <w:sz w:val="24"/>
          <w:szCs w:val="24"/>
        </w:rPr>
      </w:pPr>
      <w:r>
        <w:rPr>
          <w:rFonts w:cs="David" w:hint="cs"/>
          <w:sz w:val="24"/>
          <w:szCs w:val="24"/>
          <w:rtl/>
        </w:rPr>
        <w:t xml:space="preserve">מאסר בדרך של עבודות שירות לתקופה של חודש ימים. </w:t>
      </w:r>
    </w:p>
    <w:p w14:paraId="15ED9728" w14:textId="77777777" w:rsidR="001F1388" w:rsidRDefault="001F1388" w:rsidP="001F1388">
      <w:pPr>
        <w:pStyle w:val="aa"/>
        <w:bidi/>
        <w:spacing w:before="120" w:after="120"/>
        <w:ind w:left="869"/>
        <w:jc w:val="both"/>
        <w:rPr>
          <w:rFonts w:cs="David"/>
          <w:sz w:val="24"/>
          <w:szCs w:val="24"/>
        </w:rPr>
      </w:pPr>
      <w:r>
        <w:rPr>
          <w:rFonts w:cs="David" w:hint="cs"/>
          <w:sz w:val="24"/>
          <w:szCs w:val="24"/>
          <w:rtl/>
        </w:rPr>
        <w:t xml:space="preserve">הנאשם יחל ביצוע עבודות השירות ביום 2.6.19. </w:t>
      </w:r>
    </w:p>
    <w:p w14:paraId="56CC9326" w14:textId="77777777" w:rsidR="001F1388" w:rsidRDefault="001F1388" w:rsidP="001F1388">
      <w:pPr>
        <w:pStyle w:val="aa"/>
        <w:numPr>
          <w:ilvl w:val="0"/>
          <w:numId w:val="2"/>
        </w:numPr>
        <w:bidi/>
        <w:spacing w:before="120" w:after="120"/>
        <w:jc w:val="both"/>
        <w:rPr>
          <w:rFonts w:cs="David"/>
          <w:sz w:val="24"/>
          <w:szCs w:val="24"/>
        </w:rPr>
      </w:pPr>
      <w:r>
        <w:rPr>
          <w:rFonts w:cs="David" w:hint="cs"/>
          <w:sz w:val="24"/>
          <w:szCs w:val="24"/>
          <w:rtl/>
        </w:rPr>
        <w:t>יופעל המאסר על תנאי מ</w:t>
      </w:r>
      <w:hyperlink r:id="rId23"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רח</w:t>
        </w:r>
        <w:r w:rsidR="00F44A2A" w:rsidRPr="00F44A2A">
          <w:rPr>
            <w:rFonts w:cs="David"/>
            <w:color w:val="0000FF"/>
            <w:sz w:val="24"/>
            <w:szCs w:val="24"/>
            <w:u w:val="single"/>
            <w:rtl/>
          </w:rPr>
          <w:t>') 2090-08-12</w:t>
        </w:r>
      </w:hyperlink>
      <w:r>
        <w:rPr>
          <w:rFonts w:cs="David" w:hint="cs"/>
          <w:sz w:val="24"/>
          <w:szCs w:val="24"/>
          <w:rtl/>
        </w:rPr>
        <w:t xml:space="preserve"> לתקופה של 5 חודשים בחופף למאסר המוטל בתיק דנן, כך שסך הכל יוטל על הנאשם מאסר לתקופה של 5 חודשים בדרך של עבודות שירות. מובהר לנאשם, כי כל חריגה מהוראות הממונה, לרבות שימוש בסמים,  עלולה להוביל לנשיאת המאסר בפועל;</w:t>
      </w:r>
    </w:p>
    <w:p w14:paraId="01360CCC" w14:textId="77777777" w:rsidR="001F1388" w:rsidRDefault="001F1388" w:rsidP="001F1388">
      <w:pPr>
        <w:pStyle w:val="aa"/>
        <w:numPr>
          <w:ilvl w:val="0"/>
          <w:numId w:val="2"/>
        </w:numPr>
        <w:bidi/>
        <w:spacing w:before="120" w:after="120"/>
        <w:jc w:val="both"/>
        <w:rPr>
          <w:rFonts w:cs="David"/>
          <w:sz w:val="24"/>
          <w:szCs w:val="24"/>
        </w:rPr>
      </w:pPr>
      <w:r>
        <w:rPr>
          <w:rFonts w:cs="David" w:hint="cs"/>
          <w:sz w:val="24"/>
          <w:szCs w:val="24"/>
          <w:rtl/>
        </w:rPr>
        <w:t xml:space="preserve">מאסר על תנאי לתקופה של 6 חודשים, והתנאי הוא שבמשך 3 שנים מהיום לא יעבור כל עבירה מסוג פשע לפי </w:t>
      </w:r>
      <w:hyperlink r:id="rId24" w:history="1">
        <w:r w:rsidR="00F44A2A" w:rsidRPr="00F44A2A">
          <w:rPr>
            <w:rFonts w:cs="David" w:hint="cs"/>
            <w:color w:val="0000FF"/>
            <w:sz w:val="24"/>
            <w:szCs w:val="24"/>
            <w:u w:val="single"/>
            <w:rtl/>
          </w:rPr>
          <w:t>פקודת</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הסמים</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המסוכנים</w:t>
        </w:r>
      </w:hyperlink>
      <w:r>
        <w:rPr>
          <w:rFonts w:cs="David" w:hint="cs"/>
          <w:sz w:val="24"/>
          <w:szCs w:val="24"/>
          <w:rtl/>
        </w:rPr>
        <w:t>;</w:t>
      </w:r>
    </w:p>
    <w:p w14:paraId="1195A87B" w14:textId="77777777" w:rsidR="001F1388" w:rsidRDefault="001F1388" w:rsidP="001F1388">
      <w:pPr>
        <w:pStyle w:val="aa"/>
        <w:numPr>
          <w:ilvl w:val="0"/>
          <w:numId w:val="2"/>
        </w:numPr>
        <w:bidi/>
        <w:spacing w:before="120" w:after="120"/>
        <w:jc w:val="both"/>
        <w:rPr>
          <w:rFonts w:cs="David"/>
          <w:sz w:val="24"/>
          <w:szCs w:val="24"/>
        </w:rPr>
      </w:pPr>
      <w:r>
        <w:rPr>
          <w:rFonts w:cs="David" w:hint="cs"/>
          <w:sz w:val="24"/>
          <w:szCs w:val="24"/>
          <w:rtl/>
        </w:rPr>
        <w:t xml:space="preserve">מאסר על תנאי לתקופה של 3 חודשים, והתנאי הוא שבמשך 24 חודשים מהיום לא יעבור כל עבירה מסוג עוון לפי </w:t>
      </w:r>
      <w:hyperlink r:id="rId25" w:history="1">
        <w:r w:rsidR="00F44A2A" w:rsidRPr="00F44A2A">
          <w:rPr>
            <w:rFonts w:cs="David" w:hint="cs"/>
            <w:color w:val="0000FF"/>
            <w:sz w:val="24"/>
            <w:szCs w:val="24"/>
            <w:u w:val="single"/>
            <w:rtl/>
          </w:rPr>
          <w:t>פקודת</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הסמים</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המסוכנים</w:t>
        </w:r>
      </w:hyperlink>
      <w:r>
        <w:rPr>
          <w:rFonts w:cs="David" w:hint="cs"/>
          <w:sz w:val="24"/>
          <w:szCs w:val="24"/>
          <w:rtl/>
        </w:rPr>
        <w:t>;</w:t>
      </w:r>
    </w:p>
    <w:p w14:paraId="356D3D45" w14:textId="77777777" w:rsidR="001F1388" w:rsidRDefault="001F1388" w:rsidP="001F1388">
      <w:pPr>
        <w:pStyle w:val="aa"/>
        <w:numPr>
          <w:ilvl w:val="0"/>
          <w:numId w:val="2"/>
        </w:numPr>
        <w:bidi/>
        <w:spacing w:before="120" w:after="120"/>
        <w:jc w:val="both"/>
        <w:rPr>
          <w:rFonts w:cs="David"/>
          <w:sz w:val="24"/>
          <w:szCs w:val="24"/>
        </w:rPr>
      </w:pPr>
      <w:r>
        <w:rPr>
          <w:rFonts w:cs="David" w:hint="cs"/>
          <w:sz w:val="24"/>
          <w:szCs w:val="24"/>
          <w:rtl/>
        </w:rPr>
        <w:t>תופעל פסילת הרישיון על תנאי מ</w:t>
      </w:r>
      <w:hyperlink r:id="rId26" w:history="1">
        <w:r w:rsidR="00F44A2A" w:rsidRPr="00F44A2A">
          <w:rPr>
            <w:rFonts w:cs="David" w:hint="cs"/>
            <w:color w:val="0000FF"/>
            <w:sz w:val="24"/>
            <w:szCs w:val="24"/>
            <w:u w:val="single"/>
            <w:rtl/>
          </w:rPr>
          <w:t>ת</w:t>
        </w:r>
        <w:r w:rsidR="00F44A2A" w:rsidRPr="00F44A2A">
          <w:rPr>
            <w:rFonts w:cs="David"/>
            <w:color w:val="0000FF"/>
            <w:sz w:val="24"/>
            <w:szCs w:val="24"/>
            <w:u w:val="single"/>
            <w:rtl/>
          </w:rPr>
          <w:t>"</w:t>
        </w:r>
        <w:r w:rsidR="00F44A2A" w:rsidRPr="00F44A2A">
          <w:rPr>
            <w:rFonts w:cs="David" w:hint="cs"/>
            <w:color w:val="0000FF"/>
            <w:sz w:val="24"/>
            <w:szCs w:val="24"/>
            <w:u w:val="single"/>
            <w:rtl/>
          </w:rPr>
          <w:t>פ</w:t>
        </w:r>
        <w:r w:rsidR="00F44A2A" w:rsidRPr="00F44A2A">
          <w:rPr>
            <w:rFonts w:cs="David"/>
            <w:color w:val="0000FF"/>
            <w:sz w:val="24"/>
            <w:szCs w:val="24"/>
            <w:u w:val="single"/>
            <w:rtl/>
          </w:rPr>
          <w:t xml:space="preserve"> (</w:t>
        </w:r>
        <w:r w:rsidR="00F44A2A" w:rsidRPr="00F44A2A">
          <w:rPr>
            <w:rFonts w:cs="David" w:hint="cs"/>
            <w:color w:val="0000FF"/>
            <w:sz w:val="24"/>
            <w:szCs w:val="24"/>
            <w:u w:val="single"/>
            <w:rtl/>
          </w:rPr>
          <w:t>רח</w:t>
        </w:r>
        <w:r w:rsidR="00F44A2A" w:rsidRPr="00F44A2A">
          <w:rPr>
            <w:rFonts w:cs="David"/>
            <w:color w:val="0000FF"/>
            <w:sz w:val="24"/>
            <w:szCs w:val="24"/>
            <w:u w:val="single"/>
            <w:rtl/>
          </w:rPr>
          <w:t>') 2090-08-12</w:t>
        </w:r>
      </w:hyperlink>
      <w:r>
        <w:rPr>
          <w:rFonts w:cs="David" w:hint="cs"/>
          <w:sz w:val="24"/>
          <w:szCs w:val="24"/>
          <w:rtl/>
        </w:rPr>
        <w:t>, למשך 4 חודשים מהיום. הנאשם יפקיד את רישיונו במזכירות בית המשפט;</w:t>
      </w:r>
    </w:p>
    <w:p w14:paraId="3AD44317" w14:textId="77777777" w:rsidR="001F1388" w:rsidRDefault="001F1388" w:rsidP="001F1388">
      <w:pPr>
        <w:spacing w:before="120" w:after="120"/>
        <w:ind w:left="509" w:hanging="567"/>
        <w:contextualSpacing/>
        <w:jc w:val="both"/>
        <w:rPr>
          <w:b/>
          <w:bCs/>
        </w:rPr>
      </w:pPr>
    </w:p>
    <w:p w14:paraId="7C1EA25E" w14:textId="77777777" w:rsidR="001F1388" w:rsidRDefault="001F1388" w:rsidP="001F1388">
      <w:pPr>
        <w:spacing w:before="120" w:after="120"/>
        <w:ind w:left="509" w:hanging="567"/>
        <w:contextualSpacing/>
        <w:jc w:val="both"/>
        <w:rPr>
          <w:b/>
          <w:bCs/>
          <w:rtl/>
        </w:rPr>
      </w:pPr>
      <w:r>
        <w:rPr>
          <w:rFonts w:hint="cs"/>
          <w:b/>
          <w:bCs/>
          <w:rtl/>
        </w:rPr>
        <w:t>ניתן צו להשמדת הסמים והכלים.</w:t>
      </w:r>
    </w:p>
    <w:p w14:paraId="3E47E842" w14:textId="77777777" w:rsidR="001F1388" w:rsidRDefault="001F1388" w:rsidP="001F1388">
      <w:pPr>
        <w:spacing w:before="120" w:after="120"/>
        <w:ind w:left="509" w:hanging="567"/>
        <w:contextualSpacing/>
        <w:jc w:val="both"/>
        <w:rPr>
          <w:b/>
          <w:bCs/>
          <w:rtl/>
        </w:rPr>
      </w:pPr>
    </w:p>
    <w:p w14:paraId="67A60C68" w14:textId="77777777" w:rsidR="001F1388" w:rsidRDefault="001F1388" w:rsidP="001F1388">
      <w:pPr>
        <w:spacing w:before="120" w:after="120"/>
        <w:ind w:left="509" w:hanging="567"/>
        <w:contextualSpacing/>
        <w:jc w:val="both"/>
        <w:rPr>
          <w:b/>
          <w:bCs/>
          <w:rtl/>
        </w:rPr>
      </w:pPr>
      <w:r>
        <w:rPr>
          <w:rFonts w:hint="cs"/>
          <w:b/>
          <w:bCs/>
          <w:rtl/>
        </w:rPr>
        <w:t xml:space="preserve">עותק גזר הדין יישלח לממונה על עבודות שירות. </w:t>
      </w:r>
    </w:p>
    <w:p w14:paraId="6836E937" w14:textId="77777777" w:rsidR="001F1388" w:rsidRDefault="001F1388" w:rsidP="001F1388">
      <w:pPr>
        <w:spacing w:before="120" w:after="120"/>
        <w:ind w:left="509" w:hanging="567"/>
        <w:contextualSpacing/>
        <w:jc w:val="both"/>
        <w:rPr>
          <w:b/>
          <w:bCs/>
          <w:rtl/>
        </w:rPr>
      </w:pPr>
    </w:p>
    <w:p w14:paraId="1D9DD15A" w14:textId="77777777" w:rsidR="001F1388" w:rsidRDefault="001F1388" w:rsidP="001F1388">
      <w:pPr>
        <w:spacing w:before="120" w:after="120"/>
        <w:ind w:left="509" w:hanging="567"/>
        <w:contextualSpacing/>
        <w:jc w:val="both"/>
        <w:rPr>
          <w:rFonts w:hint="cs"/>
          <w:b/>
          <w:bCs/>
          <w:rtl/>
        </w:rPr>
      </w:pPr>
      <w:r>
        <w:rPr>
          <w:rFonts w:hint="cs"/>
          <w:b/>
          <w:bCs/>
          <w:rtl/>
        </w:rPr>
        <w:t>זכות ערעור כחוק תוך 45 ימים.</w:t>
      </w:r>
      <w:r w:rsidR="006B14D7">
        <w:rPr>
          <w:rFonts w:hint="cs"/>
          <w:b/>
          <w:bCs/>
          <w:rtl/>
        </w:rPr>
        <w:t xml:space="preserve">           </w:t>
      </w:r>
    </w:p>
    <w:p w14:paraId="4A753286" w14:textId="77777777" w:rsidR="001F1388" w:rsidRPr="001F1388" w:rsidRDefault="001F1388" w:rsidP="001F1388">
      <w:pPr>
        <w:bidi w:val="0"/>
        <w:rPr>
          <w:rFonts w:cs="Arial"/>
          <w:sz w:val="22"/>
          <w:szCs w:val="22"/>
          <w:rtl/>
        </w:rPr>
      </w:pPr>
    </w:p>
    <w:p w14:paraId="0D202DCD" w14:textId="77777777" w:rsidR="001F1388" w:rsidRPr="00F44A2A" w:rsidRDefault="00F44A2A" w:rsidP="001F1388">
      <w:pPr>
        <w:bidi w:val="0"/>
        <w:rPr>
          <w:color w:val="FFFFFF"/>
          <w:sz w:val="2"/>
          <w:szCs w:val="2"/>
        </w:rPr>
      </w:pPr>
      <w:r w:rsidRPr="00F44A2A">
        <w:rPr>
          <w:color w:val="FFFFFF"/>
          <w:sz w:val="2"/>
          <w:szCs w:val="2"/>
        </w:rPr>
        <w:t>5129371</w:t>
      </w:r>
    </w:p>
    <w:p w14:paraId="2689D343" w14:textId="77777777" w:rsidR="001F1388" w:rsidRDefault="00F44A2A" w:rsidP="001F1388">
      <w:pPr>
        <w:rPr>
          <w:rFonts w:cs="FrankRuehl"/>
          <w:sz w:val="28"/>
          <w:szCs w:val="28"/>
          <w:rtl/>
        </w:rPr>
      </w:pPr>
      <w:r w:rsidRPr="00F44A2A">
        <w:rPr>
          <w:rFonts w:ascii="Arial" w:hAnsi="Arial"/>
          <w:color w:val="FFFFFF"/>
          <w:sz w:val="2"/>
          <w:szCs w:val="2"/>
          <w:rtl/>
        </w:rPr>
        <w:t>54678313</w:t>
      </w:r>
      <w:r>
        <w:rPr>
          <w:rFonts w:ascii="Arial" w:hAnsi="Arial"/>
          <w:rtl/>
        </w:rPr>
        <w:t xml:space="preserve">ניתן היום,  ג' ניסן תשע"ט, 08 אפריל 2019, במעמד הצדדים. </w:t>
      </w:r>
    </w:p>
    <w:p w14:paraId="107A7740" w14:textId="77777777" w:rsidR="001F1388" w:rsidRDefault="001F1388" w:rsidP="001F1388">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53D97C9" w14:textId="77777777" w:rsidR="001F1388" w:rsidRDefault="001F1388" w:rsidP="001F1388">
      <w:pPr>
        <w:jc w:val="center"/>
        <w:rPr>
          <w:rFonts w:ascii="Arial" w:hAnsi="Arial" w:cs="FrankRuehl"/>
          <w:sz w:val="28"/>
          <w:szCs w:val="28"/>
          <w:rtl/>
        </w:rPr>
      </w:pPr>
    </w:p>
    <w:p w14:paraId="66F4C313" w14:textId="77777777" w:rsidR="00F44A2A" w:rsidRDefault="00F44A2A" w:rsidP="00F44A2A">
      <w:pPr>
        <w:rPr>
          <w:rtl/>
        </w:rPr>
      </w:pPr>
    </w:p>
    <w:p w14:paraId="56EC8D90" w14:textId="77777777" w:rsidR="00F44A2A" w:rsidRDefault="00F44A2A" w:rsidP="00F44A2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4BFFA919" w14:textId="77777777" w:rsidR="001E2F55" w:rsidRPr="001E2F55" w:rsidRDefault="001E2F55" w:rsidP="001E2F55">
      <w:pPr>
        <w:keepNext/>
        <w:rPr>
          <w:rFonts w:ascii="David" w:hAnsi="David"/>
          <w:color w:val="000000"/>
          <w:sz w:val="22"/>
          <w:szCs w:val="22"/>
          <w:rtl/>
        </w:rPr>
      </w:pPr>
    </w:p>
    <w:p w14:paraId="2A07117B" w14:textId="77777777" w:rsidR="001E2F55" w:rsidRPr="001E2F55" w:rsidRDefault="001E2F55" w:rsidP="001E2F55">
      <w:pPr>
        <w:keepNext/>
        <w:rPr>
          <w:rFonts w:ascii="David" w:hAnsi="David"/>
          <w:color w:val="000000"/>
          <w:sz w:val="22"/>
          <w:szCs w:val="22"/>
          <w:rtl/>
        </w:rPr>
      </w:pPr>
      <w:r w:rsidRPr="001E2F55">
        <w:rPr>
          <w:rFonts w:ascii="David" w:hAnsi="David"/>
          <w:color w:val="000000"/>
          <w:sz w:val="22"/>
          <w:szCs w:val="22"/>
          <w:rtl/>
        </w:rPr>
        <w:t>אפרת פינק 54678313-/</w:t>
      </w:r>
    </w:p>
    <w:p w14:paraId="6C3656A6" w14:textId="77777777" w:rsidR="00F44A2A" w:rsidRPr="00F44A2A" w:rsidRDefault="001E2F55" w:rsidP="001E2F55">
      <w:pPr>
        <w:rPr>
          <w:color w:val="0000FF"/>
          <w:u w:val="single"/>
        </w:rPr>
      </w:pPr>
      <w:r w:rsidRPr="001E2F55">
        <w:rPr>
          <w:color w:val="000000"/>
          <w:u w:val="single"/>
          <w:rtl/>
        </w:rPr>
        <w:t>נוסח מסמך זה כפוף לשינויי ניסוח ועריכה</w:t>
      </w:r>
    </w:p>
    <w:sectPr w:rsidR="00F44A2A" w:rsidRPr="00F44A2A" w:rsidSect="001E2F55">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821A3" w14:textId="77777777" w:rsidR="00E046BC" w:rsidRDefault="00E046BC" w:rsidP="00E90DF2">
      <w:r>
        <w:separator/>
      </w:r>
    </w:p>
  </w:endnote>
  <w:endnote w:type="continuationSeparator" w:id="0">
    <w:p w14:paraId="0E17AC36" w14:textId="77777777" w:rsidR="00E046BC" w:rsidRDefault="00E046BC" w:rsidP="00E90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2D48C" w14:textId="77777777" w:rsidR="001E2F55" w:rsidRDefault="001E2F55" w:rsidP="001E2F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010641" w14:textId="77777777" w:rsidR="009D5DA8" w:rsidRPr="001E2F55" w:rsidRDefault="001E2F55" w:rsidP="001E2F55">
    <w:pPr>
      <w:pStyle w:val="a5"/>
      <w:pBdr>
        <w:top w:val="single" w:sz="4" w:space="1" w:color="auto"/>
        <w:between w:val="single" w:sz="4" w:space="0" w:color="auto"/>
      </w:pBdr>
      <w:spacing w:after="60"/>
      <w:jc w:val="center"/>
      <w:rPr>
        <w:rFonts w:ascii="FrankRuehl" w:hAnsi="FrankRuehl" w:cs="FrankRuehl"/>
        <w:color w:val="000000"/>
      </w:rPr>
    </w:pPr>
    <w:r w:rsidRPr="001E2F5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635D0" w14:textId="77777777" w:rsidR="001E2F55" w:rsidRDefault="001E2F55" w:rsidP="001E2F5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0AB5">
      <w:rPr>
        <w:rFonts w:ascii="FrankRuehl" w:hAnsi="FrankRuehl" w:cs="FrankRuehl"/>
        <w:noProof/>
        <w:rtl/>
      </w:rPr>
      <w:t>1</w:t>
    </w:r>
    <w:r>
      <w:rPr>
        <w:rFonts w:ascii="FrankRuehl" w:hAnsi="FrankRuehl" w:cs="FrankRuehl"/>
        <w:rtl/>
      </w:rPr>
      <w:fldChar w:fldCharType="end"/>
    </w:r>
  </w:p>
  <w:p w14:paraId="6E8B3444" w14:textId="77777777" w:rsidR="009D5DA8" w:rsidRPr="001E2F55" w:rsidRDefault="001E2F55" w:rsidP="001E2F55">
    <w:pPr>
      <w:pStyle w:val="a5"/>
      <w:pBdr>
        <w:top w:val="single" w:sz="4" w:space="1" w:color="auto"/>
        <w:between w:val="single" w:sz="4" w:space="0" w:color="auto"/>
      </w:pBdr>
      <w:spacing w:after="60"/>
      <w:jc w:val="center"/>
      <w:rPr>
        <w:rFonts w:ascii="FrankRuehl" w:hAnsi="FrankRuehl" w:cs="FrankRuehl"/>
        <w:color w:val="000000"/>
      </w:rPr>
    </w:pPr>
    <w:r w:rsidRPr="001E2F55">
      <w:rPr>
        <w:rFonts w:ascii="FrankRuehl" w:hAnsi="FrankRuehl" w:cs="FrankRuehl"/>
        <w:color w:val="000000"/>
      </w:rPr>
      <w:pict w14:anchorId="0AA74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25648" w14:textId="77777777" w:rsidR="00E046BC" w:rsidRDefault="00E046BC" w:rsidP="00E90DF2">
      <w:r>
        <w:separator/>
      </w:r>
    </w:p>
  </w:footnote>
  <w:footnote w:type="continuationSeparator" w:id="0">
    <w:p w14:paraId="178842BA" w14:textId="77777777" w:rsidR="00E046BC" w:rsidRDefault="00E046BC" w:rsidP="00E90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DEAC9" w14:textId="77777777" w:rsidR="00F44A2A" w:rsidRPr="001E2F55" w:rsidRDefault="001E2F55" w:rsidP="001E2F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18487-01-17</w:t>
    </w:r>
    <w:r>
      <w:rPr>
        <w:rFonts w:ascii="David" w:hAnsi="David"/>
        <w:color w:val="000000"/>
        <w:sz w:val="22"/>
        <w:szCs w:val="22"/>
        <w:rtl/>
      </w:rPr>
      <w:tab/>
      <w:t xml:space="preserve"> מדינת ישראל נ' טל דדיה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10FB2" w14:textId="77777777" w:rsidR="00F44A2A" w:rsidRPr="001E2F55" w:rsidRDefault="001E2F55" w:rsidP="001E2F5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18487-01-17</w:t>
    </w:r>
    <w:r>
      <w:rPr>
        <w:rFonts w:ascii="David" w:hAnsi="David"/>
        <w:color w:val="000000"/>
        <w:sz w:val="22"/>
        <w:szCs w:val="22"/>
        <w:rtl/>
      </w:rPr>
      <w:tab/>
      <w:t xml:space="preserve"> מדינת ישראל נ' טל דדיה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7A9455D5"/>
    <w:multiLevelType w:val="hybridMultilevel"/>
    <w:tmpl w:val="612A0C20"/>
    <w:lvl w:ilvl="0" w:tplc="351A8658">
      <w:start w:val="1"/>
      <w:numFmt w:val="decimal"/>
      <w:lvlText w:val="%1."/>
      <w:lvlJc w:val="left"/>
      <w:pPr>
        <w:ind w:left="927"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416710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66407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F1388"/>
    <w:rsid w:val="001E2F55"/>
    <w:rsid w:val="001F1388"/>
    <w:rsid w:val="00381020"/>
    <w:rsid w:val="003850E7"/>
    <w:rsid w:val="005C1BC5"/>
    <w:rsid w:val="006B14D7"/>
    <w:rsid w:val="006B2CB4"/>
    <w:rsid w:val="008D1F1E"/>
    <w:rsid w:val="009D5DA8"/>
    <w:rsid w:val="00C50AB5"/>
    <w:rsid w:val="00D05EAA"/>
    <w:rsid w:val="00D83717"/>
    <w:rsid w:val="00E046BC"/>
    <w:rsid w:val="00E90DF2"/>
    <w:rsid w:val="00F44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A9CF0E4"/>
  <w15:chartTrackingRefBased/>
  <w15:docId w15:val="{4ED672F2-820E-4D35-ACCF-9D5FA0F6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138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1388"/>
    <w:pPr>
      <w:tabs>
        <w:tab w:val="center" w:pos="4153"/>
        <w:tab w:val="right" w:pos="8306"/>
      </w:tabs>
    </w:pPr>
  </w:style>
  <w:style w:type="character" w:customStyle="1" w:styleId="a4">
    <w:name w:val="כותרת עליונה תו"/>
    <w:link w:val="a3"/>
    <w:rsid w:val="001F1388"/>
    <w:rPr>
      <w:rFonts w:ascii="Times New Roman" w:eastAsia="Times New Roman" w:hAnsi="Times New Roman" w:cs="David"/>
      <w:sz w:val="24"/>
      <w:szCs w:val="24"/>
    </w:rPr>
  </w:style>
  <w:style w:type="paragraph" w:styleId="a5">
    <w:name w:val="footer"/>
    <w:basedOn w:val="a"/>
    <w:link w:val="a6"/>
    <w:rsid w:val="001F1388"/>
    <w:pPr>
      <w:tabs>
        <w:tab w:val="center" w:pos="4153"/>
        <w:tab w:val="right" w:pos="8306"/>
      </w:tabs>
    </w:pPr>
  </w:style>
  <w:style w:type="character" w:customStyle="1" w:styleId="a6">
    <w:name w:val="כותרת תחתונה תו"/>
    <w:link w:val="a5"/>
    <w:rsid w:val="001F1388"/>
    <w:rPr>
      <w:rFonts w:ascii="Times New Roman" w:eastAsia="Times New Roman" w:hAnsi="Times New Roman" w:cs="David"/>
      <w:sz w:val="24"/>
      <w:szCs w:val="24"/>
    </w:rPr>
  </w:style>
  <w:style w:type="table" w:styleId="a7">
    <w:name w:val="Table Grid"/>
    <w:basedOn w:val="a1"/>
    <w:rsid w:val="001F13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F1388"/>
  </w:style>
  <w:style w:type="character" w:customStyle="1" w:styleId="a9">
    <w:name w:val="פיסקת רשימה תו"/>
    <w:link w:val="aa"/>
    <w:locked/>
    <w:rsid w:val="001F1388"/>
  </w:style>
  <w:style w:type="paragraph" w:styleId="aa">
    <w:name w:val="List Paragraph"/>
    <w:basedOn w:val="a"/>
    <w:link w:val="a9"/>
    <w:qFormat/>
    <w:rsid w:val="001F1388"/>
    <w:pPr>
      <w:bidi w:val="0"/>
      <w:spacing w:line="360" w:lineRule="auto"/>
      <w:ind w:left="720"/>
      <w:contextualSpacing/>
    </w:pPr>
    <w:rPr>
      <w:rFonts w:ascii="Calibri" w:eastAsia="Calibri" w:hAnsi="Calibri" w:cs="Arial"/>
      <w:sz w:val="22"/>
      <w:szCs w:val="22"/>
    </w:rPr>
  </w:style>
  <w:style w:type="character" w:styleId="Hyperlink">
    <w:name w:val="Hyperlink"/>
    <w:rsid w:val="00F44A2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17939812" TargetMode="External"/><Relationship Id="rId26" Type="http://schemas.openxmlformats.org/officeDocument/2006/relationships/hyperlink" Target="http://www.nevo.co.il/case/3887366" TargetMode="External"/><Relationship Id="rId3" Type="http://schemas.openxmlformats.org/officeDocument/2006/relationships/settings" Target="settings.xml"/><Relationship Id="rId21" Type="http://schemas.openxmlformats.org/officeDocument/2006/relationships/hyperlink" Target="http://www.nevo.co.il/case/7787782"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c" TargetMode="External"/><Relationship Id="rId17" Type="http://schemas.openxmlformats.org/officeDocument/2006/relationships/hyperlink" Target="http://www.nevo.co.il/case/6045416" TargetMode="External"/><Relationship Id="rId25" Type="http://schemas.openxmlformats.org/officeDocument/2006/relationships/hyperlink" Target="http://www.nevo.co.il/law/421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5786821" TargetMode="External"/><Relationship Id="rId20" Type="http://schemas.openxmlformats.org/officeDocument/2006/relationships/hyperlink" Target="http://www.nevo.co.il/case/16953967"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 TargetMode="External"/><Relationship Id="rId24" Type="http://schemas.openxmlformats.org/officeDocument/2006/relationships/hyperlink" Target="http://www.nevo.co.il/law/42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3887366" TargetMode="External"/><Relationship Id="rId28" Type="http://schemas.openxmlformats.org/officeDocument/2006/relationships/header" Target="header1.xml"/><Relationship Id="rId10" Type="http://schemas.openxmlformats.org/officeDocument/2006/relationships/hyperlink" Target="http://www.nevo.co.il/law/4216/10" TargetMode="External"/><Relationship Id="rId19" Type="http://schemas.openxmlformats.org/officeDocument/2006/relationships/hyperlink" Target="http://www.nevo.co.il/case/20222040"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7677960"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1664</Words>
  <Characters>8324</Characters>
  <Application>Microsoft Office Word</Application>
  <DocSecurity>0</DocSecurity>
  <Lines>69</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9969</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4063357</vt:i4>
      </vt:variant>
      <vt:variant>
        <vt:i4>57</vt:i4>
      </vt:variant>
      <vt:variant>
        <vt:i4>0</vt:i4>
      </vt:variant>
      <vt:variant>
        <vt:i4>5</vt:i4>
      </vt:variant>
      <vt:variant>
        <vt:lpwstr>http://www.nevo.co.il/case/3887366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4063357</vt:i4>
      </vt:variant>
      <vt:variant>
        <vt:i4>48</vt:i4>
      </vt:variant>
      <vt:variant>
        <vt:i4>0</vt:i4>
      </vt:variant>
      <vt:variant>
        <vt:i4>5</vt:i4>
      </vt:variant>
      <vt:variant>
        <vt:lpwstr>http://www.nevo.co.il/case/3887366</vt:lpwstr>
      </vt:variant>
      <vt:variant>
        <vt:lpwstr/>
      </vt:variant>
      <vt:variant>
        <vt:i4>3735667</vt:i4>
      </vt:variant>
      <vt:variant>
        <vt:i4>45</vt:i4>
      </vt:variant>
      <vt:variant>
        <vt:i4>0</vt:i4>
      </vt:variant>
      <vt:variant>
        <vt:i4>5</vt:i4>
      </vt:variant>
      <vt:variant>
        <vt:lpwstr>http://www.nevo.co.il/case/7677960</vt:lpwstr>
      </vt:variant>
      <vt:variant>
        <vt:lpwstr/>
      </vt:variant>
      <vt:variant>
        <vt:i4>3801212</vt:i4>
      </vt:variant>
      <vt:variant>
        <vt:i4>42</vt:i4>
      </vt:variant>
      <vt:variant>
        <vt:i4>0</vt:i4>
      </vt:variant>
      <vt:variant>
        <vt:i4>5</vt:i4>
      </vt:variant>
      <vt:variant>
        <vt:lpwstr>http://www.nevo.co.il/case/7787782</vt:lpwstr>
      </vt:variant>
      <vt:variant>
        <vt:lpwstr/>
      </vt:variant>
      <vt:variant>
        <vt:i4>3997822</vt:i4>
      </vt:variant>
      <vt:variant>
        <vt:i4>39</vt:i4>
      </vt:variant>
      <vt:variant>
        <vt:i4>0</vt:i4>
      </vt:variant>
      <vt:variant>
        <vt:i4>5</vt:i4>
      </vt:variant>
      <vt:variant>
        <vt:lpwstr>http://www.nevo.co.il/case/16953967</vt:lpwstr>
      </vt:variant>
      <vt:variant>
        <vt:lpwstr/>
      </vt:variant>
      <vt:variant>
        <vt:i4>3539062</vt:i4>
      </vt:variant>
      <vt:variant>
        <vt:i4>36</vt:i4>
      </vt:variant>
      <vt:variant>
        <vt:i4>0</vt:i4>
      </vt:variant>
      <vt:variant>
        <vt:i4>5</vt:i4>
      </vt:variant>
      <vt:variant>
        <vt:lpwstr>http://www.nevo.co.il/case/20222040</vt:lpwstr>
      </vt:variant>
      <vt:variant>
        <vt:lpwstr/>
      </vt:variant>
      <vt:variant>
        <vt:i4>3145848</vt:i4>
      </vt:variant>
      <vt:variant>
        <vt:i4>33</vt:i4>
      </vt:variant>
      <vt:variant>
        <vt:i4>0</vt:i4>
      </vt:variant>
      <vt:variant>
        <vt:i4>5</vt:i4>
      </vt:variant>
      <vt:variant>
        <vt:lpwstr>http://www.nevo.co.il/case/17939812</vt:lpwstr>
      </vt:variant>
      <vt:variant>
        <vt:lpwstr/>
      </vt:variant>
      <vt:variant>
        <vt:i4>3145840</vt:i4>
      </vt:variant>
      <vt:variant>
        <vt:i4>30</vt:i4>
      </vt:variant>
      <vt:variant>
        <vt:i4>0</vt:i4>
      </vt:variant>
      <vt:variant>
        <vt:i4>5</vt:i4>
      </vt:variant>
      <vt:variant>
        <vt:lpwstr>http://www.nevo.co.il/case/6045416</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2025-04-22T23:16:00Z</dcterms:created>
  <dcterms:modified xsi:type="dcterms:W3CDTF">2025-04-22T23:16:00Z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18487</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טל דדיה</vt:lpwstr>
  </property>
  <property fmtid="{D5CDD505-2E9C-101B-9397-08002B2CF9AE}" pid="10" name="LAWYER">
    <vt:lpwstr>עדי סעדיה;ענבל רביב</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20190408</vt:lpwstr>
  </property>
  <property fmtid="{D5CDD505-2E9C-101B-9397-08002B2CF9AE}" pid="14" name="TYPE_N_DATE">
    <vt:lpwstr>38020190408</vt:lpwstr>
  </property>
  <property fmtid="{D5CDD505-2E9C-101B-9397-08002B2CF9AE}" pid="15" name="WORDNUMPAGES">
    <vt:lpwstr>5</vt:lpwstr>
  </property>
  <property fmtid="{D5CDD505-2E9C-101B-9397-08002B2CF9AE}" pid="16" name="TYPE_ABS_DATE">
    <vt:lpwstr>380020190408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5738608;5786821;6045416;17939812;20222040;16953967;7787782;7677960;3887366:2</vt:lpwstr>
  </property>
  <property fmtid="{D5CDD505-2E9C-101B-9397-08002B2CF9AE}" pid="36" name="LAWLISTTMP1">
    <vt:lpwstr>4216/007.a;007.c;010</vt:lpwstr>
  </property>
</Properties>
</file>