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55"/>
        <w:gridCol w:w="3666"/>
      </w:tblGrid>
      <w:tr w:rsidR="00743398" w:rsidRPr="00FB18B8" w14:paraId="2853AC28" w14:textId="77777777" w:rsidTr="00324C43">
        <w:trPr>
          <w:trHeight w:hRule="exact" w:val="418"/>
          <w:jc w:val="center"/>
        </w:trPr>
        <w:tc>
          <w:tcPr>
            <w:tcW w:w="8721" w:type="dxa"/>
            <w:gridSpan w:val="2"/>
          </w:tcPr>
          <w:p w14:paraId="4A97458A" w14:textId="77777777" w:rsidR="00743398" w:rsidRPr="00FB18B8" w:rsidRDefault="00743398" w:rsidP="00E40853">
            <w:pPr>
              <w:pStyle w:val="a3"/>
              <w:jc w:val="center"/>
              <w:rPr>
                <w:rFonts w:ascii="Tahoma" w:hAnsi="Tahoma" w:cs="Tahoma"/>
                <w:color w:val="000080"/>
                <w:rtl/>
              </w:rPr>
            </w:pPr>
            <w:bookmarkStart w:id="0" w:name="FirstLawyer"/>
            <w:bookmarkStart w:id="1" w:name="LastJudge"/>
            <w:r w:rsidRPr="00FB18B8">
              <w:rPr>
                <w:rFonts w:ascii="Tahoma" w:hAnsi="Tahoma" w:cs="Tahoma"/>
                <w:b/>
                <w:bCs/>
                <w:color w:val="000080"/>
                <w:rtl/>
              </w:rPr>
              <w:t>בית משפט השלום בירושלים</w:t>
            </w:r>
          </w:p>
        </w:tc>
      </w:tr>
      <w:tr w:rsidR="00743398" w:rsidRPr="00FB18B8" w14:paraId="4397BF72" w14:textId="77777777" w:rsidTr="00324C43">
        <w:trPr>
          <w:trHeight w:val="337"/>
          <w:jc w:val="center"/>
        </w:trPr>
        <w:tc>
          <w:tcPr>
            <w:tcW w:w="5055" w:type="dxa"/>
          </w:tcPr>
          <w:p w14:paraId="2D003906" w14:textId="77777777" w:rsidR="00743398" w:rsidRPr="00FB18B8" w:rsidRDefault="00743398" w:rsidP="00E40853">
            <w:pPr>
              <w:rPr>
                <w:rFonts w:cs="FrankRuehl"/>
                <w:b/>
                <w:bCs/>
                <w:sz w:val="30"/>
                <w:szCs w:val="30"/>
                <w:rtl/>
              </w:rPr>
            </w:pPr>
            <w:r w:rsidRPr="00FB18B8">
              <w:rPr>
                <w:rFonts w:cs="FrankRuehl"/>
                <w:b/>
                <w:bCs/>
                <w:sz w:val="30"/>
                <w:szCs w:val="30"/>
                <w:rtl/>
              </w:rPr>
              <w:t>ת"פ</w:t>
            </w:r>
            <w:r w:rsidRPr="00FB18B8">
              <w:rPr>
                <w:rFonts w:cs="FrankRuehl" w:hint="cs"/>
                <w:b/>
                <w:bCs/>
                <w:sz w:val="30"/>
                <w:szCs w:val="30"/>
                <w:rtl/>
              </w:rPr>
              <w:t xml:space="preserve"> </w:t>
            </w:r>
            <w:r w:rsidRPr="00FB18B8">
              <w:rPr>
                <w:rFonts w:cs="FrankRuehl"/>
                <w:b/>
                <w:bCs/>
                <w:sz w:val="30"/>
                <w:szCs w:val="30"/>
                <w:rtl/>
              </w:rPr>
              <w:t>44914-01-17</w:t>
            </w:r>
            <w:r w:rsidRPr="00FB18B8">
              <w:rPr>
                <w:rFonts w:cs="FrankRuehl" w:hint="cs"/>
                <w:b/>
                <w:bCs/>
                <w:sz w:val="30"/>
                <w:szCs w:val="30"/>
                <w:rtl/>
              </w:rPr>
              <w:t xml:space="preserve"> </w:t>
            </w:r>
            <w:r w:rsidRPr="00FB18B8">
              <w:rPr>
                <w:rFonts w:cs="FrankRuehl"/>
                <w:b/>
                <w:bCs/>
                <w:sz w:val="30"/>
                <w:szCs w:val="30"/>
                <w:rtl/>
              </w:rPr>
              <w:t>מדינת ישראל נ' פרץ</w:t>
            </w:r>
          </w:p>
          <w:p w14:paraId="7C986162" w14:textId="77777777" w:rsidR="00743398" w:rsidRPr="00FB18B8" w:rsidRDefault="00743398" w:rsidP="00E40853">
            <w:pPr>
              <w:pStyle w:val="a3"/>
              <w:rPr>
                <w:rFonts w:cs="FrankRuehl"/>
                <w:sz w:val="28"/>
                <w:szCs w:val="28"/>
                <w:rtl/>
              </w:rPr>
            </w:pPr>
          </w:p>
        </w:tc>
        <w:tc>
          <w:tcPr>
            <w:tcW w:w="3666" w:type="dxa"/>
          </w:tcPr>
          <w:p w14:paraId="7CDCF45E" w14:textId="77777777" w:rsidR="00743398" w:rsidRPr="00FB18B8" w:rsidRDefault="00743398" w:rsidP="00E40853">
            <w:pPr>
              <w:pStyle w:val="a3"/>
              <w:jc w:val="right"/>
              <w:rPr>
                <w:rFonts w:cs="FrankRuehl"/>
                <w:sz w:val="28"/>
                <w:szCs w:val="28"/>
                <w:rtl/>
              </w:rPr>
            </w:pPr>
          </w:p>
        </w:tc>
      </w:tr>
    </w:tbl>
    <w:p w14:paraId="2F9857A6" w14:textId="77777777" w:rsidR="00743398" w:rsidRPr="00FB18B8" w:rsidRDefault="00743398" w:rsidP="00743398">
      <w:pPr>
        <w:pStyle w:val="a3"/>
        <w:rPr>
          <w:rtl/>
        </w:rPr>
      </w:pPr>
      <w:r w:rsidRPr="00FB18B8">
        <w:rPr>
          <w:rFonts w:hint="cs"/>
          <w:rtl/>
        </w:rPr>
        <w:t xml:space="preserve"> </w:t>
      </w:r>
    </w:p>
    <w:p w14:paraId="02674FFA" w14:textId="77777777" w:rsidR="00743398" w:rsidRPr="00FB18B8" w:rsidRDefault="00743398" w:rsidP="00743398">
      <w:pPr>
        <w:rPr>
          <w:rFonts w:cs="FrankRuehl"/>
          <w:b/>
          <w:bCs/>
          <w:sz w:val="30"/>
          <w:szCs w:val="30"/>
          <w:rtl/>
        </w:rPr>
      </w:pPr>
    </w:p>
    <w:p w14:paraId="5073E709" w14:textId="77777777" w:rsidR="00743398" w:rsidRPr="00FB18B8" w:rsidRDefault="00743398" w:rsidP="00743398">
      <w:pPr>
        <w:rPr>
          <w:rFonts w:cs="FrankRuehl"/>
          <w:b/>
          <w:bCs/>
          <w:sz w:val="30"/>
          <w:szCs w:val="30"/>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5487"/>
        <w:gridCol w:w="2410"/>
      </w:tblGrid>
      <w:tr w:rsidR="00743398" w:rsidRPr="00FB18B8" w14:paraId="5D3DCC73" w14:textId="77777777" w:rsidTr="00743398">
        <w:trPr>
          <w:trHeight w:val="295"/>
          <w:jc w:val="center"/>
        </w:trPr>
        <w:tc>
          <w:tcPr>
            <w:tcW w:w="923" w:type="dxa"/>
            <w:tcBorders>
              <w:top w:val="nil"/>
              <w:left w:val="nil"/>
              <w:bottom w:val="nil"/>
              <w:right w:val="nil"/>
            </w:tcBorders>
            <w:shd w:val="clear" w:color="auto" w:fill="auto"/>
          </w:tcPr>
          <w:p w14:paraId="09732D7A" w14:textId="77777777" w:rsidR="00743398" w:rsidRPr="00FB18B8" w:rsidRDefault="00743398" w:rsidP="00743398">
            <w:pPr>
              <w:jc w:val="both"/>
              <w:rPr>
                <w:rFonts w:ascii="Arial" w:hAnsi="Arial" w:cs="FrankRuehl"/>
                <w:b/>
                <w:bCs/>
                <w:sz w:val="30"/>
                <w:szCs w:val="30"/>
              </w:rPr>
            </w:pPr>
            <w:r w:rsidRPr="00FB18B8">
              <w:rPr>
                <w:rFonts w:ascii="Arial" w:hAnsi="Arial" w:cs="FrankRuehl" w:hint="cs"/>
                <w:b/>
                <w:bCs/>
                <w:sz w:val="30"/>
                <w:szCs w:val="30"/>
                <w:rtl/>
              </w:rPr>
              <w:t>ב</w:t>
            </w:r>
            <w:r w:rsidRPr="00FB18B8">
              <w:rPr>
                <w:rFonts w:ascii="Arial" w:hAnsi="Arial" w:cs="FrankRuehl"/>
                <w:b/>
                <w:bCs/>
                <w:sz w:val="30"/>
                <w:szCs w:val="30"/>
                <w:rtl/>
              </w:rPr>
              <w:t xml:space="preserve">פני </w:t>
            </w:r>
          </w:p>
        </w:tc>
        <w:tc>
          <w:tcPr>
            <w:tcW w:w="7897" w:type="dxa"/>
            <w:gridSpan w:val="2"/>
            <w:tcBorders>
              <w:top w:val="nil"/>
              <w:left w:val="nil"/>
              <w:bottom w:val="nil"/>
              <w:right w:val="nil"/>
            </w:tcBorders>
            <w:shd w:val="clear" w:color="auto" w:fill="auto"/>
          </w:tcPr>
          <w:p w14:paraId="22A44656" w14:textId="77777777" w:rsidR="00743398" w:rsidRPr="00FB18B8" w:rsidRDefault="00743398" w:rsidP="00E40853">
            <w:pPr>
              <w:rPr>
                <w:rFonts w:ascii="Arial" w:hAnsi="Arial" w:cs="FrankRuehl"/>
                <w:b/>
                <w:bCs/>
                <w:sz w:val="30"/>
                <w:szCs w:val="30"/>
                <w:rtl/>
              </w:rPr>
            </w:pPr>
            <w:r w:rsidRPr="00FB18B8">
              <w:rPr>
                <w:rFonts w:ascii="Arial" w:hAnsi="Arial" w:cs="FrankRuehl" w:hint="cs"/>
                <w:b/>
                <w:bCs/>
                <w:sz w:val="30"/>
                <w:szCs w:val="30"/>
                <w:rtl/>
              </w:rPr>
              <w:t>כב' ה</w:t>
            </w:r>
            <w:r w:rsidRPr="00FB18B8">
              <w:rPr>
                <w:rFonts w:ascii="Arial" w:hAnsi="Arial" w:cs="FrankRuehl"/>
                <w:b/>
                <w:bCs/>
                <w:sz w:val="30"/>
                <w:szCs w:val="30"/>
                <w:rtl/>
              </w:rPr>
              <w:t>שופט</w:t>
            </w:r>
            <w:r w:rsidRPr="00FB18B8">
              <w:rPr>
                <w:rFonts w:ascii="Arial" w:hAnsi="Arial" w:cs="FrankRuehl" w:hint="cs"/>
                <w:b/>
                <w:bCs/>
                <w:sz w:val="30"/>
                <w:szCs w:val="30"/>
                <w:rtl/>
              </w:rPr>
              <w:t xml:space="preserve">  </w:t>
            </w:r>
            <w:r w:rsidRPr="00FB18B8">
              <w:rPr>
                <w:rFonts w:ascii="Arial" w:hAnsi="Arial" w:cs="FrankRuehl"/>
                <w:b/>
                <w:bCs/>
                <w:sz w:val="30"/>
                <w:szCs w:val="30"/>
                <w:rtl/>
              </w:rPr>
              <w:t>אילן סלע</w:t>
            </w:r>
          </w:p>
          <w:p w14:paraId="132B20BF" w14:textId="77777777" w:rsidR="00743398" w:rsidRPr="00FB18B8" w:rsidRDefault="00743398" w:rsidP="00E40853">
            <w:pPr>
              <w:rPr>
                <w:rFonts w:cs="FrankRuehl"/>
                <w:b/>
                <w:bCs/>
                <w:sz w:val="30"/>
                <w:szCs w:val="30"/>
                <w:rtl/>
              </w:rPr>
            </w:pPr>
          </w:p>
          <w:p w14:paraId="7893E825" w14:textId="77777777" w:rsidR="00743398" w:rsidRPr="00FB18B8" w:rsidRDefault="00743398" w:rsidP="00743398">
            <w:pPr>
              <w:jc w:val="both"/>
              <w:rPr>
                <w:rFonts w:ascii="Arial" w:hAnsi="Arial" w:cs="FrankRuehl"/>
                <w:b/>
                <w:bCs/>
                <w:sz w:val="30"/>
                <w:szCs w:val="30"/>
              </w:rPr>
            </w:pPr>
          </w:p>
        </w:tc>
      </w:tr>
      <w:tr w:rsidR="00743398" w:rsidRPr="00FB18B8" w14:paraId="66110842" w14:textId="77777777" w:rsidTr="00743398">
        <w:trPr>
          <w:trHeight w:val="355"/>
          <w:jc w:val="center"/>
        </w:trPr>
        <w:tc>
          <w:tcPr>
            <w:tcW w:w="923" w:type="dxa"/>
            <w:tcBorders>
              <w:top w:val="nil"/>
              <w:left w:val="nil"/>
              <w:bottom w:val="nil"/>
              <w:right w:val="nil"/>
            </w:tcBorders>
            <w:shd w:val="clear" w:color="auto" w:fill="auto"/>
          </w:tcPr>
          <w:p w14:paraId="26D93F1B" w14:textId="77777777" w:rsidR="00743398" w:rsidRPr="00FB18B8" w:rsidRDefault="00743398" w:rsidP="00743398">
            <w:pPr>
              <w:jc w:val="both"/>
              <w:rPr>
                <w:rFonts w:ascii="Arial" w:hAnsi="Arial" w:cs="FrankRuehl"/>
                <w:b/>
                <w:bCs/>
                <w:sz w:val="30"/>
                <w:szCs w:val="30"/>
              </w:rPr>
            </w:pPr>
            <w:bookmarkStart w:id="2" w:name="FirstAppellant"/>
            <w:r w:rsidRPr="00FB18B8">
              <w:rPr>
                <w:rFonts w:ascii="Arial" w:hAnsi="Arial" w:cs="FrankRuehl" w:hint="cs"/>
                <w:b/>
                <w:bCs/>
                <w:sz w:val="30"/>
                <w:szCs w:val="30"/>
                <w:rtl/>
              </w:rPr>
              <w:t>בעניין:</w:t>
            </w:r>
          </w:p>
        </w:tc>
        <w:tc>
          <w:tcPr>
            <w:tcW w:w="5487" w:type="dxa"/>
            <w:tcBorders>
              <w:top w:val="nil"/>
              <w:left w:val="nil"/>
              <w:bottom w:val="nil"/>
              <w:right w:val="nil"/>
            </w:tcBorders>
            <w:shd w:val="clear" w:color="auto" w:fill="auto"/>
          </w:tcPr>
          <w:p w14:paraId="7756B4CA" w14:textId="77777777" w:rsidR="00743398" w:rsidRPr="00FB18B8" w:rsidRDefault="00743398" w:rsidP="00E40853">
            <w:pPr>
              <w:rPr>
                <w:rFonts w:ascii="Arial" w:hAnsi="Arial" w:cs="FrankRuehl"/>
                <w:b/>
                <w:bCs/>
                <w:sz w:val="30"/>
                <w:szCs w:val="30"/>
              </w:rPr>
            </w:pPr>
            <w:r w:rsidRPr="00FB18B8">
              <w:rPr>
                <w:rFonts w:ascii="Arial" w:hAnsi="Arial" w:cs="FrankRuehl"/>
                <w:b/>
                <w:bCs/>
                <w:sz w:val="30"/>
                <w:szCs w:val="30"/>
                <w:rtl/>
              </w:rPr>
              <w:t>מדינת ישראל</w:t>
            </w:r>
          </w:p>
        </w:tc>
        <w:tc>
          <w:tcPr>
            <w:tcW w:w="2410" w:type="dxa"/>
            <w:tcBorders>
              <w:top w:val="nil"/>
              <w:left w:val="nil"/>
              <w:bottom w:val="nil"/>
              <w:right w:val="nil"/>
            </w:tcBorders>
            <w:shd w:val="clear" w:color="auto" w:fill="auto"/>
          </w:tcPr>
          <w:p w14:paraId="54629C3F" w14:textId="77777777" w:rsidR="00743398" w:rsidRPr="00FB18B8" w:rsidRDefault="00743398" w:rsidP="00743398">
            <w:pPr>
              <w:jc w:val="both"/>
              <w:rPr>
                <w:rFonts w:ascii="Arial" w:hAnsi="Arial" w:cs="FrankRuehl"/>
                <w:b/>
                <w:bCs/>
                <w:sz w:val="30"/>
                <w:szCs w:val="30"/>
              </w:rPr>
            </w:pPr>
          </w:p>
        </w:tc>
      </w:tr>
      <w:bookmarkEnd w:id="2"/>
      <w:tr w:rsidR="00743398" w:rsidRPr="00FB18B8" w14:paraId="56FE5CEC" w14:textId="77777777" w:rsidTr="00743398">
        <w:trPr>
          <w:trHeight w:val="355"/>
          <w:jc w:val="center"/>
        </w:trPr>
        <w:tc>
          <w:tcPr>
            <w:tcW w:w="923" w:type="dxa"/>
            <w:tcBorders>
              <w:top w:val="nil"/>
              <w:left w:val="nil"/>
              <w:bottom w:val="nil"/>
              <w:right w:val="nil"/>
            </w:tcBorders>
            <w:shd w:val="clear" w:color="auto" w:fill="auto"/>
          </w:tcPr>
          <w:p w14:paraId="3676B0FB" w14:textId="77777777" w:rsidR="00743398" w:rsidRPr="00FB18B8" w:rsidRDefault="00743398" w:rsidP="00743398">
            <w:pPr>
              <w:jc w:val="both"/>
              <w:rPr>
                <w:rFonts w:ascii="Arial" w:hAnsi="Arial" w:cs="FrankRuehl"/>
                <w:b/>
                <w:bCs/>
                <w:sz w:val="30"/>
                <w:szCs w:val="30"/>
                <w:rtl/>
              </w:rPr>
            </w:pPr>
          </w:p>
        </w:tc>
        <w:tc>
          <w:tcPr>
            <w:tcW w:w="5487" w:type="dxa"/>
            <w:tcBorders>
              <w:top w:val="nil"/>
              <w:left w:val="nil"/>
              <w:bottom w:val="nil"/>
              <w:right w:val="nil"/>
            </w:tcBorders>
            <w:shd w:val="clear" w:color="auto" w:fill="auto"/>
          </w:tcPr>
          <w:p w14:paraId="02706155" w14:textId="77777777" w:rsidR="00743398" w:rsidRPr="00FB18B8" w:rsidRDefault="00743398" w:rsidP="00E40853">
            <w:pPr>
              <w:rPr>
                <w:rFonts w:ascii="Arial" w:hAnsi="Arial" w:cs="FrankRuehl"/>
                <w:b/>
                <w:bCs/>
                <w:sz w:val="30"/>
                <w:szCs w:val="30"/>
                <w:rtl/>
              </w:rPr>
            </w:pPr>
            <w:r w:rsidRPr="00FB18B8">
              <w:rPr>
                <w:rFonts w:ascii="Arial" w:hAnsi="Arial" w:cs="FrankRuehl" w:hint="cs"/>
                <w:b/>
                <w:bCs/>
                <w:sz w:val="30"/>
                <w:szCs w:val="30"/>
                <w:rtl/>
              </w:rPr>
              <w:t>באמצעות פרקליטות מחוז ירושלים (פלילי),</w:t>
            </w:r>
          </w:p>
          <w:p w14:paraId="2C52ACAF" w14:textId="77777777" w:rsidR="00743398" w:rsidRPr="00FB18B8" w:rsidRDefault="00743398" w:rsidP="00E40853">
            <w:pPr>
              <w:rPr>
                <w:rFonts w:ascii="Arial" w:hAnsi="Arial" w:cs="FrankRuehl"/>
                <w:b/>
                <w:bCs/>
                <w:sz w:val="30"/>
                <w:szCs w:val="30"/>
                <w:rtl/>
              </w:rPr>
            </w:pPr>
            <w:r w:rsidRPr="00FB18B8">
              <w:rPr>
                <w:rFonts w:ascii="Arial" w:hAnsi="Arial" w:cs="FrankRuehl" w:hint="cs"/>
                <w:b/>
                <w:bCs/>
                <w:sz w:val="30"/>
                <w:szCs w:val="30"/>
                <w:rtl/>
              </w:rPr>
              <w:t>ע"י עו"ד מיכל בלומנטל</w:t>
            </w:r>
          </w:p>
        </w:tc>
        <w:tc>
          <w:tcPr>
            <w:tcW w:w="2410" w:type="dxa"/>
            <w:tcBorders>
              <w:top w:val="nil"/>
              <w:left w:val="nil"/>
              <w:bottom w:val="nil"/>
              <w:right w:val="nil"/>
            </w:tcBorders>
            <w:shd w:val="clear" w:color="auto" w:fill="auto"/>
          </w:tcPr>
          <w:p w14:paraId="7AB76EE5" w14:textId="77777777" w:rsidR="00743398" w:rsidRPr="00FB18B8" w:rsidRDefault="00743398" w:rsidP="00743398">
            <w:pPr>
              <w:jc w:val="right"/>
              <w:rPr>
                <w:rFonts w:ascii="Arial" w:hAnsi="Arial" w:cs="FrankRuehl"/>
                <w:b/>
                <w:bCs/>
                <w:sz w:val="30"/>
                <w:szCs w:val="30"/>
                <w:rtl/>
              </w:rPr>
            </w:pPr>
          </w:p>
          <w:p w14:paraId="6A26364F" w14:textId="77777777" w:rsidR="00743398" w:rsidRPr="00FB18B8" w:rsidRDefault="00743398" w:rsidP="00743398">
            <w:pPr>
              <w:jc w:val="right"/>
              <w:rPr>
                <w:rFonts w:ascii="Arial" w:hAnsi="Arial" w:cs="FrankRuehl"/>
                <w:b/>
                <w:bCs/>
                <w:sz w:val="30"/>
                <w:szCs w:val="30"/>
                <w:rtl/>
              </w:rPr>
            </w:pPr>
            <w:r w:rsidRPr="00FB18B8">
              <w:rPr>
                <w:rFonts w:ascii="Arial" w:hAnsi="Arial" w:cs="FrankRuehl" w:hint="cs"/>
                <w:b/>
                <w:bCs/>
                <w:sz w:val="30"/>
                <w:szCs w:val="30"/>
                <w:rtl/>
              </w:rPr>
              <w:t>ה</w:t>
            </w:r>
            <w:r w:rsidRPr="00FB18B8">
              <w:rPr>
                <w:rFonts w:ascii="Arial" w:hAnsi="Arial" w:cs="FrankRuehl"/>
                <w:b/>
                <w:bCs/>
                <w:sz w:val="30"/>
                <w:szCs w:val="30"/>
                <w:rtl/>
              </w:rPr>
              <w:t>מאשימה</w:t>
            </w:r>
          </w:p>
        </w:tc>
      </w:tr>
      <w:tr w:rsidR="00743398" w:rsidRPr="00FB18B8" w14:paraId="4F3C9AB0" w14:textId="77777777" w:rsidTr="00743398">
        <w:trPr>
          <w:trHeight w:val="355"/>
          <w:jc w:val="center"/>
        </w:trPr>
        <w:tc>
          <w:tcPr>
            <w:tcW w:w="923" w:type="dxa"/>
            <w:tcBorders>
              <w:top w:val="nil"/>
              <w:left w:val="nil"/>
              <w:bottom w:val="nil"/>
              <w:right w:val="nil"/>
            </w:tcBorders>
            <w:shd w:val="clear" w:color="auto" w:fill="auto"/>
          </w:tcPr>
          <w:p w14:paraId="773FBCF9" w14:textId="77777777" w:rsidR="00743398" w:rsidRPr="00FB18B8" w:rsidRDefault="00743398" w:rsidP="00743398">
            <w:pPr>
              <w:jc w:val="both"/>
              <w:rPr>
                <w:rFonts w:ascii="Arial" w:hAnsi="Arial" w:cs="FrankRuehl"/>
                <w:b/>
                <w:bCs/>
                <w:sz w:val="30"/>
                <w:szCs w:val="30"/>
                <w:rtl/>
              </w:rPr>
            </w:pPr>
          </w:p>
        </w:tc>
        <w:tc>
          <w:tcPr>
            <w:tcW w:w="7897" w:type="dxa"/>
            <w:gridSpan w:val="2"/>
            <w:tcBorders>
              <w:top w:val="nil"/>
              <w:left w:val="nil"/>
              <w:bottom w:val="nil"/>
              <w:right w:val="nil"/>
            </w:tcBorders>
            <w:shd w:val="clear" w:color="auto" w:fill="auto"/>
          </w:tcPr>
          <w:p w14:paraId="6341843B" w14:textId="77777777" w:rsidR="00743398" w:rsidRPr="00FB18B8" w:rsidRDefault="00743398" w:rsidP="00743398">
            <w:pPr>
              <w:jc w:val="center"/>
              <w:rPr>
                <w:rFonts w:ascii="Arial" w:hAnsi="Arial" w:cs="FrankRuehl"/>
                <w:b/>
                <w:bCs/>
                <w:sz w:val="30"/>
                <w:szCs w:val="30"/>
                <w:rtl/>
              </w:rPr>
            </w:pPr>
          </w:p>
          <w:p w14:paraId="637ABB4D" w14:textId="77777777" w:rsidR="00743398" w:rsidRPr="00FB18B8" w:rsidRDefault="00743398" w:rsidP="00743398">
            <w:pPr>
              <w:jc w:val="center"/>
              <w:rPr>
                <w:rFonts w:ascii="Arial" w:hAnsi="Arial" w:cs="FrankRuehl"/>
                <w:b/>
                <w:bCs/>
                <w:sz w:val="30"/>
                <w:szCs w:val="30"/>
                <w:rtl/>
              </w:rPr>
            </w:pPr>
            <w:r w:rsidRPr="00FB18B8">
              <w:rPr>
                <w:rFonts w:ascii="Arial" w:hAnsi="Arial" w:cs="FrankRuehl"/>
                <w:b/>
                <w:bCs/>
                <w:sz w:val="30"/>
                <w:szCs w:val="30"/>
                <w:rtl/>
              </w:rPr>
              <w:t>נגד</w:t>
            </w:r>
          </w:p>
          <w:p w14:paraId="76705A14" w14:textId="77777777" w:rsidR="00743398" w:rsidRPr="00FB18B8" w:rsidRDefault="00743398" w:rsidP="00743398">
            <w:pPr>
              <w:jc w:val="both"/>
              <w:rPr>
                <w:rFonts w:ascii="Arial" w:hAnsi="Arial" w:cs="FrankRuehl"/>
                <w:b/>
                <w:bCs/>
                <w:sz w:val="30"/>
                <w:szCs w:val="30"/>
              </w:rPr>
            </w:pPr>
          </w:p>
        </w:tc>
      </w:tr>
      <w:tr w:rsidR="00743398" w:rsidRPr="00FB18B8" w14:paraId="0B9509B3" w14:textId="77777777" w:rsidTr="00743398">
        <w:trPr>
          <w:trHeight w:val="355"/>
          <w:jc w:val="center"/>
        </w:trPr>
        <w:tc>
          <w:tcPr>
            <w:tcW w:w="923" w:type="dxa"/>
            <w:tcBorders>
              <w:top w:val="nil"/>
              <w:left w:val="nil"/>
              <w:bottom w:val="nil"/>
              <w:right w:val="nil"/>
            </w:tcBorders>
            <w:shd w:val="clear" w:color="auto" w:fill="auto"/>
          </w:tcPr>
          <w:p w14:paraId="630741A7" w14:textId="77777777" w:rsidR="00743398" w:rsidRPr="00FB18B8" w:rsidRDefault="00743398" w:rsidP="00E40853">
            <w:pPr>
              <w:rPr>
                <w:rFonts w:ascii="Arial" w:hAnsi="Arial" w:cs="FrankRuehl"/>
                <w:b/>
                <w:bCs/>
                <w:sz w:val="30"/>
                <w:szCs w:val="30"/>
                <w:rtl/>
              </w:rPr>
            </w:pPr>
          </w:p>
        </w:tc>
        <w:tc>
          <w:tcPr>
            <w:tcW w:w="5487" w:type="dxa"/>
            <w:tcBorders>
              <w:top w:val="nil"/>
              <w:left w:val="nil"/>
              <w:bottom w:val="nil"/>
              <w:right w:val="nil"/>
            </w:tcBorders>
            <w:shd w:val="clear" w:color="auto" w:fill="auto"/>
          </w:tcPr>
          <w:p w14:paraId="286E9D34" w14:textId="77777777" w:rsidR="00743398" w:rsidRPr="00FB18B8" w:rsidRDefault="00743398" w:rsidP="00E40853">
            <w:pPr>
              <w:rPr>
                <w:rFonts w:ascii="Arial" w:hAnsi="Arial" w:cs="FrankRuehl"/>
                <w:b/>
                <w:bCs/>
                <w:sz w:val="30"/>
                <w:szCs w:val="30"/>
                <w:rtl/>
              </w:rPr>
            </w:pPr>
            <w:r w:rsidRPr="00FB18B8">
              <w:rPr>
                <w:rFonts w:ascii="Arial" w:hAnsi="Arial" w:cs="FrankRuehl"/>
                <w:b/>
                <w:bCs/>
                <w:sz w:val="30"/>
                <w:szCs w:val="30"/>
                <w:rtl/>
              </w:rPr>
              <w:t>עמרם פרץ</w:t>
            </w:r>
            <w:r w:rsidRPr="00FB18B8">
              <w:rPr>
                <w:rFonts w:ascii="Arial" w:hAnsi="Arial" w:cs="FrankRuehl"/>
                <w:b/>
                <w:bCs/>
                <w:sz w:val="30"/>
                <w:szCs w:val="30"/>
                <w:rtl/>
              </w:rPr>
              <w:br/>
            </w:r>
            <w:r w:rsidRPr="00FB18B8">
              <w:rPr>
                <w:rFonts w:ascii="Arial" w:hAnsi="Arial" w:cs="FrankRuehl" w:hint="cs"/>
                <w:b/>
                <w:bCs/>
                <w:sz w:val="30"/>
                <w:szCs w:val="30"/>
                <w:rtl/>
              </w:rPr>
              <w:t>ע"י ב"כ עו"ד קובי קמר</w:t>
            </w:r>
          </w:p>
        </w:tc>
        <w:tc>
          <w:tcPr>
            <w:tcW w:w="2410" w:type="dxa"/>
            <w:tcBorders>
              <w:top w:val="nil"/>
              <w:left w:val="nil"/>
              <w:bottom w:val="nil"/>
              <w:right w:val="nil"/>
            </w:tcBorders>
            <w:shd w:val="clear" w:color="auto" w:fill="auto"/>
          </w:tcPr>
          <w:p w14:paraId="36919F32" w14:textId="77777777" w:rsidR="00743398" w:rsidRPr="00FB18B8" w:rsidRDefault="00743398" w:rsidP="00743398">
            <w:pPr>
              <w:jc w:val="right"/>
              <w:rPr>
                <w:rFonts w:ascii="Arial" w:hAnsi="Arial" w:cs="FrankRuehl"/>
                <w:b/>
                <w:bCs/>
                <w:sz w:val="30"/>
                <w:szCs w:val="30"/>
              </w:rPr>
            </w:pPr>
          </w:p>
        </w:tc>
      </w:tr>
      <w:tr w:rsidR="00743398" w:rsidRPr="00FB18B8" w14:paraId="10702B05" w14:textId="77777777" w:rsidTr="00743398">
        <w:trPr>
          <w:trHeight w:val="355"/>
          <w:jc w:val="center"/>
        </w:trPr>
        <w:tc>
          <w:tcPr>
            <w:tcW w:w="923" w:type="dxa"/>
            <w:tcBorders>
              <w:top w:val="nil"/>
              <w:left w:val="nil"/>
              <w:bottom w:val="nil"/>
              <w:right w:val="nil"/>
            </w:tcBorders>
            <w:shd w:val="clear" w:color="auto" w:fill="auto"/>
          </w:tcPr>
          <w:p w14:paraId="6FA1C4E8" w14:textId="77777777" w:rsidR="00743398" w:rsidRPr="00FB18B8" w:rsidRDefault="00743398" w:rsidP="00743398">
            <w:pPr>
              <w:jc w:val="both"/>
              <w:rPr>
                <w:rFonts w:ascii="Arial" w:hAnsi="Arial" w:cs="FrankRuehl"/>
                <w:b/>
                <w:bCs/>
                <w:sz w:val="30"/>
                <w:szCs w:val="30"/>
                <w:rtl/>
              </w:rPr>
            </w:pPr>
          </w:p>
        </w:tc>
        <w:tc>
          <w:tcPr>
            <w:tcW w:w="5487" w:type="dxa"/>
            <w:tcBorders>
              <w:top w:val="nil"/>
              <w:left w:val="nil"/>
              <w:bottom w:val="nil"/>
              <w:right w:val="nil"/>
            </w:tcBorders>
            <w:shd w:val="clear" w:color="auto" w:fill="auto"/>
          </w:tcPr>
          <w:p w14:paraId="2C0BF0EB" w14:textId="77777777" w:rsidR="00743398" w:rsidRPr="00FB18B8" w:rsidRDefault="00743398" w:rsidP="00E40853">
            <w:pPr>
              <w:rPr>
                <w:rFonts w:ascii="Arial" w:hAnsi="Arial" w:cs="FrankRuehl"/>
                <w:b/>
                <w:bCs/>
                <w:sz w:val="30"/>
                <w:szCs w:val="30"/>
                <w:rtl/>
              </w:rPr>
            </w:pPr>
          </w:p>
        </w:tc>
        <w:tc>
          <w:tcPr>
            <w:tcW w:w="2410" w:type="dxa"/>
            <w:tcBorders>
              <w:top w:val="nil"/>
              <w:left w:val="nil"/>
              <w:bottom w:val="nil"/>
              <w:right w:val="nil"/>
            </w:tcBorders>
            <w:shd w:val="clear" w:color="auto" w:fill="auto"/>
          </w:tcPr>
          <w:p w14:paraId="61262BEE" w14:textId="77777777" w:rsidR="00743398" w:rsidRPr="00FB18B8" w:rsidRDefault="00743398" w:rsidP="00743398">
            <w:pPr>
              <w:jc w:val="right"/>
              <w:rPr>
                <w:rFonts w:ascii="Arial" w:hAnsi="Arial" w:cs="FrankRuehl"/>
                <w:b/>
                <w:bCs/>
                <w:sz w:val="30"/>
                <w:szCs w:val="30"/>
              </w:rPr>
            </w:pPr>
            <w:r w:rsidRPr="00FB18B8">
              <w:rPr>
                <w:rFonts w:ascii="Arial" w:hAnsi="Arial" w:cs="FrankRuehl" w:hint="cs"/>
                <w:b/>
                <w:bCs/>
                <w:sz w:val="30"/>
                <w:szCs w:val="30"/>
                <w:rtl/>
              </w:rPr>
              <w:t>ה</w:t>
            </w:r>
            <w:r w:rsidRPr="00FB18B8">
              <w:rPr>
                <w:rFonts w:ascii="Arial" w:hAnsi="Arial" w:cs="FrankRuehl"/>
                <w:b/>
                <w:bCs/>
                <w:sz w:val="30"/>
                <w:szCs w:val="30"/>
                <w:rtl/>
              </w:rPr>
              <w:t>נאשם</w:t>
            </w:r>
          </w:p>
        </w:tc>
      </w:tr>
    </w:tbl>
    <w:p w14:paraId="3A2F2553" w14:textId="77777777" w:rsidR="00324C43" w:rsidRDefault="00324C43" w:rsidP="00743398">
      <w:pPr>
        <w:rPr>
          <w:rtl/>
        </w:rPr>
      </w:pPr>
      <w:bookmarkStart w:id="3" w:name="LawTable"/>
      <w:bookmarkEnd w:id="3"/>
    </w:p>
    <w:p w14:paraId="3DB7B812" w14:textId="77777777" w:rsidR="00324C43" w:rsidRPr="00324C43" w:rsidRDefault="00324C43" w:rsidP="00324C43">
      <w:pPr>
        <w:spacing w:after="120" w:line="240" w:lineRule="exact"/>
        <w:ind w:left="283" w:hanging="283"/>
        <w:jc w:val="both"/>
        <w:rPr>
          <w:rFonts w:ascii="FrankRuehl" w:hAnsi="FrankRuehl" w:cs="FrankRuehl"/>
          <w:rtl/>
        </w:rPr>
      </w:pPr>
    </w:p>
    <w:p w14:paraId="4C1D58FD" w14:textId="77777777" w:rsidR="00324C43" w:rsidRPr="00324C43" w:rsidRDefault="00324C43" w:rsidP="00324C43">
      <w:pPr>
        <w:spacing w:after="120" w:line="240" w:lineRule="exact"/>
        <w:ind w:left="283" w:hanging="283"/>
        <w:jc w:val="both"/>
        <w:rPr>
          <w:rFonts w:ascii="FrankRuehl" w:hAnsi="FrankRuehl" w:cs="FrankRuehl"/>
          <w:rtl/>
        </w:rPr>
      </w:pPr>
      <w:r w:rsidRPr="00324C43">
        <w:rPr>
          <w:rFonts w:ascii="FrankRuehl" w:hAnsi="FrankRuehl" w:cs="FrankRuehl"/>
          <w:rtl/>
        </w:rPr>
        <w:t xml:space="preserve">חקיקה שאוזכרה: </w:t>
      </w:r>
    </w:p>
    <w:p w14:paraId="1CEBC292" w14:textId="77777777" w:rsidR="00324C43" w:rsidRPr="00324C43" w:rsidRDefault="00324C43" w:rsidP="00324C43">
      <w:pPr>
        <w:spacing w:after="120" w:line="240" w:lineRule="exact"/>
        <w:ind w:left="283" w:hanging="283"/>
        <w:jc w:val="both"/>
        <w:rPr>
          <w:rFonts w:ascii="FrankRuehl" w:hAnsi="FrankRuehl" w:cs="FrankRuehl"/>
          <w:rtl/>
        </w:rPr>
      </w:pPr>
      <w:hyperlink r:id="rId6" w:history="1">
        <w:r w:rsidRPr="00324C43">
          <w:rPr>
            <w:rFonts w:ascii="FrankRuehl" w:hAnsi="FrankRuehl" w:cs="FrankRuehl"/>
            <w:color w:val="0000FF"/>
            <w:u w:val="single"/>
            <w:rtl/>
          </w:rPr>
          <w:t>פקודת הסמים המסוכנים [נוסח חדש], תשל"ג-1973</w:t>
        </w:r>
      </w:hyperlink>
      <w:r w:rsidRPr="00324C43">
        <w:rPr>
          <w:rFonts w:ascii="FrankRuehl" w:hAnsi="FrankRuehl" w:cs="FrankRuehl"/>
          <w:rtl/>
        </w:rPr>
        <w:t xml:space="preserve">: סע'  </w:t>
      </w:r>
      <w:hyperlink r:id="rId7" w:history="1">
        <w:r w:rsidRPr="00324C43">
          <w:rPr>
            <w:rFonts w:ascii="FrankRuehl" w:hAnsi="FrankRuehl" w:cs="FrankRuehl"/>
            <w:color w:val="0000FF"/>
            <w:u w:val="single"/>
            <w:rtl/>
          </w:rPr>
          <w:t>7.א.</w:t>
        </w:r>
      </w:hyperlink>
      <w:r w:rsidRPr="00324C43">
        <w:rPr>
          <w:rFonts w:ascii="FrankRuehl" w:hAnsi="FrankRuehl" w:cs="FrankRuehl"/>
          <w:rtl/>
        </w:rPr>
        <w:t xml:space="preserve">, </w:t>
      </w:r>
      <w:hyperlink r:id="rId8" w:history="1">
        <w:r w:rsidRPr="00324C43">
          <w:rPr>
            <w:rFonts w:ascii="FrankRuehl" w:hAnsi="FrankRuehl" w:cs="FrankRuehl"/>
            <w:color w:val="0000FF"/>
            <w:u w:val="single"/>
            <w:rtl/>
          </w:rPr>
          <w:t>7.ג</w:t>
        </w:r>
      </w:hyperlink>
    </w:p>
    <w:p w14:paraId="1B941AA8" w14:textId="77777777" w:rsidR="00324C43" w:rsidRPr="00324C43" w:rsidRDefault="00324C43" w:rsidP="00324C43">
      <w:pPr>
        <w:spacing w:after="120" w:line="240" w:lineRule="exact"/>
        <w:ind w:left="283" w:hanging="283"/>
        <w:jc w:val="both"/>
        <w:rPr>
          <w:rFonts w:ascii="FrankRuehl" w:hAnsi="FrankRuehl" w:cs="FrankRuehl"/>
          <w:rtl/>
        </w:rPr>
      </w:pPr>
      <w:hyperlink r:id="rId9" w:history="1">
        <w:r w:rsidRPr="00324C43">
          <w:rPr>
            <w:rFonts w:ascii="FrankRuehl" w:hAnsi="FrankRuehl" w:cs="FrankRuehl"/>
            <w:color w:val="0000FF"/>
            <w:u w:val="single"/>
            <w:rtl/>
          </w:rPr>
          <w:t>חוק העונשין, תשל"ז-1977</w:t>
        </w:r>
      </w:hyperlink>
      <w:r w:rsidRPr="00324C43">
        <w:rPr>
          <w:rFonts w:ascii="FrankRuehl" w:hAnsi="FrankRuehl" w:cs="FrankRuehl"/>
          <w:rtl/>
        </w:rPr>
        <w:t xml:space="preserve">: סע'  </w:t>
      </w:r>
      <w:hyperlink r:id="rId10" w:history="1">
        <w:r w:rsidRPr="00324C43">
          <w:rPr>
            <w:rFonts w:ascii="FrankRuehl" w:hAnsi="FrankRuehl" w:cs="FrankRuehl"/>
            <w:color w:val="0000FF"/>
            <w:u w:val="single"/>
            <w:rtl/>
          </w:rPr>
          <w:t>40ד'</w:t>
        </w:r>
      </w:hyperlink>
    </w:p>
    <w:p w14:paraId="1BCF5AAD" w14:textId="77777777" w:rsidR="00324C43" w:rsidRPr="00324C43" w:rsidRDefault="00324C43" w:rsidP="00324C43">
      <w:pPr>
        <w:spacing w:after="120" w:line="240" w:lineRule="exact"/>
        <w:ind w:left="283" w:hanging="283"/>
        <w:jc w:val="both"/>
        <w:rPr>
          <w:rFonts w:ascii="FrankRuehl" w:hAnsi="FrankRuehl" w:cs="FrankRuehl"/>
          <w:rtl/>
        </w:rPr>
      </w:pPr>
    </w:p>
    <w:p w14:paraId="7CD668CC" w14:textId="77777777" w:rsidR="00324C43" w:rsidRPr="00324C43" w:rsidRDefault="00324C43" w:rsidP="00743398">
      <w:pPr>
        <w:rPr>
          <w:rtl/>
        </w:rPr>
      </w:pPr>
      <w:bookmarkStart w:id="4" w:name="LawTable_End"/>
      <w:bookmarkEnd w:id="4"/>
    </w:p>
    <w:p w14:paraId="487F6507" w14:textId="77777777" w:rsidR="00324C43" w:rsidRPr="00324C43" w:rsidRDefault="00324C43" w:rsidP="00743398">
      <w:pPr>
        <w:rPr>
          <w:rtl/>
        </w:rPr>
      </w:pPr>
    </w:p>
    <w:p w14:paraId="5A538E64" w14:textId="77777777" w:rsidR="00743398" w:rsidRPr="00324C43" w:rsidRDefault="00743398" w:rsidP="00743398">
      <w:pPr>
        <w:rPr>
          <w:rtl/>
        </w:rPr>
      </w:pPr>
    </w:p>
    <w:p w14:paraId="528A6BCB" w14:textId="77777777" w:rsidR="00FB18B8" w:rsidRPr="00FB18B8" w:rsidRDefault="00FB18B8" w:rsidP="00743398">
      <w:pPr>
        <w:rPr>
          <w:rtl/>
        </w:rPr>
      </w:pPr>
    </w:p>
    <w:p w14:paraId="23561FF1" w14:textId="77777777" w:rsidR="00FB18B8" w:rsidRPr="00FB18B8" w:rsidRDefault="00FB18B8" w:rsidP="00743398">
      <w:pPr>
        <w:rPr>
          <w:rtl/>
        </w:rPr>
      </w:pPr>
    </w:p>
    <w:p w14:paraId="3A14282F" w14:textId="77777777" w:rsidR="00743398" w:rsidRPr="00FB18B8" w:rsidRDefault="00743398" w:rsidP="00743398"/>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743398" w14:paraId="752C5E47" w14:textId="77777777" w:rsidTr="00743398">
        <w:trPr>
          <w:trHeight w:val="355"/>
          <w:jc w:val="center"/>
        </w:trPr>
        <w:tc>
          <w:tcPr>
            <w:tcW w:w="8820" w:type="dxa"/>
            <w:tcBorders>
              <w:top w:val="nil"/>
              <w:left w:val="nil"/>
              <w:bottom w:val="nil"/>
              <w:right w:val="nil"/>
            </w:tcBorders>
            <w:shd w:val="clear" w:color="auto" w:fill="auto"/>
          </w:tcPr>
          <w:p w14:paraId="32565F6D" w14:textId="77777777" w:rsidR="00FB18B8" w:rsidRPr="00FB18B8" w:rsidRDefault="00FB18B8" w:rsidP="00FB18B8">
            <w:pPr>
              <w:jc w:val="center"/>
              <w:rPr>
                <w:rFonts w:ascii="Arial" w:hAnsi="Arial" w:cs="FrankRuehl"/>
                <w:b/>
                <w:bCs/>
                <w:sz w:val="36"/>
                <w:szCs w:val="36"/>
                <w:u w:val="single"/>
                <w:rtl/>
              </w:rPr>
            </w:pPr>
            <w:bookmarkStart w:id="5" w:name="PsakDin" w:colFirst="0" w:colLast="0"/>
            <w:bookmarkEnd w:id="0"/>
            <w:bookmarkEnd w:id="1"/>
            <w:r w:rsidRPr="00FB18B8">
              <w:rPr>
                <w:rFonts w:ascii="Arial" w:hAnsi="Arial" w:cs="FrankRuehl"/>
                <w:b/>
                <w:bCs/>
                <w:sz w:val="36"/>
                <w:szCs w:val="36"/>
                <w:u w:val="single"/>
                <w:rtl/>
              </w:rPr>
              <w:t>גזר דין</w:t>
            </w:r>
          </w:p>
          <w:p w14:paraId="3697B5F6" w14:textId="77777777" w:rsidR="00743398" w:rsidRPr="00FB18B8" w:rsidRDefault="00743398" w:rsidP="00FB18B8">
            <w:pPr>
              <w:jc w:val="center"/>
              <w:rPr>
                <w:rFonts w:ascii="Arial" w:hAnsi="Arial" w:cs="FrankRuehl"/>
                <w:bCs/>
                <w:sz w:val="36"/>
                <w:szCs w:val="36"/>
                <w:u w:val="single"/>
                <w:rtl/>
              </w:rPr>
            </w:pPr>
          </w:p>
        </w:tc>
      </w:tr>
      <w:bookmarkEnd w:id="5"/>
    </w:tbl>
    <w:p w14:paraId="4229C7AC" w14:textId="77777777" w:rsidR="00743398" w:rsidRPr="00B05847" w:rsidRDefault="00743398" w:rsidP="00743398">
      <w:pPr>
        <w:rPr>
          <w:rFonts w:ascii="Arial" w:hAnsi="Arial"/>
          <w:rtl/>
        </w:rPr>
      </w:pPr>
    </w:p>
    <w:p w14:paraId="57DDF151" w14:textId="77777777" w:rsidR="00743398" w:rsidRDefault="00743398" w:rsidP="00743398">
      <w:pPr>
        <w:spacing w:line="360" w:lineRule="auto"/>
        <w:rPr>
          <w:rFonts w:ascii="Arial" w:hAnsi="Arial" w:cs="FrankRuehl"/>
          <w:sz w:val="28"/>
          <w:szCs w:val="28"/>
          <w:rtl/>
        </w:rPr>
      </w:pPr>
    </w:p>
    <w:p w14:paraId="787F967A" w14:textId="77777777" w:rsidR="00743398" w:rsidRPr="005C0C3F" w:rsidRDefault="00743398" w:rsidP="00743398">
      <w:pPr>
        <w:spacing w:line="360" w:lineRule="auto"/>
        <w:rPr>
          <w:rFonts w:ascii="Arial" w:hAnsi="Arial" w:cs="FrankRuehl"/>
          <w:b/>
          <w:bCs/>
          <w:sz w:val="28"/>
          <w:szCs w:val="28"/>
          <w:u w:val="single"/>
          <w:rtl/>
        </w:rPr>
      </w:pPr>
      <w:r w:rsidRPr="005C0C3F">
        <w:rPr>
          <w:rFonts w:ascii="Arial" w:hAnsi="Arial" w:cs="FrankRuehl" w:hint="cs"/>
          <w:b/>
          <w:bCs/>
          <w:sz w:val="28"/>
          <w:szCs w:val="28"/>
          <w:u w:val="single"/>
          <w:rtl/>
        </w:rPr>
        <w:t>הכרעת הדין</w:t>
      </w:r>
    </w:p>
    <w:p w14:paraId="51BCAF4B" w14:textId="77777777" w:rsidR="00743398" w:rsidRPr="00734DD6" w:rsidRDefault="00743398" w:rsidP="00743398">
      <w:pPr>
        <w:spacing w:line="360" w:lineRule="auto"/>
        <w:jc w:val="both"/>
        <w:rPr>
          <w:rFonts w:ascii="Arial" w:hAnsi="Arial" w:cs="FrankRuehl"/>
          <w:sz w:val="28"/>
          <w:szCs w:val="28"/>
          <w:rtl/>
        </w:rPr>
      </w:pPr>
      <w:r>
        <w:rPr>
          <w:rFonts w:ascii="Arial" w:hAnsi="Arial" w:cs="FrankRuehl" w:hint="cs"/>
          <w:sz w:val="28"/>
          <w:szCs w:val="28"/>
          <w:rtl/>
        </w:rPr>
        <w:t>1.</w:t>
      </w:r>
      <w:bookmarkStart w:id="6" w:name="ABSTRACT_START"/>
      <w:bookmarkEnd w:id="6"/>
      <w:r>
        <w:rPr>
          <w:rFonts w:ascii="Arial" w:hAnsi="Arial" w:cs="FrankRuehl" w:hint="cs"/>
          <w:sz w:val="28"/>
          <w:szCs w:val="28"/>
          <w:rtl/>
        </w:rPr>
        <w:tab/>
      </w:r>
      <w:r w:rsidRPr="00734DD6">
        <w:rPr>
          <w:rFonts w:ascii="Arial" w:hAnsi="Arial" w:cs="FrankRuehl" w:hint="cs"/>
          <w:sz w:val="28"/>
          <w:szCs w:val="28"/>
          <w:rtl/>
        </w:rPr>
        <w:t>הנאשם הורשע על פי הודאתו, שניתנה במסגרת הסדר טיעון, בעבירה</w:t>
      </w:r>
      <w:r>
        <w:rPr>
          <w:rFonts w:ascii="Arial" w:hAnsi="Arial" w:cs="FrankRuehl" w:hint="cs"/>
          <w:sz w:val="28"/>
          <w:szCs w:val="28"/>
          <w:rtl/>
        </w:rPr>
        <w:t xml:space="preserve"> של החזקת סם שלא לשימוש עצמי לפי סעיף </w:t>
      </w:r>
      <w:hyperlink r:id="rId11" w:history="1">
        <w:r w:rsidR="00324C43" w:rsidRPr="00324C43">
          <w:rPr>
            <w:rFonts w:ascii="Arial" w:hAnsi="Arial" w:cs="FrankRuehl"/>
            <w:color w:val="0000FF"/>
            <w:sz w:val="28"/>
            <w:szCs w:val="28"/>
            <w:u w:val="single"/>
            <w:rtl/>
          </w:rPr>
          <w:t>7(א) ו-(ג)</w:t>
        </w:r>
      </w:hyperlink>
      <w:r>
        <w:rPr>
          <w:rFonts w:ascii="Arial" w:hAnsi="Arial" w:cs="FrankRuehl" w:hint="cs"/>
          <w:sz w:val="28"/>
          <w:szCs w:val="28"/>
          <w:rtl/>
        </w:rPr>
        <w:t xml:space="preserve"> רישא ל</w:t>
      </w:r>
      <w:hyperlink r:id="rId12" w:history="1">
        <w:r w:rsidR="00FB18B8" w:rsidRPr="00FB18B8">
          <w:rPr>
            <w:rFonts w:ascii="Arial" w:hAnsi="Arial" w:cs="FrankRuehl"/>
            <w:color w:val="0000FF"/>
            <w:sz w:val="28"/>
            <w:szCs w:val="28"/>
            <w:u w:val="single"/>
            <w:rtl/>
          </w:rPr>
          <w:t>פקודת הסמים המסוכנים</w:t>
        </w:r>
      </w:hyperlink>
      <w:r>
        <w:rPr>
          <w:rFonts w:ascii="Arial" w:hAnsi="Arial" w:cs="FrankRuehl" w:hint="cs"/>
          <w:sz w:val="28"/>
          <w:szCs w:val="28"/>
          <w:rtl/>
        </w:rPr>
        <w:t xml:space="preserve"> [נוסח חדש], תשל"ג-1973, </w:t>
      </w:r>
      <w:r w:rsidRPr="00734DD6">
        <w:rPr>
          <w:rFonts w:ascii="Arial" w:hAnsi="Arial" w:cs="FrankRuehl" w:hint="cs"/>
          <w:sz w:val="28"/>
          <w:szCs w:val="28"/>
          <w:rtl/>
        </w:rPr>
        <w:t xml:space="preserve"> שיוחסה לו בכתב האישום המתוקן. </w:t>
      </w:r>
    </w:p>
    <w:p w14:paraId="4E9DBC84" w14:textId="77777777" w:rsidR="00743398" w:rsidRPr="00734DD6" w:rsidRDefault="00743398" w:rsidP="00743398">
      <w:pPr>
        <w:spacing w:line="360" w:lineRule="auto"/>
        <w:jc w:val="both"/>
        <w:rPr>
          <w:rFonts w:cs="FrankRuehl"/>
          <w:sz w:val="28"/>
          <w:szCs w:val="28"/>
          <w:rtl/>
        </w:rPr>
      </w:pPr>
    </w:p>
    <w:p w14:paraId="1455FFDA" w14:textId="77777777" w:rsidR="00743398" w:rsidRPr="00734DD6" w:rsidRDefault="00743398" w:rsidP="00743398">
      <w:pPr>
        <w:spacing w:line="360" w:lineRule="auto"/>
        <w:jc w:val="both"/>
        <w:rPr>
          <w:rFonts w:cs="FrankRuehl"/>
          <w:sz w:val="28"/>
          <w:szCs w:val="28"/>
          <w:rtl/>
        </w:rPr>
      </w:pPr>
      <w:bookmarkStart w:id="7" w:name="ABSTRACT_END"/>
      <w:bookmarkEnd w:id="7"/>
      <w:r>
        <w:rPr>
          <w:rFonts w:cs="FrankRuehl" w:hint="cs"/>
          <w:sz w:val="28"/>
          <w:szCs w:val="28"/>
          <w:rtl/>
        </w:rPr>
        <w:lastRenderedPageBreak/>
        <w:t>2.</w:t>
      </w:r>
      <w:r>
        <w:rPr>
          <w:rFonts w:cs="FrankRuehl" w:hint="cs"/>
          <w:sz w:val="28"/>
          <w:szCs w:val="28"/>
          <w:rtl/>
        </w:rPr>
        <w:tab/>
        <w:t>לפי המתואר בכתב האישום, ביום 12.01.17, סמוך לשעה 01:00, נסע הנאשם ברכבו יחד עם שאול אביטן. בחיפוש על גופו של הנאשם, נמצאו בתחתוניו 4 שקיות ובהן סם מסוכן מסוג קוקאין במשקל 12.4 גרם שלא לצריכתו העצמית בלבד.</w:t>
      </w:r>
    </w:p>
    <w:p w14:paraId="42451740" w14:textId="77777777" w:rsidR="00743398" w:rsidRDefault="00743398" w:rsidP="00743398">
      <w:pPr>
        <w:spacing w:line="360" w:lineRule="auto"/>
        <w:jc w:val="both"/>
        <w:rPr>
          <w:rFonts w:cs="FrankRuehl"/>
          <w:sz w:val="28"/>
          <w:szCs w:val="28"/>
          <w:rtl/>
        </w:rPr>
      </w:pPr>
    </w:p>
    <w:p w14:paraId="6F99CFE8" w14:textId="77777777" w:rsidR="00743398" w:rsidRPr="005C0C3F" w:rsidRDefault="00743398" w:rsidP="00743398">
      <w:pPr>
        <w:spacing w:line="360" w:lineRule="auto"/>
        <w:jc w:val="both"/>
        <w:rPr>
          <w:rFonts w:cs="FrankRuehl"/>
          <w:b/>
          <w:bCs/>
          <w:sz w:val="28"/>
          <w:szCs w:val="28"/>
          <w:u w:val="single"/>
          <w:rtl/>
        </w:rPr>
      </w:pPr>
      <w:r w:rsidRPr="005C0C3F">
        <w:rPr>
          <w:rFonts w:cs="FrankRuehl" w:hint="cs"/>
          <w:b/>
          <w:bCs/>
          <w:sz w:val="28"/>
          <w:szCs w:val="28"/>
          <w:u w:val="single"/>
          <w:rtl/>
        </w:rPr>
        <w:t>תסקירי שירות המבחן</w:t>
      </w:r>
    </w:p>
    <w:p w14:paraId="7AC9F96E" w14:textId="77777777" w:rsidR="00743398" w:rsidRDefault="00743398" w:rsidP="00743398">
      <w:pPr>
        <w:spacing w:line="360" w:lineRule="auto"/>
        <w:jc w:val="both"/>
        <w:rPr>
          <w:rFonts w:cs="FrankRuehl"/>
          <w:sz w:val="28"/>
          <w:szCs w:val="28"/>
          <w:rtl/>
        </w:rPr>
      </w:pPr>
      <w:r>
        <w:rPr>
          <w:rFonts w:cs="FrankRuehl" w:hint="cs"/>
          <w:sz w:val="28"/>
          <w:szCs w:val="28"/>
          <w:rtl/>
        </w:rPr>
        <w:t>3.</w:t>
      </w:r>
      <w:r>
        <w:rPr>
          <w:rFonts w:cs="FrankRuehl" w:hint="cs"/>
          <w:sz w:val="28"/>
          <w:szCs w:val="28"/>
          <w:rtl/>
        </w:rPr>
        <w:tab/>
        <w:t xml:space="preserve">במסגרת הסדר הטיעון, הוסכם כי הנאשם ישלח לשירות המבחן לקבלת תסקיר, והוסכם כי המאשימה תטען ל-8 חודשי מאסר בפועל, מאסר על תנאי וקנס, וההגנה תהיה חופשית בטיעוניה. </w:t>
      </w:r>
    </w:p>
    <w:p w14:paraId="3172DE6F" w14:textId="77777777" w:rsidR="00743398" w:rsidRDefault="00743398" w:rsidP="00743398">
      <w:pPr>
        <w:spacing w:line="360" w:lineRule="auto"/>
        <w:jc w:val="both"/>
        <w:rPr>
          <w:rFonts w:cs="FrankRuehl"/>
          <w:sz w:val="28"/>
          <w:szCs w:val="28"/>
          <w:rtl/>
        </w:rPr>
      </w:pPr>
    </w:p>
    <w:p w14:paraId="1ECC0A57" w14:textId="77777777" w:rsidR="00743398" w:rsidRDefault="00743398" w:rsidP="00743398">
      <w:pPr>
        <w:spacing w:line="360" w:lineRule="auto"/>
        <w:jc w:val="both"/>
        <w:rPr>
          <w:rFonts w:cs="FrankRuehl"/>
          <w:sz w:val="28"/>
          <w:szCs w:val="28"/>
          <w:rtl/>
        </w:rPr>
      </w:pPr>
      <w:r>
        <w:rPr>
          <w:rFonts w:cs="FrankRuehl" w:hint="cs"/>
          <w:sz w:val="28"/>
          <w:szCs w:val="28"/>
          <w:rtl/>
        </w:rPr>
        <w:t>4.</w:t>
      </w:r>
      <w:r>
        <w:rPr>
          <w:rFonts w:cs="FrankRuehl" w:hint="cs"/>
          <w:sz w:val="28"/>
          <w:szCs w:val="28"/>
          <w:rtl/>
        </w:rPr>
        <w:tab/>
        <w:t>מהתסקירים שהוגשו נלמד אודות הנאשם, ובכלל זה מצבו האישי, הנפשי והרפואי. בתסקיר ראשוני מיום 17.10.18, קצין המבחן ציין, כי הנאשם הודה כי החזיק בסמים אך טען כי הדבר נעשה לשימושו העצמי בלבד. לדבריו, הוא השתמש בקוקאין פעמיים, שלוש בלבד בשל מצוקה נפשית שעבר. הוא סיפר כי החל להשתמש בסם מסוג קנאביס החל משנות ה-20 לחייו, בתדירות יומיומית בסיום העבודה. בשנת 2013 פנה למרכז "מפגשים" שם טופל במשך כחצי שנה. הוא הפיק תועלת מהטיפול אף שלא הגיע למפגשים באופן רציף. הוא הכחיש שימוש בסמים בתקופה שלאחר מעצרו בעבירה בה הורשע במסגרת הליך זה, אף שבדיקות שמסר בשירות המבחן נמצאו סימנים לשימוש בקוקאין. בתקופה שלפני הגשת התסקיר, אושפז הנאשם במרכז לבריאות הנפש ולפיכך נתבקש לדחות את המועד להגשת תסקיר מסכם בעניינו.</w:t>
      </w:r>
    </w:p>
    <w:p w14:paraId="14B5600F" w14:textId="77777777" w:rsidR="00743398" w:rsidRDefault="00743398" w:rsidP="00743398">
      <w:pPr>
        <w:spacing w:line="360" w:lineRule="auto"/>
        <w:jc w:val="both"/>
        <w:rPr>
          <w:rFonts w:cs="FrankRuehl"/>
          <w:sz w:val="28"/>
          <w:szCs w:val="28"/>
          <w:rtl/>
        </w:rPr>
      </w:pPr>
    </w:p>
    <w:p w14:paraId="0D32D89F" w14:textId="77777777" w:rsidR="00743398" w:rsidRDefault="00743398" w:rsidP="00743398">
      <w:pPr>
        <w:spacing w:line="360" w:lineRule="auto"/>
        <w:jc w:val="both"/>
        <w:rPr>
          <w:rFonts w:cs="FrankRuehl"/>
          <w:sz w:val="28"/>
          <w:szCs w:val="28"/>
          <w:rtl/>
        </w:rPr>
      </w:pPr>
      <w:r>
        <w:rPr>
          <w:rFonts w:cs="FrankRuehl" w:hint="cs"/>
          <w:sz w:val="28"/>
          <w:szCs w:val="28"/>
          <w:rtl/>
        </w:rPr>
        <w:t>5.</w:t>
      </w:r>
      <w:r>
        <w:rPr>
          <w:rFonts w:cs="FrankRuehl" w:hint="cs"/>
          <w:sz w:val="28"/>
          <w:szCs w:val="28"/>
          <w:rtl/>
        </w:rPr>
        <w:tab/>
        <w:t xml:space="preserve">תסקיר משלים הוגש ביום 21.01.19, ובו ציין קצין המבחן כי בפגישה שקיים לאחרונה עם הנאשם, הוא ביטא מוטיבציה להמשך טיפול, ובדיקות שמסר העלו כי הוא נקי משימוש בסמים. בנסיבות אלו ונוכח מצבו המורכב, בא קצין המבחן בהמלצה להשית על הנאשם ענישה שיקומית בצו במבחן לשנה ו-200 שעות של"צ לצד עונש מותנה צופה פני עתיד. </w:t>
      </w:r>
    </w:p>
    <w:p w14:paraId="72AD15F0" w14:textId="77777777" w:rsidR="00743398" w:rsidRDefault="00743398" w:rsidP="00743398">
      <w:pPr>
        <w:spacing w:line="360" w:lineRule="auto"/>
        <w:jc w:val="both"/>
        <w:rPr>
          <w:rFonts w:cs="FrankRuehl"/>
          <w:sz w:val="28"/>
          <w:szCs w:val="28"/>
          <w:rtl/>
        </w:rPr>
      </w:pPr>
    </w:p>
    <w:p w14:paraId="752F91A5" w14:textId="77777777" w:rsidR="00743398" w:rsidRDefault="00743398" w:rsidP="00743398">
      <w:pPr>
        <w:spacing w:line="360" w:lineRule="auto"/>
        <w:jc w:val="both"/>
        <w:rPr>
          <w:rFonts w:cs="FrankRuehl"/>
          <w:sz w:val="28"/>
          <w:szCs w:val="28"/>
          <w:rtl/>
        </w:rPr>
      </w:pPr>
      <w:r>
        <w:rPr>
          <w:rFonts w:cs="FrankRuehl" w:hint="cs"/>
          <w:sz w:val="28"/>
          <w:szCs w:val="28"/>
          <w:rtl/>
        </w:rPr>
        <w:t>6.</w:t>
      </w:r>
      <w:r>
        <w:rPr>
          <w:rFonts w:cs="FrankRuehl" w:hint="cs"/>
          <w:sz w:val="28"/>
          <w:szCs w:val="28"/>
          <w:rtl/>
        </w:rPr>
        <w:tab/>
        <w:t xml:space="preserve">הטיעונים לעונש נשמעו ביום 4.02.19, ואולם נוכח מצבו המורכב של הנאשם סברתי כי נכון לבחון את המשך ההליך הטיפולי בו החל הנאשם, בטרם ייגזר דינו. ואכן, בתסקיר שהוגש ביום 13.05.19 עלה כי הנאשם מתמיד בהליך הטיפולי בו הוא משולב, והתרשמות קצין המבחן הייתה מהטבה במצבו, דבר הבא לידי ביטוי גם בהפסקת השימוש בסמים ואיזון במצבו הנפשי. קצין המבחן שב על המלצתו האמורה לעניין העונש. </w:t>
      </w:r>
    </w:p>
    <w:p w14:paraId="3CF351B7" w14:textId="77777777" w:rsidR="00743398" w:rsidRDefault="00743398" w:rsidP="00743398">
      <w:pPr>
        <w:spacing w:line="360" w:lineRule="auto"/>
        <w:jc w:val="both"/>
        <w:rPr>
          <w:rFonts w:cs="FrankRuehl"/>
          <w:sz w:val="28"/>
          <w:szCs w:val="28"/>
          <w:rtl/>
        </w:rPr>
      </w:pPr>
    </w:p>
    <w:p w14:paraId="5D92AD2D" w14:textId="77777777" w:rsidR="00743398" w:rsidRDefault="00743398" w:rsidP="00743398">
      <w:pPr>
        <w:spacing w:line="360" w:lineRule="auto"/>
        <w:jc w:val="both"/>
        <w:rPr>
          <w:rFonts w:cs="FrankRuehl"/>
          <w:sz w:val="28"/>
          <w:szCs w:val="28"/>
          <w:rtl/>
        </w:rPr>
      </w:pPr>
      <w:r>
        <w:rPr>
          <w:rFonts w:cs="FrankRuehl" w:hint="cs"/>
          <w:sz w:val="28"/>
          <w:szCs w:val="28"/>
          <w:rtl/>
        </w:rPr>
        <w:lastRenderedPageBreak/>
        <w:t>7 .</w:t>
      </w:r>
      <w:r>
        <w:rPr>
          <w:rFonts w:cs="FrankRuehl" w:hint="cs"/>
          <w:sz w:val="28"/>
          <w:szCs w:val="28"/>
          <w:rtl/>
        </w:rPr>
        <w:tab/>
        <w:t xml:space="preserve">מתסקיר נוסף שהוגש ביום 22.08.19 נלמד כי הנאשם ממשיך ומתמיד בטיפול באופן יציב ועקבי, וגם הבדיקות שביצע באופן שוטף הצביעו על המשך ניקיון מסמים. קצין המבחן שב וציין את התרשמותו מהמוטיבציה של הנאשם להמשך הטיפול ומהטבה במצבו של הנאשם, הן בהיבט של הפסקת השימוש בסמים, הן בהיבט של האיזון הנפשי והן בעבודתו באופן סדיר. קצין המבחן שב על המלצתו באשר לענישה שיקומית.    </w:t>
      </w:r>
    </w:p>
    <w:p w14:paraId="5F0A6D10" w14:textId="77777777" w:rsidR="00743398" w:rsidRDefault="00743398" w:rsidP="00743398">
      <w:pPr>
        <w:spacing w:line="360" w:lineRule="auto"/>
        <w:jc w:val="both"/>
        <w:rPr>
          <w:rFonts w:cs="FrankRuehl"/>
          <w:sz w:val="28"/>
          <w:szCs w:val="28"/>
          <w:rtl/>
        </w:rPr>
      </w:pPr>
    </w:p>
    <w:p w14:paraId="2E06F739" w14:textId="77777777" w:rsidR="00743398" w:rsidRPr="00585A2E" w:rsidRDefault="00743398" w:rsidP="00743398">
      <w:pPr>
        <w:spacing w:line="360" w:lineRule="auto"/>
        <w:jc w:val="both"/>
        <w:rPr>
          <w:rFonts w:cs="FrankRuehl"/>
          <w:b/>
          <w:bCs/>
          <w:sz w:val="28"/>
          <w:szCs w:val="28"/>
          <w:u w:val="single"/>
          <w:rtl/>
        </w:rPr>
      </w:pPr>
      <w:r w:rsidRPr="00585A2E">
        <w:rPr>
          <w:rFonts w:cs="FrankRuehl" w:hint="cs"/>
          <w:b/>
          <w:bCs/>
          <w:sz w:val="28"/>
          <w:szCs w:val="28"/>
          <w:u w:val="single"/>
          <w:rtl/>
        </w:rPr>
        <w:t>הראיות והטיעונים לעונש</w:t>
      </w:r>
    </w:p>
    <w:p w14:paraId="5C471B93" w14:textId="77777777" w:rsidR="00743398" w:rsidRPr="00496E5F" w:rsidRDefault="00743398" w:rsidP="00743398">
      <w:pPr>
        <w:spacing w:line="360" w:lineRule="auto"/>
        <w:jc w:val="both"/>
        <w:rPr>
          <w:rFonts w:cs="FrankRuehl"/>
          <w:sz w:val="28"/>
          <w:szCs w:val="28"/>
          <w:rtl/>
        </w:rPr>
      </w:pPr>
      <w:r>
        <w:rPr>
          <w:rFonts w:cs="FrankRuehl" w:hint="cs"/>
          <w:sz w:val="28"/>
          <w:szCs w:val="28"/>
          <w:rtl/>
        </w:rPr>
        <w:t>8.</w:t>
      </w:r>
      <w:r>
        <w:rPr>
          <w:rFonts w:cs="FrankRuehl" w:hint="cs"/>
          <w:sz w:val="28"/>
          <w:szCs w:val="28"/>
          <w:rtl/>
        </w:rPr>
        <w:tab/>
        <w:t xml:space="preserve">במסגרת הראיות לעונש העיד אחיו של הנאשם, מר דני פרץ. הוא סיפר על משפחתם, על אחיהם ועיסוקיהם השונים. הוא סיפר על פציעתו של אביהם באופן קשה בתאונת דרכים, וההשפעה הפיזית והנפשית שהייתה לכך על הנאשם שסעד אותו. דני הוסיף וסיפר כי הוא מתעסק בנדל"ן ומנהל כ-6-5 מסעדות, אחת מהן פתח כדי שתהיה תעסוקה לאחיו, הנאשם. בשלב מסוים הוא הבחין שאחיו "לא מחובר" והוא לקח אותו לגמילה ב"רטורנו". במהלך הזמן הוא גם גילה, שעל אף שהנאשם השתכר שכר גבוה והוצאותיו היו מועטות, הוא נותר חסר כל, מאחר והוא נוצל על ידי "חברים".   </w:t>
      </w:r>
      <w:bookmarkStart w:id="8" w:name="_ETM_Q_25376"/>
      <w:bookmarkStart w:id="9" w:name="_ETM_Q_25856"/>
      <w:bookmarkStart w:id="10" w:name="_ETM_Q_29116"/>
      <w:bookmarkStart w:id="11" w:name="_ETM_Q_31911"/>
      <w:bookmarkStart w:id="12" w:name="_ETM_Q_36390"/>
      <w:bookmarkStart w:id="13" w:name="_ETM_Q_39925"/>
      <w:bookmarkStart w:id="14" w:name="_ETM_Q_46633"/>
      <w:bookmarkStart w:id="15" w:name="_ETM_Q_49664"/>
      <w:bookmarkStart w:id="16" w:name="_ETM_Q_52739"/>
      <w:bookmarkStart w:id="17" w:name="_ETM_Q_54950"/>
      <w:bookmarkStart w:id="18" w:name="_ETM_Q_56983"/>
      <w:bookmarkStart w:id="19" w:name="_ETM_Q_58899"/>
      <w:bookmarkStart w:id="20" w:name="_ETM_Q_59559"/>
      <w:bookmarkStart w:id="21" w:name="_ETM_Q_60797"/>
      <w:bookmarkStart w:id="22" w:name="_ETM_Q_61587"/>
      <w:bookmarkStart w:id="23" w:name="_ETM_Q_63574"/>
      <w:bookmarkStart w:id="24" w:name="_ETM_Q_64588"/>
      <w:bookmarkStart w:id="25" w:name="_ETM_Q_64885"/>
      <w:bookmarkStart w:id="26" w:name="_ETM_Q_71038"/>
      <w:bookmarkStart w:id="27" w:name="_ETM_Q_76627"/>
      <w:bookmarkStart w:id="28" w:name="_ETM_Q_95340"/>
      <w:bookmarkStart w:id="29" w:name="_ETM_Q_86534"/>
      <w:bookmarkStart w:id="30" w:name="_ETM_Q_226090"/>
      <w:bookmarkStart w:id="31" w:name="_ETM_Q_226588"/>
      <w:bookmarkStart w:id="32" w:name="_ETM_Q_226818"/>
      <w:bookmarkStart w:id="33" w:name="_ETM_Q_232109"/>
      <w:bookmarkStart w:id="34" w:name="_ETM_Q_237866"/>
      <w:bookmarkStart w:id="35" w:name="_ETM_Q_243471"/>
      <w:bookmarkStart w:id="36" w:name="_ETM_Q_249010"/>
      <w:bookmarkStart w:id="37" w:name="_ETM_Q_254437"/>
      <w:bookmarkStart w:id="38" w:name="_ETM_Q_260098"/>
      <w:bookmarkStart w:id="39" w:name="_ETM_Q_264746"/>
      <w:bookmarkStart w:id="40" w:name="_ETM_Q_268750"/>
      <w:bookmarkStart w:id="41" w:name="_ETM_Q_270371"/>
      <w:bookmarkStart w:id="42" w:name="_ETM_Q_275792"/>
      <w:bookmarkStart w:id="43" w:name="_ETM_Q_282329"/>
      <w:bookmarkStart w:id="44" w:name="_ETM_Q_286053"/>
      <w:bookmarkStart w:id="45" w:name="_ETM_Q_294056"/>
      <w:bookmarkStart w:id="46" w:name="_ETM_Q_299717"/>
      <w:bookmarkStart w:id="47" w:name="_ETM_Q_305429"/>
      <w:bookmarkStart w:id="48" w:name="_ETM_Q_308967"/>
      <w:bookmarkStart w:id="49" w:name="_ETM_Q_313027"/>
      <w:bookmarkStart w:id="50" w:name="_ETM_Q_320117"/>
      <w:bookmarkStart w:id="51" w:name="_ETM_Q_325537"/>
      <w:bookmarkStart w:id="52" w:name="_ETM_Q_329956"/>
      <w:bookmarkStart w:id="53" w:name="_ETM_Q_328616"/>
      <w:bookmarkStart w:id="54" w:name="_ETM_Q_372094"/>
      <w:bookmarkStart w:id="55" w:name="_ETM_Q_378882"/>
      <w:bookmarkStart w:id="56" w:name="_ETM_Q_384157"/>
      <w:bookmarkStart w:id="57" w:name="_ETM_Q_387505"/>
      <w:bookmarkStart w:id="58" w:name="_ETM_Q_392642"/>
      <w:bookmarkStart w:id="59" w:name="_ETM_Q_397187"/>
      <w:bookmarkStart w:id="60" w:name="_ETM_Q_400079"/>
      <w:bookmarkStart w:id="61" w:name="_ETM_Q_403758"/>
      <w:bookmarkStart w:id="62" w:name="_ETM_Q_413711"/>
      <w:bookmarkStart w:id="63" w:name="_ETM_Q_419969"/>
      <w:bookmarkStart w:id="64" w:name="_ETM_Q_426807"/>
      <w:bookmarkStart w:id="65" w:name="_ETM_Q_431971"/>
      <w:bookmarkStart w:id="66" w:name="_ETM_Q_432169"/>
      <w:bookmarkStart w:id="67" w:name="_ETM_Q_436443"/>
      <w:bookmarkStart w:id="68" w:name="_ETM_Q_443397"/>
      <w:bookmarkStart w:id="69" w:name="_ETM_Q_447083"/>
      <w:bookmarkStart w:id="70" w:name="_ETM_Q_450689"/>
      <w:bookmarkStart w:id="71" w:name="_ETM_Q_450080"/>
      <w:bookmarkStart w:id="72" w:name="_ETM_Q_457287"/>
      <w:bookmarkStart w:id="73" w:name="_ETM_Q_460170"/>
      <w:bookmarkStart w:id="74" w:name="_ETM_Q_465574"/>
      <w:bookmarkStart w:id="75" w:name="_ETM_Q_471510"/>
      <w:bookmarkStart w:id="76" w:name="_ETM_Q_479485"/>
      <w:bookmarkStart w:id="77" w:name="_ETM_Q_484463"/>
      <w:bookmarkStart w:id="78" w:name="_ETM_Q_491185"/>
      <w:bookmarkStart w:id="79" w:name="_ETM_Q_495200"/>
      <w:bookmarkStart w:id="80" w:name="_ETM_Q_499713"/>
      <w:bookmarkStart w:id="81" w:name="_ETM_Q_503051"/>
      <w:bookmarkStart w:id="82" w:name="_ETM_Q_506713"/>
      <w:bookmarkStart w:id="83" w:name="_ETM_Q_508515"/>
      <w:bookmarkStart w:id="84" w:name="_ETM_Q_512933"/>
      <w:bookmarkStart w:id="85" w:name="_ETM_Q_515160"/>
      <w:bookmarkStart w:id="86" w:name="_ETM_Q_519534"/>
      <w:bookmarkStart w:id="87" w:name="_ETM_Q_524315"/>
      <w:bookmarkStart w:id="88" w:name="_ETM_Q_531081"/>
      <w:bookmarkStart w:id="89" w:name="_ETM_Q_533489"/>
      <w:bookmarkStart w:id="90" w:name="_ETM_Q_538772"/>
      <w:bookmarkStart w:id="91" w:name="_ETM_Q_536028"/>
      <w:bookmarkStart w:id="92" w:name="_ETM_Q_539313"/>
      <w:bookmarkStart w:id="93" w:name="_ETM_Q_547388"/>
      <w:bookmarkStart w:id="94" w:name="_ETM_Q_553442"/>
      <w:bookmarkStart w:id="95" w:name="_ETM_Q_560296"/>
      <w:bookmarkStart w:id="96" w:name="_ETM_Q_568438"/>
      <w:bookmarkStart w:id="97" w:name="_ETM_Q_566839"/>
      <w:bookmarkStart w:id="98" w:name="_ETM_Q_572937"/>
      <w:bookmarkStart w:id="99" w:name="_ETM_Q_577512"/>
      <w:bookmarkStart w:id="100" w:name="_ETM_Q_582446"/>
      <w:bookmarkStart w:id="101" w:name="_ETM_Q_590795"/>
      <w:bookmarkStart w:id="102" w:name="_ETM_Q_598311"/>
      <w:bookmarkStart w:id="103" w:name="_ETM_Q_597692"/>
      <w:bookmarkStart w:id="104" w:name="_ETM_Q_602559"/>
      <w:bookmarkStart w:id="105" w:name="_ETM_Q_607450"/>
      <w:bookmarkStart w:id="106" w:name="_ETM_Q_614165"/>
      <w:bookmarkStart w:id="107" w:name="_ETM_Q_614938"/>
      <w:bookmarkStart w:id="108" w:name="_ETM_Q_616119"/>
      <w:bookmarkStart w:id="109" w:name="_ETM_Q_616234"/>
      <w:bookmarkStart w:id="110" w:name="_ETM_Q_622204"/>
      <w:bookmarkStart w:id="111" w:name="_ETM_Q_631160"/>
      <w:bookmarkStart w:id="112" w:name="_ETM_Q_638383"/>
      <w:bookmarkStart w:id="113" w:name="_ETM_Q_646732"/>
      <w:bookmarkStart w:id="114" w:name="_ETM_Q_648976"/>
      <w:bookmarkStart w:id="115" w:name="_ETM_Q_656553"/>
      <w:bookmarkStart w:id="116" w:name="_ETM_Q_659405"/>
      <w:bookmarkStart w:id="117" w:name="_ETM_Q_665554"/>
      <w:bookmarkStart w:id="118" w:name="_ETM_Q_665671"/>
      <w:bookmarkStart w:id="119" w:name="_ETM_Q_671328"/>
      <w:bookmarkStart w:id="120" w:name="_ETM_Q_676296"/>
      <w:bookmarkStart w:id="121" w:name="_ETM_Q_679396"/>
      <w:bookmarkStart w:id="122" w:name="_ETM_Q_684725"/>
      <w:bookmarkStart w:id="123" w:name="_ETM_Q_688897"/>
      <w:bookmarkStart w:id="124" w:name="_ETM_Q_694636"/>
      <w:bookmarkStart w:id="125" w:name="_ETM_Q_700992"/>
      <w:bookmarkStart w:id="126" w:name="_ETM_Q_705457"/>
      <w:bookmarkStart w:id="127" w:name="_ETM_Q_709395"/>
      <w:bookmarkStart w:id="128" w:name="_ETM_Q_716417"/>
      <w:bookmarkStart w:id="129" w:name="_ETM_Q_719754"/>
      <w:bookmarkStart w:id="130" w:name="_ETM_Q_722111"/>
      <w:bookmarkStart w:id="131" w:name="_ETM_Q_727297"/>
      <w:bookmarkStart w:id="132" w:name="_ETM_Q_732387"/>
      <w:bookmarkStart w:id="133" w:name="_ETM_Q_737612"/>
      <w:bookmarkStart w:id="134" w:name="_ETM_Q_739114"/>
      <w:bookmarkStart w:id="135" w:name="_ETM_Q_744961"/>
      <w:bookmarkStart w:id="136" w:name="_ETM_Q_751395"/>
      <w:bookmarkStart w:id="137" w:name="_ETM_Q_757524"/>
      <w:bookmarkStart w:id="138" w:name="_ETM_Q_762950"/>
      <w:bookmarkStart w:id="139" w:name="_ETM_Q_764727"/>
      <w:bookmarkStart w:id="140" w:name="_ETM_Q_78579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p>
    <w:p w14:paraId="2EF9B663" w14:textId="77777777" w:rsidR="00743398" w:rsidRPr="00496E5F" w:rsidRDefault="00743398" w:rsidP="00743398">
      <w:pPr>
        <w:spacing w:line="360" w:lineRule="auto"/>
        <w:jc w:val="both"/>
        <w:rPr>
          <w:rFonts w:cs="FrankRuehl"/>
          <w:sz w:val="28"/>
          <w:szCs w:val="28"/>
          <w:rtl/>
        </w:rPr>
      </w:pPr>
    </w:p>
    <w:p w14:paraId="3CD6C197" w14:textId="77777777" w:rsidR="00743398" w:rsidRPr="00496E5F" w:rsidRDefault="00743398" w:rsidP="00743398">
      <w:pPr>
        <w:spacing w:line="360" w:lineRule="auto"/>
        <w:jc w:val="both"/>
        <w:rPr>
          <w:rFonts w:cs="FrankRuehl"/>
          <w:sz w:val="28"/>
          <w:szCs w:val="28"/>
          <w:rtl/>
        </w:rPr>
      </w:pPr>
      <w:r>
        <w:rPr>
          <w:rFonts w:cs="FrankRuehl" w:hint="cs"/>
          <w:sz w:val="28"/>
          <w:szCs w:val="28"/>
          <w:rtl/>
        </w:rPr>
        <w:t>9.</w:t>
      </w:r>
      <w:r>
        <w:rPr>
          <w:rFonts w:cs="FrankRuehl" w:hint="cs"/>
          <w:sz w:val="28"/>
          <w:szCs w:val="28"/>
          <w:rtl/>
        </w:rPr>
        <w:tab/>
      </w:r>
      <w:r w:rsidRPr="00496E5F">
        <w:rPr>
          <w:rFonts w:cs="FrankRuehl" w:hint="cs"/>
          <w:sz w:val="28"/>
          <w:szCs w:val="28"/>
          <w:rtl/>
        </w:rPr>
        <w:t>בטיעוניה לעונש</w:t>
      </w:r>
      <w:r>
        <w:rPr>
          <w:rFonts w:cs="FrankRuehl" w:hint="cs"/>
          <w:sz w:val="28"/>
          <w:szCs w:val="28"/>
          <w:rtl/>
        </w:rPr>
        <w:t>,</w:t>
      </w:r>
      <w:r w:rsidRPr="00496E5F">
        <w:rPr>
          <w:rFonts w:cs="FrankRuehl" w:hint="cs"/>
          <w:sz w:val="28"/>
          <w:szCs w:val="28"/>
          <w:rtl/>
        </w:rPr>
        <w:t xml:space="preserve"> עמדה ב"כ המאשימה על הערכים המוגנים בעבירות הסמים ועל הפג</w:t>
      </w:r>
      <w:r>
        <w:rPr>
          <w:rFonts w:cs="FrankRuehl" w:hint="cs"/>
          <w:sz w:val="28"/>
          <w:szCs w:val="28"/>
          <w:rtl/>
        </w:rPr>
        <w:t>יעה ההרסנית של עבירות אלו בחברה, כש</w:t>
      </w:r>
      <w:bookmarkStart w:id="141" w:name="_ETM_Q_788957"/>
      <w:bookmarkStart w:id="142" w:name="_ETM_Q_793656"/>
      <w:bookmarkStart w:id="143" w:name="_ETM_Q_798214"/>
      <w:bookmarkStart w:id="144" w:name="_ETM_Q_803562"/>
      <w:bookmarkStart w:id="145" w:name="_ETM_Q_808777"/>
      <w:bookmarkStart w:id="146" w:name="_ETM_Q_813166"/>
      <w:bookmarkStart w:id="147" w:name="_ETM_Q_819332"/>
      <w:bookmarkStart w:id="148" w:name="_ETM_Q_824439"/>
      <w:bookmarkStart w:id="149" w:name="_ETM_Q_826071"/>
      <w:bookmarkStart w:id="150" w:name="_ETM_Q_831083"/>
      <w:bookmarkStart w:id="151" w:name="_ETM_Q_835938"/>
      <w:bookmarkStart w:id="152" w:name="_ETM_Q_840961"/>
      <w:bookmarkStart w:id="153" w:name="_ETM_Q_844551"/>
      <w:bookmarkStart w:id="154" w:name="_ETM_Q_851881"/>
      <w:bookmarkStart w:id="155" w:name="_ETM_Q_861345"/>
      <w:bookmarkStart w:id="156" w:name="_ETM_Q_865707"/>
      <w:bookmarkStart w:id="157" w:name="_ETM_Q_874393"/>
      <w:bookmarkStart w:id="158" w:name="_ETM_Q_879360"/>
      <w:bookmarkStart w:id="159" w:name="_ETM_Q_888572"/>
      <w:bookmarkStart w:id="160" w:name="_ETM_Q_896222"/>
      <w:bookmarkStart w:id="161" w:name="_ETM_Q_901553"/>
      <w:bookmarkStart w:id="162" w:name="_ETM_Q_905843"/>
      <w:bookmarkStart w:id="163" w:name="_ETM_Q_914473"/>
      <w:bookmarkStart w:id="164" w:name="_ETM_Q_916232"/>
      <w:bookmarkStart w:id="165" w:name="_ETM_Q_918167"/>
      <w:bookmarkStart w:id="166" w:name="_ETM_Q_920582"/>
      <w:bookmarkStart w:id="167" w:name="_ETM_Q_921623"/>
      <w:bookmarkStart w:id="168" w:name="_ETM_Q_922141"/>
      <w:bookmarkStart w:id="169" w:name="_ETM_Q_924270"/>
      <w:bookmarkStart w:id="170" w:name="_ETM_Q_926565"/>
      <w:bookmarkStart w:id="171" w:name="_ETM_Q_929456"/>
      <w:bookmarkStart w:id="172" w:name="_ETM_Q_924223"/>
      <w:bookmarkStart w:id="173" w:name="_ETM_Q_927123"/>
      <w:bookmarkStart w:id="174" w:name="_ETM_Q_927779"/>
      <w:bookmarkStart w:id="175" w:name="_ETM_Q_931671"/>
      <w:bookmarkStart w:id="176" w:name="_ETM_Q_935663"/>
      <w:bookmarkStart w:id="177" w:name="_ETM_Q_939852"/>
      <w:bookmarkStart w:id="178" w:name="_ETM_Q_939378"/>
      <w:bookmarkStart w:id="179" w:name="_ETM_Q_939910"/>
      <w:bookmarkStart w:id="180" w:name="_ETM_Q_944444"/>
      <w:bookmarkStart w:id="181" w:name="_ETM_Q_943994"/>
      <w:bookmarkStart w:id="182" w:name="_ETM_Q_947438"/>
      <w:bookmarkStart w:id="183" w:name="_ETM_Q_948647"/>
      <w:bookmarkStart w:id="184" w:name="_ETM_Q_951254"/>
      <w:bookmarkStart w:id="185" w:name="_ETM_Q_951781"/>
      <w:bookmarkStart w:id="186" w:name="_ETM_Q_953589"/>
      <w:bookmarkStart w:id="187" w:name="_ETM_Q_955717"/>
      <w:bookmarkStart w:id="188" w:name="_ETM_Q_956540"/>
      <w:bookmarkStart w:id="189" w:name="_ETM_Q_954557"/>
      <w:bookmarkStart w:id="190" w:name="_ETM_Q_958638"/>
      <w:bookmarkStart w:id="191" w:name="_ETM_Q_962066"/>
      <w:bookmarkStart w:id="192" w:name="_ETM_Q_968232"/>
      <w:bookmarkStart w:id="193" w:name="_ETM_Q_973680"/>
      <w:bookmarkStart w:id="194" w:name="_ETM_Q_973530"/>
      <w:bookmarkStart w:id="195" w:name="_ETM_Q_974746"/>
      <w:bookmarkStart w:id="196" w:name="_ETM_Q_978408"/>
      <w:bookmarkStart w:id="197" w:name="_ETM_Q_979853"/>
      <w:bookmarkStart w:id="198" w:name="_ETM_Q_979704"/>
      <w:bookmarkStart w:id="199" w:name="_ETM_Q_985640"/>
      <w:bookmarkStart w:id="200" w:name="_ETM_Q_993315"/>
      <w:bookmarkStart w:id="201" w:name="_ETM_Q_995153"/>
      <w:bookmarkStart w:id="202" w:name="_ETM_Q_999507"/>
      <w:bookmarkStart w:id="203" w:name="_ETM_Q_1001433"/>
      <w:bookmarkStart w:id="204" w:name="_ETM_Q_1002688"/>
      <w:bookmarkStart w:id="205" w:name="_ETM_Q_1004076"/>
      <w:bookmarkStart w:id="206" w:name="_ETM_Q_1005445"/>
      <w:bookmarkStart w:id="207" w:name="_ETM_Q_1015036"/>
      <w:bookmarkStart w:id="208" w:name="_ETM_Q_1020377"/>
      <w:bookmarkStart w:id="209" w:name="_ETM_Q_1024371"/>
      <w:bookmarkStart w:id="210" w:name="_ETM_Q_1031056"/>
      <w:bookmarkStart w:id="211" w:name="_ETM_Q_1038599"/>
      <w:bookmarkStart w:id="212" w:name="_ETM_Q_1040455"/>
      <w:bookmarkStart w:id="213" w:name="_ETM_Q_104386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r w:rsidRPr="00496E5F">
        <w:rPr>
          <w:rFonts w:cs="FrankRuehl" w:hint="cs"/>
          <w:sz w:val="28"/>
          <w:szCs w:val="28"/>
          <w:rtl/>
        </w:rPr>
        <w:t xml:space="preserve">הדבר נכון במיוחד כשמדובר בעבירה של החזקת סמים שלא לצריכה עצמית בלבד, דבר שמלמד על סכנה מוגברת של הפצת הסמים, המגדיל את הנזק לחברה. באשר לנסיבות ביצוע העבירה ציינה ב"כ המאשימה, את העובדה כי מדובר בסם מסוכן מסוג קוקאין ובכמות גדולה של פי 40 מהכמות המוגדרת בפקודה ככמות לשימוש עצמי. </w:t>
      </w:r>
      <w:bookmarkStart w:id="214" w:name="_ETM_Q_1048710"/>
      <w:bookmarkStart w:id="215" w:name="_ETM_Q_1054813"/>
      <w:bookmarkStart w:id="216" w:name="_ETM_Q_1058941"/>
      <w:bookmarkStart w:id="217" w:name="_ETM_Q_1063493"/>
      <w:bookmarkStart w:id="218" w:name="_ETM_Q_1068209"/>
      <w:bookmarkStart w:id="219" w:name="_ETM_Q_1075433"/>
      <w:bookmarkStart w:id="220" w:name="_ETM_Q_1081179"/>
      <w:bookmarkStart w:id="221" w:name="_ETM_Q_1087557"/>
      <w:bookmarkStart w:id="222" w:name="_ETM_Q_1093286"/>
      <w:bookmarkStart w:id="223" w:name="_ETM_Q_1098831"/>
      <w:bookmarkEnd w:id="214"/>
      <w:bookmarkEnd w:id="215"/>
      <w:bookmarkEnd w:id="216"/>
      <w:bookmarkEnd w:id="217"/>
      <w:bookmarkEnd w:id="218"/>
      <w:bookmarkEnd w:id="219"/>
      <w:bookmarkEnd w:id="220"/>
      <w:bookmarkEnd w:id="221"/>
      <w:bookmarkEnd w:id="222"/>
      <w:bookmarkEnd w:id="223"/>
    </w:p>
    <w:p w14:paraId="15CD9E97" w14:textId="77777777" w:rsidR="00743398" w:rsidRDefault="00743398" w:rsidP="00743398">
      <w:pPr>
        <w:spacing w:line="360" w:lineRule="auto"/>
        <w:jc w:val="both"/>
        <w:rPr>
          <w:rFonts w:cs="FrankRuehl"/>
          <w:sz w:val="28"/>
          <w:szCs w:val="28"/>
          <w:rtl/>
        </w:rPr>
      </w:pPr>
    </w:p>
    <w:p w14:paraId="0C49CD71" w14:textId="77777777" w:rsidR="00743398" w:rsidRPr="00496E5F" w:rsidRDefault="00743398" w:rsidP="00743398">
      <w:pPr>
        <w:spacing w:line="360" w:lineRule="auto"/>
        <w:jc w:val="both"/>
        <w:rPr>
          <w:rFonts w:cs="FrankRuehl"/>
          <w:sz w:val="28"/>
          <w:szCs w:val="28"/>
          <w:rtl/>
        </w:rPr>
      </w:pPr>
      <w:r>
        <w:rPr>
          <w:rFonts w:cs="FrankRuehl" w:hint="cs"/>
          <w:sz w:val="28"/>
          <w:szCs w:val="28"/>
          <w:rtl/>
        </w:rPr>
        <w:t>10.</w:t>
      </w:r>
      <w:r>
        <w:rPr>
          <w:rFonts w:cs="FrankRuehl" w:hint="cs"/>
          <w:sz w:val="28"/>
          <w:szCs w:val="28"/>
          <w:rtl/>
        </w:rPr>
        <w:tab/>
      </w:r>
      <w:r w:rsidRPr="00496E5F">
        <w:rPr>
          <w:rFonts w:cs="FrankRuehl" w:hint="cs"/>
          <w:sz w:val="28"/>
          <w:szCs w:val="28"/>
          <w:rtl/>
        </w:rPr>
        <w:t>מתחם העונש ההולם מקרה זה בנסיבותיו נע לדברי</w:t>
      </w:r>
      <w:r>
        <w:rPr>
          <w:rFonts w:cs="FrankRuehl" w:hint="cs"/>
          <w:sz w:val="28"/>
          <w:szCs w:val="28"/>
          <w:rtl/>
        </w:rPr>
        <w:t xml:space="preserve"> ב"כ המאשימ</w:t>
      </w:r>
      <w:r w:rsidRPr="00496E5F">
        <w:rPr>
          <w:rFonts w:cs="FrankRuehl" w:hint="cs"/>
          <w:sz w:val="28"/>
          <w:szCs w:val="28"/>
          <w:rtl/>
        </w:rPr>
        <w:t xml:space="preserve">ה, מ-8 עד 24 חודשי מאסר. לטענתה, אין מקום לסטות מהמתחם מטעמי שיקום, ולוּ נוכח העובדה שבחודש  </w:t>
      </w:r>
      <w:bookmarkStart w:id="224" w:name="_ETM_Q_1711118"/>
      <w:bookmarkEnd w:id="224"/>
      <w:r w:rsidRPr="00496E5F">
        <w:rPr>
          <w:rFonts w:cs="FrankRuehl" w:hint="cs"/>
          <w:sz w:val="28"/>
          <w:szCs w:val="28"/>
          <w:rtl/>
        </w:rPr>
        <w:t>נובמבר 2018, נערכו לנאשם בדיקות שתן ש</w:t>
      </w:r>
      <w:r>
        <w:rPr>
          <w:rFonts w:cs="FrankRuehl" w:hint="cs"/>
          <w:sz w:val="28"/>
          <w:szCs w:val="28"/>
          <w:rtl/>
        </w:rPr>
        <w:t>בהן נ</w:t>
      </w:r>
      <w:r w:rsidRPr="00496E5F">
        <w:rPr>
          <w:rFonts w:cs="FrankRuehl" w:hint="cs"/>
          <w:sz w:val="28"/>
          <w:szCs w:val="28"/>
          <w:rtl/>
        </w:rPr>
        <w:t xml:space="preserve">מצאו שרידי </w:t>
      </w:r>
      <w:bookmarkStart w:id="225" w:name="_ETM_Q_1716786"/>
      <w:bookmarkEnd w:id="225"/>
      <w:r w:rsidRPr="00496E5F">
        <w:rPr>
          <w:rFonts w:cs="FrankRuehl" w:hint="cs"/>
          <w:sz w:val="28"/>
          <w:szCs w:val="28"/>
          <w:rtl/>
        </w:rPr>
        <w:t xml:space="preserve">סם. ומה גם, שכפי שעלה גם מעדות אחיו של הנאשם, הליך טיפולי שהנאשם עבר, לא צלח והנאשם שב להשתמש בסם. על מנת לעבור שיקום, </w:t>
      </w:r>
      <w:bookmarkStart w:id="226" w:name="_ETM_Q_1722419"/>
      <w:bookmarkStart w:id="227" w:name="_ETM_Q_1729447"/>
      <w:bookmarkStart w:id="228" w:name="_ETM_Q_1732053"/>
      <w:bookmarkStart w:id="229" w:name="_ETM_Q_1734937"/>
      <w:bookmarkStart w:id="230" w:name="_ETM_Q_1737083"/>
      <w:bookmarkStart w:id="231" w:name="_ETM_Q_1737748"/>
      <w:bookmarkStart w:id="232" w:name="_ETM_Q_1740076"/>
      <w:bookmarkStart w:id="233" w:name="_ETM_Q_1737796"/>
      <w:bookmarkStart w:id="234" w:name="_ETM_Q_1740520"/>
      <w:bookmarkStart w:id="235" w:name="_ETM_Q_1742313"/>
      <w:bookmarkStart w:id="236" w:name="_ETM_Q_1743763"/>
      <w:bookmarkStart w:id="237" w:name="_ETM_Q_1745220"/>
      <w:bookmarkStart w:id="238" w:name="_ETM_Q_1746356"/>
      <w:bookmarkStart w:id="239" w:name="_ETM_Q_1747414"/>
      <w:bookmarkStart w:id="240" w:name="_ETM_Q_1749682"/>
      <w:bookmarkStart w:id="241" w:name="_ETM_Q_1752622"/>
      <w:bookmarkStart w:id="242" w:name="_ETM_Q_1753239"/>
      <w:bookmarkStart w:id="243" w:name="_ETM_Q_1751996"/>
      <w:bookmarkStart w:id="244" w:name="_ETM_Q_1753182"/>
      <w:bookmarkStart w:id="245" w:name="_ETM_Q_1754443"/>
      <w:bookmarkStart w:id="246" w:name="_ETM_Q_1756039"/>
      <w:bookmarkStart w:id="247" w:name="_ETM_Q_1756042"/>
      <w:bookmarkStart w:id="248" w:name="_ETM_Q_1760450"/>
      <w:bookmarkStart w:id="249" w:name="_ETM_Q_1764187"/>
      <w:bookmarkStart w:id="250" w:name="_ETM_Q_1762416"/>
      <w:bookmarkStart w:id="251" w:name="_ETM_Q_1763715"/>
      <w:bookmarkStart w:id="252" w:name="_ETM_Q_1765518"/>
      <w:bookmarkStart w:id="253" w:name="_ETM_Q_1769226"/>
      <w:bookmarkStart w:id="254" w:name="_ETM_Q_1773703"/>
      <w:bookmarkStart w:id="255" w:name="_ETM_Q_1777776"/>
      <w:bookmarkStart w:id="256" w:name="_ETM_Q_1779832"/>
      <w:bookmarkStart w:id="257" w:name="_ETM_Q_1782441"/>
      <w:bookmarkStart w:id="258" w:name="_ETM_Q_1784307"/>
      <w:bookmarkStart w:id="259" w:name="_ETM_Q_1783195"/>
      <w:bookmarkStart w:id="260" w:name="_ETM_Q_1789862"/>
      <w:bookmarkStart w:id="261" w:name="_ETM_Q_1793600"/>
      <w:bookmarkStart w:id="262" w:name="_ETM_Q_1796847"/>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r w:rsidRPr="00496E5F">
        <w:rPr>
          <w:rFonts w:cs="FrankRuehl" w:hint="cs"/>
          <w:sz w:val="28"/>
          <w:szCs w:val="28"/>
          <w:rtl/>
        </w:rPr>
        <w:t>הנאשם צריך להיות</w:t>
      </w:r>
      <w:bookmarkStart w:id="263" w:name="_ETM_Q_87389"/>
      <w:bookmarkEnd w:id="263"/>
      <w:r w:rsidRPr="00496E5F">
        <w:rPr>
          <w:rFonts w:cs="FrankRuehl" w:hint="cs"/>
          <w:sz w:val="28"/>
          <w:szCs w:val="28"/>
          <w:rtl/>
        </w:rPr>
        <w:t xml:space="preserve"> בנקודה בה הוא מבין את הבעיה שלו בצורה עמוקה, דבר שאינו קיים במקרה זה. </w:t>
      </w:r>
    </w:p>
    <w:p w14:paraId="065B1F94" w14:textId="77777777" w:rsidR="00743398" w:rsidRDefault="00743398" w:rsidP="00743398">
      <w:pPr>
        <w:spacing w:line="360" w:lineRule="auto"/>
        <w:jc w:val="both"/>
        <w:rPr>
          <w:rFonts w:cs="FrankRuehl"/>
          <w:sz w:val="28"/>
          <w:szCs w:val="28"/>
          <w:rtl/>
        </w:rPr>
      </w:pPr>
      <w:bookmarkStart w:id="264" w:name="_ETM_Q_92065"/>
      <w:bookmarkStart w:id="265" w:name="_ETM_Q_98000"/>
      <w:bookmarkStart w:id="266" w:name="_ETM_Q_101368"/>
      <w:bookmarkStart w:id="267" w:name="_ETM_Q_105785"/>
      <w:bookmarkStart w:id="268" w:name="_ETM_Q_105489"/>
      <w:bookmarkStart w:id="269" w:name="_ETM_Q_107762"/>
      <w:bookmarkStart w:id="270" w:name="_ETM_Q_111570"/>
      <w:bookmarkStart w:id="271" w:name="_ETM_Q_115222"/>
      <w:bookmarkStart w:id="272" w:name="_ETM_Q_115765"/>
      <w:bookmarkStart w:id="273" w:name="_ETM_Q_118127"/>
      <w:bookmarkStart w:id="274" w:name="_ETM_Q_115287"/>
      <w:bookmarkStart w:id="275" w:name="_ETM_Q_117359"/>
      <w:bookmarkStart w:id="276" w:name="_ETM_Q_120086"/>
      <w:bookmarkStart w:id="277" w:name="_ETM_Q_122634"/>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p>
    <w:p w14:paraId="70D714BB" w14:textId="77777777" w:rsidR="00743398" w:rsidRPr="00496E5F" w:rsidRDefault="00743398" w:rsidP="00743398">
      <w:pPr>
        <w:spacing w:line="360" w:lineRule="auto"/>
        <w:jc w:val="both"/>
        <w:rPr>
          <w:rFonts w:cs="FrankRuehl"/>
          <w:sz w:val="28"/>
          <w:szCs w:val="28"/>
          <w:rtl/>
        </w:rPr>
      </w:pPr>
      <w:r>
        <w:rPr>
          <w:rFonts w:cs="FrankRuehl" w:hint="cs"/>
          <w:sz w:val="28"/>
          <w:szCs w:val="28"/>
          <w:rtl/>
        </w:rPr>
        <w:t>11.</w:t>
      </w:r>
      <w:r>
        <w:rPr>
          <w:rFonts w:cs="FrankRuehl" w:hint="cs"/>
          <w:sz w:val="28"/>
          <w:szCs w:val="28"/>
          <w:rtl/>
        </w:rPr>
        <w:tab/>
      </w:r>
      <w:r w:rsidRPr="00496E5F">
        <w:rPr>
          <w:rFonts w:cs="FrankRuehl" w:hint="cs"/>
          <w:sz w:val="28"/>
          <w:szCs w:val="28"/>
          <w:rtl/>
        </w:rPr>
        <w:t xml:space="preserve">בהתייחס לעונשו של הנאשם בתוך המתחם נטען כי נוכח עברו הפלילי הכולל עבירות סמים קלות מלפני זמן רב, הודאתו ונסיבות חייו הקשות, יש למקם את עונשו בתחתית המתחם ולהשית עליו 8 חודשי מאסר, </w:t>
      </w:r>
      <w:bookmarkStart w:id="278" w:name="_ETM_Q_192133"/>
      <w:bookmarkEnd w:id="278"/>
      <w:r w:rsidRPr="00496E5F">
        <w:rPr>
          <w:rFonts w:cs="FrankRuehl" w:hint="cs"/>
          <w:sz w:val="28"/>
          <w:szCs w:val="28"/>
          <w:rtl/>
        </w:rPr>
        <w:t xml:space="preserve">מאסר על תנאי וקנס. </w:t>
      </w:r>
    </w:p>
    <w:p w14:paraId="06432AF8" w14:textId="77777777" w:rsidR="00743398" w:rsidRPr="00496E5F" w:rsidRDefault="00743398" w:rsidP="00743398">
      <w:pPr>
        <w:spacing w:line="360" w:lineRule="auto"/>
        <w:jc w:val="both"/>
        <w:rPr>
          <w:rFonts w:cs="FrankRuehl"/>
          <w:b/>
          <w:bCs/>
          <w:sz w:val="28"/>
          <w:szCs w:val="28"/>
          <w:rtl/>
        </w:rPr>
      </w:pPr>
    </w:p>
    <w:p w14:paraId="59D42843" w14:textId="77777777" w:rsidR="00743398" w:rsidRDefault="00743398" w:rsidP="00743398">
      <w:pPr>
        <w:spacing w:line="360" w:lineRule="auto"/>
        <w:jc w:val="both"/>
        <w:rPr>
          <w:rFonts w:cs="FrankRuehl"/>
          <w:sz w:val="28"/>
          <w:szCs w:val="28"/>
          <w:rtl/>
        </w:rPr>
      </w:pPr>
      <w:bookmarkStart w:id="279" w:name="_ETM_Q_1303742"/>
      <w:bookmarkStart w:id="280" w:name="_ETM_Q_1321701"/>
      <w:bookmarkStart w:id="281" w:name="_ETM_Q_1346448"/>
      <w:bookmarkStart w:id="282" w:name="_ETM_Q_1592622"/>
      <w:bookmarkStart w:id="283" w:name="_ETM_Q_1593495"/>
      <w:bookmarkStart w:id="284" w:name="_ETM_Q_1595147"/>
      <w:bookmarkStart w:id="285" w:name="_ETM_Q_1597511"/>
      <w:bookmarkStart w:id="286" w:name="_ETM_Q_1603576"/>
      <w:bookmarkStart w:id="287" w:name="_ETM_Q_1604397"/>
      <w:bookmarkStart w:id="288" w:name="_ETM_Q_224707"/>
      <w:bookmarkStart w:id="289" w:name="_ETM_Q_261297"/>
      <w:bookmarkEnd w:id="279"/>
      <w:bookmarkEnd w:id="280"/>
      <w:bookmarkEnd w:id="281"/>
      <w:bookmarkEnd w:id="282"/>
      <w:bookmarkEnd w:id="283"/>
      <w:bookmarkEnd w:id="284"/>
      <w:bookmarkEnd w:id="285"/>
      <w:bookmarkEnd w:id="286"/>
      <w:bookmarkEnd w:id="287"/>
      <w:bookmarkEnd w:id="288"/>
      <w:bookmarkEnd w:id="289"/>
      <w:r>
        <w:rPr>
          <w:rFonts w:cs="FrankRuehl" w:hint="cs"/>
          <w:sz w:val="28"/>
          <w:szCs w:val="28"/>
          <w:rtl/>
        </w:rPr>
        <w:t>12.</w:t>
      </w:r>
      <w:r>
        <w:rPr>
          <w:rFonts w:cs="FrankRuehl" w:hint="cs"/>
          <w:sz w:val="28"/>
          <w:szCs w:val="28"/>
          <w:rtl/>
        </w:rPr>
        <w:tab/>
        <w:t>מנגד טען ב"כ הנאשם, כי מדובר במ</w:t>
      </w:r>
      <w:r w:rsidRPr="00496E5F">
        <w:rPr>
          <w:rFonts w:cs="FrankRuehl" w:hint="cs"/>
          <w:sz w:val="28"/>
          <w:szCs w:val="28"/>
          <w:rtl/>
        </w:rPr>
        <w:t xml:space="preserve">קרה </w:t>
      </w:r>
      <w:r>
        <w:rPr>
          <w:rFonts w:cs="FrankRuehl" w:hint="cs"/>
          <w:sz w:val="28"/>
          <w:szCs w:val="28"/>
          <w:rtl/>
        </w:rPr>
        <w:t>ייחודי וי</w:t>
      </w:r>
      <w:r w:rsidRPr="00496E5F">
        <w:rPr>
          <w:rFonts w:cs="FrankRuehl" w:hint="cs"/>
          <w:sz w:val="28"/>
          <w:szCs w:val="28"/>
          <w:rtl/>
        </w:rPr>
        <w:t>וצא דופן</w:t>
      </w:r>
      <w:r>
        <w:rPr>
          <w:rFonts w:cs="FrankRuehl" w:hint="cs"/>
          <w:sz w:val="28"/>
          <w:szCs w:val="28"/>
          <w:rtl/>
        </w:rPr>
        <w:t xml:space="preserve">. הנאשם גדל במשפחה בת 10 נפשות שכולם גדלו לתפארת החברה במדינת ישראל. הנאשם חווה </w:t>
      </w:r>
      <w:bookmarkStart w:id="290" w:name="_ETM_Q_473027"/>
      <w:bookmarkEnd w:id="290"/>
      <w:r w:rsidRPr="00496E5F">
        <w:rPr>
          <w:rFonts w:cs="FrankRuehl" w:hint="cs"/>
          <w:sz w:val="28"/>
          <w:szCs w:val="28"/>
          <w:rtl/>
        </w:rPr>
        <w:t>חוויות מאד קשות</w:t>
      </w:r>
      <w:r>
        <w:rPr>
          <w:rFonts w:cs="FrankRuehl" w:hint="cs"/>
          <w:sz w:val="28"/>
          <w:szCs w:val="28"/>
          <w:rtl/>
        </w:rPr>
        <w:t xml:space="preserve"> שגרמו לו לפנות לשימוש בסמים. בין היתר, במסגרת שירותו הצבאי התפוצץ רימון בסמוך לו ונקטעו שתיים מאצבעות ידיו. הנאשם לא אמר נואש, נאחז בחיים, חרף הקשיים שליוו אותו מאז, הניסיון להקים משפחה, למצוא עבודה וכיוצ"ב, אך בסופו של דבר, היה מי שניצל זאת וקרב אותו אליו תוך ניצול מצבו. אותם אנשים הציעו לו "תרופות" למצבו הקשה והתעשרו על חשבונו. גם לאחר שהתמכר לסמים הם המשיכו לנצל זאת ואת כספו והותירו אותו חסר כל. בהמשך, נאלץ הנאשם לטפל באביו שנפגע בתאונת דרכים, וגם זה לא היטיב את מצבו הנפשי. כיום הנאשם סובל ממחלה נפשית, כפי שניתן ללמוד מהמסמכים הרפואיים שהוגשו. ב"כ הנאשם הצביע על כך שגם שירות המבחן נותן את אימונו בנאשם ובדרך שהוא צועד בה. לדבריו, שליחתו של הנאשם אל מעבר לכותלי בית הסוהר תוביל לקריסתו המוחלטת. הוא ביקש כי בית המשפט יסייע לנאשם, שהוא למעשה קרבן להתנהגותם של אחרים, ויאפשר לו להמשיך בדרך הטיפולית.  </w:t>
      </w:r>
    </w:p>
    <w:p w14:paraId="3B1966B6" w14:textId="77777777" w:rsidR="00743398" w:rsidRDefault="00743398" w:rsidP="00743398">
      <w:pPr>
        <w:spacing w:line="360" w:lineRule="auto"/>
        <w:jc w:val="both"/>
        <w:rPr>
          <w:rFonts w:cs="FrankRuehl"/>
          <w:sz w:val="28"/>
          <w:szCs w:val="28"/>
          <w:rtl/>
        </w:rPr>
      </w:pPr>
      <w:bookmarkStart w:id="291" w:name="_ETM_Q_1604620"/>
      <w:bookmarkStart w:id="292" w:name="_ETM_Q_61961"/>
      <w:bookmarkEnd w:id="291"/>
      <w:bookmarkEnd w:id="292"/>
    </w:p>
    <w:p w14:paraId="58861BD3" w14:textId="77777777" w:rsidR="00743398" w:rsidRPr="00585A2E" w:rsidRDefault="00743398" w:rsidP="00743398">
      <w:pPr>
        <w:spacing w:line="360" w:lineRule="auto"/>
        <w:jc w:val="both"/>
        <w:rPr>
          <w:rFonts w:cs="FrankRuehl"/>
          <w:b/>
          <w:bCs/>
          <w:sz w:val="28"/>
          <w:szCs w:val="28"/>
          <w:u w:val="single"/>
          <w:rtl/>
        </w:rPr>
      </w:pPr>
      <w:r w:rsidRPr="00585A2E">
        <w:rPr>
          <w:rFonts w:cs="FrankRuehl" w:hint="cs"/>
          <w:b/>
          <w:bCs/>
          <w:sz w:val="28"/>
          <w:szCs w:val="28"/>
          <w:u w:val="single"/>
          <w:rtl/>
        </w:rPr>
        <w:t>דיון והכרעה</w:t>
      </w:r>
    </w:p>
    <w:p w14:paraId="2BE640F9" w14:textId="77777777" w:rsidR="00743398" w:rsidRPr="00C111B4" w:rsidRDefault="00743398" w:rsidP="00743398">
      <w:pPr>
        <w:spacing w:line="360" w:lineRule="auto"/>
        <w:contextualSpacing/>
        <w:jc w:val="both"/>
        <w:rPr>
          <w:rFonts w:ascii="Arial" w:hAnsi="Arial" w:cs="FrankRuehl"/>
          <w:sz w:val="28"/>
          <w:szCs w:val="28"/>
          <w:rtl/>
        </w:rPr>
      </w:pPr>
      <w:r>
        <w:rPr>
          <w:rFonts w:cs="FrankRuehl" w:hint="cs"/>
          <w:sz w:val="28"/>
          <w:szCs w:val="28"/>
          <w:rtl/>
        </w:rPr>
        <w:t>13.</w:t>
      </w:r>
      <w:r>
        <w:rPr>
          <w:rFonts w:cs="FrankRuehl" w:hint="cs"/>
          <w:sz w:val="28"/>
          <w:szCs w:val="28"/>
          <w:rtl/>
        </w:rPr>
        <w:tab/>
      </w:r>
      <w:r w:rsidRPr="00C111B4">
        <w:rPr>
          <w:rFonts w:ascii="Arial" w:hAnsi="Arial" w:cs="FrankRuehl"/>
          <w:sz w:val="28"/>
          <w:szCs w:val="28"/>
          <w:rtl/>
        </w:rPr>
        <w:t xml:space="preserve">עבירות של </w:t>
      </w:r>
      <w:r>
        <w:rPr>
          <w:rFonts w:ascii="Arial" w:hAnsi="Arial" w:cs="FrankRuehl" w:hint="cs"/>
          <w:sz w:val="28"/>
          <w:szCs w:val="28"/>
          <w:rtl/>
        </w:rPr>
        <w:t xml:space="preserve">שימוש בסמים שלא לצריכה עצמית </w:t>
      </w:r>
      <w:r w:rsidRPr="00C111B4">
        <w:rPr>
          <w:rFonts w:ascii="Arial" w:hAnsi="Arial" w:cs="FrankRuehl"/>
          <w:sz w:val="28"/>
          <w:szCs w:val="28"/>
          <w:rtl/>
        </w:rPr>
        <w:t>ה</w:t>
      </w:r>
      <w:r>
        <w:rPr>
          <w:rFonts w:ascii="Arial" w:hAnsi="Arial" w:cs="FrankRuehl" w:hint="cs"/>
          <w:sz w:val="28"/>
          <w:szCs w:val="28"/>
          <w:rtl/>
        </w:rPr>
        <w:t>י</w:t>
      </w:r>
      <w:r w:rsidRPr="00C111B4">
        <w:rPr>
          <w:rFonts w:ascii="Arial" w:hAnsi="Arial" w:cs="FrankRuehl"/>
          <w:sz w:val="28"/>
          <w:szCs w:val="28"/>
          <w:rtl/>
        </w:rPr>
        <w:t xml:space="preserve">נן עבירות קשות וחמורות אשר תוצאותיהן הרות אסון לחברה כולה. עבירות הסמים נועדו להגן על שלום הציבור ובריאותו ומניעת התופעות השליליות הנלוות לצריכת הסמים, ביניהן עבירות אלימות ורכוש.  </w:t>
      </w:r>
    </w:p>
    <w:p w14:paraId="3B5769B2" w14:textId="77777777" w:rsidR="00743398" w:rsidRPr="00C111B4" w:rsidRDefault="00743398" w:rsidP="00743398">
      <w:pPr>
        <w:spacing w:line="360" w:lineRule="auto"/>
        <w:contextualSpacing/>
        <w:jc w:val="both"/>
        <w:rPr>
          <w:rFonts w:ascii="Arial" w:hAnsi="Arial" w:cs="FrankRuehl"/>
          <w:sz w:val="28"/>
          <w:szCs w:val="28"/>
          <w:rtl/>
        </w:rPr>
      </w:pPr>
    </w:p>
    <w:p w14:paraId="237EB851" w14:textId="77777777" w:rsidR="00743398" w:rsidRDefault="00743398" w:rsidP="00743398">
      <w:pPr>
        <w:spacing w:line="360" w:lineRule="auto"/>
        <w:jc w:val="both"/>
        <w:rPr>
          <w:rFonts w:ascii="Arial" w:hAnsi="Arial" w:cs="FrankRuehl"/>
          <w:sz w:val="28"/>
          <w:szCs w:val="28"/>
          <w:rtl/>
        </w:rPr>
      </w:pPr>
      <w:r>
        <w:rPr>
          <w:rFonts w:ascii="Arial" w:hAnsi="Arial" w:cs="FrankRuehl" w:hint="cs"/>
          <w:sz w:val="28"/>
          <w:szCs w:val="28"/>
          <w:rtl/>
        </w:rPr>
        <w:t>14</w:t>
      </w:r>
      <w:r w:rsidRPr="00C111B4">
        <w:rPr>
          <w:rFonts w:ascii="Arial" w:hAnsi="Arial" w:cs="FrankRuehl"/>
          <w:sz w:val="28"/>
          <w:szCs w:val="28"/>
          <w:rtl/>
        </w:rPr>
        <w:t>.</w:t>
      </w:r>
      <w:r w:rsidRPr="00C111B4">
        <w:rPr>
          <w:rFonts w:ascii="Arial" w:hAnsi="Arial" w:cs="FrankRuehl"/>
          <w:sz w:val="28"/>
          <w:szCs w:val="28"/>
          <w:rtl/>
        </w:rPr>
        <w:tab/>
        <w:t>במקרה זה, הנאשם הורשע ב</w:t>
      </w:r>
      <w:r>
        <w:rPr>
          <w:rFonts w:ascii="Arial" w:hAnsi="Arial" w:cs="FrankRuehl" w:hint="cs"/>
          <w:sz w:val="28"/>
          <w:szCs w:val="28"/>
          <w:rtl/>
        </w:rPr>
        <w:t xml:space="preserve">עבירה של החזקת סם שלא לשימוש עצמי, כשמדובר בסם מסוכן מסוג קוקאין, ובכמות שאינה מבוטלת, 12.4 גרם. לצד זאת, אין מחלוקת כי הסמים שימשו גם את הנאשם עצמו. </w:t>
      </w:r>
    </w:p>
    <w:p w14:paraId="4F71CF6B" w14:textId="77777777" w:rsidR="00743398" w:rsidRDefault="00743398" w:rsidP="00743398">
      <w:pPr>
        <w:spacing w:line="360" w:lineRule="auto"/>
        <w:jc w:val="both"/>
        <w:rPr>
          <w:rFonts w:ascii="Arial" w:hAnsi="Arial" w:cs="FrankRuehl"/>
          <w:sz w:val="28"/>
          <w:szCs w:val="28"/>
          <w:rtl/>
        </w:rPr>
      </w:pPr>
    </w:p>
    <w:p w14:paraId="5C2F2D76" w14:textId="77777777" w:rsidR="00743398" w:rsidRPr="00C111B4" w:rsidRDefault="00743398" w:rsidP="00743398">
      <w:pPr>
        <w:spacing w:line="360" w:lineRule="auto"/>
        <w:contextualSpacing/>
        <w:jc w:val="both"/>
        <w:rPr>
          <w:rFonts w:ascii="Arial" w:hAnsi="Arial" w:cs="FrankRuehl"/>
          <w:sz w:val="28"/>
          <w:szCs w:val="28"/>
          <w:rtl/>
        </w:rPr>
      </w:pPr>
      <w:r>
        <w:rPr>
          <w:rFonts w:ascii="Arial" w:hAnsi="Arial" w:cs="FrankRuehl" w:hint="cs"/>
          <w:sz w:val="28"/>
          <w:szCs w:val="28"/>
          <w:rtl/>
        </w:rPr>
        <w:t>15</w:t>
      </w:r>
      <w:r w:rsidRPr="00C111B4">
        <w:rPr>
          <w:rFonts w:ascii="Arial" w:hAnsi="Arial" w:cs="FrankRuehl"/>
          <w:sz w:val="28"/>
          <w:szCs w:val="28"/>
          <w:rtl/>
        </w:rPr>
        <w:t>.</w:t>
      </w:r>
      <w:r w:rsidRPr="00C111B4">
        <w:rPr>
          <w:rFonts w:ascii="Arial" w:hAnsi="Arial" w:cs="FrankRuehl"/>
          <w:sz w:val="28"/>
          <w:szCs w:val="28"/>
          <w:rtl/>
        </w:rPr>
        <w:tab/>
        <w:t>בשים לב לערכים המוגנים האמורים, לנסיבות ביצוע העבירות ולפסיקה הנוהגת אני סבור כי המתחם המתייחס לעביר</w:t>
      </w:r>
      <w:r>
        <w:rPr>
          <w:rFonts w:ascii="Arial" w:hAnsi="Arial" w:cs="FrankRuehl" w:hint="cs"/>
          <w:sz w:val="28"/>
          <w:szCs w:val="28"/>
          <w:rtl/>
        </w:rPr>
        <w:t xml:space="preserve">ה בנסיבותיה </w:t>
      </w:r>
      <w:r w:rsidRPr="00C111B4">
        <w:rPr>
          <w:rFonts w:ascii="Arial" w:hAnsi="Arial" w:cs="FrankRuehl"/>
          <w:sz w:val="28"/>
          <w:szCs w:val="28"/>
          <w:rtl/>
        </w:rPr>
        <w:t xml:space="preserve">נע בין מספר חודשי מאסר שיכול וירוצו בעבודות שירות ועד ל-12 חודשי מאסר.   </w:t>
      </w:r>
    </w:p>
    <w:p w14:paraId="18EFEFCC" w14:textId="77777777" w:rsidR="00743398" w:rsidRPr="00C111B4" w:rsidRDefault="00743398" w:rsidP="00743398">
      <w:pPr>
        <w:spacing w:line="360" w:lineRule="auto"/>
        <w:contextualSpacing/>
        <w:jc w:val="both"/>
        <w:rPr>
          <w:rFonts w:cs="FrankRuehl"/>
          <w:sz w:val="28"/>
          <w:szCs w:val="28"/>
          <w:rtl/>
        </w:rPr>
      </w:pPr>
    </w:p>
    <w:p w14:paraId="47CF161D" w14:textId="77777777" w:rsidR="00743398" w:rsidRPr="00C111B4" w:rsidRDefault="00743398" w:rsidP="00743398">
      <w:pPr>
        <w:spacing w:line="360" w:lineRule="auto"/>
        <w:contextualSpacing/>
        <w:jc w:val="both"/>
        <w:rPr>
          <w:rFonts w:cs="FrankRuehl"/>
          <w:sz w:val="28"/>
          <w:szCs w:val="28"/>
          <w:rtl/>
          <w:lang w:eastAsia="he-IL"/>
        </w:rPr>
      </w:pPr>
      <w:r w:rsidRPr="00C111B4">
        <w:rPr>
          <w:rFonts w:cs="FrankRuehl"/>
          <w:sz w:val="28"/>
          <w:szCs w:val="28"/>
          <w:rtl/>
          <w:lang w:eastAsia="he-IL"/>
        </w:rPr>
        <w:t>מכאן לנאשם.</w:t>
      </w:r>
    </w:p>
    <w:p w14:paraId="6E90286E" w14:textId="77777777" w:rsidR="00743398" w:rsidRPr="00C111B4" w:rsidRDefault="00743398" w:rsidP="00743398">
      <w:pPr>
        <w:spacing w:line="360" w:lineRule="auto"/>
        <w:contextualSpacing/>
        <w:jc w:val="both"/>
        <w:rPr>
          <w:rFonts w:cs="FrankRuehl"/>
          <w:sz w:val="28"/>
          <w:szCs w:val="28"/>
          <w:rtl/>
          <w:lang w:eastAsia="he-IL"/>
        </w:rPr>
      </w:pPr>
    </w:p>
    <w:p w14:paraId="2B6BF242" w14:textId="77777777" w:rsidR="00743398" w:rsidRPr="00496E5F" w:rsidRDefault="00743398" w:rsidP="00743398">
      <w:pPr>
        <w:spacing w:line="360" w:lineRule="auto"/>
        <w:contextualSpacing/>
        <w:jc w:val="both"/>
        <w:rPr>
          <w:rFonts w:cs="FrankRuehl"/>
          <w:sz w:val="28"/>
          <w:szCs w:val="28"/>
          <w:rtl/>
        </w:rPr>
      </w:pPr>
      <w:r>
        <w:rPr>
          <w:rFonts w:cs="FrankRuehl" w:hint="cs"/>
          <w:sz w:val="28"/>
          <w:szCs w:val="28"/>
          <w:rtl/>
          <w:lang w:eastAsia="he-IL"/>
        </w:rPr>
        <w:t>16</w:t>
      </w:r>
      <w:r>
        <w:rPr>
          <w:rFonts w:cs="FrankRuehl"/>
          <w:sz w:val="28"/>
          <w:szCs w:val="28"/>
          <w:rtl/>
          <w:lang w:eastAsia="he-IL"/>
        </w:rPr>
        <w:t>.</w:t>
      </w:r>
      <w:r>
        <w:rPr>
          <w:rFonts w:cs="FrankRuehl"/>
          <w:sz w:val="28"/>
          <w:szCs w:val="28"/>
          <w:rtl/>
          <w:lang w:eastAsia="he-IL"/>
        </w:rPr>
        <w:tab/>
        <w:t>הנאשם יליד 197</w:t>
      </w:r>
      <w:r>
        <w:rPr>
          <w:rFonts w:cs="FrankRuehl" w:hint="cs"/>
          <w:sz w:val="28"/>
          <w:szCs w:val="28"/>
          <w:rtl/>
          <w:lang w:eastAsia="he-IL"/>
        </w:rPr>
        <w:t>0</w:t>
      </w:r>
      <w:r>
        <w:rPr>
          <w:rFonts w:cs="FrankRuehl"/>
          <w:sz w:val="28"/>
          <w:szCs w:val="28"/>
          <w:rtl/>
          <w:lang w:eastAsia="he-IL"/>
        </w:rPr>
        <w:t xml:space="preserve">, כיום בן </w:t>
      </w:r>
      <w:r>
        <w:rPr>
          <w:rFonts w:cs="FrankRuehl" w:hint="cs"/>
          <w:sz w:val="28"/>
          <w:szCs w:val="28"/>
          <w:rtl/>
          <w:lang w:eastAsia="he-IL"/>
        </w:rPr>
        <w:t>4</w:t>
      </w:r>
      <w:r w:rsidRPr="00C111B4">
        <w:rPr>
          <w:rFonts w:cs="FrankRuehl"/>
          <w:sz w:val="28"/>
          <w:szCs w:val="28"/>
          <w:rtl/>
          <w:lang w:eastAsia="he-IL"/>
        </w:rPr>
        <w:t>9,</w:t>
      </w:r>
      <w:r>
        <w:rPr>
          <w:rFonts w:cs="FrankRuehl" w:hint="cs"/>
          <w:sz w:val="28"/>
          <w:szCs w:val="28"/>
          <w:rtl/>
          <w:lang w:eastAsia="he-IL"/>
        </w:rPr>
        <w:t xml:space="preserve"> רווק. עברו הפלילי, כולל הרשעה אחת בעבירה של החזקת סמים לשימוש עצמי מלפני 15 שנים. הוא סיים 12 שנות לימוד ושירות צבאי מלא. בהיותו בן 16, אביו נפצע בתאונת דרכים ממנה לא השתקם עד לפטירתו והדבר השפיע על מצבו הנפשי של הנאשם. כיום, מצבו הבריאותי-נפשי אינו בכי טוב, כפי שנלמד מהמסמכים הרפואיים שהוגשו. הוא מקבל טיפול תרופתי ולאחרונה חלה הטבה במצבו. הדבר בא לידי ביטוי גם בהפסקת השימוש בסמים. הנאשם הודה במיוחס לו ונטל אחריות על מעשיו. הנאשם היה עצור בתחילת ההליך למשך </w:t>
      </w:r>
      <w:r>
        <w:rPr>
          <w:rFonts w:cs="FrankRuehl" w:hint="cs"/>
          <w:sz w:val="28"/>
          <w:szCs w:val="28"/>
          <w:rtl/>
        </w:rPr>
        <w:t>5</w:t>
      </w:r>
      <w:r w:rsidRPr="00496E5F">
        <w:rPr>
          <w:rFonts w:cs="FrankRuehl" w:hint="cs"/>
          <w:sz w:val="28"/>
          <w:szCs w:val="28"/>
          <w:rtl/>
        </w:rPr>
        <w:t xml:space="preserve"> ימים</w:t>
      </w:r>
      <w:r>
        <w:rPr>
          <w:rFonts w:cs="FrankRuehl" w:hint="cs"/>
          <w:sz w:val="28"/>
          <w:szCs w:val="28"/>
          <w:rtl/>
        </w:rPr>
        <w:t xml:space="preserve">, </w:t>
      </w:r>
      <w:r w:rsidRPr="00496E5F">
        <w:rPr>
          <w:rFonts w:cs="FrankRuehl" w:hint="cs"/>
          <w:sz w:val="28"/>
          <w:szCs w:val="28"/>
          <w:rtl/>
        </w:rPr>
        <w:t>לאחר מכן היה במעצר בית</w:t>
      </w:r>
      <w:r>
        <w:rPr>
          <w:rFonts w:cs="FrankRuehl" w:hint="cs"/>
          <w:sz w:val="28"/>
          <w:szCs w:val="28"/>
          <w:rtl/>
        </w:rPr>
        <w:t xml:space="preserve"> לתקופה של כשבועיים, ובהמשך הותר לו לצאת לעבודה וכיום הוא מצוי במעצר בית לילי בלבד. לא נטען להפרה כלשהי של תנאי המעצר.</w:t>
      </w:r>
    </w:p>
    <w:p w14:paraId="67398FD6" w14:textId="77777777" w:rsidR="00743398" w:rsidRDefault="00743398" w:rsidP="00743398">
      <w:pPr>
        <w:spacing w:line="360" w:lineRule="auto"/>
        <w:contextualSpacing/>
        <w:jc w:val="both"/>
        <w:rPr>
          <w:rFonts w:cs="FrankRuehl"/>
          <w:sz w:val="28"/>
          <w:szCs w:val="28"/>
          <w:rtl/>
          <w:lang w:eastAsia="he-IL"/>
        </w:rPr>
      </w:pPr>
    </w:p>
    <w:p w14:paraId="264FF7FC" w14:textId="77777777" w:rsidR="00743398" w:rsidRPr="00C111B4" w:rsidRDefault="00743398" w:rsidP="00743398">
      <w:pPr>
        <w:spacing w:line="360" w:lineRule="auto"/>
        <w:jc w:val="both"/>
        <w:rPr>
          <w:rFonts w:cs="FrankRuehl"/>
          <w:sz w:val="28"/>
          <w:szCs w:val="28"/>
          <w:rtl/>
        </w:rPr>
      </w:pPr>
      <w:r>
        <w:rPr>
          <w:rFonts w:cs="FrankRuehl" w:hint="cs"/>
          <w:sz w:val="28"/>
          <w:szCs w:val="28"/>
          <w:rtl/>
          <w:lang w:eastAsia="he-IL"/>
        </w:rPr>
        <w:t>17.</w:t>
      </w:r>
      <w:r>
        <w:rPr>
          <w:rFonts w:cs="FrankRuehl" w:hint="cs"/>
          <w:sz w:val="28"/>
          <w:szCs w:val="28"/>
          <w:rtl/>
          <w:lang w:eastAsia="he-IL"/>
        </w:rPr>
        <w:tab/>
        <w:t xml:space="preserve">למעשה, הנאשם עשה שימוש בסם מסוג קנאביס במשך שנים רבות, מאז היותו בן 20, עד שהחל בתהליך גמילה בגיל 40, אך בחלוף זמן החל הנאשם להשתמש בסם מסוג קוקאין. </w:t>
      </w:r>
      <w:r w:rsidRPr="00C111B4">
        <w:rPr>
          <w:rFonts w:cs="FrankRuehl"/>
          <w:sz w:val="28"/>
          <w:szCs w:val="28"/>
          <w:rtl/>
          <w:lang w:eastAsia="he-IL"/>
        </w:rPr>
        <w:t xml:space="preserve">והנה, </w:t>
      </w:r>
      <w:r>
        <w:rPr>
          <w:rFonts w:cs="FrankRuehl" w:hint="cs"/>
          <w:sz w:val="28"/>
          <w:szCs w:val="28"/>
          <w:rtl/>
          <w:lang w:eastAsia="he-IL"/>
        </w:rPr>
        <w:t xml:space="preserve">חרף שימוש נרחב זה במשך שנים, </w:t>
      </w:r>
      <w:r>
        <w:rPr>
          <w:rFonts w:cs="FrankRuehl" w:hint="cs"/>
          <w:sz w:val="28"/>
          <w:szCs w:val="28"/>
          <w:rtl/>
        </w:rPr>
        <w:t>ו</w:t>
      </w:r>
      <w:r w:rsidRPr="00C111B4">
        <w:rPr>
          <w:rFonts w:cs="FrankRuehl"/>
          <w:sz w:val="28"/>
          <w:szCs w:val="28"/>
          <w:rtl/>
        </w:rPr>
        <w:t xml:space="preserve">הליך </w:t>
      </w:r>
      <w:r>
        <w:rPr>
          <w:rFonts w:cs="FrankRuehl" w:hint="cs"/>
          <w:sz w:val="28"/>
          <w:szCs w:val="28"/>
          <w:rtl/>
        </w:rPr>
        <w:t xml:space="preserve">טיפולי </w:t>
      </w:r>
      <w:r w:rsidRPr="00C111B4">
        <w:rPr>
          <w:rFonts w:cs="FrankRuehl"/>
          <w:sz w:val="28"/>
          <w:szCs w:val="28"/>
          <w:rtl/>
        </w:rPr>
        <w:t>שעבר החזיק מעמד ל</w:t>
      </w:r>
      <w:r>
        <w:rPr>
          <w:rFonts w:cs="FrankRuehl" w:hint="cs"/>
          <w:sz w:val="28"/>
          <w:szCs w:val="28"/>
          <w:rtl/>
        </w:rPr>
        <w:t xml:space="preserve">תקופה קצרה, כשבשל </w:t>
      </w:r>
      <w:r w:rsidRPr="00C111B4">
        <w:rPr>
          <w:rFonts w:cs="FrankRuehl"/>
          <w:sz w:val="28"/>
          <w:szCs w:val="28"/>
          <w:rtl/>
        </w:rPr>
        <w:t>קשיים נפשיים, חלה התדרדרות במצבו, הוא חזר לשימוש קבוע בסמים, ומתקשה לצאת ממעגל הסמים ולעמוד בתוכניות שיקום וטיפול; הוא גילה מוטיבציה ראשונית להשתלבות בטיפול.</w:t>
      </w:r>
    </w:p>
    <w:p w14:paraId="64E93FF5" w14:textId="77777777" w:rsidR="00743398" w:rsidRPr="00C111B4" w:rsidRDefault="00743398" w:rsidP="00743398">
      <w:pPr>
        <w:spacing w:line="360" w:lineRule="auto"/>
        <w:contextualSpacing/>
        <w:jc w:val="both"/>
        <w:rPr>
          <w:rFonts w:cs="FrankRuehl"/>
          <w:sz w:val="28"/>
          <w:szCs w:val="28"/>
          <w:rtl/>
          <w:lang w:eastAsia="he-IL"/>
        </w:rPr>
      </w:pPr>
    </w:p>
    <w:p w14:paraId="634789CC" w14:textId="77777777" w:rsidR="00743398" w:rsidRDefault="00743398" w:rsidP="00743398">
      <w:pPr>
        <w:spacing w:line="360" w:lineRule="auto"/>
        <w:jc w:val="both"/>
        <w:rPr>
          <w:rFonts w:cs="FrankRuehl"/>
          <w:sz w:val="28"/>
          <w:szCs w:val="28"/>
          <w:rtl/>
        </w:rPr>
      </w:pPr>
      <w:r>
        <w:rPr>
          <w:rFonts w:cs="FrankRuehl" w:hint="cs"/>
          <w:sz w:val="28"/>
          <w:szCs w:val="28"/>
          <w:rtl/>
        </w:rPr>
        <w:t>18</w:t>
      </w:r>
      <w:r w:rsidRPr="00C111B4">
        <w:rPr>
          <w:rFonts w:cs="FrankRuehl"/>
          <w:sz w:val="28"/>
          <w:szCs w:val="28"/>
          <w:rtl/>
        </w:rPr>
        <w:t>.</w:t>
      </w:r>
      <w:r w:rsidRPr="00C111B4">
        <w:rPr>
          <w:rFonts w:cs="FrankRuehl"/>
          <w:sz w:val="28"/>
          <w:szCs w:val="28"/>
          <w:rtl/>
        </w:rPr>
        <w:tab/>
      </w:r>
      <w:r>
        <w:rPr>
          <w:rFonts w:cs="FrankRuehl" w:hint="cs"/>
          <w:sz w:val="28"/>
          <w:szCs w:val="28"/>
          <w:rtl/>
        </w:rPr>
        <w:t xml:space="preserve">כך, בחודש נובמבר 2018 הוא השתלב בטיפול פרטני שכלל התערבות רפואית פסיכולוגית וגופנית, הוא הפסיק את השימוש בסמים ושב לעבוד במסעדה של אחיו, בהיקף של 6 שעות ביום. בדיקות שנערכו לו מצאו כי הוא נקי משימוש בסמים, והוא החל בטיפול במכון הירושלמי לתחלואה כפולה. כפי שעלה מתסקירי שירות המבחן, הוא ביטא מוטיבציה טיפולית, שיתף פעולה באופן מלא עם הגורמים המטפלים והתמיד בניקיון מסמים. כך עלה מהתסקיר שהוגש בחודש מאי 2019 ולימד על התמדה טיפולית וניקיון מסמים במשך 7 חודשים, ומתסקיר שהוגש ביום 22.08.19 עלה כי מצב זה מתמיד ומצבו של הנאשם משתפר במכלול ההיבטים.  </w:t>
      </w:r>
    </w:p>
    <w:p w14:paraId="4A7E313F" w14:textId="77777777" w:rsidR="00743398" w:rsidRDefault="00743398" w:rsidP="00743398">
      <w:pPr>
        <w:spacing w:line="360" w:lineRule="auto"/>
        <w:jc w:val="both"/>
        <w:rPr>
          <w:rFonts w:cs="FrankRuehl"/>
          <w:sz w:val="28"/>
          <w:szCs w:val="28"/>
          <w:rtl/>
        </w:rPr>
      </w:pPr>
    </w:p>
    <w:p w14:paraId="66342B6E" w14:textId="77777777" w:rsidR="00743398" w:rsidRPr="00C111B4" w:rsidRDefault="00743398" w:rsidP="00743398">
      <w:pPr>
        <w:spacing w:line="360" w:lineRule="auto"/>
        <w:jc w:val="both"/>
        <w:rPr>
          <w:rFonts w:ascii="Arial" w:hAnsi="Arial" w:cs="FrankRuehl"/>
          <w:sz w:val="28"/>
          <w:szCs w:val="28"/>
          <w:rtl/>
        </w:rPr>
      </w:pPr>
      <w:r>
        <w:rPr>
          <w:rFonts w:cs="FrankRuehl" w:hint="cs"/>
          <w:sz w:val="28"/>
          <w:szCs w:val="28"/>
          <w:rtl/>
        </w:rPr>
        <w:t>19</w:t>
      </w:r>
      <w:r w:rsidRPr="00C111B4">
        <w:rPr>
          <w:rFonts w:cs="FrankRuehl"/>
          <w:sz w:val="28"/>
          <w:szCs w:val="28"/>
          <w:rtl/>
        </w:rPr>
        <w:t>.</w:t>
      </w:r>
      <w:r w:rsidRPr="00C111B4">
        <w:rPr>
          <w:rFonts w:cs="FrankRuehl"/>
          <w:sz w:val="28"/>
          <w:szCs w:val="28"/>
          <w:rtl/>
        </w:rPr>
        <w:tab/>
        <w:t>הנה כי כן, חרף התמכרותו לסמים</w:t>
      </w:r>
      <w:r>
        <w:rPr>
          <w:rFonts w:cs="FrankRuehl" w:hint="cs"/>
          <w:sz w:val="28"/>
          <w:szCs w:val="28"/>
          <w:rtl/>
        </w:rPr>
        <w:t xml:space="preserve"> של הנאשם </w:t>
      </w:r>
      <w:r w:rsidRPr="00C111B4">
        <w:rPr>
          <w:rFonts w:cs="FrankRuehl"/>
          <w:sz w:val="28"/>
          <w:szCs w:val="28"/>
          <w:rtl/>
        </w:rPr>
        <w:t>מגיל צעיר</w:t>
      </w:r>
      <w:r>
        <w:rPr>
          <w:rFonts w:cs="FrankRuehl" w:hint="cs"/>
          <w:sz w:val="28"/>
          <w:szCs w:val="28"/>
          <w:rtl/>
        </w:rPr>
        <w:t xml:space="preserve"> וחרף מצבו הנפשי</w:t>
      </w:r>
      <w:r w:rsidRPr="00C111B4">
        <w:rPr>
          <w:rFonts w:cs="FrankRuehl"/>
          <w:sz w:val="28"/>
          <w:szCs w:val="28"/>
          <w:rtl/>
        </w:rPr>
        <w:t xml:space="preserve">, </w:t>
      </w:r>
      <w:r w:rsidRPr="00C111B4">
        <w:rPr>
          <w:rFonts w:cs="FrankRuehl"/>
          <w:sz w:val="28"/>
          <w:szCs w:val="28"/>
          <w:rtl/>
          <w:lang w:eastAsia="he-IL"/>
        </w:rPr>
        <w:t>לאחרונה התחולל שינוי אצל הנאשם, הוא גילה מודעות לקשייו ולהתנהלותו הבעייתית, נטל אחריות על מעשיו, וההליך הטיפולי נושא פירות. אכן, מטבעם של דברים, דרך תיקון, לאחר שנים של התמכרות, אינה קלה והיא מלווה לא פעם בעליות ומורדות. ואולם,</w:t>
      </w:r>
      <w:r w:rsidRPr="00C111B4">
        <w:rPr>
          <w:rFonts w:cs="FrankRuehl"/>
          <w:color w:val="FF0000"/>
          <w:sz w:val="28"/>
          <w:szCs w:val="28"/>
          <w:rtl/>
          <w:lang w:eastAsia="he-IL"/>
        </w:rPr>
        <w:t xml:space="preserve"> </w:t>
      </w:r>
      <w:r w:rsidRPr="00C111B4">
        <w:rPr>
          <w:rFonts w:cs="FrankRuehl"/>
          <w:sz w:val="28"/>
          <w:szCs w:val="28"/>
          <w:rtl/>
          <w:lang w:eastAsia="he-IL"/>
        </w:rPr>
        <w:t xml:space="preserve">בשים לב </w:t>
      </w:r>
      <w:r>
        <w:rPr>
          <w:rFonts w:cs="FrankRuehl" w:hint="cs"/>
          <w:sz w:val="28"/>
          <w:szCs w:val="28"/>
          <w:rtl/>
          <w:lang w:eastAsia="he-IL"/>
        </w:rPr>
        <w:t xml:space="preserve">לכך </w:t>
      </w:r>
      <w:r w:rsidRPr="00C111B4">
        <w:rPr>
          <w:rFonts w:cs="FrankRuehl"/>
          <w:sz w:val="28"/>
          <w:szCs w:val="28"/>
          <w:rtl/>
          <w:lang w:eastAsia="he-IL"/>
        </w:rPr>
        <w:t>שכיום, בחלוף למ</w:t>
      </w:r>
      <w:r>
        <w:rPr>
          <w:rFonts w:cs="FrankRuehl"/>
          <w:sz w:val="28"/>
          <w:szCs w:val="28"/>
          <w:rtl/>
          <w:lang w:eastAsia="he-IL"/>
        </w:rPr>
        <w:t>עלה משנה מאז החל בהליך הטיפולי</w:t>
      </w:r>
      <w:r>
        <w:rPr>
          <w:rFonts w:cs="FrankRuehl" w:hint="cs"/>
          <w:sz w:val="28"/>
          <w:szCs w:val="28"/>
          <w:rtl/>
          <w:lang w:eastAsia="he-IL"/>
        </w:rPr>
        <w:t xml:space="preserve">, הנאשם שומר על ניקיון מסמים, על התמדה במסגרת העבודה, ובעיקר על התמדה ושיתוף פעולה מלא בהליך הטיפולי, </w:t>
      </w:r>
      <w:r w:rsidRPr="00C111B4">
        <w:rPr>
          <w:rFonts w:cs="FrankRuehl"/>
          <w:sz w:val="28"/>
          <w:szCs w:val="28"/>
          <w:rtl/>
          <w:lang w:eastAsia="he-IL"/>
        </w:rPr>
        <w:t>אני סבור כי מקרה זה בא בגדרי</w:t>
      </w:r>
      <w:r>
        <w:rPr>
          <w:rFonts w:cs="FrankRuehl" w:hint="cs"/>
          <w:sz w:val="28"/>
          <w:szCs w:val="28"/>
          <w:rtl/>
          <w:lang w:eastAsia="he-IL"/>
        </w:rPr>
        <w:t xml:space="preserve"> </w:t>
      </w:r>
      <w:hyperlink r:id="rId13" w:history="1">
        <w:r w:rsidR="00324C43" w:rsidRPr="00324C43">
          <w:rPr>
            <w:rFonts w:cs="FrankRuehl"/>
            <w:color w:val="0000FF"/>
            <w:sz w:val="28"/>
            <w:szCs w:val="28"/>
            <w:u w:val="single"/>
            <w:rtl/>
            <w:lang w:eastAsia="he-IL"/>
          </w:rPr>
          <w:t>סעיף 40ד'</w:t>
        </w:r>
      </w:hyperlink>
      <w:r>
        <w:rPr>
          <w:rFonts w:cs="FrankRuehl" w:hint="cs"/>
          <w:sz w:val="28"/>
          <w:szCs w:val="28"/>
          <w:rtl/>
          <w:lang w:eastAsia="he-IL"/>
        </w:rPr>
        <w:t xml:space="preserve"> ל</w:t>
      </w:r>
      <w:hyperlink r:id="rId14" w:history="1">
        <w:r w:rsidR="00FB18B8" w:rsidRPr="00FB18B8">
          <w:rPr>
            <w:rFonts w:cs="FrankRuehl"/>
            <w:color w:val="0000FF"/>
            <w:sz w:val="28"/>
            <w:szCs w:val="28"/>
            <w:u w:val="single"/>
            <w:rtl/>
            <w:lang w:eastAsia="he-IL"/>
          </w:rPr>
          <w:t>חוק העונשין</w:t>
        </w:r>
      </w:hyperlink>
      <w:r>
        <w:rPr>
          <w:rFonts w:cs="FrankRuehl" w:hint="cs"/>
          <w:sz w:val="28"/>
          <w:szCs w:val="28"/>
          <w:rtl/>
          <w:lang w:eastAsia="he-IL"/>
        </w:rPr>
        <w:t xml:space="preserve">, </w:t>
      </w:r>
      <w:r w:rsidRPr="00C111B4">
        <w:rPr>
          <w:rFonts w:ascii="Arial" w:hAnsi="Arial" w:cs="FrankRuehl"/>
          <w:sz w:val="28"/>
          <w:szCs w:val="28"/>
          <w:rtl/>
        </w:rPr>
        <w:t>לפיו בית המשפט רשאי לחרוג ממתחם העונש ההולם אם מצא כי הנאשם השתקם או אפילו אם רק יש סיכוי של ממש שהוא ישתקם (השוו:</w:t>
      </w:r>
      <w:r>
        <w:rPr>
          <w:rFonts w:ascii="Arial" w:hAnsi="Arial" w:cs="FrankRuehl" w:hint="cs"/>
          <w:sz w:val="28"/>
          <w:szCs w:val="28"/>
          <w:rtl/>
        </w:rPr>
        <w:t xml:space="preserve"> </w:t>
      </w:r>
      <w:hyperlink r:id="rId15" w:history="1">
        <w:r w:rsidR="00FB18B8" w:rsidRPr="00FB18B8">
          <w:rPr>
            <w:rFonts w:ascii="Arial" w:hAnsi="Arial" w:cs="FrankRuehl"/>
            <w:color w:val="0000FF"/>
            <w:sz w:val="28"/>
            <w:szCs w:val="28"/>
            <w:u w:val="single"/>
            <w:rtl/>
          </w:rPr>
          <w:t>עפ"ג (מחוזי-י-ם) 24292-04-14</w:t>
        </w:r>
      </w:hyperlink>
      <w:r>
        <w:rPr>
          <w:rFonts w:ascii="Arial" w:hAnsi="Arial" w:cs="FrankRuehl" w:hint="cs"/>
          <w:sz w:val="28"/>
          <w:szCs w:val="28"/>
          <w:rtl/>
        </w:rPr>
        <w:t xml:space="preserve"> </w:t>
      </w:r>
      <w:r w:rsidRPr="00C111B4">
        <w:rPr>
          <w:rFonts w:ascii="Arial" w:hAnsi="Arial" w:cs="FrankRuehl"/>
          <w:b/>
          <w:bCs/>
          <w:sz w:val="28"/>
          <w:szCs w:val="28"/>
          <w:rtl/>
        </w:rPr>
        <w:t>אברמוב נ' מדינת ישראל</w:t>
      </w:r>
      <w:r w:rsidRPr="00C111B4">
        <w:rPr>
          <w:rFonts w:ascii="Arial" w:hAnsi="Arial" w:cs="FrankRuehl"/>
          <w:sz w:val="28"/>
          <w:szCs w:val="28"/>
          <w:rtl/>
        </w:rPr>
        <w:t xml:space="preserve"> (פורסם בנבו, 18.01.15)). </w:t>
      </w:r>
    </w:p>
    <w:p w14:paraId="7A730A3A" w14:textId="77777777" w:rsidR="00743398" w:rsidRPr="00C111B4" w:rsidRDefault="00743398" w:rsidP="00743398">
      <w:pPr>
        <w:spacing w:line="360" w:lineRule="auto"/>
        <w:jc w:val="both"/>
        <w:rPr>
          <w:rFonts w:ascii="Arial" w:hAnsi="Arial" w:cs="FrankRuehl"/>
          <w:sz w:val="28"/>
          <w:szCs w:val="28"/>
          <w:rtl/>
        </w:rPr>
      </w:pPr>
    </w:p>
    <w:p w14:paraId="2A5C4929" w14:textId="77777777" w:rsidR="00743398" w:rsidRPr="00C111B4" w:rsidRDefault="00743398" w:rsidP="00743398">
      <w:pPr>
        <w:spacing w:line="360" w:lineRule="auto"/>
        <w:jc w:val="both"/>
        <w:rPr>
          <w:rFonts w:cs="FrankRuehl"/>
          <w:sz w:val="28"/>
          <w:szCs w:val="28"/>
          <w:rtl/>
          <w:lang w:eastAsia="he-IL"/>
        </w:rPr>
      </w:pPr>
      <w:r>
        <w:rPr>
          <w:rFonts w:ascii="Arial" w:hAnsi="Arial" w:cs="FrankRuehl" w:hint="cs"/>
          <w:sz w:val="28"/>
          <w:szCs w:val="28"/>
          <w:rtl/>
        </w:rPr>
        <w:t>20</w:t>
      </w:r>
      <w:r w:rsidRPr="00C111B4">
        <w:rPr>
          <w:rFonts w:ascii="Arial" w:hAnsi="Arial" w:cs="FrankRuehl"/>
          <w:sz w:val="28"/>
          <w:szCs w:val="28"/>
          <w:rtl/>
        </w:rPr>
        <w:t>.</w:t>
      </w:r>
      <w:r w:rsidRPr="00C111B4">
        <w:rPr>
          <w:rFonts w:ascii="Arial" w:hAnsi="Arial" w:cs="FrankRuehl"/>
          <w:sz w:val="28"/>
          <w:szCs w:val="28"/>
          <w:rtl/>
        </w:rPr>
        <w:tab/>
      </w:r>
      <w:r>
        <w:rPr>
          <w:rFonts w:ascii="Arial" w:hAnsi="Arial" w:cs="FrankRuehl" w:hint="cs"/>
          <w:sz w:val="28"/>
          <w:szCs w:val="28"/>
          <w:rtl/>
        </w:rPr>
        <w:t xml:space="preserve">תמים דעים אני עם הסניגור, כי </w:t>
      </w:r>
      <w:r w:rsidRPr="00C111B4">
        <w:rPr>
          <w:rFonts w:ascii="Arial" w:hAnsi="Arial" w:cs="FrankRuehl"/>
          <w:sz w:val="28"/>
          <w:szCs w:val="28"/>
          <w:rtl/>
        </w:rPr>
        <w:t>בהחזרת הנאשם לכלא בשלב זה, קיים חשש של ממש כי תוסג לאחור כ</w:t>
      </w:r>
      <w:r>
        <w:rPr>
          <w:rFonts w:ascii="Arial" w:hAnsi="Arial" w:cs="FrankRuehl"/>
          <w:sz w:val="28"/>
          <w:szCs w:val="28"/>
          <w:rtl/>
        </w:rPr>
        <w:t>ל ההתקדמות של הנאשם</w:t>
      </w:r>
      <w:r>
        <w:rPr>
          <w:rFonts w:ascii="Arial" w:hAnsi="Arial" w:cs="FrankRuehl" w:hint="cs"/>
          <w:sz w:val="28"/>
          <w:szCs w:val="28"/>
          <w:rtl/>
        </w:rPr>
        <w:t xml:space="preserve">, מצבו הנפשי אך יחמיר, והוא </w:t>
      </w:r>
      <w:r w:rsidRPr="00C111B4">
        <w:rPr>
          <w:rFonts w:ascii="Arial" w:hAnsi="Arial" w:cs="FrankRuehl"/>
          <w:sz w:val="28"/>
          <w:szCs w:val="28"/>
          <w:rtl/>
        </w:rPr>
        <w:t>ישוב לנקודת ההתחלה בה היה בטרם החל בטיפול</w:t>
      </w:r>
      <w:r>
        <w:rPr>
          <w:rFonts w:ascii="Arial" w:hAnsi="Arial" w:cs="FrankRuehl" w:hint="cs"/>
          <w:sz w:val="28"/>
          <w:szCs w:val="28"/>
          <w:rtl/>
        </w:rPr>
        <w:t xml:space="preserve"> ואף גרוע מכך. </w:t>
      </w:r>
      <w:r w:rsidRPr="00C111B4">
        <w:rPr>
          <w:rFonts w:cs="FrankRuehl"/>
          <w:sz w:val="28"/>
          <w:szCs w:val="28"/>
          <w:rtl/>
          <w:lang w:eastAsia="he-IL"/>
        </w:rPr>
        <w:t xml:space="preserve">אדרבה, יש לסייע בידי הנאשם ולתמוך בו להמשיך בדרך החדשה שקיים סיכוי ממשי שהוא ימשיך בה ולהסיר כל אבן נגף העלולה להחזירו לדרך האחרת. </w:t>
      </w:r>
      <w:r>
        <w:rPr>
          <w:rFonts w:cs="FrankRuehl" w:hint="cs"/>
          <w:sz w:val="28"/>
          <w:szCs w:val="28"/>
          <w:rtl/>
          <w:lang w:eastAsia="he-IL"/>
        </w:rPr>
        <w:t xml:space="preserve">במקרה זה, גם השתת עונש מאסר בעבודות שירות לא תביא תועלת רבה יותר לציבור מאשר עונש של של"צ, והדבר גם יאפשר לנאשם לעבוד באופן מסודר תחת פיקוחו של אחיו, אשר רואה אחריות גדולה למצבו של אחיו ופועל על מנת לתמוך בו ולסייע בידו. לאור מצבו האישי והבריאותי של הנאשם יש לכך חשיבות רבה. </w:t>
      </w:r>
      <w:r w:rsidRPr="00C111B4">
        <w:rPr>
          <w:rFonts w:cs="FrankRuehl"/>
          <w:sz w:val="28"/>
          <w:szCs w:val="28"/>
          <w:rtl/>
          <w:lang w:eastAsia="he-IL"/>
        </w:rPr>
        <w:t>יש לזכור כי שיקומו של נאשם, בפרט בעבירות סמים, אינו רק אינטרס אישי שלו. שיקולי שיקום הם חלק מהאינטרס הציבורי שעניינו מציאת דרכים נכונות ויעילות להפחתת הפשיעה</w:t>
      </w:r>
      <w:r>
        <w:rPr>
          <w:rFonts w:cs="FrankRuehl" w:hint="cs"/>
          <w:sz w:val="28"/>
          <w:szCs w:val="28"/>
          <w:rtl/>
          <w:lang w:eastAsia="he-IL"/>
        </w:rPr>
        <w:t>, הדבר נכון בעיקר בעבירת הסמים</w:t>
      </w:r>
      <w:r w:rsidRPr="00C111B4">
        <w:rPr>
          <w:rFonts w:cs="FrankRuehl"/>
          <w:sz w:val="28"/>
          <w:szCs w:val="28"/>
          <w:rtl/>
          <w:lang w:eastAsia="he-IL"/>
        </w:rPr>
        <w:t xml:space="preserve">. לאמור, שיקומו של נאשם משתלב עם האינטרס הציבורי, אשר ייצא נשכר מכך שהנאשם ייגמל מסמים. </w:t>
      </w:r>
      <w:r>
        <w:rPr>
          <w:rFonts w:cs="FrankRuehl" w:hint="cs"/>
          <w:sz w:val="28"/>
          <w:szCs w:val="28"/>
          <w:rtl/>
          <w:lang w:eastAsia="he-IL"/>
        </w:rPr>
        <w:t>הדבר נכון בפרט במקרה זה.</w:t>
      </w:r>
      <w:r w:rsidRPr="00C111B4">
        <w:rPr>
          <w:rFonts w:cs="FrankRuehl"/>
          <w:sz w:val="28"/>
          <w:szCs w:val="28"/>
          <w:rtl/>
          <w:lang w:eastAsia="he-IL"/>
        </w:rPr>
        <w:t xml:space="preserve"> </w:t>
      </w:r>
    </w:p>
    <w:p w14:paraId="316F6790" w14:textId="77777777" w:rsidR="00743398" w:rsidRPr="00C111B4" w:rsidRDefault="00743398" w:rsidP="00743398">
      <w:pPr>
        <w:spacing w:line="360" w:lineRule="auto"/>
        <w:contextualSpacing/>
        <w:jc w:val="both"/>
        <w:rPr>
          <w:rFonts w:cs="FrankRuehl"/>
          <w:sz w:val="28"/>
          <w:szCs w:val="28"/>
          <w:rtl/>
          <w:lang w:eastAsia="he-IL"/>
        </w:rPr>
      </w:pPr>
    </w:p>
    <w:p w14:paraId="19E4C599" w14:textId="77777777" w:rsidR="00743398" w:rsidRDefault="00743398" w:rsidP="00743398">
      <w:pPr>
        <w:spacing w:line="360" w:lineRule="auto"/>
        <w:contextualSpacing/>
        <w:jc w:val="both"/>
        <w:rPr>
          <w:rFonts w:cs="FrankRuehl"/>
          <w:sz w:val="28"/>
          <w:szCs w:val="28"/>
          <w:rtl/>
        </w:rPr>
      </w:pPr>
      <w:r>
        <w:rPr>
          <w:rFonts w:ascii="Arial" w:hAnsi="Arial" w:cs="FrankRuehl"/>
          <w:sz w:val="28"/>
          <w:szCs w:val="28"/>
          <w:rtl/>
        </w:rPr>
        <w:t>2</w:t>
      </w:r>
      <w:r>
        <w:rPr>
          <w:rFonts w:ascii="Arial" w:hAnsi="Arial" w:cs="FrankRuehl" w:hint="cs"/>
          <w:sz w:val="28"/>
          <w:szCs w:val="28"/>
          <w:rtl/>
        </w:rPr>
        <w:t>1</w:t>
      </w:r>
      <w:r w:rsidRPr="00C111B4">
        <w:rPr>
          <w:rFonts w:ascii="Arial" w:hAnsi="Arial" w:cs="FrankRuehl"/>
          <w:sz w:val="28"/>
          <w:szCs w:val="28"/>
          <w:rtl/>
        </w:rPr>
        <w:t>.</w:t>
      </w:r>
      <w:r w:rsidRPr="00C111B4">
        <w:rPr>
          <w:rFonts w:ascii="Arial" w:hAnsi="Arial" w:cs="FrankRuehl"/>
          <w:sz w:val="28"/>
          <w:szCs w:val="28"/>
          <w:rtl/>
        </w:rPr>
        <w:tab/>
        <w:t xml:space="preserve">לצד זאת, יש להשית על הנאשם עונש מאסר משמעותי צופה פני עתיד על מנת שיהווה גבול ברור ומוחשי לנאשם. </w:t>
      </w:r>
    </w:p>
    <w:p w14:paraId="787D4097" w14:textId="77777777" w:rsidR="00743398" w:rsidRPr="00C111B4" w:rsidRDefault="00743398" w:rsidP="00743398">
      <w:pPr>
        <w:spacing w:line="360" w:lineRule="auto"/>
        <w:contextualSpacing/>
        <w:jc w:val="both"/>
        <w:rPr>
          <w:rFonts w:ascii="Arial" w:hAnsi="Arial" w:cs="FrankRuehl"/>
          <w:sz w:val="28"/>
          <w:szCs w:val="28"/>
          <w:rtl/>
        </w:rPr>
      </w:pPr>
    </w:p>
    <w:p w14:paraId="7823E207" w14:textId="77777777" w:rsidR="00743398" w:rsidRPr="00C111B4" w:rsidRDefault="00743398" w:rsidP="00743398">
      <w:pPr>
        <w:spacing w:line="360" w:lineRule="auto"/>
        <w:contextualSpacing/>
        <w:jc w:val="both"/>
        <w:rPr>
          <w:rFonts w:ascii="Arial" w:hAnsi="Arial" w:cs="FrankRuehl"/>
          <w:sz w:val="28"/>
          <w:szCs w:val="28"/>
          <w:rtl/>
        </w:rPr>
      </w:pPr>
      <w:r w:rsidRPr="00C111B4">
        <w:rPr>
          <w:rFonts w:ascii="Arial" w:hAnsi="Arial" w:cs="FrankRuehl"/>
          <w:sz w:val="28"/>
          <w:szCs w:val="28"/>
          <w:rtl/>
        </w:rPr>
        <w:t>אני משית אפוא, על הנאשם את העונשים הבאים:</w:t>
      </w:r>
    </w:p>
    <w:p w14:paraId="13A32C71" w14:textId="77777777" w:rsidR="00743398" w:rsidRDefault="00743398" w:rsidP="00743398">
      <w:pPr>
        <w:spacing w:line="360" w:lineRule="auto"/>
        <w:ind w:left="720" w:hanging="720"/>
        <w:contextualSpacing/>
        <w:jc w:val="both"/>
        <w:rPr>
          <w:rFonts w:ascii="Arial" w:hAnsi="Arial" w:cs="FrankRuehl"/>
          <w:sz w:val="28"/>
          <w:szCs w:val="28"/>
          <w:rtl/>
        </w:rPr>
      </w:pPr>
      <w:r w:rsidRPr="00C111B4">
        <w:rPr>
          <w:rFonts w:ascii="Arial" w:hAnsi="Arial" w:cs="FrankRuehl"/>
          <w:sz w:val="28"/>
          <w:szCs w:val="28"/>
          <w:rtl/>
        </w:rPr>
        <w:t xml:space="preserve">א. </w:t>
      </w:r>
      <w:r w:rsidRPr="00C111B4">
        <w:rPr>
          <w:rFonts w:ascii="Arial" w:hAnsi="Arial" w:cs="FrankRuehl"/>
          <w:sz w:val="28"/>
          <w:szCs w:val="28"/>
          <w:rtl/>
        </w:rPr>
        <w:tab/>
      </w:r>
      <w:r>
        <w:rPr>
          <w:rFonts w:ascii="Arial" w:hAnsi="Arial" w:cs="FrankRuehl" w:hint="cs"/>
          <w:sz w:val="28"/>
          <w:szCs w:val="28"/>
          <w:rtl/>
        </w:rPr>
        <w:t>20</w:t>
      </w:r>
      <w:r w:rsidRPr="00C111B4">
        <w:rPr>
          <w:rFonts w:ascii="Arial" w:hAnsi="Arial" w:cs="FrankRuehl"/>
          <w:sz w:val="28"/>
          <w:szCs w:val="28"/>
          <w:rtl/>
        </w:rPr>
        <w:t xml:space="preserve">0 שעות של"צ לפי </w:t>
      </w:r>
      <w:r>
        <w:rPr>
          <w:rFonts w:ascii="Arial" w:hAnsi="Arial" w:cs="FrankRuehl" w:hint="cs"/>
          <w:sz w:val="28"/>
          <w:szCs w:val="28"/>
          <w:rtl/>
        </w:rPr>
        <w:t>ה</w:t>
      </w:r>
      <w:r w:rsidRPr="00C111B4">
        <w:rPr>
          <w:rFonts w:ascii="Arial" w:hAnsi="Arial" w:cs="FrankRuehl"/>
          <w:sz w:val="28"/>
          <w:szCs w:val="28"/>
          <w:rtl/>
        </w:rPr>
        <w:t xml:space="preserve">תכנית </w:t>
      </w:r>
      <w:r>
        <w:rPr>
          <w:rFonts w:ascii="Arial" w:hAnsi="Arial" w:cs="FrankRuehl" w:hint="cs"/>
          <w:sz w:val="28"/>
          <w:szCs w:val="28"/>
          <w:rtl/>
        </w:rPr>
        <w:t xml:space="preserve">שהוצגה על ידי </w:t>
      </w:r>
      <w:r w:rsidRPr="00C111B4">
        <w:rPr>
          <w:rFonts w:ascii="Arial" w:hAnsi="Arial" w:cs="FrankRuehl"/>
          <w:sz w:val="28"/>
          <w:szCs w:val="28"/>
          <w:rtl/>
        </w:rPr>
        <w:t xml:space="preserve">שירות המבחן </w:t>
      </w:r>
      <w:r>
        <w:rPr>
          <w:rFonts w:ascii="Arial" w:hAnsi="Arial" w:cs="FrankRuehl" w:hint="cs"/>
          <w:sz w:val="28"/>
          <w:szCs w:val="28"/>
          <w:rtl/>
        </w:rPr>
        <w:t xml:space="preserve">ובפיקוחו. </w:t>
      </w:r>
    </w:p>
    <w:p w14:paraId="75ECB54D" w14:textId="77777777" w:rsidR="00743398" w:rsidRPr="00C111B4" w:rsidRDefault="00743398" w:rsidP="00743398">
      <w:pPr>
        <w:spacing w:line="360" w:lineRule="auto"/>
        <w:ind w:left="720" w:hanging="720"/>
        <w:contextualSpacing/>
        <w:jc w:val="both"/>
        <w:rPr>
          <w:rFonts w:ascii="Arial" w:hAnsi="Arial" w:cs="FrankRuehl"/>
          <w:sz w:val="28"/>
          <w:szCs w:val="28"/>
          <w:rtl/>
        </w:rPr>
      </w:pPr>
      <w:r w:rsidRPr="00C111B4">
        <w:rPr>
          <w:rFonts w:ascii="Arial" w:hAnsi="Arial" w:cs="FrankRuehl"/>
          <w:sz w:val="28"/>
          <w:szCs w:val="28"/>
          <w:rtl/>
        </w:rPr>
        <w:t>ב.</w:t>
      </w:r>
      <w:r w:rsidRPr="00C111B4">
        <w:rPr>
          <w:rFonts w:ascii="Arial" w:hAnsi="Arial" w:cs="FrankRuehl"/>
          <w:sz w:val="28"/>
          <w:szCs w:val="28"/>
          <w:rtl/>
        </w:rPr>
        <w:tab/>
        <w:t>צו מבחן למשך שנה</w:t>
      </w:r>
      <w:r>
        <w:rPr>
          <w:rFonts w:ascii="Arial" w:hAnsi="Arial" w:cs="FrankRuehl" w:hint="cs"/>
          <w:sz w:val="28"/>
          <w:szCs w:val="28"/>
          <w:rtl/>
        </w:rPr>
        <w:t xml:space="preserve">. </w:t>
      </w:r>
    </w:p>
    <w:p w14:paraId="14F44B67" w14:textId="77777777" w:rsidR="00743398" w:rsidRPr="00C111B4" w:rsidRDefault="00743398" w:rsidP="00743398">
      <w:pPr>
        <w:spacing w:line="360" w:lineRule="auto"/>
        <w:ind w:left="720"/>
        <w:contextualSpacing/>
        <w:jc w:val="both"/>
        <w:rPr>
          <w:rFonts w:ascii="Arial" w:hAnsi="Arial" w:cs="FrankRuehl"/>
          <w:sz w:val="28"/>
          <w:szCs w:val="28"/>
          <w:rtl/>
        </w:rPr>
      </w:pPr>
      <w:r w:rsidRPr="00C111B4">
        <w:rPr>
          <w:rFonts w:ascii="Arial" w:hAnsi="Arial" w:cs="FrankRuehl"/>
          <w:sz w:val="28"/>
          <w:szCs w:val="28"/>
          <w:rtl/>
        </w:rPr>
        <w:t xml:space="preserve">הובהר לנאשם כי אם לא יעמוד בתנאי הצו או השל"צ לשביעות רצון שירות המבחן, בית המשפט יהיה רשאי להורות על הפקעת השל"צ והשתת עונש אחר במקומו. </w:t>
      </w:r>
    </w:p>
    <w:p w14:paraId="7AFD6EC7" w14:textId="77777777" w:rsidR="00743398" w:rsidRPr="00C111B4" w:rsidRDefault="00743398" w:rsidP="00743398">
      <w:pPr>
        <w:spacing w:line="360" w:lineRule="auto"/>
        <w:ind w:left="720" w:hanging="720"/>
        <w:contextualSpacing/>
        <w:jc w:val="both"/>
        <w:rPr>
          <w:rFonts w:cs="FrankRuehl"/>
          <w:sz w:val="28"/>
          <w:szCs w:val="28"/>
        </w:rPr>
      </w:pPr>
      <w:r w:rsidRPr="00C111B4">
        <w:rPr>
          <w:rFonts w:ascii="Arial" w:hAnsi="Arial" w:cs="FrankRuehl"/>
          <w:sz w:val="28"/>
          <w:szCs w:val="28"/>
          <w:rtl/>
        </w:rPr>
        <w:t>ג.</w:t>
      </w:r>
      <w:r w:rsidRPr="00C111B4">
        <w:rPr>
          <w:rFonts w:ascii="Arial" w:hAnsi="Arial" w:cs="FrankRuehl"/>
          <w:sz w:val="28"/>
          <w:szCs w:val="28"/>
          <w:rtl/>
        </w:rPr>
        <w:tab/>
      </w:r>
      <w:r>
        <w:rPr>
          <w:rFonts w:cs="FrankRuehl" w:hint="cs"/>
          <w:sz w:val="28"/>
          <w:szCs w:val="28"/>
          <w:rtl/>
        </w:rPr>
        <w:t>9</w:t>
      </w:r>
      <w:r w:rsidRPr="00C111B4">
        <w:rPr>
          <w:rFonts w:cs="FrankRuehl"/>
          <w:sz w:val="28"/>
          <w:szCs w:val="28"/>
          <w:rtl/>
        </w:rPr>
        <w:t xml:space="preserve"> חודשי מאסר, אותם לא ירצה הנאשם אלא אם כן הוא יעבור במשך שלוש שנים מהיום עבירה לפי פקודת הסמים מסוג פשע. </w:t>
      </w:r>
    </w:p>
    <w:p w14:paraId="678FC99E" w14:textId="77777777" w:rsidR="00743398" w:rsidRPr="00C111B4" w:rsidRDefault="00743398" w:rsidP="00743398">
      <w:pPr>
        <w:spacing w:line="360" w:lineRule="auto"/>
        <w:ind w:left="720" w:hanging="720"/>
        <w:contextualSpacing/>
        <w:jc w:val="both"/>
        <w:rPr>
          <w:rFonts w:cs="FrankRuehl"/>
          <w:sz w:val="28"/>
          <w:szCs w:val="28"/>
          <w:rtl/>
        </w:rPr>
      </w:pPr>
      <w:r w:rsidRPr="00C111B4">
        <w:rPr>
          <w:rFonts w:cs="FrankRuehl"/>
          <w:sz w:val="28"/>
          <w:szCs w:val="28"/>
          <w:rtl/>
        </w:rPr>
        <w:t>ד.</w:t>
      </w:r>
      <w:r w:rsidRPr="00C111B4">
        <w:rPr>
          <w:rFonts w:cs="FrankRuehl"/>
          <w:sz w:val="28"/>
          <w:szCs w:val="28"/>
          <w:rtl/>
        </w:rPr>
        <w:tab/>
      </w:r>
      <w:r>
        <w:rPr>
          <w:rFonts w:cs="FrankRuehl" w:hint="cs"/>
          <w:sz w:val="28"/>
          <w:szCs w:val="28"/>
          <w:rtl/>
        </w:rPr>
        <w:t>6</w:t>
      </w:r>
      <w:r w:rsidRPr="00C111B4">
        <w:rPr>
          <w:rFonts w:cs="FrankRuehl"/>
          <w:sz w:val="28"/>
          <w:szCs w:val="28"/>
          <w:rtl/>
        </w:rPr>
        <w:t xml:space="preserve"> חודשי מאסר, אותם לא ירצה הנאשם, אלא אם כן הוא יעבור במשך שלוש שנים מהיום  עבירה לפי פקודת הסמים מסוג עוון. </w:t>
      </w:r>
    </w:p>
    <w:p w14:paraId="1236A006" w14:textId="77777777" w:rsidR="00743398" w:rsidRPr="00C111B4" w:rsidRDefault="00743398" w:rsidP="00743398">
      <w:pPr>
        <w:spacing w:line="360" w:lineRule="auto"/>
        <w:ind w:left="720" w:hanging="720"/>
        <w:jc w:val="both"/>
        <w:rPr>
          <w:rFonts w:cs="FrankRuehl"/>
          <w:sz w:val="28"/>
          <w:szCs w:val="28"/>
          <w:rtl/>
        </w:rPr>
      </w:pPr>
      <w:r>
        <w:rPr>
          <w:rFonts w:cs="FrankRuehl"/>
          <w:sz w:val="28"/>
          <w:szCs w:val="28"/>
          <w:rtl/>
        </w:rPr>
        <w:t>ה.</w:t>
      </w:r>
      <w:r>
        <w:rPr>
          <w:rFonts w:cs="FrankRuehl"/>
          <w:sz w:val="28"/>
          <w:szCs w:val="28"/>
          <w:rtl/>
        </w:rPr>
        <w:tab/>
        <w:t xml:space="preserve">קנס בסך של </w:t>
      </w:r>
      <w:r>
        <w:rPr>
          <w:rFonts w:cs="FrankRuehl" w:hint="cs"/>
          <w:sz w:val="28"/>
          <w:szCs w:val="28"/>
          <w:rtl/>
        </w:rPr>
        <w:t>2</w:t>
      </w:r>
      <w:r>
        <w:rPr>
          <w:rFonts w:cs="FrankRuehl"/>
          <w:sz w:val="28"/>
          <w:szCs w:val="28"/>
          <w:rtl/>
        </w:rPr>
        <w:t>,</w:t>
      </w:r>
      <w:r>
        <w:rPr>
          <w:rFonts w:cs="FrankRuehl" w:hint="cs"/>
          <w:sz w:val="28"/>
          <w:szCs w:val="28"/>
          <w:rtl/>
        </w:rPr>
        <w:t>0</w:t>
      </w:r>
      <w:r w:rsidRPr="00C111B4">
        <w:rPr>
          <w:rFonts w:cs="FrankRuehl"/>
          <w:sz w:val="28"/>
          <w:szCs w:val="28"/>
          <w:rtl/>
        </w:rPr>
        <w:t>00 ₪ או 10 ימי מאסר תחתם. הקנס ישולם ב-8 תשלומים שו</w:t>
      </w:r>
      <w:r>
        <w:rPr>
          <w:rFonts w:cs="FrankRuehl"/>
          <w:sz w:val="28"/>
          <w:szCs w:val="28"/>
          <w:rtl/>
        </w:rPr>
        <w:t>וים ורצופים, הראשון עד ליום 1.</w:t>
      </w:r>
      <w:r>
        <w:rPr>
          <w:rFonts w:cs="FrankRuehl" w:hint="cs"/>
          <w:sz w:val="28"/>
          <w:szCs w:val="28"/>
          <w:rtl/>
        </w:rPr>
        <w:t>10</w:t>
      </w:r>
      <w:r>
        <w:rPr>
          <w:rFonts w:cs="FrankRuehl"/>
          <w:sz w:val="28"/>
          <w:szCs w:val="28"/>
          <w:rtl/>
        </w:rPr>
        <w:t>.1</w:t>
      </w:r>
      <w:r>
        <w:rPr>
          <w:rFonts w:cs="FrankRuehl" w:hint="cs"/>
          <w:sz w:val="28"/>
          <w:szCs w:val="28"/>
          <w:rtl/>
        </w:rPr>
        <w:t>9</w:t>
      </w:r>
      <w:r w:rsidRPr="00C111B4">
        <w:rPr>
          <w:rFonts w:cs="FrankRuehl"/>
          <w:sz w:val="28"/>
          <w:szCs w:val="28"/>
          <w:rtl/>
        </w:rPr>
        <w:t xml:space="preserve"> ובכל 1 לחודש שלאחריו. אי עמידה באחד התשלומים יביא לפירעון מידיי של כל היתרה. </w:t>
      </w:r>
    </w:p>
    <w:p w14:paraId="54A5AFB0" w14:textId="77777777" w:rsidR="00743398" w:rsidRPr="00FB18B8" w:rsidRDefault="00FB18B8" w:rsidP="00743398">
      <w:pPr>
        <w:spacing w:line="360" w:lineRule="auto"/>
        <w:ind w:left="720" w:hanging="720"/>
        <w:jc w:val="both"/>
        <w:rPr>
          <w:rFonts w:cs="FrankRuehl"/>
          <w:color w:val="FFFFFF"/>
          <w:sz w:val="2"/>
          <w:szCs w:val="2"/>
          <w:rtl/>
        </w:rPr>
      </w:pPr>
      <w:r w:rsidRPr="00FB18B8">
        <w:rPr>
          <w:rFonts w:cs="FrankRuehl"/>
          <w:color w:val="FFFFFF"/>
          <w:sz w:val="2"/>
          <w:szCs w:val="2"/>
          <w:rtl/>
        </w:rPr>
        <w:t>5129371</w:t>
      </w:r>
    </w:p>
    <w:p w14:paraId="7351E4E7" w14:textId="77777777" w:rsidR="00743398" w:rsidRPr="00C111B4" w:rsidRDefault="00FB18B8" w:rsidP="00743398">
      <w:pPr>
        <w:rPr>
          <w:rFonts w:cs="FrankRuehl"/>
          <w:sz w:val="28"/>
          <w:szCs w:val="28"/>
          <w:rtl/>
        </w:rPr>
      </w:pPr>
      <w:r w:rsidRPr="00FB18B8">
        <w:rPr>
          <w:rFonts w:cs="FrankRuehl"/>
          <w:color w:val="FFFFFF"/>
          <w:sz w:val="2"/>
          <w:szCs w:val="2"/>
          <w:rtl/>
        </w:rPr>
        <w:t>54678313</w:t>
      </w:r>
      <w:r w:rsidR="00743398" w:rsidRPr="00C111B4">
        <w:rPr>
          <w:rFonts w:cs="FrankRuehl"/>
          <w:color w:val="FFFFFF"/>
          <w:sz w:val="2"/>
          <w:szCs w:val="2"/>
          <w:rtl/>
        </w:rPr>
        <w:t>5129371</w:t>
      </w:r>
      <w:r w:rsidR="00743398" w:rsidRPr="00C111B4">
        <w:rPr>
          <w:rFonts w:cs="FrankRuehl"/>
          <w:sz w:val="28"/>
          <w:szCs w:val="28"/>
          <w:rtl/>
        </w:rPr>
        <w:t>ערעור בזכות לבית המשפט המחוזי בירושלים בתוך 45 יום מהיום.</w:t>
      </w:r>
    </w:p>
    <w:p w14:paraId="27C75653" w14:textId="77777777" w:rsidR="00743398" w:rsidRPr="00734DD6" w:rsidRDefault="00743398" w:rsidP="00743398">
      <w:pPr>
        <w:spacing w:line="360" w:lineRule="auto"/>
        <w:rPr>
          <w:rFonts w:cs="FrankRuehl"/>
          <w:sz w:val="28"/>
          <w:szCs w:val="28"/>
          <w:rtl/>
        </w:rPr>
      </w:pPr>
    </w:p>
    <w:p w14:paraId="254770EA" w14:textId="77777777" w:rsidR="00743398" w:rsidRPr="00A436C1" w:rsidRDefault="00FB18B8" w:rsidP="00743398">
      <w:pPr>
        <w:spacing w:line="360" w:lineRule="auto"/>
        <w:rPr>
          <w:rFonts w:cs="FrankRuehl"/>
          <w:sz w:val="28"/>
          <w:szCs w:val="28"/>
          <w:rtl/>
        </w:rPr>
      </w:pPr>
      <w:bookmarkStart w:id="293" w:name="Nitan"/>
      <w:r>
        <w:rPr>
          <w:rFonts w:ascii="Arial" w:hAnsi="Arial" w:cs="FrankRuehl"/>
          <w:sz w:val="28"/>
          <w:szCs w:val="28"/>
          <w:rtl/>
        </w:rPr>
        <w:t xml:space="preserve">ניתן היום,  כ"ג אלול תשע"ט, 23 ספטמבר 2019, במעמד המתייצבים. </w:t>
      </w:r>
      <w:bookmarkEnd w:id="293"/>
    </w:p>
    <w:p w14:paraId="40C394C7" w14:textId="77777777" w:rsidR="00743398" w:rsidRPr="00D2045B" w:rsidRDefault="00743398" w:rsidP="00FB18B8">
      <w:pPr>
        <w:spacing w:line="360" w:lineRule="auto"/>
        <w:jc w:val="center"/>
      </w:pPr>
      <w:r w:rsidRPr="00734DD6">
        <w:rPr>
          <w:rFonts w:cs="FrankRuehl" w:hint="cs"/>
          <w:sz w:val="28"/>
          <w:szCs w:val="28"/>
          <w:rtl/>
        </w:rPr>
        <w:t xml:space="preserve"> </w:t>
      </w:r>
      <w:r>
        <w:rPr>
          <w:rFonts w:hint="cs"/>
          <w:rtl/>
        </w:rPr>
        <w:t xml:space="preserve">  </w:t>
      </w:r>
      <w:r>
        <w:rPr>
          <w:rFonts w:hint="cs"/>
          <w:rtl/>
        </w:rPr>
        <w:tab/>
      </w:r>
      <w:r>
        <w:rPr>
          <w:rFonts w:hint="cs"/>
          <w:rtl/>
        </w:rPr>
        <w:tab/>
      </w:r>
      <w:r>
        <w:rPr>
          <w:rFonts w:hint="cs"/>
          <w:rtl/>
        </w:rPr>
        <w:tab/>
      </w:r>
      <w:r>
        <w:rPr>
          <w:rFonts w:hint="cs"/>
          <w:rtl/>
        </w:rPr>
        <w:tab/>
      </w:r>
      <w:r>
        <w:rPr>
          <w:rFonts w:hint="cs"/>
          <w:rtl/>
        </w:rPr>
        <w:tab/>
      </w:r>
    </w:p>
    <w:p w14:paraId="2A2F72FB" w14:textId="77777777" w:rsidR="00743398" w:rsidRPr="00324C43" w:rsidRDefault="00324C43" w:rsidP="00743398">
      <w:pPr>
        <w:spacing w:line="360" w:lineRule="auto"/>
        <w:jc w:val="center"/>
        <w:rPr>
          <w:rFonts w:ascii="Arial" w:hAnsi="Arial" w:cs="FrankRuehl"/>
          <w:color w:val="FFFFFF"/>
          <w:sz w:val="2"/>
          <w:szCs w:val="2"/>
          <w:rtl/>
        </w:rPr>
      </w:pPr>
      <w:r w:rsidRPr="00324C43">
        <w:rPr>
          <w:rFonts w:ascii="Arial" w:hAnsi="Arial" w:cs="FrankRuehl"/>
          <w:color w:val="FFFFFF"/>
          <w:sz w:val="2"/>
          <w:szCs w:val="2"/>
          <w:rtl/>
        </w:rPr>
        <w:t>5129371</w:t>
      </w:r>
    </w:p>
    <w:p w14:paraId="795AD51B" w14:textId="77777777" w:rsidR="00FB18B8" w:rsidRDefault="00324C43" w:rsidP="00FB18B8">
      <w:r w:rsidRPr="00324C43">
        <w:rPr>
          <w:rFonts w:ascii="David" w:hAnsi="David"/>
          <w:color w:val="FFFFFF"/>
          <w:sz w:val="2"/>
          <w:szCs w:val="2"/>
          <w:rtl/>
        </w:rPr>
        <w:t>54678313</w:t>
      </w:r>
    </w:p>
    <w:p w14:paraId="2CAE696A" w14:textId="77777777" w:rsidR="00FB18B8" w:rsidRDefault="00FB18B8" w:rsidP="00FB18B8">
      <w:pPr>
        <w:rPr>
          <w:rtl/>
        </w:rPr>
      </w:pPr>
    </w:p>
    <w:p w14:paraId="3A0EE40C" w14:textId="77777777" w:rsidR="00FB18B8" w:rsidRDefault="00FB18B8" w:rsidP="00FB18B8">
      <w:pPr>
        <w:jc w:val="center"/>
        <w:rPr>
          <w:color w:val="0000FF"/>
          <w:u w:val="single"/>
        </w:rPr>
      </w:pPr>
      <w:hyperlink r:id="rId16" w:history="1">
        <w:r>
          <w:rPr>
            <w:color w:val="0000FF"/>
            <w:u w:val="single"/>
            <w:rtl/>
          </w:rPr>
          <w:t>בעניין עריכה ושינויים במסמכי פסיקה, חקיקה ועוד באתר נבו – הקש כאן</w:t>
        </w:r>
      </w:hyperlink>
    </w:p>
    <w:p w14:paraId="684F6059" w14:textId="77777777" w:rsidR="00324C43" w:rsidRPr="00324C43" w:rsidRDefault="00324C43" w:rsidP="00324C43">
      <w:pPr>
        <w:keepNext/>
        <w:rPr>
          <w:rFonts w:ascii="David" w:hAnsi="David"/>
          <w:color w:val="000000"/>
          <w:sz w:val="22"/>
          <w:szCs w:val="22"/>
          <w:rtl/>
        </w:rPr>
      </w:pPr>
    </w:p>
    <w:p w14:paraId="483014D1" w14:textId="77777777" w:rsidR="00324C43" w:rsidRPr="00324C43" w:rsidRDefault="00324C43" w:rsidP="00324C43">
      <w:pPr>
        <w:keepNext/>
        <w:rPr>
          <w:rFonts w:ascii="David" w:hAnsi="David"/>
          <w:color w:val="000000"/>
          <w:sz w:val="22"/>
          <w:szCs w:val="22"/>
          <w:rtl/>
        </w:rPr>
      </w:pPr>
      <w:r w:rsidRPr="00324C43">
        <w:rPr>
          <w:rFonts w:ascii="David" w:hAnsi="David"/>
          <w:color w:val="000000"/>
          <w:sz w:val="22"/>
          <w:szCs w:val="22"/>
          <w:rtl/>
        </w:rPr>
        <w:t>אילן סלע 54678313-/</w:t>
      </w:r>
    </w:p>
    <w:p w14:paraId="779B71A3" w14:textId="77777777" w:rsidR="00FB18B8" w:rsidRPr="00FB18B8" w:rsidRDefault="00324C43" w:rsidP="00324C43">
      <w:pPr>
        <w:rPr>
          <w:color w:val="0000FF"/>
          <w:u w:val="single"/>
        </w:rPr>
      </w:pPr>
      <w:r w:rsidRPr="00324C43">
        <w:rPr>
          <w:color w:val="000000"/>
          <w:u w:val="single"/>
          <w:rtl/>
        </w:rPr>
        <w:t>נוסח מסמך זה כפוף לשינויי ניסוח ועריכה</w:t>
      </w:r>
    </w:p>
    <w:sectPr w:rsidR="00FB18B8" w:rsidRPr="00FB18B8" w:rsidSect="00324C43">
      <w:headerReference w:type="even" r:id="rId17"/>
      <w:headerReference w:type="default" r:id="rId18"/>
      <w:footerReference w:type="even" r:id="rId19"/>
      <w:footerReference w:type="default" r:id="rId20"/>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DD8A166" w14:textId="77777777" w:rsidR="00AD2D8B" w:rsidRDefault="00AD2D8B" w:rsidP="00462BCB">
      <w:r>
        <w:separator/>
      </w:r>
    </w:p>
  </w:endnote>
  <w:endnote w:type="continuationSeparator" w:id="0">
    <w:p w14:paraId="4DA64E87" w14:textId="77777777" w:rsidR="00AD2D8B" w:rsidRDefault="00AD2D8B" w:rsidP="00462B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74E1F5A" w14:textId="77777777" w:rsidR="00324C43" w:rsidRDefault="00324C43" w:rsidP="00324C4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noProof/>
        <w:rtl/>
      </w:rPr>
      <w:t>2</w:t>
    </w:r>
    <w:r>
      <w:rPr>
        <w:rFonts w:ascii="FrankRuehl" w:hAnsi="FrankRuehl" w:cs="FrankRuehl"/>
        <w:rtl/>
      </w:rPr>
      <w:fldChar w:fldCharType="end"/>
    </w:r>
  </w:p>
  <w:p w14:paraId="7B158DEB" w14:textId="77777777" w:rsidR="00E40853" w:rsidRPr="00324C43" w:rsidRDefault="00324C43" w:rsidP="00324C43">
    <w:pPr>
      <w:pStyle w:val="a5"/>
      <w:pBdr>
        <w:top w:val="single" w:sz="4" w:space="1" w:color="auto"/>
        <w:between w:val="single" w:sz="4" w:space="0" w:color="auto"/>
      </w:pBdr>
      <w:spacing w:after="60"/>
      <w:jc w:val="center"/>
      <w:rPr>
        <w:rFonts w:ascii="FrankRuehl" w:hAnsi="FrankRuehl" w:cs="FrankRuehl"/>
        <w:color w:val="000000"/>
      </w:rPr>
    </w:pPr>
    <w:r w:rsidRPr="00324C43">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5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B92176" w14:textId="77777777" w:rsidR="00324C43" w:rsidRDefault="00324C43" w:rsidP="00324C43">
    <w:pPr>
      <w:pStyle w:val="a5"/>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sidR="005E736E">
      <w:rPr>
        <w:rFonts w:ascii="FrankRuehl" w:hAnsi="FrankRuehl" w:cs="FrankRuehl"/>
        <w:noProof/>
        <w:rtl/>
      </w:rPr>
      <w:t>1</w:t>
    </w:r>
    <w:r>
      <w:rPr>
        <w:rFonts w:ascii="FrankRuehl" w:hAnsi="FrankRuehl" w:cs="FrankRuehl"/>
        <w:rtl/>
      </w:rPr>
      <w:fldChar w:fldCharType="end"/>
    </w:r>
  </w:p>
  <w:p w14:paraId="164593B8" w14:textId="77777777" w:rsidR="00E40853" w:rsidRPr="00324C43" w:rsidRDefault="00324C43" w:rsidP="00324C43">
    <w:pPr>
      <w:pStyle w:val="a5"/>
      <w:pBdr>
        <w:top w:val="single" w:sz="4" w:space="1" w:color="auto"/>
        <w:between w:val="single" w:sz="4" w:space="0" w:color="auto"/>
      </w:pBdr>
      <w:spacing w:after="60"/>
      <w:jc w:val="center"/>
      <w:rPr>
        <w:rFonts w:ascii="FrankRuehl" w:hAnsi="FrankRuehl" w:cs="FrankRuehl"/>
        <w:color w:val="000000"/>
      </w:rPr>
    </w:pPr>
    <w:r w:rsidRPr="00324C43">
      <w:rPr>
        <w:rFonts w:ascii="FrankRuehl" w:hAnsi="FrankRuehl" w:cs="FrankRuehl"/>
        <w:color w:val="000000"/>
      </w:rPr>
      <w:pict w14:anchorId="2EEBD6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5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7F591A" w14:textId="77777777" w:rsidR="00AD2D8B" w:rsidRDefault="00AD2D8B" w:rsidP="00462BCB">
      <w:r>
        <w:separator/>
      </w:r>
    </w:p>
  </w:footnote>
  <w:footnote w:type="continuationSeparator" w:id="0">
    <w:p w14:paraId="1EADDBFB" w14:textId="77777777" w:rsidR="00AD2D8B" w:rsidRDefault="00AD2D8B" w:rsidP="00462BC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65457D" w14:textId="77777777" w:rsidR="00FB18B8" w:rsidRPr="00324C43" w:rsidRDefault="00324C43" w:rsidP="00324C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44914-01-17</w:t>
    </w:r>
    <w:r>
      <w:rPr>
        <w:rFonts w:ascii="David" w:hAnsi="David"/>
        <w:color w:val="000000"/>
        <w:sz w:val="22"/>
        <w:szCs w:val="22"/>
        <w:rtl/>
      </w:rPr>
      <w:tab/>
      <w:t xml:space="preserve"> מדינת ישראל נ' עמרם פרץ</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E2B3AA" w14:textId="77777777" w:rsidR="00FB18B8" w:rsidRPr="00324C43" w:rsidRDefault="00324C43" w:rsidP="00324C43">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(י-ם) 44914-01-17</w:t>
    </w:r>
    <w:r>
      <w:rPr>
        <w:rFonts w:ascii="David" w:hAnsi="David"/>
        <w:color w:val="000000"/>
        <w:sz w:val="22"/>
        <w:szCs w:val="22"/>
        <w:rtl/>
      </w:rPr>
      <w:tab/>
      <w:t xml:space="preserve"> מדינת ישראל נ' עמרם פרץ</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743398"/>
    <w:rsid w:val="00324C43"/>
    <w:rsid w:val="00381020"/>
    <w:rsid w:val="00462BCB"/>
    <w:rsid w:val="005E736E"/>
    <w:rsid w:val="00743398"/>
    <w:rsid w:val="00AD2D8B"/>
    <w:rsid w:val="00C278BC"/>
    <w:rsid w:val="00E40853"/>
    <w:rsid w:val="00E501FB"/>
    <w:rsid w:val="00F1610D"/>
    <w:rsid w:val="00FB18B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42A568F2"/>
  <w15:chartTrackingRefBased/>
  <w15:docId w15:val="{4C88DAC8-322A-475E-96DF-17BC77AFC9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743398"/>
    <w:pPr>
      <w:bidi/>
    </w:pPr>
    <w:rPr>
      <w:rFonts w:ascii="Times New Roman" w:eastAsia="Times New Roman" w:hAnsi="Times New Roman" w:cs="David"/>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743398"/>
    <w:pPr>
      <w:tabs>
        <w:tab w:val="center" w:pos="4153"/>
        <w:tab w:val="right" w:pos="8306"/>
      </w:tabs>
    </w:pPr>
  </w:style>
  <w:style w:type="character" w:customStyle="1" w:styleId="a4">
    <w:name w:val="כותרת עליונה תו"/>
    <w:link w:val="a3"/>
    <w:rsid w:val="00743398"/>
    <w:rPr>
      <w:rFonts w:ascii="Times New Roman" w:eastAsia="Times New Roman" w:hAnsi="Times New Roman" w:cs="David"/>
      <w:sz w:val="24"/>
      <w:szCs w:val="24"/>
    </w:rPr>
  </w:style>
  <w:style w:type="paragraph" w:styleId="a5">
    <w:name w:val="footer"/>
    <w:basedOn w:val="a"/>
    <w:link w:val="a6"/>
    <w:rsid w:val="00743398"/>
    <w:pPr>
      <w:tabs>
        <w:tab w:val="center" w:pos="4153"/>
        <w:tab w:val="right" w:pos="8306"/>
      </w:tabs>
    </w:pPr>
  </w:style>
  <w:style w:type="character" w:customStyle="1" w:styleId="a6">
    <w:name w:val="כותרת תחתונה תו"/>
    <w:link w:val="a5"/>
    <w:rsid w:val="00743398"/>
    <w:rPr>
      <w:rFonts w:ascii="Times New Roman" w:eastAsia="Times New Roman" w:hAnsi="Times New Roman" w:cs="David"/>
      <w:sz w:val="24"/>
      <w:szCs w:val="24"/>
    </w:rPr>
  </w:style>
  <w:style w:type="table" w:styleId="a7">
    <w:name w:val="Table Grid"/>
    <w:basedOn w:val="a1"/>
    <w:rsid w:val="00743398"/>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8">
    <w:name w:val="page number"/>
    <w:rsid w:val="00743398"/>
  </w:style>
  <w:style w:type="character" w:styleId="Hyperlink">
    <w:name w:val="Hyperlink"/>
    <w:rsid w:val="00FB18B8"/>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4216/7.c" TargetMode="External"/><Relationship Id="rId13" Type="http://schemas.openxmlformats.org/officeDocument/2006/relationships/hyperlink" Target="http://www.nevo.co.il/law/70301/40d"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4216/7.a." TargetMode="External"/><Relationship Id="rId12" Type="http://schemas.openxmlformats.org/officeDocument/2006/relationships/hyperlink" Target="http://www.nevo.co.il/law/4216"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4216" TargetMode="External"/><Relationship Id="rId11" Type="http://schemas.openxmlformats.org/officeDocument/2006/relationships/hyperlink" Target="http://www.nevo.co.il/law/4216/7.a.;7.c" TargetMode="External"/><Relationship Id="rId5" Type="http://schemas.openxmlformats.org/officeDocument/2006/relationships/endnotes" Target="endnotes.xml"/><Relationship Id="rId15" Type="http://schemas.openxmlformats.org/officeDocument/2006/relationships/hyperlink" Target="http://www.nevo.co.il/case/16877119" TargetMode="External"/><Relationship Id="rId10" Type="http://schemas.openxmlformats.org/officeDocument/2006/relationships/hyperlink" Target="http://www.nevo.co.il/law/70301/40d"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70301" TargetMode="External"/><Relationship Id="rId14" Type="http://schemas.openxmlformats.org/officeDocument/2006/relationships/hyperlink" Target="http://www.nevo.co.il/law/70301" TargetMode="External"/><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1780</Words>
  <Characters>8901</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10660</CharactersWithSpaces>
  <SharedDoc>false</SharedDoc>
  <HLinks>
    <vt:vector size="66" baseType="variant">
      <vt:variant>
        <vt:i4>393283</vt:i4>
      </vt:variant>
      <vt:variant>
        <vt:i4>30</vt:i4>
      </vt:variant>
      <vt:variant>
        <vt:i4>0</vt:i4>
      </vt:variant>
      <vt:variant>
        <vt:i4>5</vt:i4>
      </vt:variant>
      <vt:variant>
        <vt:lpwstr>http://www.nevo.co.il/advertisements/nevo-100.doc</vt:lpwstr>
      </vt:variant>
      <vt:variant>
        <vt:lpwstr/>
      </vt:variant>
      <vt:variant>
        <vt:i4>4128884</vt:i4>
      </vt:variant>
      <vt:variant>
        <vt:i4>27</vt:i4>
      </vt:variant>
      <vt:variant>
        <vt:i4>0</vt:i4>
      </vt:variant>
      <vt:variant>
        <vt:i4>5</vt:i4>
      </vt:variant>
      <vt:variant>
        <vt:lpwstr>http://www.nevo.co.il/case/16877119</vt:lpwstr>
      </vt:variant>
      <vt:variant>
        <vt:lpwstr/>
      </vt:variant>
      <vt:variant>
        <vt:i4>7995492</vt:i4>
      </vt:variant>
      <vt:variant>
        <vt:i4>24</vt:i4>
      </vt:variant>
      <vt:variant>
        <vt:i4>0</vt:i4>
      </vt:variant>
      <vt:variant>
        <vt:i4>5</vt:i4>
      </vt:variant>
      <vt:variant>
        <vt:lpwstr>http://www.nevo.co.il/law/70301</vt:lpwstr>
      </vt:variant>
      <vt:variant>
        <vt:lpwstr/>
      </vt:variant>
      <vt:variant>
        <vt:i4>6619233</vt:i4>
      </vt:variant>
      <vt:variant>
        <vt:i4>21</vt:i4>
      </vt:variant>
      <vt:variant>
        <vt:i4>0</vt:i4>
      </vt:variant>
      <vt:variant>
        <vt:i4>5</vt:i4>
      </vt:variant>
      <vt:variant>
        <vt:lpwstr>http://www.nevo.co.il/law/70301/40d</vt:lpwstr>
      </vt:variant>
      <vt:variant>
        <vt:lpwstr/>
      </vt:variant>
      <vt:variant>
        <vt:i4>8257637</vt:i4>
      </vt:variant>
      <vt:variant>
        <vt:i4>18</vt:i4>
      </vt:variant>
      <vt:variant>
        <vt:i4>0</vt:i4>
      </vt:variant>
      <vt:variant>
        <vt:i4>5</vt:i4>
      </vt:variant>
      <vt:variant>
        <vt:lpwstr>http://www.nevo.co.il/law/4216</vt:lpwstr>
      </vt:variant>
      <vt:variant>
        <vt:lpwstr/>
      </vt:variant>
      <vt:variant>
        <vt:i4>3997821</vt:i4>
      </vt:variant>
      <vt:variant>
        <vt:i4>15</vt:i4>
      </vt:variant>
      <vt:variant>
        <vt:i4>0</vt:i4>
      </vt:variant>
      <vt:variant>
        <vt:i4>5</vt:i4>
      </vt:variant>
      <vt:variant>
        <vt:lpwstr>http://www.nevo.co.il/law/4216/7.a.;7.c</vt:lpwstr>
      </vt:variant>
      <vt:variant>
        <vt:lpwstr/>
      </vt:variant>
      <vt:variant>
        <vt:i4>6619233</vt:i4>
      </vt:variant>
      <vt:variant>
        <vt:i4>12</vt:i4>
      </vt:variant>
      <vt:variant>
        <vt:i4>0</vt:i4>
      </vt:variant>
      <vt:variant>
        <vt:i4>5</vt:i4>
      </vt:variant>
      <vt:variant>
        <vt:lpwstr>http://www.nevo.co.il/law/70301/40d</vt:lpwstr>
      </vt:variant>
      <vt:variant>
        <vt:lpwstr/>
      </vt:variant>
      <vt:variant>
        <vt:i4>7995492</vt:i4>
      </vt:variant>
      <vt:variant>
        <vt:i4>9</vt:i4>
      </vt:variant>
      <vt:variant>
        <vt:i4>0</vt:i4>
      </vt:variant>
      <vt:variant>
        <vt:i4>5</vt:i4>
      </vt:variant>
      <vt:variant>
        <vt:lpwstr>http://www.nevo.co.il/law/70301</vt:lpwstr>
      </vt:variant>
      <vt:variant>
        <vt:lpwstr/>
      </vt:variant>
      <vt:variant>
        <vt:i4>2752612</vt:i4>
      </vt:variant>
      <vt:variant>
        <vt:i4>6</vt:i4>
      </vt:variant>
      <vt:variant>
        <vt:i4>0</vt:i4>
      </vt:variant>
      <vt:variant>
        <vt:i4>5</vt:i4>
      </vt:variant>
      <vt:variant>
        <vt:lpwstr>http://www.nevo.co.il/law/4216/7.c</vt:lpwstr>
      </vt:variant>
      <vt:variant>
        <vt:lpwstr/>
      </vt:variant>
      <vt:variant>
        <vt:i4>2621540</vt:i4>
      </vt:variant>
      <vt:variant>
        <vt:i4>3</vt:i4>
      </vt:variant>
      <vt:variant>
        <vt:i4>0</vt:i4>
      </vt:variant>
      <vt:variant>
        <vt:i4>5</vt:i4>
      </vt:variant>
      <vt:variant>
        <vt:lpwstr>http://www.nevo.co.il/law/4216/7.a.</vt:lpwstr>
      </vt:variant>
      <vt:variant>
        <vt:lpwstr/>
      </vt:variant>
      <vt:variant>
        <vt:i4>8257637</vt:i4>
      </vt:variant>
      <vt:variant>
        <vt:i4>0</vt:i4>
      </vt:variant>
      <vt:variant>
        <vt:i4>0</vt:i4>
      </vt:variant>
      <vt:variant>
        <vt:i4>5</vt:i4>
      </vt:variant>
      <vt:variant>
        <vt:lpwstr>http://www.nevo.co.il/law/4216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2025-04-22T23:17:00Z</dcterms:created>
  <dcterms:modified xsi:type="dcterms:W3CDTF">2025-04-22T23:17:00Z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3</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44914</vt:lpwstr>
  </property>
  <property fmtid="{D5CDD505-2E9C-101B-9397-08002B2CF9AE}" pid="6" name="NEWPARTB">
    <vt:lpwstr>01</vt:lpwstr>
  </property>
  <property fmtid="{D5CDD505-2E9C-101B-9397-08002B2CF9AE}" pid="7" name="NEWPARTC">
    <vt:lpwstr>17</vt:lpwstr>
  </property>
  <property fmtid="{D5CDD505-2E9C-101B-9397-08002B2CF9AE}" pid="8" name="APPELLANT">
    <vt:lpwstr>מדינת ישראל</vt:lpwstr>
  </property>
  <property fmtid="{D5CDD505-2E9C-101B-9397-08002B2CF9AE}" pid="9" name="APPELLEE">
    <vt:lpwstr>עמרם פרץ</vt:lpwstr>
  </property>
  <property fmtid="{D5CDD505-2E9C-101B-9397-08002B2CF9AE}" pid="10" name="LAWYER">
    <vt:lpwstr>קובי קמר;מיכל בלומנטל</vt:lpwstr>
  </property>
  <property fmtid="{D5CDD505-2E9C-101B-9397-08002B2CF9AE}" pid="11" name="JUDGE">
    <vt:lpwstr>אילן סלע</vt:lpwstr>
  </property>
  <property fmtid="{D5CDD505-2E9C-101B-9397-08002B2CF9AE}" pid="12" name="CITY">
    <vt:lpwstr>י-ם</vt:lpwstr>
  </property>
  <property fmtid="{D5CDD505-2E9C-101B-9397-08002B2CF9AE}" pid="13" name="DATE">
    <vt:lpwstr>20190923</vt:lpwstr>
  </property>
  <property fmtid="{D5CDD505-2E9C-101B-9397-08002B2CF9AE}" pid="14" name="TYPE_N_DATE">
    <vt:lpwstr>38020190923</vt:lpwstr>
  </property>
  <property fmtid="{D5CDD505-2E9C-101B-9397-08002B2CF9AE}" pid="15" name="CASESLISTTMP1">
    <vt:lpwstr>16877119</vt:lpwstr>
  </property>
  <property fmtid="{D5CDD505-2E9C-101B-9397-08002B2CF9AE}" pid="16" name="WORDNUMPAGES">
    <vt:lpwstr>7</vt:lpwstr>
  </property>
  <property fmtid="{D5CDD505-2E9C-101B-9397-08002B2CF9AE}" pid="17" name="TYPE_ABS_DATE">
    <vt:lpwstr>380020190923</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ISABSTRACT">
    <vt:lpwstr>Y</vt:lpwstr>
  </property>
  <property fmtid="{D5CDD505-2E9C-101B-9397-08002B2CF9AE}" pid="36" name="LAWLISTTMP1">
    <vt:lpwstr>4216/007.a;007.c</vt:lpwstr>
  </property>
  <property fmtid="{D5CDD505-2E9C-101B-9397-08002B2CF9AE}" pid="37" name="LAWLISTTMP2">
    <vt:lpwstr>70301/040d</vt:lpwstr>
  </property>
</Properties>
</file>