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033C4" w:rsidRPr="00DB74CB" w14:paraId="3A9AC5AA" w14:textId="77777777" w:rsidTr="00470ED3">
        <w:trPr>
          <w:trHeight w:hRule="exact" w:val="418"/>
          <w:jc w:val="center"/>
        </w:trPr>
        <w:tc>
          <w:tcPr>
            <w:tcW w:w="8721" w:type="dxa"/>
            <w:gridSpan w:val="2"/>
          </w:tcPr>
          <w:p w14:paraId="0D88225B" w14:textId="77777777" w:rsidR="00B033C4" w:rsidRPr="00DB74CB" w:rsidRDefault="00B033C4" w:rsidP="00AE3FB3">
            <w:pPr>
              <w:pStyle w:val="a3"/>
              <w:jc w:val="center"/>
              <w:rPr>
                <w:rFonts w:ascii="Tahoma" w:hAnsi="Tahoma" w:cs="Tahoma"/>
                <w:color w:val="000080"/>
                <w:rtl/>
              </w:rPr>
            </w:pPr>
            <w:bookmarkStart w:id="0" w:name="LastJudge"/>
            <w:r w:rsidRPr="00DB74CB">
              <w:rPr>
                <w:rFonts w:ascii="Tahoma" w:hAnsi="Tahoma" w:cs="Tahoma"/>
                <w:b/>
                <w:bCs/>
                <w:color w:val="000080"/>
                <w:rtl/>
              </w:rPr>
              <w:t>בית משפט השלום בקריות</w:t>
            </w:r>
          </w:p>
        </w:tc>
      </w:tr>
      <w:tr w:rsidR="00B033C4" w:rsidRPr="00DB74CB" w14:paraId="3072CB9B" w14:textId="77777777" w:rsidTr="00470ED3">
        <w:trPr>
          <w:trHeight w:val="337"/>
          <w:jc w:val="center"/>
        </w:trPr>
        <w:tc>
          <w:tcPr>
            <w:tcW w:w="5055" w:type="dxa"/>
          </w:tcPr>
          <w:p w14:paraId="5E9DE4F8" w14:textId="77777777" w:rsidR="00B033C4" w:rsidRPr="00DB74CB" w:rsidRDefault="00B033C4" w:rsidP="00AE3FB3">
            <w:pPr>
              <w:rPr>
                <w:rFonts w:cs="FrankRuehl"/>
                <w:sz w:val="28"/>
                <w:szCs w:val="28"/>
                <w:rtl/>
              </w:rPr>
            </w:pPr>
            <w:r w:rsidRPr="00DB74CB">
              <w:rPr>
                <w:rFonts w:cs="FrankRuehl"/>
                <w:sz w:val="28"/>
                <w:szCs w:val="28"/>
                <w:rtl/>
              </w:rPr>
              <w:t>ת"פ</w:t>
            </w:r>
            <w:r w:rsidRPr="00DB74CB">
              <w:rPr>
                <w:rFonts w:cs="FrankRuehl" w:hint="cs"/>
                <w:sz w:val="28"/>
                <w:szCs w:val="28"/>
                <w:rtl/>
              </w:rPr>
              <w:t xml:space="preserve"> </w:t>
            </w:r>
            <w:r w:rsidRPr="00DB74CB">
              <w:rPr>
                <w:rFonts w:cs="FrankRuehl"/>
                <w:sz w:val="28"/>
                <w:szCs w:val="28"/>
                <w:rtl/>
              </w:rPr>
              <w:t>5405-01-17</w:t>
            </w:r>
            <w:r w:rsidRPr="00DB74CB">
              <w:rPr>
                <w:rFonts w:cs="FrankRuehl" w:hint="cs"/>
                <w:sz w:val="28"/>
                <w:szCs w:val="28"/>
                <w:rtl/>
              </w:rPr>
              <w:t xml:space="preserve"> </w:t>
            </w:r>
            <w:r w:rsidRPr="00DB74CB">
              <w:rPr>
                <w:rFonts w:cs="FrankRuehl"/>
                <w:sz w:val="28"/>
                <w:szCs w:val="28"/>
                <w:rtl/>
              </w:rPr>
              <w:t>מדינת ישראל נ' רוזנצוויג</w:t>
            </w:r>
          </w:p>
          <w:p w14:paraId="6A65F29B" w14:textId="77777777" w:rsidR="00B033C4" w:rsidRPr="00DB74CB" w:rsidRDefault="00B033C4" w:rsidP="00AE3FB3">
            <w:pPr>
              <w:pStyle w:val="a3"/>
              <w:rPr>
                <w:rFonts w:cs="FrankRuehl"/>
                <w:sz w:val="28"/>
                <w:szCs w:val="28"/>
                <w:rtl/>
              </w:rPr>
            </w:pPr>
          </w:p>
        </w:tc>
        <w:tc>
          <w:tcPr>
            <w:tcW w:w="3666" w:type="dxa"/>
          </w:tcPr>
          <w:p w14:paraId="64190F74" w14:textId="77777777" w:rsidR="00B033C4" w:rsidRPr="00DB74CB" w:rsidRDefault="00B033C4" w:rsidP="00AE3FB3">
            <w:pPr>
              <w:pStyle w:val="a3"/>
              <w:jc w:val="right"/>
              <w:rPr>
                <w:rFonts w:cs="FrankRuehl"/>
                <w:sz w:val="28"/>
                <w:szCs w:val="28"/>
                <w:rtl/>
              </w:rPr>
            </w:pPr>
          </w:p>
        </w:tc>
      </w:tr>
    </w:tbl>
    <w:p w14:paraId="3EF9B374" w14:textId="77777777" w:rsidR="00B033C4" w:rsidRPr="00DB74CB" w:rsidRDefault="00B033C4" w:rsidP="00B033C4">
      <w:pPr>
        <w:pStyle w:val="a3"/>
        <w:rPr>
          <w:rtl/>
        </w:rPr>
      </w:pPr>
      <w:r w:rsidRPr="00DB74CB">
        <w:rPr>
          <w:rFonts w:hint="cs"/>
          <w:rtl/>
        </w:rPr>
        <w:t xml:space="preserve"> </w:t>
      </w:r>
    </w:p>
    <w:p w14:paraId="0C66412F" w14:textId="77777777" w:rsidR="00B033C4" w:rsidRPr="00DB74CB" w:rsidRDefault="00B033C4" w:rsidP="00B033C4">
      <w:pPr>
        <w:rPr>
          <w:b/>
          <w:bCs/>
          <w:rtl/>
        </w:rPr>
      </w:pPr>
    </w:p>
    <w:p w14:paraId="49DF6BF5" w14:textId="77777777" w:rsidR="00B033C4" w:rsidRPr="00DB74CB" w:rsidRDefault="00B033C4" w:rsidP="00B033C4">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033C4" w:rsidRPr="00DB74CB" w14:paraId="3EB07F0D" w14:textId="77777777" w:rsidTr="00B033C4">
        <w:trPr>
          <w:trHeight w:val="295"/>
          <w:jc w:val="center"/>
        </w:trPr>
        <w:tc>
          <w:tcPr>
            <w:tcW w:w="923" w:type="dxa"/>
            <w:tcBorders>
              <w:top w:val="nil"/>
              <w:left w:val="nil"/>
              <w:bottom w:val="nil"/>
              <w:right w:val="nil"/>
            </w:tcBorders>
            <w:shd w:val="clear" w:color="auto" w:fill="auto"/>
          </w:tcPr>
          <w:p w14:paraId="1B3D8593" w14:textId="77777777" w:rsidR="00B033C4" w:rsidRPr="00DB74CB" w:rsidRDefault="00B033C4" w:rsidP="00B033C4">
            <w:pPr>
              <w:jc w:val="both"/>
              <w:rPr>
                <w:rFonts w:ascii="Arial" w:hAnsi="Arial"/>
                <w:b/>
                <w:bCs/>
              </w:rPr>
            </w:pPr>
            <w:r w:rsidRPr="00DB74CB">
              <w:rPr>
                <w:rFonts w:ascii="Arial" w:hAnsi="Arial" w:hint="cs"/>
                <w:b/>
                <w:bCs/>
                <w:rtl/>
              </w:rPr>
              <w:t>ב</w:t>
            </w:r>
            <w:r w:rsidRPr="00DB74CB">
              <w:rPr>
                <w:rFonts w:ascii="Arial" w:hAnsi="Arial"/>
                <w:b/>
                <w:bCs/>
                <w:rtl/>
              </w:rPr>
              <w:t xml:space="preserve">פני </w:t>
            </w:r>
          </w:p>
        </w:tc>
        <w:tc>
          <w:tcPr>
            <w:tcW w:w="7897" w:type="dxa"/>
            <w:gridSpan w:val="2"/>
            <w:tcBorders>
              <w:top w:val="nil"/>
              <w:left w:val="nil"/>
              <w:bottom w:val="nil"/>
              <w:right w:val="nil"/>
            </w:tcBorders>
            <w:shd w:val="clear" w:color="auto" w:fill="auto"/>
          </w:tcPr>
          <w:p w14:paraId="223A1DA3" w14:textId="77777777" w:rsidR="00B033C4" w:rsidRPr="00DB74CB" w:rsidRDefault="00B033C4" w:rsidP="00AE3FB3">
            <w:pPr>
              <w:rPr>
                <w:rFonts w:ascii="Arial" w:hAnsi="Arial"/>
                <w:b/>
                <w:bCs/>
                <w:rtl/>
              </w:rPr>
            </w:pPr>
            <w:r w:rsidRPr="00DB74CB">
              <w:rPr>
                <w:rFonts w:ascii="Arial" w:hAnsi="Arial" w:hint="cs"/>
                <w:b/>
                <w:bCs/>
                <w:rtl/>
              </w:rPr>
              <w:t>כבוד ה</w:t>
            </w:r>
            <w:r w:rsidRPr="00DB74CB">
              <w:rPr>
                <w:rFonts w:ascii="Arial" w:hAnsi="Arial"/>
                <w:b/>
                <w:bCs/>
                <w:rtl/>
              </w:rPr>
              <w:t>שופט</w:t>
            </w:r>
            <w:r w:rsidRPr="00DB74CB">
              <w:rPr>
                <w:rFonts w:ascii="Arial" w:hAnsi="Arial" w:hint="cs"/>
                <w:b/>
                <w:bCs/>
                <w:rtl/>
              </w:rPr>
              <w:t xml:space="preserve">  </w:t>
            </w:r>
            <w:r w:rsidRPr="00DB74CB">
              <w:rPr>
                <w:rFonts w:ascii="Arial" w:hAnsi="Arial"/>
                <w:b/>
                <w:bCs/>
                <w:rtl/>
              </w:rPr>
              <w:t>יוסי טורס</w:t>
            </w:r>
          </w:p>
          <w:p w14:paraId="2A8FC9C3" w14:textId="77777777" w:rsidR="00B033C4" w:rsidRPr="00DB74CB" w:rsidRDefault="00B033C4" w:rsidP="00AE3FB3">
            <w:pPr>
              <w:rPr>
                <w:b/>
                <w:bCs/>
                <w:rtl/>
              </w:rPr>
            </w:pPr>
          </w:p>
          <w:p w14:paraId="693C059E" w14:textId="77777777" w:rsidR="00B033C4" w:rsidRPr="00DB74CB" w:rsidRDefault="00B033C4" w:rsidP="00B033C4">
            <w:pPr>
              <w:jc w:val="both"/>
              <w:rPr>
                <w:rFonts w:ascii="Arial" w:hAnsi="Arial"/>
                <w:b/>
                <w:bCs/>
              </w:rPr>
            </w:pPr>
          </w:p>
        </w:tc>
      </w:tr>
      <w:tr w:rsidR="00B033C4" w:rsidRPr="00DB74CB" w14:paraId="0960ACA4" w14:textId="77777777" w:rsidTr="00B033C4">
        <w:trPr>
          <w:trHeight w:val="355"/>
          <w:jc w:val="center"/>
        </w:trPr>
        <w:tc>
          <w:tcPr>
            <w:tcW w:w="923" w:type="dxa"/>
            <w:tcBorders>
              <w:top w:val="nil"/>
              <w:left w:val="nil"/>
              <w:bottom w:val="nil"/>
              <w:right w:val="nil"/>
            </w:tcBorders>
            <w:shd w:val="clear" w:color="auto" w:fill="auto"/>
          </w:tcPr>
          <w:p w14:paraId="1406EAD8" w14:textId="77777777" w:rsidR="00B033C4" w:rsidRPr="00DB74CB" w:rsidRDefault="00B033C4" w:rsidP="00B033C4">
            <w:pPr>
              <w:jc w:val="both"/>
              <w:rPr>
                <w:rFonts w:ascii="Arial" w:hAnsi="Arial"/>
                <w:b/>
                <w:bCs/>
              </w:rPr>
            </w:pPr>
            <w:bookmarkStart w:id="1" w:name="FirstAppellant"/>
            <w:r w:rsidRPr="00DB74CB">
              <w:rPr>
                <w:rFonts w:ascii="Arial" w:hAnsi="Arial" w:hint="cs"/>
                <w:b/>
                <w:bCs/>
                <w:rtl/>
              </w:rPr>
              <w:t>בעניין:</w:t>
            </w:r>
          </w:p>
        </w:tc>
        <w:tc>
          <w:tcPr>
            <w:tcW w:w="4126" w:type="dxa"/>
            <w:tcBorders>
              <w:top w:val="nil"/>
              <w:left w:val="nil"/>
              <w:bottom w:val="nil"/>
              <w:right w:val="nil"/>
            </w:tcBorders>
            <w:shd w:val="clear" w:color="auto" w:fill="auto"/>
          </w:tcPr>
          <w:p w14:paraId="686C2121" w14:textId="77777777" w:rsidR="00B033C4" w:rsidRPr="00DB74CB" w:rsidRDefault="00B033C4" w:rsidP="00AE3FB3">
            <w:pPr>
              <w:rPr>
                <w:b/>
                <w:bCs/>
              </w:rPr>
            </w:pPr>
            <w:r w:rsidRPr="00DB74CB">
              <w:rPr>
                <w:rFonts w:ascii="Arial" w:hAnsi="Arial"/>
                <w:b/>
                <w:bCs/>
                <w:rtl/>
              </w:rPr>
              <w:t>מדינת ישראל</w:t>
            </w:r>
          </w:p>
        </w:tc>
        <w:tc>
          <w:tcPr>
            <w:tcW w:w="3771" w:type="dxa"/>
            <w:tcBorders>
              <w:top w:val="nil"/>
              <w:left w:val="nil"/>
              <w:bottom w:val="nil"/>
              <w:right w:val="nil"/>
            </w:tcBorders>
            <w:shd w:val="clear" w:color="auto" w:fill="auto"/>
          </w:tcPr>
          <w:p w14:paraId="173FE5D4" w14:textId="77777777" w:rsidR="00B033C4" w:rsidRPr="00DB74CB" w:rsidRDefault="00B033C4" w:rsidP="00B033C4">
            <w:pPr>
              <w:jc w:val="both"/>
              <w:rPr>
                <w:rFonts w:ascii="Arial" w:hAnsi="Arial"/>
                <w:b/>
                <w:bCs/>
              </w:rPr>
            </w:pPr>
          </w:p>
        </w:tc>
      </w:tr>
      <w:bookmarkEnd w:id="1"/>
      <w:tr w:rsidR="00B033C4" w:rsidRPr="00DB74CB" w14:paraId="0193B611" w14:textId="77777777" w:rsidTr="00B033C4">
        <w:trPr>
          <w:trHeight w:val="355"/>
          <w:jc w:val="center"/>
        </w:trPr>
        <w:tc>
          <w:tcPr>
            <w:tcW w:w="923" w:type="dxa"/>
            <w:tcBorders>
              <w:top w:val="nil"/>
              <w:left w:val="nil"/>
              <w:bottom w:val="nil"/>
              <w:right w:val="nil"/>
            </w:tcBorders>
            <w:shd w:val="clear" w:color="auto" w:fill="auto"/>
          </w:tcPr>
          <w:p w14:paraId="5CCBD303" w14:textId="77777777" w:rsidR="00B033C4" w:rsidRPr="00DB74CB" w:rsidRDefault="00B033C4" w:rsidP="00B033C4">
            <w:pPr>
              <w:jc w:val="both"/>
              <w:rPr>
                <w:rFonts w:ascii="Arial" w:hAnsi="Arial"/>
                <w:b/>
                <w:bCs/>
                <w:rtl/>
              </w:rPr>
            </w:pPr>
          </w:p>
        </w:tc>
        <w:tc>
          <w:tcPr>
            <w:tcW w:w="4126" w:type="dxa"/>
            <w:tcBorders>
              <w:top w:val="nil"/>
              <w:left w:val="nil"/>
              <w:bottom w:val="nil"/>
              <w:right w:val="nil"/>
            </w:tcBorders>
            <w:shd w:val="clear" w:color="auto" w:fill="auto"/>
          </w:tcPr>
          <w:p w14:paraId="126B0637" w14:textId="77777777" w:rsidR="00B033C4" w:rsidRPr="00DB74CB" w:rsidRDefault="00B033C4" w:rsidP="00B033C4">
            <w:pPr>
              <w:jc w:val="both"/>
              <w:rPr>
                <w:b/>
                <w:bCs/>
                <w:rtl/>
              </w:rPr>
            </w:pPr>
          </w:p>
        </w:tc>
        <w:tc>
          <w:tcPr>
            <w:tcW w:w="3771" w:type="dxa"/>
            <w:tcBorders>
              <w:top w:val="nil"/>
              <w:left w:val="nil"/>
              <w:bottom w:val="nil"/>
              <w:right w:val="nil"/>
            </w:tcBorders>
            <w:shd w:val="clear" w:color="auto" w:fill="auto"/>
          </w:tcPr>
          <w:p w14:paraId="2EDA2394" w14:textId="77777777" w:rsidR="00B033C4" w:rsidRPr="00DB74CB" w:rsidRDefault="00B033C4" w:rsidP="00B033C4">
            <w:pPr>
              <w:jc w:val="right"/>
              <w:rPr>
                <w:rFonts w:ascii="Arial" w:hAnsi="Arial"/>
                <w:b/>
                <w:bCs/>
                <w:rtl/>
              </w:rPr>
            </w:pPr>
            <w:r w:rsidRPr="00DB74CB">
              <w:rPr>
                <w:rFonts w:ascii="Arial" w:hAnsi="Arial" w:hint="cs"/>
                <w:b/>
                <w:bCs/>
                <w:rtl/>
              </w:rPr>
              <w:t>ה</w:t>
            </w:r>
            <w:r w:rsidRPr="00DB74CB">
              <w:rPr>
                <w:rFonts w:ascii="Arial" w:hAnsi="Arial"/>
                <w:b/>
                <w:bCs/>
                <w:rtl/>
              </w:rPr>
              <w:t>מאשימה</w:t>
            </w:r>
          </w:p>
        </w:tc>
      </w:tr>
      <w:tr w:rsidR="00B033C4" w:rsidRPr="00DB74CB" w14:paraId="1D248173" w14:textId="77777777" w:rsidTr="00B033C4">
        <w:trPr>
          <w:trHeight w:val="355"/>
          <w:jc w:val="center"/>
        </w:trPr>
        <w:tc>
          <w:tcPr>
            <w:tcW w:w="923" w:type="dxa"/>
            <w:tcBorders>
              <w:top w:val="nil"/>
              <w:left w:val="nil"/>
              <w:bottom w:val="nil"/>
              <w:right w:val="nil"/>
            </w:tcBorders>
            <w:shd w:val="clear" w:color="auto" w:fill="auto"/>
          </w:tcPr>
          <w:p w14:paraId="1ABC60BA" w14:textId="77777777" w:rsidR="00B033C4" w:rsidRPr="00DB74CB" w:rsidRDefault="00B033C4" w:rsidP="00B033C4">
            <w:pPr>
              <w:jc w:val="both"/>
              <w:rPr>
                <w:rFonts w:ascii="Arial" w:hAnsi="Arial"/>
                <w:b/>
                <w:bCs/>
                <w:rtl/>
              </w:rPr>
            </w:pPr>
          </w:p>
        </w:tc>
        <w:tc>
          <w:tcPr>
            <w:tcW w:w="7897" w:type="dxa"/>
            <w:gridSpan w:val="2"/>
            <w:tcBorders>
              <w:top w:val="nil"/>
              <w:left w:val="nil"/>
              <w:bottom w:val="nil"/>
              <w:right w:val="nil"/>
            </w:tcBorders>
            <w:shd w:val="clear" w:color="auto" w:fill="auto"/>
          </w:tcPr>
          <w:p w14:paraId="47D77C0A" w14:textId="77777777" w:rsidR="00B033C4" w:rsidRPr="00DB74CB" w:rsidRDefault="00B033C4" w:rsidP="00B033C4">
            <w:pPr>
              <w:jc w:val="center"/>
              <w:rPr>
                <w:rFonts w:ascii="Arial" w:hAnsi="Arial"/>
                <w:b/>
                <w:bCs/>
                <w:rtl/>
              </w:rPr>
            </w:pPr>
          </w:p>
          <w:p w14:paraId="30BE6104" w14:textId="77777777" w:rsidR="00B033C4" w:rsidRPr="00DB74CB" w:rsidRDefault="00B033C4" w:rsidP="00B033C4">
            <w:pPr>
              <w:jc w:val="center"/>
              <w:rPr>
                <w:rFonts w:ascii="Arial" w:hAnsi="Arial"/>
                <w:b/>
                <w:bCs/>
                <w:rtl/>
              </w:rPr>
            </w:pPr>
            <w:r w:rsidRPr="00DB74CB">
              <w:rPr>
                <w:rFonts w:ascii="Arial" w:hAnsi="Arial"/>
                <w:b/>
                <w:bCs/>
                <w:rtl/>
              </w:rPr>
              <w:t>נגד</w:t>
            </w:r>
          </w:p>
          <w:p w14:paraId="129C9C4A" w14:textId="77777777" w:rsidR="00B033C4" w:rsidRPr="00DB74CB" w:rsidRDefault="00B033C4" w:rsidP="00B033C4">
            <w:pPr>
              <w:jc w:val="both"/>
              <w:rPr>
                <w:rFonts w:ascii="Arial" w:hAnsi="Arial"/>
                <w:b/>
                <w:bCs/>
              </w:rPr>
            </w:pPr>
          </w:p>
        </w:tc>
      </w:tr>
      <w:tr w:rsidR="00B033C4" w:rsidRPr="00DB74CB" w14:paraId="0534766C" w14:textId="77777777" w:rsidTr="00B033C4">
        <w:trPr>
          <w:trHeight w:val="355"/>
          <w:jc w:val="center"/>
        </w:trPr>
        <w:tc>
          <w:tcPr>
            <w:tcW w:w="923" w:type="dxa"/>
            <w:tcBorders>
              <w:top w:val="nil"/>
              <w:left w:val="nil"/>
              <w:bottom w:val="nil"/>
              <w:right w:val="nil"/>
            </w:tcBorders>
            <w:shd w:val="clear" w:color="auto" w:fill="auto"/>
          </w:tcPr>
          <w:p w14:paraId="1C86E5F5" w14:textId="77777777" w:rsidR="00B033C4" w:rsidRPr="00DB74CB" w:rsidRDefault="00B033C4" w:rsidP="00AE3FB3">
            <w:pPr>
              <w:rPr>
                <w:rFonts w:ascii="Arial" w:hAnsi="Arial"/>
                <w:b/>
                <w:bCs/>
                <w:rtl/>
              </w:rPr>
            </w:pPr>
          </w:p>
        </w:tc>
        <w:tc>
          <w:tcPr>
            <w:tcW w:w="4126" w:type="dxa"/>
            <w:tcBorders>
              <w:top w:val="nil"/>
              <w:left w:val="nil"/>
              <w:bottom w:val="nil"/>
              <w:right w:val="nil"/>
            </w:tcBorders>
            <w:shd w:val="clear" w:color="auto" w:fill="auto"/>
          </w:tcPr>
          <w:p w14:paraId="7E309EEC" w14:textId="77777777" w:rsidR="00B033C4" w:rsidRPr="00DB74CB" w:rsidRDefault="00B033C4" w:rsidP="00AE3FB3">
            <w:pPr>
              <w:rPr>
                <w:b/>
                <w:bCs/>
                <w:rtl/>
              </w:rPr>
            </w:pPr>
            <w:r w:rsidRPr="00DB74CB">
              <w:rPr>
                <w:rFonts w:ascii="Arial" w:hAnsi="Arial"/>
                <w:b/>
                <w:bCs/>
                <w:rtl/>
              </w:rPr>
              <w:t>יגאל רוזנצוויג</w:t>
            </w:r>
          </w:p>
        </w:tc>
        <w:tc>
          <w:tcPr>
            <w:tcW w:w="3771" w:type="dxa"/>
            <w:tcBorders>
              <w:top w:val="nil"/>
              <w:left w:val="nil"/>
              <w:bottom w:val="nil"/>
              <w:right w:val="nil"/>
            </w:tcBorders>
            <w:shd w:val="clear" w:color="auto" w:fill="auto"/>
          </w:tcPr>
          <w:p w14:paraId="2A4DC968" w14:textId="77777777" w:rsidR="00B033C4" w:rsidRPr="00DB74CB" w:rsidRDefault="00B033C4" w:rsidP="00B033C4">
            <w:pPr>
              <w:jc w:val="right"/>
              <w:rPr>
                <w:rFonts w:ascii="Arial" w:hAnsi="Arial"/>
                <w:b/>
                <w:bCs/>
              </w:rPr>
            </w:pPr>
          </w:p>
        </w:tc>
      </w:tr>
      <w:tr w:rsidR="00B033C4" w:rsidRPr="00DB74CB" w14:paraId="6587AE5C" w14:textId="77777777" w:rsidTr="00B033C4">
        <w:trPr>
          <w:trHeight w:val="355"/>
          <w:jc w:val="center"/>
        </w:trPr>
        <w:tc>
          <w:tcPr>
            <w:tcW w:w="923" w:type="dxa"/>
            <w:tcBorders>
              <w:top w:val="nil"/>
              <w:left w:val="nil"/>
              <w:bottom w:val="nil"/>
              <w:right w:val="nil"/>
            </w:tcBorders>
            <w:shd w:val="clear" w:color="auto" w:fill="auto"/>
          </w:tcPr>
          <w:p w14:paraId="48AFC654" w14:textId="77777777" w:rsidR="00B033C4" w:rsidRPr="00DB74CB" w:rsidRDefault="00B033C4" w:rsidP="00B033C4">
            <w:pPr>
              <w:jc w:val="both"/>
              <w:rPr>
                <w:rFonts w:ascii="Arial" w:hAnsi="Arial"/>
                <w:b/>
                <w:bCs/>
                <w:rtl/>
              </w:rPr>
            </w:pPr>
          </w:p>
        </w:tc>
        <w:tc>
          <w:tcPr>
            <w:tcW w:w="4126" w:type="dxa"/>
            <w:tcBorders>
              <w:top w:val="nil"/>
              <w:left w:val="nil"/>
              <w:bottom w:val="nil"/>
              <w:right w:val="nil"/>
            </w:tcBorders>
            <w:shd w:val="clear" w:color="auto" w:fill="auto"/>
          </w:tcPr>
          <w:p w14:paraId="1A586E18" w14:textId="77777777" w:rsidR="00B033C4" w:rsidRPr="00DB74CB" w:rsidRDefault="00B033C4" w:rsidP="00B033C4">
            <w:pPr>
              <w:jc w:val="both"/>
              <w:rPr>
                <w:b/>
                <w:bCs/>
                <w:rtl/>
              </w:rPr>
            </w:pPr>
          </w:p>
        </w:tc>
        <w:tc>
          <w:tcPr>
            <w:tcW w:w="3771" w:type="dxa"/>
            <w:tcBorders>
              <w:top w:val="nil"/>
              <w:left w:val="nil"/>
              <w:bottom w:val="nil"/>
              <w:right w:val="nil"/>
            </w:tcBorders>
            <w:shd w:val="clear" w:color="auto" w:fill="auto"/>
          </w:tcPr>
          <w:p w14:paraId="4D843F92" w14:textId="77777777" w:rsidR="00B033C4" w:rsidRPr="00DB74CB" w:rsidRDefault="00B033C4" w:rsidP="00B033C4">
            <w:pPr>
              <w:jc w:val="right"/>
              <w:rPr>
                <w:rFonts w:ascii="Arial" w:hAnsi="Arial"/>
                <w:b/>
                <w:bCs/>
              </w:rPr>
            </w:pPr>
            <w:r w:rsidRPr="00DB74CB">
              <w:rPr>
                <w:rFonts w:ascii="Arial" w:hAnsi="Arial" w:hint="cs"/>
                <w:b/>
                <w:bCs/>
                <w:rtl/>
              </w:rPr>
              <w:t>ה</w:t>
            </w:r>
            <w:r w:rsidRPr="00DB74CB">
              <w:rPr>
                <w:rFonts w:ascii="Arial" w:hAnsi="Arial"/>
                <w:b/>
                <w:bCs/>
                <w:rtl/>
              </w:rPr>
              <w:t>נאש</w:t>
            </w:r>
            <w:r w:rsidRPr="00DB74CB">
              <w:rPr>
                <w:rFonts w:ascii="Arial" w:hAnsi="Arial" w:hint="cs"/>
                <w:b/>
                <w:bCs/>
                <w:rtl/>
              </w:rPr>
              <w:t>ם</w:t>
            </w:r>
          </w:p>
        </w:tc>
      </w:tr>
    </w:tbl>
    <w:p w14:paraId="2138F5F6" w14:textId="77777777" w:rsidR="007C0527" w:rsidRDefault="007C0527" w:rsidP="00B033C4">
      <w:pPr>
        <w:rPr>
          <w:rtl/>
        </w:rPr>
      </w:pPr>
      <w:bookmarkStart w:id="2" w:name="LawTable"/>
      <w:bookmarkEnd w:id="2"/>
    </w:p>
    <w:p w14:paraId="21409F7B" w14:textId="77777777" w:rsidR="007C0527" w:rsidRPr="007C0527" w:rsidRDefault="007C0527" w:rsidP="007C0527">
      <w:pPr>
        <w:spacing w:after="120" w:line="240" w:lineRule="exact"/>
        <w:ind w:left="283" w:hanging="283"/>
        <w:jc w:val="both"/>
        <w:rPr>
          <w:rFonts w:ascii="FrankRuehl" w:hAnsi="FrankRuehl" w:cs="FrankRuehl"/>
          <w:rtl/>
        </w:rPr>
      </w:pPr>
    </w:p>
    <w:p w14:paraId="4733059A" w14:textId="77777777" w:rsidR="007C0527" w:rsidRPr="007C0527" w:rsidRDefault="007C0527" w:rsidP="007C0527">
      <w:pPr>
        <w:spacing w:after="120" w:line="240" w:lineRule="exact"/>
        <w:ind w:left="283" w:hanging="283"/>
        <w:jc w:val="both"/>
        <w:rPr>
          <w:rFonts w:ascii="FrankRuehl" w:hAnsi="FrankRuehl" w:cs="FrankRuehl"/>
          <w:rtl/>
        </w:rPr>
      </w:pPr>
      <w:r w:rsidRPr="007C0527">
        <w:rPr>
          <w:rFonts w:ascii="FrankRuehl" w:hAnsi="FrankRuehl" w:cs="FrankRuehl"/>
          <w:rtl/>
        </w:rPr>
        <w:t xml:space="preserve">חקיקה שאוזכרה: </w:t>
      </w:r>
    </w:p>
    <w:p w14:paraId="0B6ACF92" w14:textId="77777777" w:rsidR="007C0527" w:rsidRPr="007C0527" w:rsidRDefault="007C0527" w:rsidP="007C0527">
      <w:pPr>
        <w:spacing w:after="120" w:line="240" w:lineRule="exact"/>
        <w:ind w:left="283" w:hanging="283"/>
        <w:jc w:val="both"/>
        <w:rPr>
          <w:rFonts w:ascii="FrankRuehl" w:hAnsi="FrankRuehl" w:cs="FrankRuehl"/>
          <w:rtl/>
        </w:rPr>
      </w:pPr>
      <w:hyperlink r:id="rId7" w:history="1">
        <w:r w:rsidRPr="007C0527">
          <w:rPr>
            <w:rFonts w:ascii="FrankRuehl" w:hAnsi="FrankRuehl" w:cs="FrankRuehl"/>
            <w:color w:val="0000FF"/>
            <w:u w:val="single"/>
            <w:rtl/>
          </w:rPr>
          <w:t>חוק העונשין, תשל"ז-1977</w:t>
        </w:r>
      </w:hyperlink>
      <w:r w:rsidRPr="007C0527">
        <w:rPr>
          <w:rFonts w:ascii="FrankRuehl" w:hAnsi="FrankRuehl" w:cs="FrankRuehl"/>
          <w:rtl/>
        </w:rPr>
        <w:t xml:space="preserve">: סע'  </w:t>
      </w:r>
      <w:hyperlink r:id="rId8" w:history="1">
        <w:r w:rsidRPr="007C0527">
          <w:rPr>
            <w:rFonts w:ascii="FrankRuehl" w:hAnsi="FrankRuehl" w:cs="FrankRuehl"/>
            <w:color w:val="0000FF"/>
            <w:u w:val="single"/>
            <w:rtl/>
          </w:rPr>
          <w:t>40ד'</w:t>
        </w:r>
      </w:hyperlink>
      <w:r w:rsidRPr="007C0527">
        <w:rPr>
          <w:rFonts w:ascii="FrankRuehl" w:hAnsi="FrankRuehl" w:cs="FrankRuehl"/>
          <w:rtl/>
        </w:rPr>
        <w:t xml:space="preserve">, </w:t>
      </w:r>
      <w:hyperlink r:id="rId9" w:history="1">
        <w:r w:rsidRPr="007C0527">
          <w:rPr>
            <w:rFonts w:ascii="FrankRuehl" w:hAnsi="FrankRuehl" w:cs="FrankRuehl"/>
            <w:color w:val="0000FF"/>
            <w:u w:val="single"/>
            <w:rtl/>
          </w:rPr>
          <w:t>40ד(ב)</w:t>
        </w:r>
      </w:hyperlink>
      <w:r w:rsidRPr="007C0527">
        <w:rPr>
          <w:rFonts w:ascii="FrankRuehl" w:hAnsi="FrankRuehl" w:cs="FrankRuehl"/>
          <w:rtl/>
        </w:rPr>
        <w:t xml:space="preserve">, </w:t>
      </w:r>
      <w:hyperlink r:id="rId10" w:history="1">
        <w:r w:rsidRPr="007C0527">
          <w:rPr>
            <w:rFonts w:ascii="FrankRuehl" w:hAnsi="FrankRuehl" w:cs="FrankRuehl"/>
            <w:color w:val="0000FF"/>
            <w:u w:val="single"/>
            <w:rtl/>
          </w:rPr>
          <w:t>40ט'</w:t>
        </w:r>
      </w:hyperlink>
      <w:r w:rsidRPr="007C0527">
        <w:rPr>
          <w:rFonts w:ascii="FrankRuehl" w:hAnsi="FrankRuehl" w:cs="FrankRuehl"/>
          <w:rtl/>
        </w:rPr>
        <w:t xml:space="preserve">, </w:t>
      </w:r>
      <w:hyperlink r:id="rId11" w:history="1">
        <w:r w:rsidRPr="007C0527">
          <w:rPr>
            <w:rFonts w:ascii="FrankRuehl" w:hAnsi="FrankRuehl" w:cs="FrankRuehl"/>
            <w:color w:val="0000FF"/>
            <w:u w:val="single"/>
            <w:rtl/>
          </w:rPr>
          <w:t>40י'(ב)(2)</w:t>
        </w:r>
      </w:hyperlink>
      <w:r w:rsidRPr="007C0527">
        <w:rPr>
          <w:rFonts w:ascii="FrankRuehl" w:hAnsi="FrankRuehl" w:cs="FrankRuehl"/>
          <w:rtl/>
        </w:rPr>
        <w:t xml:space="preserve">, </w:t>
      </w:r>
      <w:hyperlink r:id="rId12" w:history="1">
        <w:r w:rsidRPr="007C0527">
          <w:rPr>
            <w:rFonts w:ascii="FrankRuehl" w:hAnsi="FrankRuehl" w:cs="FrankRuehl"/>
            <w:color w:val="0000FF"/>
            <w:u w:val="single"/>
            <w:rtl/>
          </w:rPr>
          <w:t>40י(ב)(י)</w:t>
        </w:r>
      </w:hyperlink>
      <w:r w:rsidRPr="007C0527">
        <w:rPr>
          <w:rFonts w:ascii="FrankRuehl" w:hAnsi="FrankRuehl" w:cs="FrankRuehl"/>
          <w:rtl/>
        </w:rPr>
        <w:t xml:space="preserve">, </w:t>
      </w:r>
      <w:hyperlink r:id="rId13" w:history="1">
        <w:r w:rsidRPr="007C0527">
          <w:rPr>
            <w:rFonts w:ascii="FrankRuehl" w:hAnsi="FrankRuehl" w:cs="FrankRuehl"/>
            <w:color w:val="0000FF"/>
            <w:u w:val="single"/>
            <w:rtl/>
          </w:rPr>
          <w:t>40י(ד)</w:t>
        </w:r>
      </w:hyperlink>
      <w:r w:rsidRPr="007C0527">
        <w:rPr>
          <w:rFonts w:ascii="FrankRuehl" w:hAnsi="FrankRuehl" w:cs="FrankRuehl"/>
          <w:rtl/>
        </w:rPr>
        <w:t xml:space="preserve">, </w:t>
      </w:r>
      <w:hyperlink r:id="rId14" w:history="1">
        <w:r w:rsidRPr="007C0527">
          <w:rPr>
            <w:rFonts w:ascii="FrankRuehl" w:hAnsi="FrankRuehl" w:cs="FrankRuehl"/>
            <w:color w:val="0000FF"/>
            <w:u w:val="single"/>
            <w:rtl/>
          </w:rPr>
          <w:t>51ג(ג)</w:t>
        </w:r>
      </w:hyperlink>
      <w:r w:rsidRPr="007C0527">
        <w:rPr>
          <w:rFonts w:ascii="FrankRuehl" w:hAnsi="FrankRuehl" w:cs="FrankRuehl"/>
          <w:rtl/>
        </w:rPr>
        <w:t xml:space="preserve">, </w:t>
      </w:r>
      <w:hyperlink r:id="rId15" w:history="1">
        <w:r w:rsidRPr="007C0527">
          <w:rPr>
            <w:rFonts w:ascii="FrankRuehl" w:hAnsi="FrankRuehl" w:cs="FrankRuehl"/>
            <w:color w:val="0000FF"/>
            <w:u w:val="single"/>
            <w:rtl/>
          </w:rPr>
          <w:t>192</w:t>
        </w:r>
      </w:hyperlink>
      <w:r w:rsidRPr="007C0527">
        <w:rPr>
          <w:rFonts w:ascii="FrankRuehl" w:hAnsi="FrankRuehl" w:cs="FrankRuehl"/>
          <w:rtl/>
        </w:rPr>
        <w:t xml:space="preserve">, </w:t>
      </w:r>
      <w:hyperlink r:id="rId16" w:history="1">
        <w:r w:rsidRPr="007C0527">
          <w:rPr>
            <w:rFonts w:ascii="FrankRuehl" w:hAnsi="FrankRuehl" w:cs="FrankRuehl"/>
            <w:color w:val="0000FF"/>
            <w:u w:val="single"/>
            <w:rtl/>
          </w:rPr>
          <w:t>333</w:t>
        </w:r>
      </w:hyperlink>
      <w:r w:rsidRPr="007C0527">
        <w:rPr>
          <w:rFonts w:ascii="FrankRuehl" w:hAnsi="FrankRuehl" w:cs="FrankRuehl"/>
          <w:rtl/>
        </w:rPr>
        <w:t xml:space="preserve">, </w:t>
      </w:r>
      <w:hyperlink r:id="rId17" w:history="1">
        <w:r w:rsidRPr="007C0527">
          <w:rPr>
            <w:rFonts w:ascii="FrankRuehl" w:hAnsi="FrankRuehl" w:cs="FrankRuehl"/>
            <w:color w:val="0000FF"/>
            <w:u w:val="single"/>
            <w:rtl/>
          </w:rPr>
          <w:t>413יב'</w:t>
        </w:r>
      </w:hyperlink>
      <w:r w:rsidRPr="007C0527">
        <w:rPr>
          <w:rFonts w:ascii="FrankRuehl" w:hAnsi="FrankRuehl" w:cs="FrankRuehl"/>
          <w:rtl/>
        </w:rPr>
        <w:t xml:space="preserve">, </w:t>
      </w:r>
      <w:hyperlink r:id="rId18" w:history="1">
        <w:r w:rsidRPr="007C0527">
          <w:rPr>
            <w:rFonts w:ascii="FrankRuehl" w:hAnsi="FrankRuehl" w:cs="FrankRuehl"/>
            <w:color w:val="0000FF"/>
            <w:u w:val="single"/>
            <w:rtl/>
          </w:rPr>
          <w:t>452</w:t>
        </w:r>
      </w:hyperlink>
    </w:p>
    <w:p w14:paraId="1BA9D9BA" w14:textId="77777777" w:rsidR="007C0527" w:rsidRPr="007C0527" w:rsidRDefault="007C0527" w:rsidP="007C0527">
      <w:pPr>
        <w:spacing w:after="120" w:line="240" w:lineRule="exact"/>
        <w:ind w:left="283" w:hanging="283"/>
        <w:jc w:val="both"/>
        <w:rPr>
          <w:rFonts w:ascii="FrankRuehl" w:hAnsi="FrankRuehl" w:cs="FrankRuehl"/>
          <w:rtl/>
        </w:rPr>
      </w:pPr>
      <w:hyperlink r:id="rId19" w:history="1">
        <w:r w:rsidRPr="007C0527">
          <w:rPr>
            <w:rFonts w:ascii="FrankRuehl" w:hAnsi="FrankRuehl" w:cs="FrankRuehl"/>
            <w:color w:val="0000FF"/>
            <w:u w:val="single"/>
            <w:rtl/>
          </w:rPr>
          <w:t>חוק סדר הדין הפלילי [נוסח משולב], תשמ"ב-1982</w:t>
        </w:r>
      </w:hyperlink>
      <w:r w:rsidRPr="007C0527">
        <w:rPr>
          <w:rFonts w:ascii="FrankRuehl" w:hAnsi="FrankRuehl" w:cs="FrankRuehl"/>
          <w:rtl/>
        </w:rPr>
        <w:t xml:space="preserve">: סע'  </w:t>
      </w:r>
      <w:hyperlink r:id="rId20" w:history="1">
        <w:r w:rsidRPr="007C0527">
          <w:rPr>
            <w:rFonts w:ascii="FrankRuehl" w:hAnsi="FrankRuehl" w:cs="FrankRuehl"/>
            <w:color w:val="0000FF"/>
            <w:u w:val="single"/>
            <w:rtl/>
          </w:rPr>
          <w:t>191א'</w:t>
        </w:r>
      </w:hyperlink>
    </w:p>
    <w:p w14:paraId="5E126533" w14:textId="77777777" w:rsidR="007C0527" w:rsidRPr="007C0527" w:rsidRDefault="007C0527" w:rsidP="007C0527">
      <w:pPr>
        <w:spacing w:after="120" w:line="240" w:lineRule="exact"/>
        <w:ind w:left="283" w:hanging="283"/>
        <w:jc w:val="both"/>
        <w:rPr>
          <w:rFonts w:ascii="FrankRuehl" w:hAnsi="FrankRuehl" w:cs="FrankRuehl"/>
          <w:rtl/>
        </w:rPr>
      </w:pPr>
      <w:hyperlink r:id="rId21" w:history="1">
        <w:r w:rsidRPr="007C0527">
          <w:rPr>
            <w:rFonts w:ascii="FrankRuehl" w:hAnsi="FrankRuehl" w:cs="FrankRuehl"/>
            <w:color w:val="0000FF"/>
            <w:u w:val="single"/>
            <w:rtl/>
          </w:rPr>
          <w:t>פקודת המבחן [נוסח חדש], תשכ"ט-1969</w:t>
        </w:r>
      </w:hyperlink>
      <w:r w:rsidRPr="007C0527">
        <w:rPr>
          <w:rFonts w:ascii="FrankRuehl" w:hAnsi="FrankRuehl" w:cs="FrankRuehl"/>
          <w:rtl/>
        </w:rPr>
        <w:t xml:space="preserve">: סע'  </w:t>
      </w:r>
      <w:hyperlink r:id="rId22" w:history="1">
        <w:r w:rsidRPr="007C0527">
          <w:rPr>
            <w:rFonts w:ascii="FrankRuehl" w:hAnsi="FrankRuehl" w:cs="FrankRuehl"/>
            <w:color w:val="0000FF"/>
            <w:u w:val="single"/>
            <w:rtl/>
          </w:rPr>
          <w:t>1</w:t>
        </w:r>
      </w:hyperlink>
    </w:p>
    <w:p w14:paraId="02C12AF3" w14:textId="77777777" w:rsidR="007C0527" w:rsidRPr="007C0527" w:rsidRDefault="007C0527" w:rsidP="007C0527">
      <w:pPr>
        <w:spacing w:after="120" w:line="240" w:lineRule="exact"/>
        <w:ind w:left="283" w:hanging="283"/>
        <w:jc w:val="both"/>
        <w:rPr>
          <w:rFonts w:ascii="FrankRuehl" w:hAnsi="FrankRuehl" w:cs="FrankRuehl"/>
          <w:rtl/>
        </w:rPr>
      </w:pPr>
      <w:hyperlink r:id="rId23" w:history="1">
        <w:r w:rsidRPr="007C0527">
          <w:rPr>
            <w:rFonts w:ascii="FrankRuehl" w:hAnsi="FrankRuehl" w:cs="FrankRuehl"/>
            <w:color w:val="0000FF"/>
            <w:u w:val="single"/>
            <w:rtl/>
          </w:rPr>
          <w:t>פקודת התעבורה [נוסח חדש]</w:t>
        </w:r>
      </w:hyperlink>
      <w:r w:rsidRPr="007C0527">
        <w:rPr>
          <w:rFonts w:ascii="FrankRuehl" w:hAnsi="FrankRuehl" w:cs="FrankRuehl"/>
          <w:rtl/>
        </w:rPr>
        <w:t xml:space="preserve">: סע'  </w:t>
      </w:r>
      <w:hyperlink r:id="rId24" w:history="1">
        <w:r w:rsidRPr="007C0527">
          <w:rPr>
            <w:rFonts w:ascii="FrankRuehl" w:hAnsi="FrankRuehl" w:cs="FrankRuehl"/>
            <w:color w:val="0000FF"/>
            <w:u w:val="single"/>
            <w:rtl/>
          </w:rPr>
          <w:t>35</w:t>
        </w:r>
      </w:hyperlink>
      <w:r w:rsidRPr="007C0527">
        <w:rPr>
          <w:rFonts w:ascii="FrankRuehl" w:hAnsi="FrankRuehl" w:cs="FrankRuehl"/>
          <w:rtl/>
        </w:rPr>
        <w:t xml:space="preserve">, </w:t>
      </w:r>
      <w:hyperlink r:id="rId25" w:history="1">
        <w:r w:rsidRPr="007C0527">
          <w:rPr>
            <w:rFonts w:ascii="FrankRuehl" w:hAnsi="FrankRuehl" w:cs="FrankRuehl"/>
            <w:color w:val="0000FF"/>
            <w:u w:val="single"/>
            <w:rtl/>
          </w:rPr>
          <w:t>43</w:t>
        </w:r>
      </w:hyperlink>
    </w:p>
    <w:p w14:paraId="47996273" w14:textId="77777777" w:rsidR="007C0527" w:rsidRPr="007C0527" w:rsidRDefault="007C0527" w:rsidP="007C0527">
      <w:pPr>
        <w:spacing w:after="120" w:line="240" w:lineRule="exact"/>
        <w:ind w:left="283" w:hanging="283"/>
        <w:jc w:val="both"/>
        <w:rPr>
          <w:rFonts w:ascii="FrankRuehl" w:hAnsi="FrankRuehl" w:cs="FrankRuehl"/>
          <w:rtl/>
        </w:rPr>
      </w:pPr>
    </w:p>
    <w:p w14:paraId="6262BC21" w14:textId="77777777" w:rsidR="007C0527" w:rsidRPr="007C0527" w:rsidRDefault="007C0527" w:rsidP="00B033C4">
      <w:pPr>
        <w:rPr>
          <w:rtl/>
        </w:rPr>
      </w:pPr>
      <w:bookmarkStart w:id="3" w:name="LawTable_End"/>
      <w:bookmarkEnd w:id="3"/>
    </w:p>
    <w:p w14:paraId="00D8337B" w14:textId="77777777" w:rsidR="00DB74CB" w:rsidRPr="00DB74CB" w:rsidRDefault="00DB74CB" w:rsidP="00B033C4">
      <w:pPr>
        <w:rPr>
          <w:rtl/>
        </w:rPr>
      </w:pPr>
    </w:p>
    <w:p w14:paraId="013BA1F8" w14:textId="77777777" w:rsidR="00DB74CB" w:rsidRPr="00DB74CB" w:rsidRDefault="00DB74CB" w:rsidP="00B033C4">
      <w:pPr>
        <w:rPr>
          <w:b/>
          <w:bCs/>
          <w:rtl/>
        </w:rPr>
      </w:pPr>
    </w:p>
    <w:p w14:paraId="67C167FB" w14:textId="77777777" w:rsidR="00B033C4" w:rsidRPr="00DB74CB" w:rsidRDefault="00B033C4" w:rsidP="00B033C4">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033C4" w:rsidRPr="00982C62" w14:paraId="542F9A9A" w14:textId="77777777" w:rsidTr="00B033C4">
        <w:trPr>
          <w:trHeight w:val="355"/>
          <w:jc w:val="center"/>
        </w:trPr>
        <w:tc>
          <w:tcPr>
            <w:tcW w:w="8820" w:type="dxa"/>
            <w:tcBorders>
              <w:top w:val="nil"/>
              <w:left w:val="nil"/>
              <w:bottom w:val="nil"/>
              <w:right w:val="nil"/>
            </w:tcBorders>
            <w:shd w:val="clear" w:color="auto" w:fill="auto"/>
          </w:tcPr>
          <w:p w14:paraId="01BEF911" w14:textId="77777777" w:rsidR="00DB74CB" w:rsidRPr="00DB74CB" w:rsidRDefault="00DB74CB" w:rsidP="00DB74CB">
            <w:pPr>
              <w:jc w:val="center"/>
              <w:rPr>
                <w:rFonts w:ascii="Arial" w:hAnsi="Arial"/>
                <w:b/>
                <w:bCs/>
                <w:sz w:val="32"/>
                <w:szCs w:val="32"/>
                <w:u w:val="single"/>
                <w:rtl/>
              </w:rPr>
            </w:pPr>
            <w:bookmarkStart w:id="4" w:name="PsakDin" w:colFirst="0" w:colLast="0"/>
            <w:bookmarkEnd w:id="0"/>
            <w:r w:rsidRPr="00DB74CB">
              <w:rPr>
                <w:rFonts w:ascii="Arial" w:hAnsi="Arial"/>
                <w:b/>
                <w:bCs/>
                <w:sz w:val="32"/>
                <w:szCs w:val="32"/>
                <w:u w:val="single"/>
                <w:rtl/>
              </w:rPr>
              <w:t>גזר דין</w:t>
            </w:r>
          </w:p>
          <w:p w14:paraId="1665A31F" w14:textId="77777777" w:rsidR="00B033C4" w:rsidRPr="00DB74CB" w:rsidRDefault="00B033C4" w:rsidP="00DB74CB">
            <w:pPr>
              <w:jc w:val="center"/>
              <w:rPr>
                <w:rFonts w:ascii="Arial" w:hAnsi="Arial"/>
                <w:b/>
                <w:bCs/>
                <w:u w:val="single"/>
                <w:rtl/>
              </w:rPr>
            </w:pPr>
          </w:p>
        </w:tc>
      </w:tr>
      <w:bookmarkEnd w:id="4"/>
    </w:tbl>
    <w:p w14:paraId="414AFB95" w14:textId="77777777" w:rsidR="00B033C4" w:rsidRPr="00B05847" w:rsidRDefault="00B033C4" w:rsidP="00B033C4">
      <w:pPr>
        <w:rPr>
          <w:rFonts w:ascii="Arial" w:hAnsi="Arial"/>
          <w:rtl/>
        </w:rPr>
      </w:pPr>
    </w:p>
    <w:p w14:paraId="74A263B5" w14:textId="77777777" w:rsidR="00B033C4" w:rsidRDefault="00B033C4" w:rsidP="00B033C4">
      <w:pPr>
        <w:rPr>
          <w:rFonts w:ascii="Arial" w:hAnsi="Arial"/>
          <w:b/>
          <w:bCs/>
          <w:u w:val="single"/>
          <w:rtl/>
        </w:rPr>
      </w:pPr>
      <w:r>
        <w:rPr>
          <w:rFonts w:ascii="Arial" w:hAnsi="Arial" w:hint="cs"/>
          <w:b/>
          <w:bCs/>
          <w:u w:val="single"/>
          <w:rtl/>
        </w:rPr>
        <w:t>כתב האישום וההליכים</w:t>
      </w:r>
    </w:p>
    <w:p w14:paraId="14D81C21" w14:textId="77777777" w:rsidR="00B033C4" w:rsidRDefault="00B033C4" w:rsidP="00B033C4">
      <w:pPr>
        <w:spacing w:line="360" w:lineRule="auto"/>
        <w:jc w:val="both"/>
        <w:rPr>
          <w:rFonts w:ascii="Arial" w:hAnsi="Arial"/>
          <w:b/>
          <w:bCs/>
          <w:u w:val="single"/>
          <w:rtl/>
        </w:rPr>
      </w:pPr>
    </w:p>
    <w:p w14:paraId="41BBDDC1" w14:textId="77777777" w:rsidR="00B033C4" w:rsidRDefault="00B033C4" w:rsidP="00B033C4">
      <w:pPr>
        <w:pStyle w:val="a9"/>
        <w:numPr>
          <w:ilvl w:val="0"/>
          <w:numId w:val="1"/>
        </w:numPr>
        <w:spacing w:line="360" w:lineRule="auto"/>
        <w:jc w:val="both"/>
        <w:rPr>
          <w:rFonts w:ascii="Arial" w:hAnsi="Arial"/>
        </w:rPr>
      </w:pPr>
      <w:bookmarkStart w:id="5" w:name="ABSTRACT_START"/>
      <w:bookmarkEnd w:id="5"/>
      <w:r>
        <w:rPr>
          <w:rFonts w:ascii="Arial" w:hAnsi="Arial" w:hint="cs"/>
          <w:rtl/>
        </w:rPr>
        <w:t xml:space="preserve">הנאשם הורשע, על פי הודאתו בעובדות כתב האישום, בעבירות של חבלה חמורה, לפי </w:t>
      </w:r>
      <w:hyperlink r:id="rId26" w:history="1">
        <w:r w:rsidR="007C0527" w:rsidRPr="007C0527">
          <w:rPr>
            <w:rFonts w:ascii="Arial" w:hAnsi="Arial"/>
            <w:color w:val="0000FF"/>
            <w:u w:val="single"/>
            <w:rtl/>
          </w:rPr>
          <w:t>סעיף 333</w:t>
        </w:r>
      </w:hyperlink>
      <w:r>
        <w:rPr>
          <w:rFonts w:ascii="Arial" w:hAnsi="Arial" w:hint="cs"/>
          <w:rtl/>
        </w:rPr>
        <w:t xml:space="preserve"> ל</w:t>
      </w:r>
      <w:hyperlink r:id="rId27" w:history="1">
        <w:r w:rsidR="00DB74CB" w:rsidRPr="00DB74CB">
          <w:rPr>
            <w:rFonts w:ascii="Arial" w:hAnsi="Arial"/>
            <w:color w:val="0000FF"/>
            <w:u w:val="single"/>
            <w:rtl/>
          </w:rPr>
          <w:t>חוק העונשין</w:t>
        </w:r>
      </w:hyperlink>
      <w:r>
        <w:rPr>
          <w:rFonts w:ascii="Arial" w:hAnsi="Arial" w:hint="cs"/>
          <w:rtl/>
        </w:rPr>
        <w:t xml:space="preserve">, התשל"ז- 1977 (להלן </w:t>
      </w:r>
      <w:r>
        <w:rPr>
          <w:rFonts w:ascii="Arial" w:hAnsi="Arial"/>
          <w:rtl/>
        </w:rPr>
        <w:t>–</w:t>
      </w:r>
      <w:r>
        <w:rPr>
          <w:rFonts w:ascii="Arial" w:hAnsi="Arial" w:hint="cs"/>
          <w:rtl/>
        </w:rPr>
        <w:t xml:space="preserve"> </w:t>
      </w:r>
      <w:r w:rsidRPr="0081103C">
        <w:rPr>
          <w:rFonts w:ascii="Arial" w:hAnsi="Arial" w:cs="Miriam" w:hint="cs"/>
          <w:rtl/>
        </w:rPr>
        <w:t>חוק העונשין</w:t>
      </w:r>
      <w:r>
        <w:rPr>
          <w:rFonts w:ascii="Arial" w:hAnsi="Arial" w:hint="cs"/>
          <w:rtl/>
        </w:rPr>
        <w:t xml:space="preserve">); איומים, לפי </w:t>
      </w:r>
      <w:hyperlink r:id="rId28" w:history="1">
        <w:r w:rsidR="007C0527" w:rsidRPr="007C0527">
          <w:rPr>
            <w:rFonts w:ascii="Arial" w:hAnsi="Arial"/>
            <w:color w:val="0000FF"/>
            <w:u w:val="single"/>
            <w:rtl/>
          </w:rPr>
          <w:t>סעיף 192</w:t>
        </w:r>
      </w:hyperlink>
      <w:r>
        <w:rPr>
          <w:rFonts w:ascii="Arial" w:hAnsi="Arial" w:hint="cs"/>
          <w:rtl/>
        </w:rPr>
        <w:t xml:space="preserve"> לחוק העונשין; והיזק לרכוש במזיד, לפי </w:t>
      </w:r>
      <w:hyperlink r:id="rId29" w:history="1">
        <w:r w:rsidR="007C0527" w:rsidRPr="007C0527">
          <w:rPr>
            <w:rFonts w:ascii="Arial" w:hAnsi="Arial"/>
            <w:color w:val="0000FF"/>
            <w:u w:val="single"/>
            <w:rtl/>
          </w:rPr>
          <w:t>סעיף 452</w:t>
        </w:r>
      </w:hyperlink>
      <w:r>
        <w:rPr>
          <w:rFonts w:ascii="Arial" w:hAnsi="Arial" w:hint="cs"/>
          <w:rtl/>
        </w:rPr>
        <w:t xml:space="preserve"> לחוק העונשין. על פי עובדות כתב האישום, בין הנאשם למתלונן היה קיים סכסוך עסקי. ביום 5.2.16, בשעה 00:30, התקשר הנאשם למתלונן וביקש לפגוש בו מחוץ לביתו. הנאשם הגיע לבית המתלונן ברכבו והאחרון התלווה אליו לנסיעה לפי בקשתו. במהלך הנסיעה נהג הנאשם בפראות לכיוון בית העלמין בקריית ביאליק, נטל מהמתלונן את מכשיר הטלפון הנייד שלו והשליכו מהחלון בכניסה לבית העלמין. כתוצאה מכך נהרס המכשיר. בהגיעם לרחבת </w:t>
      </w:r>
      <w:r>
        <w:rPr>
          <w:rFonts w:ascii="Arial" w:hAnsi="Arial" w:hint="cs"/>
          <w:rtl/>
        </w:rPr>
        <w:lastRenderedPageBreak/>
        <w:t>הכניסה לבית העלמין ביקש הנאשם מהמתלונן לרדת מהרכב, אז חבל בו באמצעות מכת אגרוף בפניו. המתלונן נפל ארצה, והנאשם המשיך להכותו באגרופים ובעיטות, ואיים עליו באומרו "</w:t>
      </w:r>
      <w:r w:rsidRPr="00AE2E96">
        <w:rPr>
          <w:rFonts w:ascii="Arial" w:hAnsi="Arial" w:cs="Miriam" w:hint="cs"/>
          <w:rtl/>
        </w:rPr>
        <w:t xml:space="preserve">פה </w:t>
      </w:r>
      <w:bookmarkStart w:id="6" w:name="ABSTRACT_END"/>
      <w:bookmarkEnd w:id="6"/>
      <w:r w:rsidRPr="00AE2E96">
        <w:rPr>
          <w:rFonts w:ascii="Arial" w:hAnsi="Arial" w:cs="Miriam" w:hint="cs"/>
          <w:rtl/>
        </w:rPr>
        <w:t>יהיה הקבר שלך אם לא תחזיר לי את הכסף</w:t>
      </w:r>
      <w:r>
        <w:rPr>
          <w:rFonts w:ascii="Arial" w:hAnsi="Arial" w:hint="cs"/>
          <w:rtl/>
        </w:rPr>
        <w:t xml:space="preserve">". הנאשם עזב את המקום והותיר את המתלונן במקום כשהוא חבול. (הערה: בכתב האישום צוין שהאירוע התרחש בבית העלמין, אך אין מחלוקת שהיה זה ברחבת הכניסה (ראו עדות המתלונן בנושא)). </w:t>
      </w:r>
    </w:p>
    <w:p w14:paraId="5F36FEB1" w14:textId="77777777" w:rsidR="00B033C4" w:rsidRDefault="00B033C4" w:rsidP="00B033C4">
      <w:pPr>
        <w:pStyle w:val="a9"/>
        <w:spacing w:line="360" w:lineRule="auto"/>
        <w:ind w:left="0" w:firstLine="567"/>
        <w:jc w:val="both"/>
        <w:rPr>
          <w:rFonts w:ascii="Arial" w:hAnsi="Arial"/>
          <w:rtl/>
        </w:rPr>
      </w:pPr>
    </w:p>
    <w:p w14:paraId="5BD5B460" w14:textId="77777777" w:rsidR="00B033C4" w:rsidRPr="005F41DB" w:rsidRDefault="00B033C4" w:rsidP="00B033C4">
      <w:pPr>
        <w:pStyle w:val="a9"/>
        <w:spacing w:line="360" w:lineRule="auto"/>
        <w:ind w:left="0" w:firstLine="567"/>
        <w:jc w:val="both"/>
        <w:rPr>
          <w:rFonts w:ascii="Arial" w:hAnsi="Arial"/>
        </w:rPr>
      </w:pPr>
      <w:r w:rsidRPr="005F41DB">
        <w:rPr>
          <w:rFonts w:ascii="Arial" w:hAnsi="Arial" w:hint="cs"/>
          <w:rtl/>
        </w:rPr>
        <w:t>כתוצאה ממעשי הנאשם נגרמו למתלונן שבר בקומפלקס זיגומה ימין, והוא אושפז בבית החולים למשך 6 ימים, במהלכם עבר הליך רפואי תחת הרדמה כללית שכלל קיבוע של השבר עם פלטות וברגים. המתלונן סבל מהגבלה בפתיחת הלסתות, המטומה גדולה בעפעף ימין תחתון, שטף דם בלחמית עין ימין, רגישות באף, שפשופים ושטפי דם סביב עין שמאל, רגישות ושפשופים במרפק ובשוק ימין.</w:t>
      </w:r>
    </w:p>
    <w:p w14:paraId="3075AC2E" w14:textId="77777777" w:rsidR="00B033C4" w:rsidRDefault="00B033C4" w:rsidP="00B033C4">
      <w:pPr>
        <w:pStyle w:val="a9"/>
        <w:spacing w:line="360" w:lineRule="auto"/>
        <w:ind w:left="0"/>
        <w:jc w:val="both"/>
        <w:rPr>
          <w:rFonts w:ascii="Arial" w:hAnsi="Arial"/>
        </w:rPr>
      </w:pPr>
    </w:p>
    <w:p w14:paraId="2D5B2A5E" w14:textId="77777777" w:rsidR="00B033C4" w:rsidRDefault="00B033C4" w:rsidP="00B033C4">
      <w:pPr>
        <w:pStyle w:val="a9"/>
        <w:numPr>
          <w:ilvl w:val="0"/>
          <w:numId w:val="1"/>
        </w:numPr>
        <w:spacing w:line="360" w:lineRule="auto"/>
        <w:jc w:val="both"/>
        <w:rPr>
          <w:rFonts w:ascii="Arial" w:hAnsi="Arial"/>
        </w:rPr>
      </w:pPr>
      <w:r>
        <w:rPr>
          <w:rFonts w:ascii="Arial" w:hAnsi="Arial" w:hint="cs"/>
          <w:rtl/>
        </w:rPr>
        <w:t xml:space="preserve">בתחילה כפר הנאשם בעובדות כתב האישום, ומשכך החלו להישמע ראיות המאשימה, במסגרתן העידו המתלונן, אשתו ואביו. לאחר מכן, ביקש הנאשם לחזור בו מכפירתו והודה בעובדות כתב האישום. במעמד זה ביקש הנאשם להפנות את עניינו לשירות המבחן, בעוד שהמאשימה ביקשה להפנות את המתלונן לעריכת תסקיר נפגע עבירה. קיבלתי את בקשות הצדדים. </w:t>
      </w:r>
    </w:p>
    <w:p w14:paraId="1D7520D5" w14:textId="77777777" w:rsidR="00B033C4" w:rsidRPr="00735BA7" w:rsidRDefault="00B033C4" w:rsidP="00B033C4">
      <w:pPr>
        <w:pStyle w:val="a9"/>
        <w:rPr>
          <w:rFonts w:ascii="Arial" w:hAnsi="Arial"/>
          <w:rtl/>
        </w:rPr>
      </w:pPr>
    </w:p>
    <w:p w14:paraId="31794633" w14:textId="77777777" w:rsidR="00B033C4" w:rsidRDefault="00B033C4" w:rsidP="00B033C4">
      <w:pPr>
        <w:pStyle w:val="a9"/>
        <w:spacing w:line="360" w:lineRule="auto"/>
        <w:ind w:left="0"/>
        <w:jc w:val="both"/>
        <w:rPr>
          <w:rFonts w:ascii="Arial" w:hAnsi="Arial"/>
          <w:b/>
          <w:bCs/>
          <w:u w:val="single"/>
          <w:rtl/>
        </w:rPr>
      </w:pPr>
      <w:r>
        <w:rPr>
          <w:rFonts w:ascii="Arial" w:hAnsi="Arial" w:hint="cs"/>
          <w:b/>
          <w:bCs/>
          <w:u w:val="single"/>
          <w:rtl/>
        </w:rPr>
        <w:t>תסקירי שירות המבחן</w:t>
      </w:r>
    </w:p>
    <w:p w14:paraId="1486DC8F" w14:textId="77777777" w:rsidR="00B033C4" w:rsidRDefault="00B033C4" w:rsidP="00B033C4">
      <w:pPr>
        <w:pStyle w:val="a9"/>
        <w:spacing w:line="360" w:lineRule="auto"/>
        <w:ind w:left="0"/>
        <w:jc w:val="both"/>
        <w:rPr>
          <w:rFonts w:ascii="Arial" w:hAnsi="Arial"/>
          <w:b/>
          <w:bCs/>
          <w:u w:val="single"/>
          <w:rtl/>
        </w:rPr>
      </w:pPr>
    </w:p>
    <w:p w14:paraId="14C81F1C" w14:textId="77777777" w:rsidR="00B033C4" w:rsidRDefault="00B033C4" w:rsidP="00B033C4">
      <w:pPr>
        <w:pStyle w:val="a9"/>
        <w:numPr>
          <w:ilvl w:val="0"/>
          <w:numId w:val="1"/>
        </w:numPr>
        <w:spacing w:line="360" w:lineRule="auto"/>
        <w:jc w:val="both"/>
        <w:rPr>
          <w:rFonts w:ascii="Arial" w:hAnsi="Arial"/>
        </w:rPr>
      </w:pPr>
      <w:r>
        <w:rPr>
          <w:rFonts w:ascii="Arial" w:hAnsi="Arial" w:hint="cs"/>
          <w:rtl/>
        </w:rPr>
        <w:t xml:space="preserve">בעניינו של הנאשם הוגשו שלושה תסקירים, במהלך תקופה של כשנה. מהתסקירים עולה כי הנאשם כבן 37, נשוי ואב לשני ילדים ומתפרנס כעצמאי בתחום מיזוג האוויר. בתסקירים פורטו בהרחבה נסיבות חייו של הנאשם ומטעמים של צנעת הפרט לא אפרט יתר על המידה את הדברים. בתמצית ייאמר כי הנאשם עלה ארצה בגיל צעיר וגדל בבית סבו וסבתו. לחובתו עבר פלילי ישן ובלתי מכביד.  שירות המבחן התרשם כי קיימים בנאשם דפוסים אלימים וקושי בוויסות דחפיו התוקפניים, ולכן העריך שקיימת רמת סיכון בינונית להישנות התנהגות אלימה מצדו. עם זאת, ההתרשמות הכוללת הייתה כי הנאשם מביע חרטה עמוקה וכנה וכי קיימת בו מוטיבציה לטיפול. ברוח דברים אלו שולב הנאשם במסגרת טיפולית התואמת את צרכיו, והדיונים בעניינו נדחו בשל כך מעת לעת. הדיווחים שהתקבלו בעניינו בהמשך היו חיוביים ושירות המבחן התרשם כי הנאשם מקבל כלים מהקבוצה בה שולב, נתרם מהטיפול, וכי קיים סיכוי להפחתת רמת הסיכון. לאור כל זאת, המליץ שירות המבחן להעמיד את הנאשם בצו מבחן למשך 18 חודשים, במהלכם ימשיך בהליך הטיפול,  זאת לצד ענישה מרתיעה בדמות מאסר שניתן לרצות בדרך של עבודות שירות, ופיצוי למתלונן. ביחס לאפשרות לפיה ייגזר על הנאשם עונש מאסר בכליאה ציין שירות המבחן כי לאור נתוני הנאשם עלול המאסר להשפיע באופן ממשי על הליך שיקומו, על סביבתו ועל עתידו.  </w:t>
      </w:r>
    </w:p>
    <w:p w14:paraId="5C5E41BF" w14:textId="77777777" w:rsidR="00B033C4" w:rsidRDefault="00B033C4" w:rsidP="00B033C4">
      <w:pPr>
        <w:pStyle w:val="a9"/>
        <w:spacing w:line="360" w:lineRule="auto"/>
        <w:ind w:left="0"/>
        <w:jc w:val="both"/>
        <w:rPr>
          <w:rFonts w:ascii="Arial" w:hAnsi="Arial"/>
          <w:rtl/>
        </w:rPr>
      </w:pPr>
    </w:p>
    <w:p w14:paraId="270D2EA7" w14:textId="77777777" w:rsidR="00B033C4" w:rsidRPr="00B83F74" w:rsidRDefault="00B033C4" w:rsidP="00B033C4">
      <w:pPr>
        <w:pStyle w:val="a9"/>
        <w:spacing w:line="360" w:lineRule="auto"/>
        <w:ind w:left="0"/>
        <w:jc w:val="both"/>
        <w:rPr>
          <w:rFonts w:ascii="Arial" w:hAnsi="Arial"/>
          <w:b/>
          <w:bCs/>
          <w:u w:val="single"/>
          <w:rtl/>
        </w:rPr>
      </w:pPr>
      <w:r w:rsidRPr="00B83F74">
        <w:rPr>
          <w:rFonts w:ascii="Arial" w:hAnsi="Arial" w:hint="cs"/>
          <w:b/>
          <w:bCs/>
          <w:u w:val="single"/>
          <w:rtl/>
        </w:rPr>
        <w:t>תסקיר קורבן</w:t>
      </w:r>
    </w:p>
    <w:p w14:paraId="3FC39695" w14:textId="77777777" w:rsidR="00B033C4" w:rsidRDefault="00B033C4" w:rsidP="00B033C4">
      <w:pPr>
        <w:pStyle w:val="a9"/>
        <w:spacing w:line="360" w:lineRule="auto"/>
        <w:ind w:left="0"/>
        <w:jc w:val="both"/>
        <w:rPr>
          <w:rFonts w:ascii="Arial" w:hAnsi="Arial"/>
        </w:rPr>
      </w:pPr>
    </w:p>
    <w:p w14:paraId="4D74AAC5" w14:textId="77777777" w:rsidR="00B033C4" w:rsidRDefault="00B033C4" w:rsidP="00B033C4">
      <w:pPr>
        <w:pStyle w:val="a9"/>
        <w:numPr>
          <w:ilvl w:val="0"/>
          <w:numId w:val="1"/>
        </w:numPr>
        <w:spacing w:line="360" w:lineRule="auto"/>
        <w:jc w:val="both"/>
        <w:rPr>
          <w:rFonts w:ascii="Arial" w:hAnsi="Arial"/>
        </w:rPr>
      </w:pPr>
      <w:r>
        <w:rPr>
          <w:rFonts w:ascii="Arial" w:hAnsi="Arial" w:hint="cs"/>
          <w:rtl/>
        </w:rPr>
        <w:t>שירות המבחן הגיש תסקיר נפגע עבירה מעמיק ומפורט. מטעמים של שמירה על צנעת ענייני המתלונן, לא אפרט את האמור בתסקיר יתר על המידה, אך יצוין כי שירות המבחן התרשם כי מעשה העבירה קטע את רצף חייו של המתלונן, שינה את מסלול חייו והותיר אותו חבול ופצוע, פיזית ונפשית. המתלונן סובל מאז האירוע מהפרעה פוסט-טראומתית, הוא חי בחרדה מתמדת, הפסיק לעבוד בשירות בתי הסוהר, שם עבד טרם האירוע, וחייו השתנו לחלוטין. כמו כן תיאר המתלונן קשיים בחיי המשפחה מאז האירוע ובשל תוצאותיו. בנוסף, מתמודד המתלונן עם הפגיעה הפיזית שנגרמה בפניו עקב האירוע. לאור כך המליצה קצינת המבחן כי בנוסף ליתר רכיבי הענישה, יוטל גם פיצוי משמעותי לטובת המתלונן.</w:t>
      </w:r>
    </w:p>
    <w:p w14:paraId="0FC81CD7" w14:textId="77777777" w:rsidR="00B033C4" w:rsidRDefault="00B033C4" w:rsidP="00B033C4">
      <w:pPr>
        <w:spacing w:line="360" w:lineRule="auto"/>
        <w:jc w:val="both"/>
        <w:rPr>
          <w:rFonts w:ascii="Arial" w:hAnsi="Arial"/>
          <w:b/>
          <w:bCs/>
          <w:u w:val="single"/>
          <w:rtl/>
        </w:rPr>
      </w:pPr>
    </w:p>
    <w:p w14:paraId="0B070C58" w14:textId="77777777" w:rsidR="00B033C4" w:rsidRDefault="00B033C4" w:rsidP="00B033C4">
      <w:pPr>
        <w:spacing w:line="360" w:lineRule="auto"/>
        <w:jc w:val="both"/>
        <w:rPr>
          <w:rFonts w:ascii="Arial" w:hAnsi="Arial"/>
          <w:b/>
          <w:bCs/>
          <w:u w:val="single"/>
          <w:rtl/>
        </w:rPr>
      </w:pPr>
    </w:p>
    <w:p w14:paraId="28715434" w14:textId="77777777" w:rsidR="00B033C4" w:rsidRDefault="00B033C4" w:rsidP="00B033C4">
      <w:pPr>
        <w:spacing w:line="360" w:lineRule="auto"/>
        <w:jc w:val="both"/>
        <w:rPr>
          <w:rFonts w:ascii="Arial" w:hAnsi="Arial"/>
          <w:b/>
          <w:bCs/>
          <w:u w:val="single"/>
          <w:rtl/>
        </w:rPr>
      </w:pPr>
    </w:p>
    <w:p w14:paraId="1EB80644" w14:textId="77777777" w:rsidR="00B033C4" w:rsidRDefault="00B033C4" w:rsidP="00B033C4">
      <w:pPr>
        <w:spacing w:line="360" w:lineRule="auto"/>
        <w:jc w:val="both"/>
        <w:rPr>
          <w:rFonts w:ascii="Arial" w:hAnsi="Arial"/>
          <w:b/>
          <w:bCs/>
          <w:u w:val="single"/>
          <w:rtl/>
        </w:rPr>
      </w:pPr>
    </w:p>
    <w:p w14:paraId="14D51B19" w14:textId="77777777" w:rsidR="00B033C4" w:rsidRDefault="00B033C4" w:rsidP="00B033C4">
      <w:pPr>
        <w:spacing w:line="360" w:lineRule="auto"/>
        <w:jc w:val="both"/>
        <w:rPr>
          <w:rFonts w:ascii="Arial" w:hAnsi="Arial"/>
          <w:b/>
          <w:bCs/>
          <w:u w:val="single"/>
          <w:rtl/>
        </w:rPr>
      </w:pPr>
      <w:r>
        <w:rPr>
          <w:rFonts w:ascii="Arial" w:hAnsi="Arial" w:hint="cs"/>
          <w:b/>
          <w:bCs/>
          <w:u w:val="single"/>
          <w:rtl/>
        </w:rPr>
        <w:t>טיעוני הצדדים לעונש והראיות</w:t>
      </w:r>
    </w:p>
    <w:p w14:paraId="4E7D50FE" w14:textId="77777777" w:rsidR="00B033C4" w:rsidRDefault="00B033C4" w:rsidP="00B033C4">
      <w:pPr>
        <w:spacing w:line="360" w:lineRule="auto"/>
        <w:jc w:val="both"/>
        <w:rPr>
          <w:rFonts w:ascii="Arial" w:hAnsi="Arial"/>
          <w:b/>
          <w:bCs/>
          <w:u w:val="single"/>
          <w:rtl/>
        </w:rPr>
      </w:pPr>
    </w:p>
    <w:p w14:paraId="389901FB" w14:textId="77777777" w:rsidR="00B033C4" w:rsidRDefault="00B033C4" w:rsidP="00B033C4">
      <w:pPr>
        <w:pStyle w:val="a9"/>
        <w:numPr>
          <w:ilvl w:val="0"/>
          <w:numId w:val="1"/>
        </w:numPr>
        <w:spacing w:line="360" w:lineRule="auto"/>
        <w:jc w:val="both"/>
        <w:rPr>
          <w:rFonts w:ascii="Arial" w:hAnsi="Arial"/>
        </w:rPr>
      </w:pPr>
      <w:r>
        <w:rPr>
          <w:rFonts w:ascii="Arial" w:hAnsi="Arial" w:hint="cs"/>
          <w:rtl/>
        </w:rPr>
        <w:t xml:space="preserve">המתלונן העיד במסגרת הטיעונים לעונש, תיאר את התקיפה שעבר וסיפר על החבלות מהן הוא סבל. המתלונן ביקש לגזור על הנאשם עונש מאסר בפועל שיבטא את חומרת מעשיו, וכן לחייבו בפיצוי. </w:t>
      </w:r>
    </w:p>
    <w:p w14:paraId="60EDCEA0" w14:textId="77777777" w:rsidR="00B033C4" w:rsidRPr="0001173E" w:rsidRDefault="00B033C4" w:rsidP="00B033C4">
      <w:pPr>
        <w:pStyle w:val="a9"/>
        <w:spacing w:line="360" w:lineRule="auto"/>
        <w:ind w:left="0"/>
        <w:jc w:val="both"/>
        <w:rPr>
          <w:rFonts w:ascii="Arial" w:hAnsi="Arial"/>
        </w:rPr>
      </w:pPr>
    </w:p>
    <w:p w14:paraId="1E1CC52A" w14:textId="77777777" w:rsidR="00B033C4" w:rsidRPr="00896AEC" w:rsidRDefault="00B033C4" w:rsidP="00B033C4">
      <w:pPr>
        <w:pStyle w:val="a9"/>
        <w:numPr>
          <w:ilvl w:val="0"/>
          <w:numId w:val="1"/>
        </w:numPr>
        <w:spacing w:line="360" w:lineRule="auto"/>
        <w:jc w:val="both"/>
        <w:rPr>
          <w:rFonts w:ascii="Arial" w:hAnsi="Arial"/>
          <w:rtl/>
        </w:rPr>
      </w:pPr>
      <w:r w:rsidRPr="00896AEC">
        <w:rPr>
          <w:rFonts w:ascii="Arial" w:hAnsi="Arial" w:hint="cs"/>
          <w:rtl/>
        </w:rPr>
        <w:t xml:space="preserve">המאשימה ציינה בטיעוניה לעונש </w:t>
      </w:r>
      <w:r>
        <w:rPr>
          <w:rFonts w:ascii="Arial" w:hAnsi="Arial" w:hint="cs"/>
          <w:rtl/>
        </w:rPr>
        <w:t>את חומרת העבירות</w:t>
      </w:r>
      <w:r w:rsidRPr="00896AEC">
        <w:rPr>
          <w:rFonts w:ascii="Arial" w:hAnsi="Arial" w:hint="cs"/>
          <w:rtl/>
        </w:rPr>
        <w:t xml:space="preserve"> וטענה שמדובר בעבירות אלימות חמורות שהותירו </w:t>
      </w:r>
      <w:r>
        <w:rPr>
          <w:rFonts w:ascii="Arial" w:hAnsi="Arial" w:hint="cs"/>
          <w:rtl/>
        </w:rPr>
        <w:t>במתלונן</w:t>
      </w:r>
      <w:r w:rsidRPr="00896AEC">
        <w:rPr>
          <w:rFonts w:ascii="Arial" w:hAnsi="Arial" w:hint="cs"/>
          <w:rtl/>
        </w:rPr>
        <w:t xml:space="preserve"> חבלות קשות. ביחס לערכים המוגנים שנפגעו נטען כי מדובר בערכי שלמות הגוף וכבוד האדם וחירותו. עוד התייחסה המאשימה להמלצות שירות המבחן, ונטען כי במקרה זה אין הלימה בין חומרת העבירות להמלצות התסקיר. ביחס למתחם העונש ההולם נטען כי הוא נע בין 18 חודשי מאסר בפועל ועד 36 חודשי מאסר בפועל, והמאשימה עתרה לעונש ברף העליון של המתחם הכולל מאסר בפועל, מאסר על תנאי, פסילת רישיון ופיצוי למתלונן.</w:t>
      </w:r>
      <w:r>
        <w:rPr>
          <w:rFonts w:ascii="Arial" w:hAnsi="Arial" w:hint="cs"/>
          <w:rtl/>
        </w:rPr>
        <w:t xml:space="preserve"> אציין עוד כי בטיעוניה לעונש הגישה </w:t>
      </w:r>
      <w:r w:rsidRPr="00896AEC">
        <w:rPr>
          <w:rFonts w:ascii="Arial" w:hAnsi="Arial" w:hint="cs"/>
          <w:rtl/>
        </w:rPr>
        <w:t xml:space="preserve">המאשימה </w:t>
      </w:r>
      <w:r>
        <w:rPr>
          <w:rFonts w:ascii="Arial" w:hAnsi="Arial" w:hint="cs"/>
          <w:rtl/>
        </w:rPr>
        <w:t xml:space="preserve">מסמכים רפואיים הקשורים לפגיעה במתלונן </w:t>
      </w:r>
      <w:r w:rsidRPr="00896AEC">
        <w:rPr>
          <w:rFonts w:ascii="Arial" w:hAnsi="Arial" w:hint="cs"/>
          <w:rtl/>
        </w:rPr>
        <w:t xml:space="preserve">(ע/2) </w:t>
      </w:r>
      <w:r>
        <w:rPr>
          <w:rFonts w:ascii="Arial" w:hAnsi="Arial" w:hint="cs"/>
          <w:rtl/>
        </w:rPr>
        <w:t xml:space="preserve">והפנתה לתמונות החבלות שהוגשו במסגרת פרשת הראיות </w:t>
      </w:r>
      <w:r w:rsidRPr="00896AEC">
        <w:rPr>
          <w:rFonts w:ascii="Arial" w:hAnsi="Arial" w:hint="cs"/>
          <w:rtl/>
        </w:rPr>
        <w:t>(ת/2א). כן הוגש תקציר נתוני סוהר, מטעם שירות בתי הסוהר, וזאת מכיוון שהמתלונן שירת כסוהר ביום האירוע (ע/3).</w:t>
      </w:r>
      <w:r>
        <w:rPr>
          <w:rFonts w:ascii="Arial" w:hAnsi="Arial" w:hint="cs"/>
          <w:rtl/>
        </w:rPr>
        <w:t xml:space="preserve"> בעת הטיעונים לעונש ציינתי כי הסנגור אמנם לא התנגד להגשת מסמכים אלו, אך לאור כך שבתוכם נכללה גם חוות דעת פסיכיאטרית הכוללת ממצאים החורגים מהעובדות שנכללו בכתב האישום ביחס לנזק שנגרם עקב האירוע, המסגרת העובדתית תהא כאמור בכתב האישום בו הודה הנאשם (אך בכפוף לאמור בסעיף 13 להלן).</w:t>
      </w:r>
    </w:p>
    <w:p w14:paraId="50C4AB75" w14:textId="77777777" w:rsidR="00B033C4" w:rsidRDefault="00B033C4" w:rsidP="00B033C4">
      <w:pPr>
        <w:pStyle w:val="a9"/>
        <w:spacing w:line="360" w:lineRule="auto"/>
        <w:ind w:left="0"/>
        <w:jc w:val="both"/>
        <w:rPr>
          <w:rFonts w:ascii="Arial" w:hAnsi="Arial"/>
          <w:rtl/>
        </w:rPr>
      </w:pPr>
    </w:p>
    <w:p w14:paraId="23F2811F" w14:textId="77777777" w:rsidR="00B033C4" w:rsidRDefault="00B033C4" w:rsidP="00B033C4">
      <w:pPr>
        <w:pStyle w:val="a9"/>
        <w:numPr>
          <w:ilvl w:val="0"/>
          <w:numId w:val="1"/>
        </w:numPr>
        <w:spacing w:line="360" w:lineRule="auto"/>
        <w:jc w:val="both"/>
        <w:rPr>
          <w:rFonts w:ascii="Arial" w:hAnsi="Arial"/>
        </w:rPr>
      </w:pPr>
      <w:r>
        <w:rPr>
          <w:rFonts w:ascii="Arial" w:hAnsi="Arial" w:hint="cs"/>
          <w:rtl/>
        </w:rPr>
        <w:t xml:space="preserve">הנאשם העיד עדים לעונש. ראשונה להעיד הייתה רעייתו שסיפרה על התא המשפחתי שהקימו היא והנאשם. כן תיארה היא את אופיו של הנאשם, את היותו בעל ואב תומך, הנכון לעזור לזולת. כן ציינה שהנאשם מסייע באופן קבוע לאביה הסובל מבעיות בריאותיות ומסיע אותו לטיפולים רפואיים. בנוסף, תיארה הרעיה את השפעת ההליך הפלילי על בני המשפחה, את הליך הטיפול שעובר הנאשם, ואת השינוי שחל בו מאז שהחל בהליך. ביחס לעונש הצפוי לנאשם ביקשה היא להימנע מעונש מאסר בכליאה, והביעה חרדה מאפשרות זו. </w:t>
      </w:r>
    </w:p>
    <w:p w14:paraId="29503F08" w14:textId="77777777" w:rsidR="00B033C4" w:rsidRPr="00A806C5" w:rsidRDefault="00B033C4" w:rsidP="00B033C4">
      <w:pPr>
        <w:pStyle w:val="a9"/>
        <w:rPr>
          <w:rFonts w:ascii="Arial" w:hAnsi="Arial"/>
          <w:rtl/>
        </w:rPr>
      </w:pPr>
    </w:p>
    <w:p w14:paraId="068ED54D" w14:textId="77777777" w:rsidR="00B033C4" w:rsidRPr="00A806C5" w:rsidRDefault="00B033C4" w:rsidP="00B033C4">
      <w:pPr>
        <w:pStyle w:val="a9"/>
        <w:numPr>
          <w:ilvl w:val="0"/>
          <w:numId w:val="1"/>
        </w:numPr>
        <w:spacing w:line="360" w:lineRule="auto"/>
        <w:jc w:val="both"/>
        <w:rPr>
          <w:rFonts w:ascii="Arial" w:hAnsi="Arial"/>
          <w:rtl/>
        </w:rPr>
      </w:pPr>
      <w:r w:rsidRPr="00A806C5">
        <w:rPr>
          <w:rFonts w:ascii="Arial" w:hAnsi="Arial" w:hint="cs"/>
          <w:rtl/>
        </w:rPr>
        <w:t>מר שומר, חמ</w:t>
      </w:r>
      <w:r>
        <w:rPr>
          <w:rFonts w:ascii="Arial" w:hAnsi="Arial" w:hint="cs"/>
          <w:rtl/>
        </w:rPr>
        <w:t>י</w:t>
      </w:r>
      <w:r w:rsidRPr="00A806C5">
        <w:rPr>
          <w:rFonts w:ascii="Arial" w:hAnsi="Arial" w:hint="cs"/>
          <w:rtl/>
        </w:rPr>
        <w:t xml:space="preserve">ו של הנאשם, העיד אף הוא לעונש. מר שומר סיפר על אודות נסיבות חייו של הנאשם ועל ההיכרות רבת השנים עימו. עוד סיפר על העזרה הרבה שהוא מקבל מהנאשם, בין היתר בפן הכלכלי, ובעיקר </w:t>
      </w:r>
      <w:r>
        <w:rPr>
          <w:rFonts w:ascii="Arial" w:hAnsi="Arial" w:hint="cs"/>
          <w:rtl/>
        </w:rPr>
        <w:t>בסיוע בטיפול במחלתו</w:t>
      </w:r>
      <w:r w:rsidRPr="00A806C5">
        <w:rPr>
          <w:rFonts w:ascii="Arial" w:hAnsi="Arial" w:hint="cs"/>
          <w:rtl/>
        </w:rPr>
        <w:t xml:space="preserve">. </w:t>
      </w:r>
      <w:r>
        <w:rPr>
          <w:rFonts w:ascii="Arial" w:hAnsi="Arial" w:hint="cs"/>
          <w:rtl/>
        </w:rPr>
        <w:t>ב</w:t>
      </w:r>
      <w:r w:rsidRPr="00A806C5">
        <w:rPr>
          <w:rFonts w:ascii="Arial" w:hAnsi="Arial" w:hint="cs"/>
          <w:rtl/>
        </w:rPr>
        <w:t xml:space="preserve">יחס לעונש הצפוי לנאשם ביקש </w:t>
      </w:r>
      <w:r>
        <w:rPr>
          <w:rFonts w:ascii="Arial" w:hAnsi="Arial" w:hint="cs"/>
          <w:rtl/>
        </w:rPr>
        <w:t xml:space="preserve">מר שומר </w:t>
      </w:r>
      <w:r w:rsidRPr="00A806C5">
        <w:rPr>
          <w:rFonts w:ascii="Arial" w:hAnsi="Arial" w:hint="cs"/>
          <w:rtl/>
        </w:rPr>
        <w:t>להימנע ככל האפשר מעונש מאסר בכליאה, ותיאר את הפגיעה הרבה הצפויה למשפחת הנאשם</w:t>
      </w:r>
      <w:r>
        <w:rPr>
          <w:rFonts w:ascii="Arial" w:hAnsi="Arial" w:hint="cs"/>
          <w:rtl/>
        </w:rPr>
        <w:t xml:space="preserve"> אם כך יוחלט</w:t>
      </w:r>
      <w:r w:rsidRPr="00A806C5">
        <w:rPr>
          <w:rFonts w:ascii="Arial" w:hAnsi="Arial" w:hint="cs"/>
          <w:rtl/>
        </w:rPr>
        <w:t xml:space="preserve">. </w:t>
      </w:r>
    </w:p>
    <w:p w14:paraId="309991B6" w14:textId="77777777" w:rsidR="00B033C4" w:rsidRDefault="00B033C4" w:rsidP="00B033C4">
      <w:pPr>
        <w:pStyle w:val="a9"/>
        <w:spacing w:line="360" w:lineRule="auto"/>
        <w:ind w:left="0"/>
        <w:jc w:val="both"/>
        <w:rPr>
          <w:rFonts w:ascii="Arial" w:hAnsi="Arial"/>
        </w:rPr>
      </w:pPr>
    </w:p>
    <w:p w14:paraId="0E77C970" w14:textId="77777777" w:rsidR="00B033C4" w:rsidRDefault="00B033C4" w:rsidP="00B033C4">
      <w:pPr>
        <w:pStyle w:val="a9"/>
        <w:numPr>
          <w:ilvl w:val="0"/>
          <w:numId w:val="1"/>
        </w:numPr>
        <w:spacing w:line="360" w:lineRule="auto"/>
        <w:jc w:val="both"/>
        <w:rPr>
          <w:rFonts w:ascii="Arial" w:hAnsi="Arial"/>
        </w:rPr>
      </w:pPr>
      <w:r w:rsidRPr="00A806C5">
        <w:rPr>
          <w:rFonts w:ascii="Arial" w:hAnsi="Arial" w:hint="cs"/>
          <w:rtl/>
        </w:rPr>
        <w:t xml:space="preserve">ב"כ הנאשם ביקש להדגיש את נסיבות חייו המורכבות של הנאשם, את לקיחת האחריות מטעמו והחרטה שהביע. נטען כי הנאשם עובר הליך טיפול ממושך ומשמעותי בשירות המבחן, ויש לאפשר לו להמשיך בדרך זו. ביחס לביצוע העבירה נטען כי בין הנאשם למתלונן קיימת היכרות מוקדמת, וכי ברקע </w:t>
      </w:r>
      <w:r>
        <w:rPr>
          <w:rFonts w:ascii="Arial" w:hAnsi="Arial" w:hint="cs"/>
          <w:rtl/>
        </w:rPr>
        <w:t>ה</w:t>
      </w:r>
      <w:r w:rsidRPr="00A806C5">
        <w:rPr>
          <w:rFonts w:ascii="Arial" w:hAnsi="Arial" w:hint="cs"/>
          <w:rtl/>
        </w:rPr>
        <w:t xml:space="preserve">אירוע סכסוך עסקי בין השניים. ביחס לעונש הראוי לנאשם נטען כי שליחתו למאסר בכליאה תפגע בהליך השיקום שעובר הנאשם וכן בבני משפחתו, ולכן ביקשה ההגנה לחרוג לקולה ממתחם הענישה, משיקולי שיקום, לאמץ את המלצות התסקיר ולהטיל עונש שניתן לשאת בו בדרך של עבודות שירות, לצד צו מבחן. </w:t>
      </w:r>
    </w:p>
    <w:p w14:paraId="24778AC2" w14:textId="77777777" w:rsidR="00B033C4" w:rsidRPr="00A806C5" w:rsidRDefault="00B033C4" w:rsidP="00B033C4">
      <w:pPr>
        <w:pStyle w:val="a9"/>
        <w:rPr>
          <w:rFonts w:ascii="Arial" w:hAnsi="Arial"/>
          <w:rtl/>
        </w:rPr>
      </w:pPr>
    </w:p>
    <w:p w14:paraId="1912E961" w14:textId="77777777" w:rsidR="00B033C4" w:rsidRPr="00A806C5" w:rsidRDefault="00B033C4" w:rsidP="00B033C4">
      <w:pPr>
        <w:pStyle w:val="a9"/>
        <w:numPr>
          <w:ilvl w:val="0"/>
          <w:numId w:val="1"/>
        </w:numPr>
        <w:spacing w:line="360" w:lineRule="auto"/>
        <w:jc w:val="both"/>
        <w:rPr>
          <w:rFonts w:ascii="Arial" w:hAnsi="Arial"/>
          <w:rtl/>
        </w:rPr>
      </w:pPr>
      <w:r w:rsidRPr="00A806C5">
        <w:rPr>
          <w:rFonts w:ascii="Arial" w:hAnsi="Arial" w:hint="cs"/>
          <w:rtl/>
        </w:rPr>
        <w:t>הנאשם בדברו האחרון הביע חרטה על מעשיו, התנצל בפני המתלונן וסיפר על אודות הליך הטיפול שהוא עובר ועל השינוי החיוב</w:t>
      </w:r>
      <w:r>
        <w:rPr>
          <w:rFonts w:ascii="Arial" w:hAnsi="Arial" w:hint="cs"/>
          <w:rtl/>
        </w:rPr>
        <w:t>י</w:t>
      </w:r>
      <w:r w:rsidRPr="00A806C5">
        <w:rPr>
          <w:rFonts w:ascii="Arial" w:hAnsi="Arial" w:hint="cs"/>
          <w:rtl/>
        </w:rPr>
        <w:t xml:space="preserve"> שחל בו. ביחס לעונש</w:t>
      </w:r>
      <w:r>
        <w:rPr>
          <w:rFonts w:ascii="Arial" w:hAnsi="Arial" w:hint="cs"/>
          <w:rtl/>
        </w:rPr>
        <w:t>,</w:t>
      </w:r>
      <w:r w:rsidRPr="00A806C5">
        <w:rPr>
          <w:rFonts w:ascii="Arial" w:hAnsi="Arial" w:hint="cs"/>
          <w:rtl/>
        </w:rPr>
        <w:t xml:space="preserve"> ביקש הנאשם להימנע מעונש מאסר בכליאה וזאת על מנת לאפשר לו להמשיך בהליך הטיפול ולפרנס את משפחתו. </w:t>
      </w:r>
    </w:p>
    <w:p w14:paraId="058FEADC" w14:textId="77777777" w:rsidR="00B033C4" w:rsidRDefault="00B033C4" w:rsidP="00B033C4">
      <w:pPr>
        <w:spacing w:line="360" w:lineRule="auto"/>
        <w:jc w:val="both"/>
        <w:rPr>
          <w:rFonts w:ascii="Arial" w:hAnsi="Arial"/>
          <w:rtl/>
        </w:rPr>
      </w:pPr>
    </w:p>
    <w:p w14:paraId="7D31AB5F" w14:textId="77777777" w:rsidR="00B033C4" w:rsidRDefault="00B033C4" w:rsidP="00B033C4">
      <w:pPr>
        <w:spacing w:line="360" w:lineRule="auto"/>
        <w:contextualSpacing/>
        <w:jc w:val="both"/>
        <w:rPr>
          <w:b/>
          <w:bCs/>
          <w:u w:val="single"/>
          <w:rtl/>
        </w:rPr>
      </w:pPr>
      <w:r>
        <w:rPr>
          <w:b/>
          <w:bCs/>
          <w:u w:val="single"/>
          <w:rtl/>
        </w:rPr>
        <w:t>דיון והכרעה</w:t>
      </w:r>
    </w:p>
    <w:p w14:paraId="75885737" w14:textId="77777777" w:rsidR="00B033C4" w:rsidRPr="00380DEA" w:rsidRDefault="00B033C4" w:rsidP="00B033C4">
      <w:pPr>
        <w:spacing w:line="360" w:lineRule="auto"/>
        <w:jc w:val="both"/>
        <w:rPr>
          <w:rFonts w:ascii="Arial" w:hAnsi="Arial"/>
          <w:b/>
          <w:bCs/>
          <w:u w:val="single"/>
          <w:rtl/>
        </w:rPr>
      </w:pPr>
      <w:r w:rsidRPr="00380DEA">
        <w:rPr>
          <w:rFonts w:ascii="Arial" w:hAnsi="Arial" w:hint="cs"/>
          <w:b/>
          <w:bCs/>
          <w:u w:val="single"/>
          <w:rtl/>
        </w:rPr>
        <w:t>קביעת מתחם העונש ההולם</w:t>
      </w:r>
    </w:p>
    <w:p w14:paraId="0A86D4FE" w14:textId="77777777" w:rsidR="00B033C4" w:rsidRDefault="00B033C4" w:rsidP="00B033C4">
      <w:pPr>
        <w:spacing w:line="360" w:lineRule="auto"/>
        <w:jc w:val="both"/>
        <w:rPr>
          <w:rFonts w:ascii="Arial" w:hAnsi="Arial"/>
          <w:rtl/>
        </w:rPr>
      </w:pPr>
    </w:p>
    <w:p w14:paraId="71A5B90F" w14:textId="77777777" w:rsidR="00B033C4" w:rsidRDefault="00B033C4" w:rsidP="00B033C4">
      <w:pPr>
        <w:pStyle w:val="a9"/>
        <w:numPr>
          <w:ilvl w:val="0"/>
          <w:numId w:val="1"/>
        </w:numPr>
        <w:spacing w:line="360" w:lineRule="auto"/>
        <w:jc w:val="both"/>
      </w:pPr>
      <w:r>
        <w:rPr>
          <w:rtl/>
        </w:rPr>
        <w:t>בהתאם לתיקון 113 ל</w:t>
      </w:r>
      <w:hyperlink r:id="rId30" w:history="1">
        <w:r w:rsidR="00DB74CB" w:rsidRPr="00DB74CB">
          <w:rPr>
            <w:color w:val="0000FF"/>
            <w:u w:val="single"/>
            <w:rtl/>
          </w:rPr>
          <w:t>חוק העונשין</w:t>
        </w:r>
      </w:hyperlink>
      <w:r>
        <w:rPr>
          <w:rtl/>
        </w:rPr>
        <w:t xml:space="preserve">, על בית המשפט לקבוע את מתחם הענישה ההולם את העבירה בנסיבותיה. לאחר קביעת המתחם יש להחליט אם ראוי לסטות ממנו, לקולה או לחומרה, שאחרת ייגזר העונש בגדרי המתחם שנקבע. בעת קביעת מתחם העונש ההולם מתחשב בית המשפט בעקרון המנחה בענישה – הלימה, בערך החברתי שנפגע, במידת הפגיעה בו, במדיניות הענישה הנוהגת ובנסיבות הקשורות בביצוע העבירה, על פי </w:t>
      </w:r>
      <w:hyperlink r:id="rId31" w:history="1">
        <w:r w:rsidR="007C0527" w:rsidRPr="007C0527">
          <w:rPr>
            <w:color w:val="0000FF"/>
            <w:u w:val="single"/>
            <w:rtl/>
          </w:rPr>
          <w:t>סעיף 40ט'</w:t>
        </w:r>
      </w:hyperlink>
      <w:r>
        <w:rPr>
          <w:rtl/>
        </w:rPr>
        <w:t xml:space="preserve"> ל</w:t>
      </w:r>
      <w:hyperlink r:id="rId32" w:history="1">
        <w:r w:rsidR="00DB74CB" w:rsidRPr="00DB74CB">
          <w:rPr>
            <w:color w:val="0000FF"/>
            <w:u w:val="single"/>
            <w:rtl/>
          </w:rPr>
          <w:t>חוק העונשין</w:t>
        </w:r>
      </w:hyperlink>
      <w:r>
        <w:rPr>
          <w:rtl/>
        </w:rPr>
        <w:t xml:space="preserve">. </w:t>
      </w:r>
    </w:p>
    <w:p w14:paraId="7DB97BC4" w14:textId="77777777" w:rsidR="00B033C4" w:rsidRDefault="00B033C4" w:rsidP="00B033C4">
      <w:pPr>
        <w:pStyle w:val="a9"/>
        <w:spacing w:line="360" w:lineRule="auto"/>
        <w:ind w:left="0"/>
        <w:jc w:val="both"/>
        <w:rPr>
          <w:rFonts w:ascii="Arial" w:hAnsi="Arial"/>
          <w:rtl/>
        </w:rPr>
      </w:pPr>
    </w:p>
    <w:p w14:paraId="4FCE1034" w14:textId="77777777" w:rsidR="00B033C4" w:rsidRPr="000A4259" w:rsidRDefault="00B033C4" w:rsidP="00B033C4">
      <w:pPr>
        <w:pStyle w:val="a9"/>
        <w:numPr>
          <w:ilvl w:val="0"/>
          <w:numId w:val="1"/>
        </w:numPr>
        <w:spacing w:line="360" w:lineRule="auto"/>
        <w:jc w:val="both"/>
      </w:pPr>
      <w:r w:rsidRPr="000A4259">
        <w:rPr>
          <w:b/>
          <w:bCs/>
          <w:rtl/>
        </w:rPr>
        <w:t>הערכים המוגנים בבסיס העביר</w:t>
      </w:r>
      <w:r w:rsidRPr="000A4259">
        <w:rPr>
          <w:rFonts w:hint="cs"/>
          <w:b/>
          <w:bCs/>
          <w:rtl/>
        </w:rPr>
        <w:t>ות</w:t>
      </w:r>
      <w:r w:rsidRPr="000A4259">
        <w:rPr>
          <w:b/>
          <w:bCs/>
          <w:rtl/>
        </w:rPr>
        <w:t>:</w:t>
      </w:r>
      <w:r w:rsidRPr="000A4259">
        <w:rPr>
          <w:rFonts w:ascii="Arial" w:hAnsi="Arial" w:hint="cs"/>
          <w:rtl/>
        </w:rPr>
        <w:t xml:space="preserve"> מעשיו של הנאשם פגעו בשלום גופו ושלוות רוחו של המתלונן, </w:t>
      </w:r>
      <w:r w:rsidRPr="000A4259">
        <w:rPr>
          <w:rFonts w:ascii="Arial" w:hAnsi="Arial"/>
          <w:rtl/>
        </w:rPr>
        <w:t xml:space="preserve">לצד </w:t>
      </w:r>
      <w:r w:rsidRPr="000A4259">
        <w:rPr>
          <w:rFonts w:ascii="Arial" w:hAnsi="Arial" w:hint="cs"/>
          <w:rtl/>
        </w:rPr>
        <w:t>פגיעה ב</w:t>
      </w:r>
      <w:r w:rsidRPr="000A4259">
        <w:rPr>
          <w:rFonts w:ascii="Arial" w:hAnsi="Arial"/>
          <w:rtl/>
        </w:rPr>
        <w:t>קניינו ורכושו</w:t>
      </w:r>
      <w:r w:rsidRPr="000A4259">
        <w:rPr>
          <w:rFonts w:ascii="Arial" w:hAnsi="Arial" w:hint="cs"/>
          <w:rtl/>
        </w:rPr>
        <w:t xml:space="preserve"> (מכשיר הטלפון). במקרה זה מדובר בפגיעה חמורה בערכים המוגנים, לאור עצמת האלימות שהופעלה והתוצאה הקשה. </w:t>
      </w:r>
    </w:p>
    <w:p w14:paraId="2F507A6D" w14:textId="77777777" w:rsidR="00B033C4" w:rsidRPr="000A4259" w:rsidRDefault="00B033C4" w:rsidP="00B033C4">
      <w:pPr>
        <w:pStyle w:val="a9"/>
        <w:rPr>
          <w:rFonts w:ascii="Arial" w:hAnsi="Arial"/>
          <w:b/>
          <w:bCs/>
          <w:rtl/>
        </w:rPr>
      </w:pPr>
    </w:p>
    <w:p w14:paraId="3D7571C7" w14:textId="77777777" w:rsidR="00B033C4" w:rsidRDefault="00B033C4" w:rsidP="00B033C4">
      <w:pPr>
        <w:pStyle w:val="a9"/>
        <w:numPr>
          <w:ilvl w:val="0"/>
          <w:numId w:val="1"/>
        </w:numPr>
        <w:spacing w:line="360" w:lineRule="auto"/>
        <w:jc w:val="both"/>
      </w:pPr>
      <w:r w:rsidRPr="000A4259">
        <w:rPr>
          <w:rFonts w:ascii="Arial" w:hAnsi="Arial" w:hint="cs"/>
          <w:b/>
          <w:bCs/>
          <w:rtl/>
        </w:rPr>
        <w:t xml:space="preserve">נסיבות הקשורות לביצוע העבירות: </w:t>
      </w:r>
      <w:r w:rsidRPr="000A4259">
        <w:rPr>
          <w:rFonts w:ascii="Arial" w:hAnsi="Arial" w:hint="cs"/>
          <w:rtl/>
        </w:rPr>
        <w:t>אכן,</w:t>
      </w:r>
      <w:r w:rsidRPr="000A4259">
        <w:rPr>
          <w:rFonts w:ascii="Arial" w:hAnsi="Arial" w:hint="cs"/>
          <w:b/>
          <w:bCs/>
          <w:rtl/>
        </w:rPr>
        <w:t xml:space="preserve"> </w:t>
      </w:r>
      <w:r w:rsidRPr="000A4259">
        <w:rPr>
          <w:rFonts w:ascii="Arial" w:hAnsi="Arial" w:hint="cs"/>
          <w:rtl/>
        </w:rPr>
        <w:t>לאירוע</w:t>
      </w:r>
      <w:r w:rsidRPr="000A4259">
        <w:rPr>
          <w:rFonts w:ascii="Arial" w:hAnsi="Arial" w:hint="cs"/>
          <w:b/>
          <w:bCs/>
          <w:rtl/>
        </w:rPr>
        <w:t xml:space="preserve"> </w:t>
      </w:r>
      <w:r>
        <w:rPr>
          <w:rtl/>
        </w:rPr>
        <w:t>קדם</w:t>
      </w:r>
      <w:r>
        <w:rPr>
          <w:rFonts w:hint="cs"/>
          <w:rtl/>
        </w:rPr>
        <w:t xml:space="preserve"> סכסוך עסקי בין הנאשם למתלונן (ולמעשה הטענה היא לחוב שלא שילם המתלונן לנאשם על רקע יחסים עסקיים), אך גם בהינתן שהדבר הוכח (ואין פירוט מדויק בכתב האישום בנושא ולכן אינני קובע כך) מובן שאין בכך להוות נסיבה לקולה. </w:t>
      </w:r>
      <w:r>
        <w:rPr>
          <w:rtl/>
        </w:rPr>
        <w:t>חובות יש לגבות באמצעים חוקיים ואין מקום "לגבייה" פרטית על דרך של הטלת אימה</w:t>
      </w:r>
      <w:r>
        <w:rPr>
          <w:rFonts w:hint="cs"/>
          <w:rtl/>
        </w:rPr>
        <w:t xml:space="preserve"> ואלימות</w:t>
      </w:r>
      <w:r>
        <w:rPr>
          <w:rtl/>
        </w:rPr>
        <w:t xml:space="preserve">. </w:t>
      </w:r>
      <w:r>
        <w:rPr>
          <w:rFonts w:hint="cs"/>
          <w:rtl/>
        </w:rPr>
        <w:t>אפנה ב</w:t>
      </w:r>
      <w:r>
        <w:rPr>
          <w:rtl/>
        </w:rPr>
        <w:t xml:space="preserve">עניין זה </w:t>
      </w:r>
      <w:r>
        <w:rPr>
          <w:rFonts w:hint="cs"/>
          <w:rtl/>
        </w:rPr>
        <w:t>ל</w:t>
      </w:r>
      <w:hyperlink r:id="rId33" w:history="1">
        <w:r w:rsidR="00DB74CB" w:rsidRPr="00DB74CB">
          <w:rPr>
            <w:color w:val="0000FF"/>
            <w:u w:val="single"/>
            <w:rtl/>
          </w:rPr>
          <w:t>ע"פ 1430/12</w:t>
        </w:r>
      </w:hyperlink>
      <w:r>
        <w:rPr>
          <w:rtl/>
        </w:rPr>
        <w:t xml:space="preserve"> </w:t>
      </w:r>
      <w:r w:rsidRPr="000A4259">
        <w:rPr>
          <w:b/>
          <w:bCs/>
          <w:rtl/>
        </w:rPr>
        <w:t>נאיף אבולקיעאן  נ' מדינת ישראל</w:t>
      </w:r>
      <w:r>
        <w:rPr>
          <w:rtl/>
        </w:rPr>
        <w:t xml:space="preserve"> (14.4.13)</w:t>
      </w:r>
      <w:r>
        <w:rPr>
          <w:rFonts w:ascii="Arial TUR" w:hAnsi="Arial TUR" w:cs="Miriam" w:hint="cs"/>
          <w:spacing w:val="10"/>
          <w:rtl/>
        </w:rPr>
        <w:t xml:space="preserve"> </w:t>
      </w:r>
      <w:r w:rsidRPr="008E1780">
        <w:rPr>
          <w:rFonts w:ascii="David" w:hAnsi="David"/>
          <w:spacing w:val="10"/>
          <w:rtl/>
        </w:rPr>
        <w:t>שם צוין כי</w:t>
      </w:r>
      <w:r>
        <w:rPr>
          <w:rFonts w:ascii="Arial TUR" w:hAnsi="Arial TUR" w:cs="Miriam" w:hint="cs"/>
          <w:spacing w:val="10"/>
          <w:rtl/>
        </w:rPr>
        <w:t xml:space="preserve"> </w:t>
      </w:r>
      <w:r w:rsidRPr="000A4259">
        <w:rPr>
          <w:rFonts w:ascii="Arial TUR" w:hAnsi="Arial TUR" w:cs="Miriam"/>
          <w:spacing w:val="10"/>
          <w:rtl/>
        </w:rPr>
        <w:t>"גם אם תתקבל טענת המערער, כי ביקש לגבות חוב כספי שהגיע לו בדין, על-מנת להמשיך ולקיים את עסקו, אין ניתן להשלים עם דרך פעולתו"</w:t>
      </w:r>
      <w:r>
        <w:rPr>
          <w:rFonts w:hint="cs"/>
          <w:rtl/>
        </w:rPr>
        <w:t>.</w:t>
      </w:r>
      <w:r>
        <w:rPr>
          <w:rtl/>
        </w:rPr>
        <w:t xml:space="preserve"> </w:t>
      </w:r>
    </w:p>
    <w:p w14:paraId="5D9AB263" w14:textId="77777777" w:rsidR="00B033C4" w:rsidRDefault="00B033C4" w:rsidP="00B033C4">
      <w:pPr>
        <w:pStyle w:val="a9"/>
        <w:rPr>
          <w:rtl/>
        </w:rPr>
      </w:pPr>
    </w:p>
    <w:p w14:paraId="12BA6AAA" w14:textId="77777777" w:rsidR="00B033C4" w:rsidRPr="00740833" w:rsidRDefault="00B033C4" w:rsidP="00B033C4">
      <w:pPr>
        <w:pStyle w:val="a9"/>
        <w:spacing w:line="360" w:lineRule="auto"/>
        <w:ind w:left="0" w:firstLine="720"/>
        <w:jc w:val="both"/>
        <w:rPr>
          <w:rFonts w:ascii="Arial" w:hAnsi="Arial"/>
        </w:rPr>
      </w:pPr>
      <w:r>
        <w:rPr>
          <w:rFonts w:hint="cs"/>
          <w:rtl/>
        </w:rPr>
        <w:t>לעבירה קדם</w:t>
      </w:r>
      <w:r>
        <w:rPr>
          <w:rtl/>
        </w:rPr>
        <w:t xml:space="preserve"> תכנו</w:t>
      </w:r>
      <w:r>
        <w:rPr>
          <w:rFonts w:hint="cs"/>
          <w:rtl/>
        </w:rPr>
        <w:t xml:space="preserve">ן ואין מדובר באירוע ספונטאני. בכל מקרה הנאשם יכול היה לחדול מתכניתו במהלך הנסיעה לבית העלמין ואף לאחר ההגעה למקום, אך הוא לא עשה כן. גם </w:t>
      </w:r>
      <w:r w:rsidRPr="00740833">
        <w:rPr>
          <w:rFonts w:ascii="Arial" w:hAnsi="Arial" w:hint="cs"/>
          <w:rtl/>
        </w:rPr>
        <w:t>הפגיעה שנגרמה למתלונן משמעותית מאוד וכללה שבר בפנים ש</w:t>
      </w:r>
      <w:r>
        <w:rPr>
          <w:rFonts w:ascii="Arial" w:hAnsi="Arial" w:hint="cs"/>
          <w:rtl/>
        </w:rPr>
        <w:t>ה</w:t>
      </w:r>
      <w:r w:rsidRPr="00740833">
        <w:rPr>
          <w:rFonts w:ascii="Arial" w:hAnsi="Arial" w:hint="cs"/>
          <w:rtl/>
        </w:rPr>
        <w:t>צריך ניתוח בהרדמה כללית, קיבוע בפלטות וברגים והמתלונן אושפז בבית החולים במשך 6 ימים. ביחס לפגיעה הנפשית, הרי שבכתב האישום לא הובאו כל עובדות בנושא בניגוד לאמו</w:t>
      </w:r>
      <w:r>
        <w:rPr>
          <w:rFonts w:ascii="Arial" w:hAnsi="Arial" w:hint="cs"/>
          <w:rtl/>
        </w:rPr>
        <w:t>ר</w:t>
      </w:r>
      <w:r w:rsidRPr="00740833">
        <w:rPr>
          <w:rFonts w:ascii="Arial" w:hAnsi="Arial" w:hint="cs"/>
          <w:rtl/>
        </w:rPr>
        <w:t xml:space="preserve"> </w:t>
      </w:r>
      <w:hyperlink r:id="rId34" w:history="1">
        <w:r w:rsidR="007C0527" w:rsidRPr="007C0527">
          <w:rPr>
            <w:rFonts w:ascii="Arial" w:hAnsi="Arial"/>
            <w:color w:val="0000FF"/>
            <w:u w:val="single"/>
            <w:rtl/>
          </w:rPr>
          <w:t>בסעיף 40י(ד)</w:t>
        </w:r>
      </w:hyperlink>
      <w:r w:rsidRPr="00740833">
        <w:rPr>
          <w:rFonts w:ascii="Arial" w:hAnsi="Arial" w:hint="cs"/>
          <w:rtl/>
        </w:rPr>
        <w:t xml:space="preserve"> ל</w:t>
      </w:r>
      <w:hyperlink r:id="rId35" w:history="1">
        <w:r w:rsidR="00DB74CB" w:rsidRPr="00DB74CB">
          <w:rPr>
            <w:rFonts w:ascii="Arial" w:hAnsi="Arial"/>
            <w:color w:val="0000FF"/>
            <w:u w:val="single"/>
            <w:rtl/>
          </w:rPr>
          <w:t>חוק העונשין</w:t>
        </w:r>
      </w:hyperlink>
      <w:r w:rsidRPr="00740833">
        <w:rPr>
          <w:rFonts w:ascii="Arial" w:hAnsi="Arial" w:hint="cs"/>
          <w:rtl/>
        </w:rPr>
        <w:t xml:space="preserve"> </w:t>
      </w:r>
      <w:r>
        <w:rPr>
          <w:noProof/>
          <w:rtl/>
        </w:rPr>
        <w:t>(</w:t>
      </w:r>
      <w:hyperlink r:id="rId36" w:history="1">
        <w:r w:rsidR="00DB74CB" w:rsidRPr="00DB74CB">
          <w:rPr>
            <w:noProof/>
            <w:color w:val="0000FF"/>
            <w:u w:val="single"/>
            <w:rtl/>
          </w:rPr>
          <w:t>ע"פ 5841/14</w:t>
        </w:r>
      </w:hyperlink>
      <w:r>
        <w:rPr>
          <w:noProof/>
          <w:rtl/>
        </w:rPr>
        <w:t xml:space="preserve"> </w:t>
      </w:r>
      <w:r w:rsidRPr="0087286E">
        <w:rPr>
          <w:b/>
          <w:bCs/>
          <w:noProof/>
          <w:rtl/>
        </w:rPr>
        <w:t>ארקאן</w:t>
      </w:r>
      <w:r>
        <w:rPr>
          <w:noProof/>
          <w:rtl/>
        </w:rPr>
        <w:t xml:space="preserve"> </w:t>
      </w:r>
      <w:r w:rsidRPr="00740833">
        <w:rPr>
          <w:b/>
          <w:bCs/>
          <w:noProof/>
          <w:rtl/>
        </w:rPr>
        <w:t>נגד מדינת ישראל</w:t>
      </w:r>
      <w:r>
        <w:rPr>
          <w:noProof/>
          <w:rtl/>
        </w:rPr>
        <w:t xml:space="preserve"> (8.7.</w:t>
      </w:r>
      <w:r>
        <w:rPr>
          <w:rFonts w:hint="cs"/>
          <w:noProof/>
          <w:rtl/>
        </w:rPr>
        <w:t>15</w:t>
      </w:r>
      <w:r>
        <w:rPr>
          <w:noProof/>
          <w:rtl/>
        </w:rPr>
        <w:t>)).</w:t>
      </w:r>
      <w:r>
        <w:rPr>
          <w:rFonts w:ascii="Arial" w:hAnsi="Arial" w:hint="cs"/>
          <w:rtl/>
        </w:rPr>
        <w:t xml:space="preserve"> כן לא הוגשה בקשה להבאת ראיות בנושא כאמור </w:t>
      </w:r>
      <w:hyperlink r:id="rId37" w:history="1">
        <w:r w:rsidR="007C0527" w:rsidRPr="007C0527">
          <w:rPr>
            <w:rFonts w:ascii="Arial" w:hAnsi="Arial"/>
            <w:color w:val="0000FF"/>
            <w:u w:val="single"/>
            <w:rtl/>
          </w:rPr>
          <w:t>בסעיף 40י'(ב)(2)</w:t>
        </w:r>
      </w:hyperlink>
      <w:r>
        <w:rPr>
          <w:rFonts w:ascii="Arial" w:hAnsi="Arial" w:hint="cs"/>
          <w:rtl/>
        </w:rPr>
        <w:t xml:space="preserve"> ל</w:t>
      </w:r>
      <w:hyperlink r:id="rId38" w:history="1">
        <w:r w:rsidR="00DB74CB" w:rsidRPr="00DB74CB">
          <w:rPr>
            <w:rFonts w:ascii="Arial" w:hAnsi="Arial"/>
            <w:color w:val="0000FF"/>
            <w:u w:val="single"/>
            <w:rtl/>
          </w:rPr>
          <w:t>חוק העונשין</w:t>
        </w:r>
      </w:hyperlink>
      <w:r>
        <w:rPr>
          <w:rFonts w:ascii="Arial" w:hAnsi="Arial" w:hint="cs"/>
          <w:rtl/>
        </w:rPr>
        <w:t>. עם זאת, הדברים צוינו בהרחבה בתסקיר נפגע העבירה, שהוא בבחינת ראיה שהצדדים רשאים להביא בשלב זה (</w:t>
      </w:r>
      <w:hyperlink r:id="rId39" w:history="1">
        <w:r w:rsidR="007C0527" w:rsidRPr="007C0527">
          <w:rPr>
            <w:rFonts w:ascii="Arial" w:hAnsi="Arial"/>
            <w:color w:val="0000FF"/>
            <w:u w:val="single"/>
            <w:rtl/>
          </w:rPr>
          <w:t>סעיף 40י(ב)(י)</w:t>
        </w:r>
      </w:hyperlink>
      <w:r>
        <w:rPr>
          <w:rFonts w:ascii="Arial" w:hAnsi="Arial" w:hint="cs"/>
          <w:rtl/>
        </w:rPr>
        <w:t xml:space="preserve"> סיפא ל</w:t>
      </w:r>
      <w:hyperlink r:id="rId40" w:history="1">
        <w:r w:rsidR="00DB74CB" w:rsidRPr="00DB74CB">
          <w:rPr>
            <w:rFonts w:ascii="Arial" w:hAnsi="Arial"/>
            <w:color w:val="0000FF"/>
            <w:u w:val="single"/>
            <w:rtl/>
          </w:rPr>
          <w:t>חוק העונשין</w:t>
        </w:r>
      </w:hyperlink>
      <w:r>
        <w:rPr>
          <w:rFonts w:ascii="Arial" w:hAnsi="Arial" w:hint="cs"/>
          <w:rtl/>
        </w:rPr>
        <w:t xml:space="preserve">; לעניין יכולת ההגנה לחלוק על עובדה פלונית בתסקיר, ראו </w:t>
      </w:r>
      <w:hyperlink r:id="rId41" w:history="1">
        <w:r w:rsidR="007C0527" w:rsidRPr="007C0527">
          <w:rPr>
            <w:rFonts w:ascii="Arial" w:hAnsi="Arial"/>
            <w:color w:val="0000FF"/>
            <w:u w:val="single"/>
            <w:rtl/>
          </w:rPr>
          <w:t>סעיף 191א'</w:t>
        </w:r>
      </w:hyperlink>
      <w:r>
        <w:rPr>
          <w:rFonts w:ascii="Arial" w:hAnsi="Arial" w:hint="cs"/>
          <w:rtl/>
        </w:rPr>
        <w:t xml:space="preserve"> ל</w:t>
      </w:r>
      <w:hyperlink r:id="rId42" w:history="1">
        <w:r w:rsidR="00DB74CB" w:rsidRPr="00DB74CB">
          <w:rPr>
            <w:rFonts w:ascii="Arial" w:hAnsi="Arial"/>
            <w:color w:val="0000FF"/>
            <w:u w:val="single"/>
            <w:rtl/>
          </w:rPr>
          <w:t>חסד"פ</w:t>
        </w:r>
      </w:hyperlink>
      <w:r>
        <w:rPr>
          <w:rFonts w:ascii="Arial" w:hAnsi="Arial" w:hint="cs"/>
          <w:rtl/>
        </w:rPr>
        <w:t xml:space="preserve">). משכך אביא בחשבון את העובדות שפורטו בנושא בתסקיר הקרבן, אם כי אביא גם בחשבון שעובדות אלו לא נכללו בכתב האישום. </w:t>
      </w:r>
    </w:p>
    <w:p w14:paraId="149AC86A" w14:textId="77777777" w:rsidR="00B033C4" w:rsidRPr="008E1780" w:rsidRDefault="00B033C4" w:rsidP="00B033C4">
      <w:pPr>
        <w:pStyle w:val="a9"/>
        <w:spacing w:line="360" w:lineRule="auto"/>
        <w:ind w:left="0"/>
        <w:jc w:val="both"/>
        <w:rPr>
          <w:rFonts w:ascii="Arial" w:hAnsi="Arial"/>
        </w:rPr>
      </w:pPr>
    </w:p>
    <w:p w14:paraId="11073705" w14:textId="77777777" w:rsidR="00B033C4" w:rsidRDefault="00B033C4" w:rsidP="00B033C4">
      <w:pPr>
        <w:pStyle w:val="a9"/>
        <w:numPr>
          <w:ilvl w:val="0"/>
          <w:numId w:val="1"/>
        </w:numPr>
        <w:spacing w:line="360" w:lineRule="auto"/>
        <w:jc w:val="both"/>
      </w:pPr>
      <w:r w:rsidRPr="004352DA">
        <w:rPr>
          <w:b/>
          <w:bCs/>
          <w:rtl/>
        </w:rPr>
        <w:t>מדיניות הענישה</w:t>
      </w:r>
      <w:r w:rsidRPr="004352DA">
        <w:rPr>
          <w:rtl/>
        </w:rPr>
        <w:t xml:space="preserve">: לא אחת </w:t>
      </w:r>
      <w:r>
        <w:rPr>
          <w:rFonts w:hint="cs"/>
          <w:rtl/>
        </w:rPr>
        <w:t>נקבע</w:t>
      </w:r>
      <w:r w:rsidRPr="004352DA">
        <w:rPr>
          <w:rtl/>
        </w:rPr>
        <w:t xml:space="preserve"> כי על בית המשפט לתרום תרומתו בביעור נגע האלימות הפושה בחברתנו.  ראה: </w:t>
      </w:r>
    </w:p>
    <w:p w14:paraId="5CD66A3F" w14:textId="77777777" w:rsidR="00B033C4" w:rsidRDefault="00B033C4" w:rsidP="00B033C4">
      <w:pPr>
        <w:ind w:left="1440" w:right="1134"/>
        <w:jc w:val="both"/>
        <w:rPr>
          <w:rFonts w:cs="Miriam"/>
          <w:rtl/>
        </w:rPr>
      </w:pPr>
    </w:p>
    <w:p w14:paraId="28B6CBE7" w14:textId="77777777" w:rsidR="00B033C4" w:rsidRPr="004352DA" w:rsidRDefault="00B033C4" w:rsidP="00B033C4">
      <w:pPr>
        <w:ind w:left="1440" w:right="1134"/>
        <w:jc w:val="both"/>
      </w:pPr>
      <w:r w:rsidRPr="004352DA">
        <w:rPr>
          <w:rFonts w:cs="Miriam"/>
          <w:rtl/>
        </w:rPr>
        <w:t xml:space="preserve">"בית משפט זה קבע ושב וקבע, בפסקי דין רבים מספור, כי יש לעקור מן השורש את נגע האלימות שפשה בחברתנו. במלחמה זו מוטל על בתי המשפט תפקיד חשוב ביותר, שעיקרו הוקעת התופעה וגזירת עונשים מחמירים על אלו הבוחרים לנקוט בדרך האלימות." </w:t>
      </w:r>
      <w:r w:rsidRPr="004352DA">
        <w:rPr>
          <w:rtl/>
        </w:rPr>
        <w:t>(</w:t>
      </w:r>
      <w:hyperlink r:id="rId43" w:history="1">
        <w:r w:rsidR="00DB74CB" w:rsidRPr="00DB74CB">
          <w:rPr>
            <w:color w:val="0000FF"/>
            <w:u w:val="single"/>
            <w:rtl/>
          </w:rPr>
          <w:t>ע"פ 8991/10</w:t>
        </w:r>
      </w:hyperlink>
      <w:r w:rsidRPr="004352DA">
        <w:rPr>
          <w:rtl/>
        </w:rPr>
        <w:t xml:space="preserve"> </w:t>
      </w:r>
      <w:r w:rsidRPr="004352DA">
        <w:rPr>
          <w:b/>
          <w:bCs/>
          <w:rtl/>
        </w:rPr>
        <w:t>מכבי נ' מדינת ישראל</w:t>
      </w:r>
      <w:r w:rsidRPr="004352DA">
        <w:rPr>
          <w:rtl/>
        </w:rPr>
        <w:t xml:space="preserve"> (27.10.11))</w:t>
      </w:r>
    </w:p>
    <w:p w14:paraId="07B92EAB" w14:textId="77777777" w:rsidR="00B033C4" w:rsidRPr="004352DA" w:rsidRDefault="00B033C4" w:rsidP="00B033C4">
      <w:pPr>
        <w:jc w:val="both"/>
        <w:rPr>
          <w:rtl/>
        </w:rPr>
      </w:pPr>
    </w:p>
    <w:p w14:paraId="6640101D" w14:textId="77777777" w:rsidR="00B033C4" w:rsidRPr="004352DA" w:rsidRDefault="00B033C4" w:rsidP="00B033C4">
      <w:pPr>
        <w:ind w:left="1440" w:right="1134"/>
        <w:jc w:val="both"/>
        <w:rPr>
          <w:b/>
          <w:bCs/>
          <w:rtl/>
        </w:rPr>
      </w:pPr>
      <w:r w:rsidRPr="004352DA">
        <w:rPr>
          <w:rFonts w:cs="Miriam"/>
          <w:rtl/>
        </w:rPr>
        <w:t xml:space="preserve">"תופעה נוראה זו פשתה בחברתנו, היתה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 </w:t>
      </w:r>
      <w:r w:rsidRPr="004352DA">
        <w:rPr>
          <w:rFonts w:ascii="Arial TUR" w:hAnsi="Arial TUR"/>
          <w:spacing w:val="10"/>
          <w:rtl/>
        </w:rPr>
        <w:t>(</w:t>
      </w:r>
      <w:hyperlink r:id="rId44" w:history="1">
        <w:r w:rsidR="00DB74CB" w:rsidRPr="00DB74CB">
          <w:rPr>
            <w:rFonts w:ascii="Arial TUR" w:hAnsi="Arial TUR"/>
            <w:color w:val="0000FF"/>
            <w:spacing w:val="10"/>
            <w:u w:val="single"/>
            <w:rtl/>
          </w:rPr>
          <w:t>ע"פ 5753/04</w:t>
        </w:r>
      </w:hyperlink>
      <w:r w:rsidRPr="004352DA">
        <w:rPr>
          <w:rFonts w:ascii="Arial TUR" w:hAnsi="Arial TUR"/>
          <w:spacing w:val="10"/>
          <w:rtl/>
        </w:rPr>
        <w:t xml:space="preserve"> </w:t>
      </w:r>
      <w:r w:rsidRPr="004352DA">
        <w:rPr>
          <w:rFonts w:ascii="Arial TUR" w:hAnsi="Arial TUR" w:hint="eastAsia"/>
          <w:b/>
          <w:bCs/>
          <w:spacing w:val="10"/>
          <w:rtl/>
        </w:rPr>
        <w:t>מדינת</w:t>
      </w:r>
      <w:r w:rsidRPr="004352DA">
        <w:rPr>
          <w:rFonts w:ascii="Arial TUR" w:hAnsi="Arial TUR"/>
          <w:b/>
          <w:bCs/>
          <w:spacing w:val="10"/>
          <w:rtl/>
        </w:rPr>
        <w:t xml:space="preserve"> </w:t>
      </w:r>
      <w:r w:rsidRPr="004352DA">
        <w:rPr>
          <w:rFonts w:ascii="Arial TUR" w:hAnsi="Arial TUR" w:hint="eastAsia"/>
          <w:b/>
          <w:bCs/>
          <w:spacing w:val="10"/>
          <w:rtl/>
        </w:rPr>
        <w:t>ישראל</w:t>
      </w:r>
      <w:r w:rsidRPr="004352DA">
        <w:rPr>
          <w:rFonts w:ascii="Arial TUR" w:hAnsi="Arial TUR"/>
          <w:b/>
          <w:bCs/>
          <w:spacing w:val="10"/>
          <w:rtl/>
        </w:rPr>
        <w:t xml:space="preserve"> </w:t>
      </w:r>
      <w:r w:rsidRPr="004352DA">
        <w:rPr>
          <w:rFonts w:ascii="Arial TUR" w:hAnsi="Arial TUR" w:hint="eastAsia"/>
          <w:b/>
          <w:bCs/>
          <w:spacing w:val="10"/>
          <w:rtl/>
        </w:rPr>
        <w:t>נ</w:t>
      </w:r>
      <w:r w:rsidRPr="004352DA">
        <w:rPr>
          <w:rFonts w:ascii="Arial TUR" w:hAnsi="Arial TUR"/>
          <w:b/>
          <w:bCs/>
          <w:spacing w:val="10"/>
          <w:rtl/>
        </w:rPr>
        <w:t xml:space="preserve">' </w:t>
      </w:r>
      <w:r w:rsidRPr="004352DA">
        <w:rPr>
          <w:rFonts w:ascii="Arial TUR" w:hAnsi="Arial TUR" w:hint="eastAsia"/>
          <w:b/>
          <w:bCs/>
          <w:spacing w:val="10"/>
          <w:rtl/>
        </w:rPr>
        <w:t>רייכמן</w:t>
      </w:r>
      <w:r w:rsidRPr="004352DA">
        <w:rPr>
          <w:rFonts w:ascii="Arial TUR" w:hAnsi="Arial TUR"/>
          <w:spacing w:val="10"/>
          <w:rtl/>
        </w:rPr>
        <w:t xml:space="preserve"> (7.2.2005</w:t>
      </w:r>
      <w:r w:rsidRPr="004352DA">
        <w:rPr>
          <w:rtl/>
        </w:rPr>
        <w:t>)).</w:t>
      </w:r>
    </w:p>
    <w:p w14:paraId="42B71901" w14:textId="77777777" w:rsidR="00B033C4" w:rsidRDefault="00B033C4" w:rsidP="00B033C4">
      <w:pPr>
        <w:ind w:left="1440" w:right="709"/>
        <w:jc w:val="both"/>
        <w:rPr>
          <w:b/>
          <w:bCs/>
          <w:rtl/>
        </w:rPr>
      </w:pPr>
    </w:p>
    <w:p w14:paraId="0547077F" w14:textId="77777777" w:rsidR="00B033C4" w:rsidRPr="008E1780" w:rsidRDefault="00B033C4" w:rsidP="00B033C4">
      <w:pPr>
        <w:pStyle w:val="a9"/>
        <w:ind w:left="1440" w:right="1134"/>
        <w:jc w:val="both"/>
        <w:rPr>
          <w:rFonts w:ascii="Arial" w:hAnsi="Arial" w:cs="Miriam"/>
        </w:rPr>
      </w:pPr>
      <w:r w:rsidRPr="00103839">
        <w:rPr>
          <w:rFonts w:ascii="Arial" w:hAnsi="Arial" w:cs="Miriam"/>
          <w:rtl/>
        </w:rPr>
        <w:t>"רבות נאמר בבתי המשפט על תופעת האלימות הפושה בחברה הישראלית ועל הצורך של איחוד כוחות של כל הרשויות לצורך מלחמה בתופעה זו. תפקידו של בית המשפט במאבק הוא הטלת עונשים מרתיעים ומשמעותיים על הנוקטים באלימות לפתרון סכסוכים, על מנת להעביר מסר, הן לעבריין האינדיווידואלי, והן לעבריינים הפוטנציאלים ולחברה כולה, כי אין החברה טולרנטית להתנהגויות מעין אלה".</w:t>
      </w:r>
      <w:r>
        <w:rPr>
          <w:rFonts w:ascii="Arial" w:hAnsi="Arial" w:cs="Miriam" w:hint="cs"/>
          <w:rtl/>
        </w:rPr>
        <w:t xml:space="preserve"> (</w:t>
      </w:r>
      <w:hyperlink r:id="rId45" w:history="1">
        <w:r w:rsidR="00DB74CB" w:rsidRPr="00DB74CB">
          <w:rPr>
            <w:rFonts w:ascii="Arial" w:hAnsi="Arial"/>
            <w:color w:val="0000FF"/>
            <w:u w:val="single"/>
            <w:rtl/>
          </w:rPr>
          <w:t>ע"פ 4173/07</w:t>
        </w:r>
      </w:hyperlink>
      <w:r w:rsidRPr="00103839">
        <w:rPr>
          <w:rFonts w:ascii="Arial" w:hAnsi="Arial"/>
          <w:rtl/>
        </w:rPr>
        <w:t xml:space="preserve"> </w:t>
      </w:r>
      <w:r w:rsidRPr="00103839">
        <w:rPr>
          <w:rFonts w:ascii="Arial" w:hAnsi="Arial"/>
          <w:b/>
          <w:bCs/>
          <w:rtl/>
        </w:rPr>
        <w:t>פלוני נ' מדינת ישראל</w:t>
      </w:r>
      <w:r>
        <w:rPr>
          <w:rFonts w:ascii="Arial" w:hAnsi="Arial"/>
          <w:rtl/>
        </w:rPr>
        <w:t xml:space="preserve"> (16.08.</w:t>
      </w:r>
      <w:r>
        <w:rPr>
          <w:rFonts w:ascii="Arial" w:hAnsi="Arial" w:hint="cs"/>
          <w:rtl/>
        </w:rPr>
        <w:t>07</w:t>
      </w:r>
      <w:r>
        <w:rPr>
          <w:rFonts w:ascii="Arial" w:hAnsi="Arial"/>
          <w:rtl/>
        </w:rPr>
        <w:t>)</w:t>
      </w:r>
      <w:r>
        <w:rPr>
          <w:rFonts w:ascii="Arial" w:hAnsi="Arial" w:hint="cs"/>
          <w:rtl/>
        </w:rPr>
        <w:t>).</w:t>
      </w:r>
      <w:r w:rsidRPr="00103839">
        <w:rPr>
          <w:rFonts w:ascii="Arial" w:hAnsi="Arial"/>
          <w:rtl/>
        </w:rPr>
        <w:t xml:space="preserve"> </w:t>
      </w:r>
    </w:p>
    <w:p w14:paraId="10F7353B" w14:textId="77777777" w:rsidR="00B033C4" w:rsidRDefault="00B033C4" w:rsidP="00B033C4">
      <w:pPr>
        <w:ind w:left="1440" w:right="709"/>
        <w:jc w:val="both"/>
        <w:rPr>
          <w:b/>
          <w:bCs/>
          <w:rtl/>
        </w:rPr>
      </w:pPr>
    </w:p>
    <w:p w14:paraId="76C1E4B5" w14:textId="77777777" w:rsidR="00B033C4" w:rsidRDefault="00B033C4" w:rsidP="00B033C4">
      <w:pPr>
        <w:ind w:left="1440" w:right="709"/>
        <w:jc w:val="both"/>
        <w:rPr>
          <w:b/>
          <w:bCs/>
          <w:rtl/>
        </w:rPr>
      </w:pPr>
    </w:p>
    <w:p w14:paraId="076FF083" w14:textId="77777777" w:rsidR="00B033C4" w:rsidRDefault="00B033C4" w:rsidP="00B033C4">
      <w:pPr>
        <w:pStyle w:val="a9"/>
        <w:numPr>
          <w:ilvl w:val="0"/>
          <w:numId w:val="1"/>
        </w:numPr>
        <w:spacing w:line="360" w:lineRule="auto"/>
        <w:jc w:val="both"/>
      </w:pPr>
      <w:r w:rsidRPr="004352DA">
        <w:rPr>
          <w:rtl/>
        </w:rPr>
        <w:t xml:space="preserve">לצורך בחינת מדיניות הענישה הנוהגת במקרים דומים, ניתן להפנות לפסקי הדין הבאים: </w:t>
      </w:r>
      <w:hyperlink r:id="rId46" w:history="1">
        <w:r w:rsidR="00DB74CB" w:rsidRPr="00DB74CB">
          <w:rPr>
            <w:color w:val="0000FF"/>
            <w:u w:val="single"/>
            <w:rtl/>
          </w:rPr>
          <w:t>רע"פ 8699/15</w:t>
        </w:r>
      </w:hyperlink>
      <w:r>
        <w:rPr>
          <w:rFonts w:hint="cs"/>
          <w:rtl/>
        </w:rPr>
        <w:t xml:space="preserve"> </w:t>
      </w:r>
      <w:r w:rsidRPr="007B58B2">
        <w:rPr>
          <w:b/>
          <w:bCs/>
          <w:rtl/>
        </w:rPr>
        <w:t>אחמד אבוהאני נ' מדינת ישראל</w:t>
      </w:r>
      <w:r>
        <w:rPr>
          <w:rFonts w:hint="cs"/>
          <w:rtl/>
        </w:rPr>
        <w:t xml:space="preserve"> (17.12.15), בו הורשע נאשם בעבירה של פציעה (שהעונש הקבוע בצידה עומד על שלוש שנות מאסר והיא קלה יותר מענייננו), בכך שפצע את המתלונן בראשו באמצעות חפץ חד, וזאת על רקע חוב כספי. בית משפט השלום קבע כי מתחם הענישה נע בין 6 חודשי מאסר בפועל ועד 18 חודשי מאסר בפועל, וגזר על הנאשם 8 חודשי מאסר בפועל וענישה נלווית. ערעור הנאשם לבית המשפט המחוזי, ובקשת רשות ערעור לבית המשפט העליון נדחו; </w:t>
      </w:r>
      <w:hyperlink r:id="rId47" w:history="1">
        <w:r w:rsidR="00DB74CB" w:rsidRPr="00DB74CB">
          <w:rPr>
            <w:color w:val="0000FF"/>
            <w:u w:val="single"/>
            <w:rtl/>
          </w:rPr>
          <w:t>עפ"ג 4007-01-16</w:t>
        </w:r>
      </w:hyperlink>
      <w:r w:rsidRPr="008F016D">
        <w:rPr>
          <w:rtl/>
        </w:rPr>
        <w:t xml:space="preserve"> </w:t>
      </w:r>
      <w:r w:rsidRPr="007B58B2">
        <w:rPr>
          <w:b/>
          <w:bCs/>
          <w:rtl/>
        </w:rPr>
        <w:t>איגור וולקוביץ נ' מדינת ישראל</w:t>
      </w:r>
      <w:r w:rsidRPr="008F016D">
        <w:rPr>
          <w:rtl/>
        </w:rPr>
        <w:t xml:space="preserve"> (18.2.16), </w:t>
      </w:r>
      <w:r>
        <w:rPr>
          <w:rFonts w:hint="cs"/>
          <w:rtl/>
        </w:rPr>
        <w:t xml:space="preserve">בו </w:t>
      </w:r>
      <w:r w:rsidRPr="008F016D">
        <w:rPr>
          <w:rtl/>
        </w:rPr>
        <w:t xml:space="preserve">נידון עניינו של נאשם </w:t>
      </w:r>
      <w:r>
        <w:rPr>
          <w:rFonts w:hint="cs"/>
          <w:rtl/>
        </w:rPr>
        <w:t>ש</w:t>
      </w:r>
      <w:r>
        <w:rPr>
          <w:rtl/>
        </w:rPr>
        <w:t>הורשע בעבירה של חבלה חמורה, בשל כך שתקף את אחותו באגרופים, על רקע ויכוח סתמי, וגרם לה שברים וחתכים בפניה. המתלוננת נזקקה לניתוח ולתקופת החלמה. בית משפט השלום קבע מתחם ענישה הנע בין 18-36 חודשים וגזר על הנאשם 24 חודשי מאסר, תוך הפעלת מאסר מותנה במצטבר. בית המשפט המחוזי דחה את ערעור</w:t>
      </w:r>
      <w:r>
        <w:rPr>
          <w:rFonts w:hint="cs"/>
          <w:rtl/>
        </w:rPr>
        <w:t xml:space="preserve"> הנאשם</w:t>
      </w:r>
      <w:r>
        <w:rPr>
          <w:rtl/>
        </w:rPr>
        <w:t>, תוך שציין שמדובר בעונש ראוי ומאוזן, בין היתר בשל עברו הפלילי המכביד של הנאשם</w:t>
      </w:r>
      <w:r>
        <w:rPr>
          <w:rFonts w:hint="cs"/>
          <w:rtl/>
        </w:rPr>
        <w:t xml:space="preserve">; </w:t>
      </w:r>
      <w:hyperlink r:id="rId48" w:history="1">
        <w:r w:rsidR="00DB74CB" w:rsidRPr="00DB74CB">
          <w:rPr>
            <w:color w:val="0000FF"/>
            <w:u w:val="single"/>
            <w:rtl/>
          </w:rPr>
          <w:t>ע"פ 47734-01-17</w:t>
        </w:r>
      </w:hyperlink>
      <w:r>
        <w:rPr>
          <w:rtl/>
        </w:rPr>
        <w:t xml:space="preserve"> </w:t>
      </w:r>
      <w:r w:rsidRPr="007B58B2">
        <w:rPr>
          <w:b/>
          <w:bCs/>
          <w:rtl/>
        </w:rPr>
        <w:t>שרעבי נ' מדינת ישראל</w:t>
      </w:r>
      <w:r>
        <w:rPr>
          <w:rtl/>
        </w:rPr>
        <w:t xml:space="preserve"> (16.5.17)</w:t>
      </w:r>
      <w:r>
        <w:rPr>
          <w:rFonts w:hint="cs"/>
          <w:rtl/>
        </w:rPr>
        <w:t>, בו הורשע נאשם בעבירה</w:t>
      </w:r>
      <w:r>
        <w:rPr>
          <w:rtl/>
        </w:rPr>
        <w:t xml:space="preserve"> של חבלה חמורה, בכך שהכה בפניו </w:t>
      </w:r>
      <w:r>
        <w:rPr>
          <w:rFonts w:hint="cs"/>
          <w:rtl/>
        </w:rPr>
        <w:t xml:space="preserve">של המתלונן </w:t>
      </w:r>
      <w:r>
        <w:rPr>
          <w:rtl/>
        </w:rPr>
        <w:t xml:space="preserve">וגרם </w:t>
      </w:r>
      <w:r>
        <w:rPr>
          <w:rFonts w:hint="cs"/>
          <w:rtl/>
        </w:rPr>
        <w:t>ל</w:t>
      </w:r>
      <w:r>
        <w:rPr>
          <w:rtl/>
        </w:rPr>
        <w:t>שבר באפו. בית משפט השלום הטיל על הנאשם מאסר לתקופה של 6 חודשים, בדרך של עבודות שירות, מאסר על תנאי ופיצוי</w:t>
      </w:r>
      <w:r>
        <w:rPr>
          <w:rFonts w:hint="cs"/>
          <w:rtl/>
        </w:rPr>
        <w:t xml:space="preserve">. ערעור הנאשם נדחה; </w:t>
      </w:r>
      <w:hyperlink r:id="rId49" w:history="1">
        <w:r w:rsidR="00DB74CB" w:rsidRPr="00DB74CB">
          <w:rPr>
            <w:color w:val="0000FF"/>
            <w:u w:val="single"/>
            <w:rtl/>
          </w:rPr>
          <w:t>עפ"ג 42992-03-18</w:t>
        </w:r>
      </w:hyperlink>
      <w:r>
        <w:rPr>
          <w:rtl/>
        </w:rPr>
        <w:t xml:space="preserve"> </w:t>
      </w:r>
      <w:r w:rsidRPr="007B58B2">
        <w:rPr>
          <w:b/>
          <w:bCs/>
          <w:rtl/>
        </w:rPr>
        <w:t>מדינת ישראל נ' ברכה</w:t>
      </w:r>
      <w:r>
        <w:rPr>
          <w:rtl/>
        </w:rPr>
        <w:t xml:space="preserve"> (29.4.19)</w:t>
      </w:r>
      <w:r>
        <w:rPr>
          <w:rFonts w:hint="cs"/>
          <w:rtl/>
        </w:rPr>
        <w:t xml:space="preserve">, בו הורשע הנאשם </w:t>
      </w:r>
      <w:r>
        <w:rPr>
          <w:rtl/>
        </w:rPr>
        <w:t>בעבירה של חבלה חמורה, בכך שהכה את המתלונן במכת אגרוף בפניו וסטר לו. בית משפט השלום הטיל על הנאשם מאסר על תנאי ופיצוי</w:t>
      </w:r>
      <w:r>
        <w:rPr>
          <w:rFonts w:hint="cs"/>
          <w:rtl/>
        </w:rPr>
        <w:t xml:space="preserve">. ערעור המדינה לבית המשפט המחוזי התקבל, עונשו של הנאשם הוחמרו לארבעה חודשי מאסר בדרך של עבודות שירות; </w:t>
      </w:r>
      <w:hyperlink r:id="rId50" w:history="1">
        <w:r w:rsidR="00DB74CB" w:rsidRPr="00DB74CB">
          <w:rPr>
            <w:color w:val="0000FF"/>
            <w:u w:val="single"/>
            <w:rtl/>
          </w:rPr>
          <w:t>ת"פ 5060-10-14</w:t>
        </w:r>
      </w:hyperlink>
      <w:r>
        <w:rPr>
          <w:rtl/>
        </w:rPr>
        <w:t xml:space="preserve"> </w:t>
      </w:r>
      <w:r w:rsidRPr="007B58B2">
        <w:rPr>
          <w:b/>
          <w:bCs/>
          <w:rtl/>
        </w:rPr>
        <w:t>מדינת ישראל נגד טספאי</w:t>
      </w:r>
      <w:r>
        <w:rPr>
          <w:rtl/>
        </w:rPr>
        <w:t xml:space="preserve"> (30.</w:t>
      </w:r>
      <w:r>
        <w:rPr>
          <w:rFonts w:hint="cs"/>
          <w:rtl/>
        </w:rPr>
        <w:t>3</w:t>
      </w:r>
      <w:r>
        <w:rPr>
          <w:rtl/>
        </w:rPr>
        <w:t>.15)</w:t>
      </w:r>
      <w:r>
        <w:rPr>
          <w:rFonts w:hint="cs"/>
          <w:rtl/>
        </w:rPr>
        <w:t>, בו</w:t>
      </w:r>
      <w:r>
        <w:rPr>
          <w:rtl/>
        </w:rPr>
        <w:t xml:space="preserve"> הושתו על הנאשם 10 חודשי מאסר בפועל בגין עבירה של חבלה חמורה</w:t>
      </w:r>
      <w:r>
        <w:rPr>
          <w:rFonts w:hint="cs"/>
          <w:rtl/>
        </w:rPr>
        <w:t xml:space="preserve">. במקרה זה היכה הנאשם את המתלונן </w:t>
      </w:r>
      <w:r>
        <w:rPr>
          <w:rtl/>
        </w:rPr>
        <w:t>במכת אגרוף על ראשו וכשהמתלונן נפל ארצה חבט בו מספר מכות אגרוף נוספות וגרם לו לחבלות</w:t>
      </w:r>
      <w:r>
        <w:rPr>
          <w:rFonts w:hint="cs"/>
          <w:rtl/>
        </w:rPr>
        <w:t xml:space="preserve">. </w:t>
      </w:r>
      <w:r>
        <w:rPr>
          <w:rtl/>
        </w:rPr>
        <w:t>כתוצאה מהתקיפה איבד המתלונן הכרתו ופונה לבית החולים כשהוא מורדם ומונשם ואושפז למשך 5 ימים</w:t>
      </w:r>
      <w:r>
        <w:rPr>
          <w:rFonts w:hint="cs"/>
          <w:rtl/>
        </w:rPr>
        <w:t xml:space="preserve">; </w:t>
      </w:r>
      <w:hyperlink r:id="rId51" w:history="1">
        <w:r w:rsidR="00DB74CB" w:rsidRPr="00DB74CB">
          <w:rPr>
            <w:color w:val="0000FF"/>
            <w:u w:val="single"/>
            <w:rtl/>
          </w:rPr>
          <w:t>עפ"ג 21185-12-18</w:t>
        </w:r>
      </w:hyperlink>
      <w:r>
        <w:rPr>
          <w:rtl/>
        </w:rPr>
        <w:t xml:space="preserve"> </w:t>
      </w:r>
      <w:r w:rsidRPr="007B58B2">
        <w:rPr>
          <w:b/>
          <w:bCs/>
          <w:rtl/>
        </w:rPr>
        <w:t>אמיר סעד נ' מדינת ישראל</w:t>
      </w:r>
      <w:r>
        <w:rPr>
          <w:rtl/>
        </w:rPr>
        <w:t xml:space="preserve"> (</w:t>
      </w:r>
      <w:r>
        <w:rPr>
          <w:rFonts w:hint="cs"/>
          <w:rtl/>
        </w:rPr>
        <w:t>3</w:t>
      </w:r>
      <w:r>
        <w:rPr>
          <w:rtl/>
        </w:rPr>
        <w:t>.</w:t>
      </w:r>
      <w:r>
        <w:rPr>
          <w:rFonts w:hint="cs"/>
          <w:rtl/>
        </w:rPr>
        <w:t>1</w:t>
      </w:r>
      <w:r>
        <w:rPr>
          <w:rtl/>
        </w:rPr>
        <w:t>.</w:t>
      </w:r>
      <w:r>
        <w:rPr>
          <w:rFonts w:hint="cs"/>
          <w:rtl/>
        </w:rPr>
        <w:t>19</w:t>
      </w:r>
      <w:r>
        <w:rPr>
          <w:rtl/>
        </w:rPr>
        <w:t>)</w:t>
      </w:r>
      <w:r>
        <w:rPr>
          <w:rFonts w:hint="cs"/>
          <w:rtl/>
        </w:rPr>
        <w:t>, בו</w:t>
      </w:r>
      <w:r>
        <w:rPr>
          <w:rtl/>
        </w:rPr>
        <w:t xml:space="preserve"> הורשע </w:t>
      </w:r>
      <w:r>
        <w:rPr>
          <w:rFonts w:hint="cs"/>
          <w:rtl/>
        </w:rPr>
        <w:t>הנאשם</w:t>
      </w:r>
      <w:r>
        <w:rPr>
          <w:rtl/>
        </w:rPr>
        <w:t xml:space="preserve"> </w:t>
      </w:r>
      <w:r>
        <w:rPr>
          <w:rFonts w:hint="cs"/>
          <w:rtl/>
        </w:rPr>
        <w:t>בעבירה של</w:t>
      </w:r>
      <w:r>
        <w:rPr>
          <w:rtl/>
        </w:rPr>
        <w:t xml:space="preserve"> חבלה חמורה. על רקע ויכוח בינו לבין המתלונן הכה </w:t>
      </w:r>
      <w:r>
        <w:rPr>
          <w:rFonts w:hint="cs"/>
          <w:rtl/>
        </w:rPr>
        <w:t>הנאשם</w:t>
      </w:r>
      <w:r>
        <w:rPr>
          <w:rtl/>
        </w:rPr>
        <w:t xml:space="preserve"> את המתלונן ב</w:t>
      </w:r>
      <w:r>
        <w:rPr>
          <w:rFonts w:hint="cs"/>
          <w:rtl/>
        </w:rPr>
        <w:t xml:space="preserve">מכת </w:t>
      </w:r>
      <w:r>
        <w:rPr>
          <w:rtl/>
        </w:rPr>
        <w:t xml:space="preserve">אגרוף לפניו. כתוצאה מכך נגרמו למתלונן </w:t>
      </w:r>
      <w:r>
        <w:rPr>
          <w:rFonts w:hint="cs"/>
          <w:rtl/>
        </w:rPr>
        <w:t>חבלות שהצריכו התערבות ניתוחית והוא</w:t>
      </w:r>
      <w:r>
        <w:rPr>
          <w:rtl/>
        </w:rPr>
        <w:t xml:space="preserve"> אושפז </w:t>
      </w:r>
      <w:r>
        <w:rPr>
          <w:rFonts w:hint="cs"/>
          <w:rtl/>
        </w:rPr>
        <w:t>בבית החולים.</w:t>
      </w:r>
      <w:r>
        <w:rPr>
          <w:rtl/>
        </w:rPr>
        <w:t xml:space="preserve"> </w:t>
      </w:r>
      <w:r>
        <w:rPr>
          <w:rFonts w:hint="cs"/>
          <w:rtl/>
        </w:rPr>
        <w:t>על הנאשם הוטל עונש של 3 חודשי מאסר בעבודות שירות ופיצוי.</w:t>
      </w:r>
    </w:p>
    <w:p w14:paraId="6C6A95B3" w14:textId="77777777" w:rsidR="00B033C4" w:rsidRDefault="00B033C4" w:rsidP="00B033C4">
      <w:pPr>
        <w:pStyle w:val="a9"/>
        <w:spacing w:line="360" w:lineRule="auto"/>
        <w:ind w:left="0"/>
        <w:jc w:val="both"/>
      </w:pPr>
    </w:p>
    <w:p w14:paraId="4FFDD223" w14:textId="77777777" w:rsidR="00B033C4" w:rsidRDefault="00B033C4" w:rsidP="00B033C4">
      <w:pPr>
        <w:pStyle w:val="a9"/>
        <w:numPr>
          <w:ilvl w:val="0"/>
          <w:numId w:val="1"/>
        </w:numPr>
        <w:spacing w:line="360" w:lineRule="auto"/>
        <w:jc w:val="both"/>
        <w:rPr>
          <w:rtl/>
        </w:rPr>
      </w:pPr>
      <w:r>
        <w:rPr>
          <w:rFonts w:hint="cs"/>
          <w:rtl/>
        </w:rPr>
        <w:t xml:space="preserve">לאור כל זאת, אני בדעה כי מתחם העונש ההולם את העבירות בנסיבותיו של מקרה זה נע בין 12 חודשי מאסר בפועל ועד 30 חודשי מאסר, בצירוף פיצוי ממשי למתלונן. </w:t>
      </w:r>
    </w:p>
    <w:p w14:paraId="577367F3" w14:textId="77777777" w:rsidR="00B033C4" w:rsidRDefault="00B033C4" w:rsidP="00B033C4">
      <w:pPr>
        <w:pStyle w:val="a9"/>
        <w:spacing w:line="360" w:lineRule="auto"/>
        <w:ind w:left="0"/>
        <w:jc w:val="both"/>
        <w:rPr>
          <w:b/>
          <w:bCs/>
          <w:rtl/>
        </w:rPr>
      </w:pPr>
    </w:p>
    <w:p w14:paraId="0167A9F3" w14:textId="77777777" w:rsidR="00B033C4" w:rsidRDefault="00B033C4" w:rsidP="00B033C4">
      <w:pPr>
        <w:spacing w:line="360" w:lineRule="auto"/>
        <w:jc w:val="both"/>
        <w:rPr>
          <w:b/>
          <w:bCs/>
          <w:u w:val="single"/>
          <w:rtl/>
        </w:rPr>
      </w:pPr>
      <w:r>
        <w:rPr>
          <w:rFonts w:hint="cs"/>
          <w:b/>
          <w:bCs/>
          <w:u w:val="single"/>
          <w:rtl/>
        </w:rPr>
        <w:t>קביעת עונשו של הנאשם</w:t>
      </w:r>
    </w:p>
    <w:p w14:paraId="00EF8C7F" w14:textId="77777777" w:rsidR="00B033C4" w:rsidRDefault="00B033C4" w:rsidP="00B033C4">
      <w:pPr>
        <w:pStyle w:val="a9"/>
        <w:spacing w:line="360" w:lineRule="auto"/>
        <w:ind w:left="0"/>
        <w:jc w:val="both"/>
      </w:pPr>
    </w:p>
    <w:p w14:paraId="00EDA6FA" w14:textId="77777777" w:rsidR="00B033C4" w:rsidRDefault="00B033C4" w:rsidP="00B033C4">
      <w:pPr>
        <w:pStyle w:val="a9"/>
        <w:numPr>
          <w:ilvl w:val="0"/>
          <w:numId w:val="1"/>
        </w:numPr>
        <w:spacing w:line="360" w:lineRule="auto"/>
        <w:jc w:val="both"/>
      </w:pPr>
      <w:r>
        <w:rPr>
          <w:rtl/>
        </w:rPr>
        <w:t>קביעת עונשו של הנאשם מעמתת בין שני השיקולים המנחים בענישה – הלימה ושיקום.</w:t>
      </w:r>
      <w:r>
        <w:rPr>
          <w:rFonts w:hint="cs"/>
          <w:rtl/>
        </w:rPr>
        <w:t xml:space="preserve"> נקודת המוצא היא חומרת המעשה. </w:t>
      </w:r>
      <w:r>
        <w:rPr>
          <w:rtl/>
        </w:rPr>
        <w:t>המעשה שביצע הנאשם חמור</w:t>
      </w:r>
      <w:r>
        <w:rPr>
          <w:rFonts w:hint="cs"/>
          <w:rtl/>
        </w:rPr>
        <w:t xml:space="preserve"> ביותר</w:t>
      </w:r>
      <w:r>
        <w:rPr>
          <w:rtl/>
        </w:rPr>
        <w:t xml:space="preserve"> וככלל ראוי לתגובה עונשית הולמת</w:t>
      </w:r>
      <w:r>
        <w:rPr>
          <w:rFonts w:hint="cs"/>
          <w:rtl/>
        </w:rPr>
        <w:t xml:space="preserve"> בדמות מאסר בכליאה</w:t>
      </w:r>
      <w:r>
        <w:rPr>
          <w:rtl/>
        </w:rPr>
        <w:t xml:space="preserve">. </w:t>
      </w:r>
      <w:r>
        <w:rPr>
          <w:rFonts w:hint="cs"/>
          <w:rtl/>
        </w:rPr>
        <w:t>קשה להפריז בחומרת המעשה מכל זווית אפשרית, והקורא את עובדות האישום עלול לסבור בטעות כי הן נלקחו מתוך סרט "אקשן" רווי אלימות. באישון לילה הוביל הנאשם את המתלונן לרחבת בית העלמין, שם הפליא בו את מכותיו, פצע אותו, איים עליו כי "</w:t>
      </w:r>
      <w:r w:rsidRPr="00EA7995">
        <w:rPr>
          <w:rFonts w:ascii="Miriam" w:hAnsi="Miriam" w:cs="Miriam"/>
          <w:rtl/>
        </w:rPr>
        <w:t>פה יהיה הקבר שלך אם לא תחזיר לי את הכסף</w:t>
      </w:r>
      <w:r>
        <w:rPr>
          <w:rFonts w:hint="cs"/>
          <w:rtl/>
        </w:rPr>
        <w:t xml:space="preserve">" והותירו לבדו פצוע במקום. </w:t>
      </w:r>
    </w:p>
    <w:p w14:paraId="382B84B2" w14:textId="77777777" w:rsidR="00B033C4" w:rsidRDefault="00B033C4" w:rsidP="00B033C4">
      <w:pPr>
        <w:pStyle w:val="a9"/>
        <w:spacing w:line="360" w:lineRule="auto"/>
        <w:ind w:left="0"/>
        <w:jc w:val="both"/>
        <w:rPr>
          <w:rtl/>
        </w:rPr>
      </w:pPr>
    </w:p>
    <w:p w14:paraId="788E70E1" w14:textId="77777777" w:rsidR="00B033C4" w:rsidRDefault="00B033C4" w:rsidP="00B033C4">
      <w:pPr>
        <w:pStyle w:val="a9"/>
        <w:numPr>
          <w:ilvl w:val="0"/>
          <w:numId w:val="1"/>
        </w:numPr>
        <w:spacing w:line="360" w:lineRule="auto"/>
        <w:jc w:val="both"/>
      </w:pPr>
      <w:r>
        <w:rPr>
          <w:rFonts w:hint="cs"/>
          <w:rtl/>
        </w:rPr>
        <w:t xml:space="preserve">שבתי ותיארתי את עובדות המעשה, הגם שעוסקים אנו כעת בנסיבות </w:t>
      </w:r>
      <w:r w:rsidRPr="0094276B">
        <w:rPr>
          <w:rFonts w:hint="cs"/>
          <w:u w:val="single"/>
          <w:rtl/>
        </w:rPr>
        <w:t xml:space="preserve">שאינן </w:t>
      </w:r>
      <w:r>
        <w:rPr>
          <w:rFonts w:hint="cs"/>
          <w:rtl/>
        </w:rPr>
        <w:t xml:space="preserve">קשורות במעשה העבירה, אלא בנסיבותיו של הנאשם, וזאת על מנת שגם בשלב זה נזכיר לעצמנו את חומרת המעשה והפגיעה החמורה שנגרמה למתלונן, לשם מתן משקל ראוי לנסיבות האישיות של הנאשם וסיכויי שיקומו. מצוידים בהבנה זו, אפנה לבחינת העונש הראוי לנאשם. </w:t>
      </w:r>
    </w:p>
    <w:p w14:paraId="0B8D69AB" w14:textId="77777777" w:rsidR="00B033C4" w:rsidRDefault="00B033C4" w:rsidP="00B033C4">
      <w:pPr>
        <w:pStyle w:val="a9"/>
        <w:rPr>
          <w:rtl/>
        </w:rPr>
      </w:pPr>
    </w:p>
    <w:p w14:paraId="4B1B7766" w14:textId="77777777" w:rsidR="00B033C4" w:rsidRDefault="00B033C4" w:rsidP="00B033C4">
      <w:pPr>
        <w:pStyle w:val="a9"/>
        <w:numPr>
          <w:ilvl w:val="0"/>
          <w:numId w:val="1"/>
        </w:numPr>
        <w:spacing w:line="360" w:lineRule="auto"/>
        <w:jc w:val="both"/>
      </w:pPr>
      <w:r>
        <w:rPr>
          <w:rtl/>
        </w:rPr>
        <w:t xml:space="preserve">ההגנה ביקשה כי בית המשפט יאמץ את המלצת שירות המבחן ויעדיף את הפן השיקומי. </w:t>
      </w:r>
      <w:r>
        <w:rPr>
          <w:rFonts w:hint="cs"/>
          <w:rtl/>
        </w:rPr>
        <w:t>המאשימה טענה כי חומרת המעשה אינה מאפשרת הסתפקות בעונש שאינו כולל מאסר בכליאה. אקדים מסקנה לדיון ואציין כי חרף חומרת המעשים, דעתי היא שניתן ליצור תמהיל עונשי ראוי, המבטא מחד גיסא את סיכויי שיקומו של הנאשם ומונע פגיעה קשה בבני משפחתו, ומאידך גיסא מהווה עונש מוחשי ממשי, בצד פיצוי הולם למתלונן. אנמק מסקנתי.</w:t>
      </w:r>
    </w:p>
    <w:p w14:paraId="77C05952" w14:textId="77777777" w:rsidR="00B033C4" w:rsidRDefault="00B033C4" w:rsidP="00B033C4">
      <w:pPr>
        <w:pStyle w:val="a9"/>
        <w:rPr>
          <w:rtl/>
        </w:rPr>
      </w:pPr>
    </w:p>
    <w:p w14:paraId="292F93C1" w14:textId="77777777" w:rsidR="00B033C4" w:rsidRDefault="00B033C4" w:rsidP="00B033C4">
      <w:pPr>
        <w:pStyle w:val="a9"/>
        <w:numPr>
          <w:ilvl w:val="0"/>
          <w:numId w:val="1"/>
        </w:numPr>
        <w:spacing w:line="360" w:lineRule="auto"/>
        <w:jc w:val="both"/>
      </w:pPr>
      <w:r>
        <w:rPr>
          <w:rtl/>
        </w:rPr>
        <w:t xml:space="preserve">כידוע, בהתאם </w:t>
      </w:r>
      <w:hyperlink r:id="rId52" w:history="1">
        <w:r w:rsidR="007C0527" w:rsidRPr="007C0527">
          <w:rPr>
            <w:color w:val="0000FF"/>
            <w:u w:val="single"/>
            <w:rtl/>
          </w:rPr>
          <w:t>לסעיף 40ד'</w:t>
        </w:r>
      </w:hyperlink>
      <w:r>
        <w:rPr>
          <w:rtl/>
        </w:rPr>
        <w:t xml:space="preserve"> ל</w:t>
      </w:r>
      <w:hyperlink r:id="rId53" w:history="1">
        <w:r w:rsidR="00DB74CB" w:rsidRPr="00DB74CB">
          <w:rPr>
            <w:color w:val="0000FF"/>
            <w:u w:val="single"/>
            <w:rtl/>
          </w:rPr>
          <w:t>חוק העונשין</w:t>
        </w:r>
      </w:hyperlink>
      <w:r>
        <w:rPr>
          <w:rtl/>
        </w:rPr>
        <w:t xml:space="preserve"> רשאי בית המשפט לחרוג לקולה ממתחם הענישה שקבע, אם מצא כי "</w:t>
      </w:r>
      <w:r>
        <w:rPr>
          <w:rFonts w:cs="Miriam"/>
          <w:rtl/>
        </w:rPr>
        <w:t>הנאשם השתקם או כי יש סיכוי של ממש שישתקם</w:t>
      </w:r>
      <w:r>
        <w:rPr>
          <w:rtl/>
        </w:rPr>
        <w:t>". בעניין זה נקבע כי "</w:t>
      </w:r>
      <w:r>
        <w:rPr>
          <w:rFonts w:cs="Miriam"/>
          <w:rtl/>
        </w:rPr>
        <w:t>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w:t>
      </w:r>
      <w:r>
        <w:rPr>
          <w:rtl/>
        </w:rPr>
        <w:t>" (</w:t>
      </w:r>
      <w:hyperlink r:id="rId54" w:history="1">
        <w:r w:rsidR="00DB74CB" w:rsidRPr="00DB74CB">
          <w:rPr>
            <w:color w:val="0000FF"/>
            <w:u w:val="single"/>
            <w:rtl/>
          </w:rPr>
          <w:t>רע"פ 7683/13</w:t>
        </w:r>
      </w:hyperlink>
      <w:r>
        <w:rPr>
          <w:rtl/>
        </w:rPr>
        <w:t xml:space="preserve"> </w:t>
      </w:r>
      <w:r>
        <w:rPr>
          <w:b/>
          <w:bCs/>
          <w:rtl/>
        </w:rPr>
        <w:t>דוד פרלמן נ' מדינת ישראל</w:t>
      </w:r>
      <w:r>
        <w:rPr>
          <w:rtl/>
        </w:rPr>
        <w:t xml:space="preserve"> (23.2.14)). לאחרונה ציין בית המשפט העליון כי "</w:t>
      </w:r>
      <w:r>
        <w:rPr>
          <w:rFonts w:cs="Miriam"/>
          <w:rtl/>
        </w:rPr>
        <w:t>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סעיף 40ד(א). דברים אלה זוכים למשנה חיזוק מקום בו מדובר באדם צעיר נעדר עבר פלילי</w:t>
      </w:r>
      <w:r>
        <w:rPr>
          <w:rtl/>
        </w:rPr>
        <w:t>" (</w:t>
      </w:r>
      <w:hyperlink r:id="rId55" w:history="1">
        <w:r w:rsidR="00DB74CB" w:rsidRPr="00DB74CB">
          <w:rPr>
            <w:color w:val="0000FF"/>
            <w:u w:val="single"/>
            <w:rtl/>
          </w:rPr>
          <w:t>ע"פ 6637/17</w:t>
        </w:r>
      </w:hyperlink>
      <w:r>
        <w:rPr>
          <w:rtl/>
        </w:rPr>
        <w:t xml:space="preserve"> </w:t>
      </w:r>
      <w:r>
        <w:rPr>
          <w:b/>
          <w:bCs/>
          <w:rtl/>
        </w:rPr>
        <w:t>אליזבט קרינדל נ' מדינת ישראל</w:t>
      </w:r>
      <w:r>
        <w:rPr>
          <w:rtl/>
        </w:rPr>
        <w:t xml:space="preserve"> (18.4.18)). </w:t>
      </w:r>
    </w:p>
    <w:p w14:paraId="21441B6C" w14:textId="77777777" w:rsidR="00B033C4" w:rsidRDefault="00B033C4" w:rsidP="00B033C4">
      <w:pPr>
        <w:pStyle w:val="a9"/>
        <w:rPr>
          <w:rtl/>
        </w:rPr>
      </w:pPr>
    </w:p>
    <w:p w14:paraId="4CDCBC93" w14:textId="77777777" w:rsidR="00B033C4" w:rsidRDefault="00B033C4" w:rsidP="00B033C4">
      <w:pPr>
        <w:pStyle w:val="a9"/>
        <w:numPr>
          <w:ilvl w:val="0"/>
          <w:numId w:val="1"/>
        </w:numPr>
        <w:spacing w:line="360" w:lineRule="auto"/>
        <w:jc w:val="both"/>
      </w:pPr>
      <w:r>
        <w:rPr>
          <w:rtl/>
        </w:rPr>
        <w:t>יישום דברים אלו על הנאשם שבפני מביא למסקנה לפיה הוכחו בעניינו סיכויי שיקום ממשיים.</w:t>
      </w:r>
      <w:r>
        <w:rPr>
          <w:rFonts w:hint="cs"/>
          <w:rtl/>
        </w:rPr>
        <w:t xml:space="preserve"> הנאשם הוא איש משפחה העובד לפרנסת משפחתו. עברו הפלילי ישן ואינו מכביד. מאז האירוע חלפו מעל שלוש שנים בהן לא הסתבך הנאשם שנית. שירות המבחן התרשם מחרטה כנה, הפנמה של חומרת המעשה והבעת צער על ביצועו ועל תוצאותיו. עוד התרשם שירות המבחן, כי הנאשם נכון לטפל בבעיה שהביאה אותו לאבד שליטה ולבצע את העבירה וכי הוא נוקט צעדים ממשיים לטיפול בבעיה זו. הנאשם מקפיד להגיע למפגשים, נוטל בהם חלק ומביע מוטיבציה ממשית לשינוי. לאור כך המליץ שירות המבחן על המשך ההליך הטיפולי במסגרת צו מבחן.</w:t>
      </w:r>
      <w:r>
        <w:rPr>
          <w:rFonts w:hint="cs"/>
        </w:rPr>
        <w:t xml:space="preserve"> </w:t>
      </w:r>
    </w:p>
    <w:p w14:paraId="4B3B3209" w14:textId="77777777" w:rsidR="00B033C4" w:rsidRPr="006424A5" w:rsidRDefault="00B033C4" w:rsidP="00B033C4">
      <w:pPr>
        <w:pStyle w:val="a9"/>
        <w:rPr>
          <w:rtl/>
        </w:rPr>
      </w:pPr>
    </w:p>
    <w:p w14:paraId="38FB6CEB" w14:textId="77777777" w:rsidR="00B033C4" w:rsidRDefault="00B033C4" w:rsidP="00B033C4">
      <w:pPr>
        <w:pStyle w:val="a9"/>
        <w:numPr>
          <w:ilvl w:val="0"/>
          <w:numId w:val="1"/>
        </w:numPr>
        <w:spacing w:line="360" w:lineRule="auto"/>
        <w:jc w:val="both"/>
      </w:pPr>
      <w:r>
        <w:rPr>
          <w:rFonts w:hint="cs"/>
          <w:rtl/>
        </w:rPr>
        <w:t xml:space="preserve">ועדין, השאלה היא אם סיכויי שיקום אלו מצדיקים חריגה ממתחם הענישה בשים לב לחומרת העבירה ותוצאותיה. ראשית אציין כי אין מדובר בעבירה בעלת "חומרה יתרה", כמשמעות המונח </w:t>
      </w:r>
      <w:hyperlink r:id="rId56" w:history="1">
        <w:r w:rsidR="007C0527" w:rsidRPr="007C0527">
          <w:rPr>
            <w:color w:val="0000FF"/>
            <w:u w:val="single"/>
            <w:rtl/>
          </w:rPr>
          <w:t>בסעיף 40ד(ב)</w:t>
        </w:r>
      </w:hyperlink>
      <w:r>
        <w:rPr>
          <w:rFonts w:hint="cs"/>
          <w:rtl/>
        </w:rPr>
        <w:t xml:space="preserve"> ל</w:t>
      </w:r>
      <w:hyperlink r:id="rId57" w:history="1">
        <w:r w:rsidR="00DB74CB" w:rsidRPr="00DB74CB">
          <w:rPr>
            <w:color w:val="0000FF"/>
            <w:u w:val="single"/>
            <w:rtl/>
          </w:rPr>
          <w:t>חוק העונשין</w:t>
        </w:r>
      </w:hyperlink>
      <w:r>
        <w:rPr>
          <w:rFonts w:hint="cs"/>
          <w:rtl/>
        </w:rPr>
        <w:t>, וזאת מבלי להקל ראש כמובן בחומרתו של האירוע. כידוע, חרף חשיבותו של שיקול השיקום, הוא אינו חזות הכל, ולא אחת הוא יידחה מפני עקרון ההלימה (</w:t>
      </w:r>
      <w:hyperlink r:id="rId58" w:history="1">
        <w:r w:rsidR="00DB74CB" w:rsidRPr="00DB74CB">
          <w:rPr>
            <w:color w:val="0000FF"/>
            <w:u w:val="single"/>
            <w:rtl/>
          </w:rPr>
          <w:t>ע"פ 5376/15</w:t>
        </w:r>
      </w:hyperlink>
      <w:r>
        <w:rPr>
          <w:rtl/>
        </w:rPr>
        <w:t xml:space="preserve"> </w:t>
      </w:r>
      <w:r w:rsidRPr="00744487">
        <w:rPr>
          <w:b/>
          <w:bCs/>
          <w:rtl/>
        </w:rPr>
        <w:t>ניסים ביטון נ' מדינת ישראל</w:t>
      </w:r>
      <w:r>
        <w:rPr>
          <w:rtl/>
        </w:rPr>
        <w:t xml:space="preserve"> (11.2.16)).</w:t>
      </w:r>
      <w:r>
        <w:rPr>
          <w:rFonts w:hint="cs"/>
          <w:rtl/>
        </w:rPr>
        <w:t xml:space="preserve"> משכך, </w:t>
      </w:r>
      <w:r>
        <w:rPr>
          <w:rtl/>
        </w:rPr>
        <w:t xml:space="preserve">לעיתים חומרת העבירה ויתר הנסיבות יביאו למסקנה לפיה </w:t>
      </w:r>
      <w:r w:rsidRPr="00744487">
        <w:rPr>
          <w:rFonts w:cs="Miriam"/>
          <w:rtl/>
        </w:rPr>
        <w:t>"אין בתהליך שיקום, מוצלח ככל שיהיה, כדי לאיין את חומרת המעשים ואת הצורך להעניש את המבקש במאסר מאחורי סורג ובריח"</w:t>
      </w:r>
      <w:r>
        <w:rPr>
          <w:rtl/>
        </w:rPr>
        <w:t xml:space="preserve"> (</w:t>
      </w:r>
      <w:hyperlink r:id="rId59" w:history="1">
        <w:r w:rsidR="00DB74CB" w:rsidRPr="00DB74CB">
          <w:rPr>
            <w:color w:val="0000FF"/>
            <w:u w:val="single"/>
            <w:rtl/>
          </w:rPr>
          <w:t>רע"פ 5066/09</w:t>
        </w:r>
      </w:hyperlink>
      <w:r>
        <w:rPr>
          <w:rtl/>
        </w:rPr>
        <w:t xml:space="preserve"> </w:t>
      </w:r>
      <w:r w:rsidRPr="00744487">
        <w:rPr>
          <w:b/>
          <w:bCs/>
          <w:rtl/>
        </w:rPr>
        <w:t>אוחיון נ' מדינת ישראל</w:t>
      </w:r>
      <w:r>
        <w:rPr>
          <w:rtl/>
        </w:rPr>
        <w:t xml:space="preserve"> (22.4.10)). </w:t>
      </w:r>
      <w:r>
        <w:rPr>
          <w:rFonts w:hint="cs"/>
          <w:rtl/>
        </w:rPr>
        <w:t>לכן</w:t>
      </w:r>
      <w:r>
        <w:rPr>
          <w:rtl/>
        </w:rPr>
        <w:t xml:space="preserve">, אף אם קיימים בעניינו של נאשם פלוני סיכויי שיקום ממשיים, אין חובה להעדיף את שיקולי השיקום, בוודאי שלא לחרוג בשל כך ממתחם הענישה, שהרי </w:t>
      </w:r>
      <w:r w:rsidRPr="00744487">
        <w:rPr>
          <w:rFonts w:cs="Miriam"/>
          <w:rtl/>
        </w:rPr>
        <w:t>"בהחלט ייתכנו מקרים, בהם יתר השיקולים הרלוונטיים לעונש, דוגמת חומרת המעשים או נסיבות ביצועם, לא יצדיקו חריגה ממתחם העונש ההולם, חרף קיומם של סיכויי שיקום גבוהים, והדבר נתון לשיקול דעתו של בית המשפט, שכן המחוקק נקט בלשון 'רשאי' ולא 'חייב'"</w:t>
      </w:r>
      <w:r>
        <w:rPr>
          <w:rtl/>
        </w:rPr>
        <w:t xml:space="preserve"> (</w:t>
      </w:r>
      <w:hyperlink r:id="rId60" w:history="1">
        <w:r w:rsidR="00DB74CB" w:rsidRPr="00DB74CB">
          <w:rPr>
            <w:color w:val="0000FF"/>
            <w:u w:val="single"/>
            <w:rtl/>
          </w:rPr>
          <w:t>רע"פ 398/14</w:t>
        </w:r>
      </w:hyperlink>
      <w:r>
        <w:rPr>
          <w:rtl/>
        </w:rPr>
        <w:t xml:space="preserve"> </w:t>
      </w:r>
      <w:r w:rsidRPr="00744487">
        <w:rPr>
          <w:b/>
          <w:bCs/>
          <w:rtl/>
        </w:rPr>
        <w:t>טל ערג' נ' מדינת ישראל</w:t>
      </w:r>
      <w:r>
        <w:rPr>
          <w:rtl/>
        </w:rPr>
        <w:t xml:space="preserve"> (16.3.14)); וראו גם </w:t>
      </w:r>
      <w:hyperlink r:id="rId61" w:history="1">
        <w:r w:rsidR="00DB74CB" w:rsidRPr="00DB74CB">
          <w:rPr>
            <w:color w:val="0000FF"/>
            <w:u w:val="single"/>
            <w:rtl/>
          </w:rPr>
          <w:t>רע"פ 1787/15</w:t>
        </w:r>
      </w:hyperlink>
      <w:r>
        <w:rPr>
          <w:rtl/>
        </w:rPr>
        <w:t xml:space="preserve"> </w:t>
      </w:r>
      <w:r w:rsidRPr="00744487">
        <w:rPr>
          <w:b/>
          <w:bCs/>
          <w:rtl/>
        </w:rPr>
        <w:t>עמר נ' מדינת ישראל</w:t>
      </w:r>
      <w:r>
        <w:rPr>
          <w:rtl/>
        </w:rPr>
        <w:t xml:space="preserve"> (24.3.15); </w:t>
      </w:r>
      <w:hyperlink r:id="rId62" w:history="1">
        <w:r w:rsidR="00DB74CB" w:rsidRPr="00DB74CB">
          <w:rPr>
            <w:color w:val="0000FF"/>
            <w:u w:val="single"/>
            <w:rtl/>
          </w:rPr>
          <w:t>רע"פ 4512/15</w:t>
        </w:r>
      </w:hyperlink>
      <w:r>
        <w:rPr>
          <w:rtl/>
        </w:rPr>
        <w:t xml:space="preserve"> </w:t>
      </w:r>
      <w:r w:rsidRPr="00744487">
        <w:rPr>
          <w:b/>
          <w:bCs/>
          <w:rtl/>
        </w:rPr>
        <w:t>הרוש נ' מדינת ישראל</w:t>
      </w:r>
      <w:r>
        <w:rPr>
          <w:rtl/>
        </w:rPr>
        <w:t xml:space="preserve"> (6.7.15)).</w:t>
      </w:r>
      <w:r>
        <w:rPr>
          <w:rFonts w:hint="cs"/>
          <w:rtl/>
        </w:rPr>
        <w:t xml:space="preserve">  </w:t>
      </w:r>
    </w:p>
    <w:p w14:paraId="208E518F" w14:textId="77777777" w:rsidR="00B033C4" w:rsidRDefault="00B033C4" w:rsidP="00B033C4">
      <w:pPr>
        <w:pStyle w:val="a9"/>
        <w:spacing w:line="360" w:lineRule="auto"/>
        <w:ind w:left="0"/>
        <w:jc w:val="both"/>
      </w:pPr>
    </w:p>
    <w:p w14:paraId="0EDB9ACB" w14:textId="77777777" w:rsidR="00B033C4" w:rsidRDefault="00B033C4" w:rsidP="00B033C4">
      <w:pPr>
        <w:pStyle w:val="a9"/>
        <w:numPr>
          <w:ilvl w:val="0"/>
          <w:numId w:val="1"/>
        </w:numPr>
        <w:spacing w:line="360" w:lineRule="auto"/>
        <w:jc w:val="both"/>
      </w:pPr>
      <w:r>
        <w:rPr>
          <w:rFonts w:hint="cs"/>
          <w:rtl/>
        </w:rPr>
        <w:t>עניינו של הנאשם אינו קל להכרעה. כאמור, קיימים סיכויי שיקום בעניינו. עונש מאסר בכליאה עלול להוריד לטמיון סיכויים אלו, שכן לא ניתן יהיה להמשיך בהליך הטיפולי שהחל הנאשם בשירות המבחן (</w:t>
      </w:r>
      <w:hyperlink r:id="rId63" w:history="1">
        <w:r w:rsidR="007C0527" w:rsidRPr="007C0527">
          <w:rPr>
            <w:color w:val="0000FF"/>
            <w:u w:val="single"/>
            <w:rtl/>
          </w:rPr>
          <w:t>סעיף 1</w:t>
        </w:r>
      </w:hyperlink>
      <w:r>
        <w:rPr>
          <w:rFonts w:hint="cs"/>
          <w:rtl/>
        </w:rPr>
        <w:t xml:space="preserve"> ל</w:t>
      </w:r>
      <w:hyperlink r:id="rId64" w:history="1">
        <w:r w:rsidR="00DB74CB" w:rsidRPr="00DB74CB">
          <w:rPr>
            <w:color w:val="0000FF"/>
            <w:u w:val="single"/>
            <w:rtl/>
          </w:rPr>
          <w:t>פקודת המבחן</w:t>
        </w:r>
      </w:hyperlink>
      <w:r>
        <w:rPr>
          <w:rFonts w:hint="cs"/>
          <w:rtl/>
        </w:rPr>
        <w:t xml:space="preserve">). כמו כן אין להתעלם מההשפעה ההרסנית שלא אחת נלוות לעונש מאסר בכליאה, לרבות הטמעת ערכים עברייניים (אפקט קרימינוגני; </w:t>
      </w:r>
      <w:r>
        <w:rPr>
          <w:rtl/>
        </w:rPr>
        <w:t xml:space="preserve">ראו גם </w:t>
      </w:r>
      <w:r w:rsidRPr="00821CE8">
        <w:rPr>
          <w:b/>
          <w:bCs/>
          <w:rtl/>
        </w:rPr>
        <w:t>דו"ח הועדה הציבורית לבחינת מדיניות הענישה והטיפול בעבריינים,</w:t>
      </w:r>
      <w:r>
        <w:rPr>
          <w:rtl/>
        </w:rPr>
        <w:t xml:space="preserve"> 2015 (המכונה "דו"ח ועדת דורנר"</w:t>
      </w:r>
      <w:r>
        <w:rPr>
          <w:rFonts w:hint="cs"/>
          <w:rtl/>
        </w:rPr>
        <w:t xml:space="preserve">; </w:t>
      </w:r>
      <w:r>
        <w:rPr>
          <w:rtl/>
        </w:rPr>
        <w:t xml:space="preserve">לעניין הימנעות מהטלת עונש מאסר ביחס למי שאינו בעל דפוסי עבריינות מובהקים ראו </w:t>
      </w:r>
      <w:hyperlink r:id="rId65" w:history="1">
        <w:r w:rsidR="00DB74CB" w:rsidRPr="00DB74CB">
          <w:rPr>
            <w:color w:val="0000FF"/>
            <w:u w:val="single"/>
            <w:rtl/>
          </w:rPr>
          <w:t>ע"פ 4318-10-11</w:t>
        </w:r>
      </w:hyperlink>
      <w:r>
        <w:rPr>
          <w:rtl/>
        </w:rPr>
        <w:t xml:space="preserve"> </w:t>
      </w:r>
      <w:r w:rsidRPr="00821CE8">
        <w:rPr>
          <w:b/>
          <w:bCs/>
          <w:rtl/>
        </w:rPr>
        <w:t>מדינת ישראל נ' רפאילוב ואח'</w:t>
      </w:r>
      <w:r>
        <w:rPr>
          <w:rtl/>
        </w:rPr>
        <w:t xml:space="preserve"> (5.1.12), חוות דעתו של כב' השופט שפירא (כתוארו אז)</w:t>
      </w:r>
      <w:r>
        <w:rPr>
          <w:rFonts w:hint="cs"/>
          <w:rtl/>
        </w:rPr>
        <w:t xml:space="preserve">). </w:t>
      </w:r>
    </w:p>
    <w:p w14:paraId="19CE07EF" w14:textId="77777777" w:rsidR="00B033C4" w:rsidRDefault="00B033C4" w:rsidP="00B033C4">
      <w:pPr>
        <w:pStyle w:val="a9"/>
        <w:rPr>
          <w:rtl/>
        </w:rPr>
      </w:pPr>
    </w:p>
    <w:p w14:paraId="1013196B" w14:textId="77777777" w:rsidR="00B033C4" w:rsidRPr="00ED49E7" w:rsidRDefault="00B033C4" w:rsidP="00B033C4">
      <w:pPr>
        <w:pStyle w:val="a9"/>
        <w:numPr>
          <w:ilvl w:val="0"/>
          <w:numId w:val="1"/>
        </w:numPr>
        <w:spacing w:line="360" w:lineRule="auto"/>
        <w:jc w:val="both"/>
      </w:pPr>
      <w:r>
        <w:rPr>
          <w:rFonts w:hint="cs"/>
          <w:rtl/>
        </w:rPr>
        <w:t xml:space="preserve">מנגד, חומרת המעשה ותוצאותיו הקשות מושכים לעבר העדפת שיקולי ההלימה. כאמור, המתלונן סבל פגיעה חמורה </w:t>
      </w:r>
      <w:r>
        <w:rPr>
          <w:rtl/>
        </w:rPr>
        <w:t>–</w:t>
      </w:r>
      <w:r>
        <w:rPr>
          <w:rFonts w:hint="cs"/>
          <w:rtl/>
        </w:rPr>
        <w:t xml:space="preserve"> פיזית ונפשית. תוצאות המעשה פגעו קשות בחייו והסיטו אותם כליל ממסלולם </w:t>
      </w:r>
      <w:r>
        <w:rPr>
          <w:rtl/>
        </w:rPr>
        <w:t>–</w:t>
      </w:r>
      <w:r>
        <w:rPr>
          <w:rFonts w:hint="cs"/>
          <w:rtl/>
        </w:rPr>
        <w:t xml:space="preserve"> האישי, הגופני והמקצועי. מעשה כה נפשע וחמור צריך לגרור תגובה עונשית הולמת. עם זאת, בבואי להכריע בין השיקולים השונים, ראיתי להימנע מהטלת עונש מאסר הכולל כליאה. דעתי היא שעונש זה לא רק יוריד לטמיון את סיכויי שיקומו של הנאשם, אלא יפגע במשפחתו פגיעה קשה וחמורה אשר ראוי להימנע ממנה. אציין כי אף פגיעה בבני המשפחה עלולה לגרור פגיעה בסיכויי שיקום הנאשם, שכן ראיתי במשפחה כגורם תורם לסיכויי השיקום. אינני מקל ראש כלל ועיקר בחומרת העבירה ובתוצאותיה הקשות. הרחבתי את הדיבור בנושא זה לעיל ואין לי אלא לחזור על הדברים. אינני מקל גם ראש בדברי המתלונן אשר ביקש שיוטל על הנאשם עונש הכולל מאסר. בקשה זו מובנת לי לחלוטין. אומר עוד כי אכן, הנטייה הטבעית אל מול מעשים מעין אלו היא לשקול להעדיף את עקרון הגמול ולהעניש את העבריין כגמולו. ואולם נפסק לא אחת כי </w:t>
      </w:r>
      <w:r w:rsidRPr="00ED49E7">
        <w:rPr>
          <w:rFonts w:ascii="David" w:eastAsia="David" w:hAnsi="David" w:cs="Miriam" w:hint="cs"/>
          <w:rtl/>
        </w:rPr>
        <w:t>"</w:t>
      </w:r>
      <w:r w:rsidRPr="00ED49E7">
        <w:rPr>
          <w:rFonts w:ascii="David" w:eastAsia="David" w:hAnsi="David" w:cs="Miriam"/>
          <w:rtl/>
        </w:rPr>
        <w:t>איננו חיים בחברה נקמנית שכל חפצה הוא להעניש את חבריה אשר סטו מדרך הישר אך לשם הענישה. אנו חיים בחברה שפועלת לקדם את ביטחונם האישי של חבריה, בין היתר, באמצעות המשפט הפלילי תוך שימוש במנגנון הענישה ככלי להרתעה אינדיבידואלית וקולקטיבית, ולצד זאת אנו פועלים לשיקום החוטאים כדי לשלבם בחזרה בחיי החברה כחברים תורמים שמסייעים לקידומה. אין לבכר ערך על פני רעהו ודרך כלל כל מקרה נבחן לגופו</w:t>
      </w:r>
      <w:r w:rsidRPr="00ED49E7">
        <w:rPr>
          <w:rFonts w:ascii="David" w:eastAsia="David" w:hAnsi="David" w:cs="Miriam" w:hint="cs"/>
          <w:rtl/>
        </w:rPr>
        <w:t>" (</w:t>
      </w:r>
      <w:hyperlink r:id="rId66" w:history="1">
        <w:r w:rsidR="00DB74CB" w:rsidRPr="00DB74CB">
          <w:rPr>
            <w:rFonts w:ascii="David" w:eastAsia="David" w:hAnsi="David"/>
            <w:color w:val="0000FF"/>
            <w:u w:val="single"/>
            <w:rtl/>
          </w:rPr>
          <w:t>ע"פ 5291/12</w:t>
        </w:r>
      </w:hyperlink>
      <w:r w:rsidRPr="00ED49E7">
        <w:rPr>
          <w:rFonts w:ascii="David" w:eastAsia="David" w:hAnsi="David"/>
          <w:rtl/>
        </w:rPr>
        <w:t xml:space="preserve"> </w:t>
      </w:r>
      <w:r w:rsidRPr="00ED49E7">
        <w:rPr>
          <w:rFonts w:ascii="David" w:eastAsia="David" w:hAnsi="David"/>
          <w:b/>
          <w:bCs/>
          <w:rtl/>
        </w:rPr>
        <w:t>מוחמד אבו האני נ' מדינת ישראל</w:t>
      </w:r>
      <w:r w:rsidRPr="00ED49E7">
        <w:rPr>
          <w:rFonts w:ascii="David" w:eastAsia="David" w:hAnsi="David"/>
          <w:rtl/>
        </w:rPr>
        <w:t xml:space="preserve"> (12.11.</w:t>
      </w:r>
      <w:r w:rsidRPr="00ED49E7">
        <w:rPr>
          <w:rFonts w:ascii="David" w:eastAsia="David" w:hAnsi="David" w:hint="cs"/>
          <w:rtl/>
        </w:rPr>
        <w:t>12</w:t>
      </w:r>
      <w:r w:rsidRPr="00ED49E7">
        <w:rPr>
          <w:rFonts w:ascii="David" w:eastAsia="David" w:hAnsi="David"/>
          <w:rtl/>
        </w:rPr>
        <w:t>)</w:t>
      </w:r>
      <w:r w:rsidRPr="00ED49E7">
        <w:rPr>
          <w:rFonts w:ascii="David" w:eastAsia="David" w:hAnsi="David" w:hint="cs"/>
          <w:rtl/>
        </w:rPr>
        <w:t>).</w:t>
      </w:r>
    </w:p>
    <w:p w14:paraId="47C2DD2F" w14:textId="77777777" w:rsidR="00B033C4" w:rsidRPr="00ED49E7" w:rsidRDefault="00B033C4" w:rsidP="00B033C4">
      <w:pPr>
        <w:pStyle w:val="a9"/>
        <w:spacing w:line="360" w:lineRule="auto"/>
        <w:ind w:left="0"/>
        <w:jc w:val="both"/>
      </w:pPr>
    </w:p>
    <w:p w14:paraId="19AC4093" w14:textId="77777777" w:rsidR="00B033C4" w:rsidRDefault="00B033C4" w:rsidP="00B033C4">
      <w:pPr>
        <w:pStyle w:val="a9"/>
        <w:numPr>
          <w:ilvl w:val="0"/>
          <w:numId w:val="1"/>
        </w:numPr>
        <w:spacing w:line="360" w:lineRule="auto"/>
        <w:jc w:val="both"/>
      </w:pPr>
      <w:r>
        <w:rPr>
          <w:rFonts w:hint="cs"/>
          <w:rtl/>
        </w:rPr>
        <w:t>בסופו של יום, דעתי היא שניתן ליצור תמהיל עונשי שיש בו להעניש את הנאשם באופן ממשי וחמור, בצד מתן ביטוי לסיכויי שיקומו, ובכך גם למנוע פגיעה קשה במשפחתו. לדעתי עונש מאסר ארוך בעבודות שירות, בצד צו מבחן ופיצוי ממשי למתלונן, משיג מטרות אלו. בעניין זה הבאתי, בחשבון, כאמור, את גילו של הנאשם; עברו הקל יחסית; מצבו האישי; התייחסותו לעבירה; עמדת שירות המבחן; והפגיעה שתגרם לבני משפחתו באם יישלח למאסר בכליאה. בשים לב לכל אלו, דעתי היא שבמקרה זה ראוי להימנע מכליאת הנאשם</w:t>
      </w:r>
      <w:r>
        <w:rPr>
          <w:rFonts w:hint="cs"/>
        </w:rPr>
        <w:t xml:space="preserve"> </w:t>
      </w:r>
      <w:r>
        <w:rPr>
          <w:rFonts w:hint="cs"/>
          <w:rtl/>
        </w:rPr>
        <w:t>ויש להעדיף את סיכויי השיקום עד כדי חריגה ממתחם הענישה. החריגה תהא מתונה, אך עיקרה יתבטא באופן ריצוי המאסר, שלא יהיה בכליאה.</w:t>
      </w:r>
    </w:p>
    <w:p w14:paraId="0035FB7B" w14:textId="77777777" w:rsidR="00B033C4" w:rsidRDefault="00B033C4" w:rsidP="00B033C4">
      <w:pPr>
        <w:pStyle w:val="a9"/>
        <w:rPr>
          <w:rtl/>
        </w:rPr>
      </w:pPr>
    </w:p>
    <w:p w14:paraId="31FD5A60" w14:textId="77777777" w:rsidR="00B033C4" w:rsidRPr="00CF2E39" w:rsidRDefault="00B033C4" w:rsidP="00B033C4">
      <w:pPr>
        <w:numPr>
          <w:ilvl w:val="0"/>
          <w:numId w:val="1"/>
        </w:numPr>
        <w:spacing w:line="360" w:lineRule="auto"/>
        <w:contextualSpacing/>
        <w:jc w:val="both"/>
        <w:rPr>
          <w:b/>
          <w:bCs/>
        </w:rPr>
      </w:pPr>
      <w:r w:rsidRPr="00545BCA">
        <w:rPr>
          <w:rFonts w:hint="cs"/>
          <w:b/>
          <w:bCs/>
          <w:rtl/>
        </w:rPr>
        <w:t xml:space="preserve">עתירת המאשימה לפסילת </w:t>
      </w:r>
      <w:r>
        <w:rPr>
          <w:rFonts w:hint="cs"/>
          <w:b/>
          <w:bCs/>
          <w:rtl/>
        </w:rPr>
        <w:t>ה</w:t>
      </w:r>
      <w:r w:rsidRPr="00545BCA">
        <w:rPr>
          <w:rFonts w:hint="cs"/>
          <w:b/>
          <w:bCs/>
          <w:rtl/>
        </w:rPr>
        <w:t xml:space="preserve">רישיון: </w:t>
      </w:r>
      <w:r>
        <w:rPr>
          <w:rFonts w:hint="cs"/>
          <w:rtl/>
        </w:rPr>
        <w:t>בין יתר רכיבי הענישה עתרה המאשימה להורות על פסילת רישיון הנהיגה של הנאשם, וזאת מכיוון שבכתב האישום צוין כי הוא "</w:t>
      </w:r>
      <w:r w:rsidRPr="005D0E2C">
        <w:rPr>
          <w:rFonts w:cs="Miriam" w:hint="cs"/>
          <w:rtl/>
        </w:rPr>
        <w:t>החל בנסיעה פראית לכיוון בית העלמין</w:t>
      </w:r>
      <w:r>
        <w:rPr>
          <w:rFonts w:hint="cs"/>
          <w:rtl/>
        </w:rPr>
        <w:t>". במהלך הטיעון לעונש ביקשתי מהמאשימה הפניה למקור הסמכות במקרה זה ולא קיבלתי כל תשובה. לדידי, נסיבות המקרה אינן מאפשרות פסילת רישיונו של הנאשם ובכל מקרה, אין זה ראוי לעשות כן, שכן "</w:t>
      </w:r>
      <w:r w:rsidRPr="00CF2E39">
        <w:rPr>
          <w:rFonts w:ascii="Miriam" w:hAnsi="Miriam" w:cs="Miriam"/>
          <w:rtl/>
        </w:rPr>
        <w:t>בקשה לפסול את רישיונות הנהיגה של [...] בקשה שאינה שגרתית בעבירות מסוג זה, חייבה פרישת טיעון מפורט הרבה יותר מצד המאשימה</w:t>
      </w:r>
      <w:r>
        <w:rPr>
          <w:rFonts w:hint="cs"/>
          <w:rtl/>
        </w:rPr>
        <w:t>"</w:t>
      </w:r>
      <w:r w:rsidRPr="00CF2E39">
        <w:rPr>
          <w:rFonts w:hint="cs"/>
          <w:rtl/>
        </w:rPr>
        <w:t xml:space="preserve"> (</w:t>
      </w:r>
      <w:hyperlink r:id="rId67" w:history="1">
        <w:r w:rsidR="00DB74CB" w:rsidRPr="00DB74CB">
          <w:rPr>
            <w:color w:val="0000FF"/>
            <w:u w:val="single"/>
            <w:rtl/>
          </w:rPr>
          <w:t>ע"פ 5653/13</w:t>
        </w:r>
      </w:hyperlink>
      <w:r w:rsidRPr="00CD4725">
        <w:rPr>
          <w:rtl/>
        </w:rPr>
        <w:t xml:space="preserve"> </w:t>
      </w:r>
      <w:r w:rsidRPr="00CF2E39">
        <w:rPr>
          <w:b/>
          <w:bCs/>
          <w:rtl/>
        </w:rPr>
        <w:t>עודיי</w:t>
      </w:r>
      <w:r w:rsidRPr="00CF2E39">
        <w:rPr>
          <w:rFonts w:hint="cs"/>
          <w:b/>
          <w:bCs/>
          <w:rtl/>
        </w:rPr>
        <w:t xml:space="preserve"> </w:t>
      </w:r>
      <w:r w:rsidRPr="00CF2E39">
        <w:rPr>
          <w:b/>
          <w:bCs/>
          <w:rtl/>
        </w:rPr>
        <w:t>ביידון נ' מדינת ישראל</w:t>
      </w:r>
      <w:r>
        <w:rPr>
          <w:rFonts w:hint="cs"/>
          <w:rtl/>
        </w:rPr>
        <w:t xml:space="preserve"> (2.1.14). אנמק עמדתי. </w:t>
      </w:r>
    </w:p>
    <w:p w14:paraId="5F80F3A9" w14:textId="77777777" w:rsidR="00B033C4" w:rsidRDefault="00B033C4" w:rsidP="00B033C4">
      <w:pPr>
        <w:pStyle w:val="a9"/>
        <w:rPr>
          <w:rtl/>
        </w:rPr>
      </w:pPr>
    </w:p>
    <w:p w14:paraId="71107A00" w14:textId="77777777" w:rsidR="00B033C4" w:rsidRPr="00E43BED" w:rsidRDefault="00B033C4" w:rsidP="00B033C4">
      <w:pPr>
        <w:numPr>
          <w:ilvl w:val="0"/>
          <w:numId w:val="1"/>
        </w:numPr>
        <w:spacing w:line="360" w:lineRule="auto"/>
        <w:contextualSpacing/>
        <w:jc w:val="both"/>
        <w:rPr>
          <w:b/>
          <w:bCs/>
        </w:rPr>
      </w:pPr>
      <w:r>
        <w:rPr>
          <w:rFonts w:hint="cs"/>
          <w:rtl/>
        </w:rPr>
        <w:t xml:space="preserve">הנאשם לא הורשע בעבירת תעבורה, או עבירה אחרת המקימה סמכות לפסול את רישיונו (כגון עבירה על פקודת הסמים, או עבירה לפי </w:t>
      </w:r>
      <w:hyperlink r:id="rId68" w:history="1">
        <w:r w:rsidR="007C0527" w:rsidRPr="007C0527">
          <w:rPr>
            <w:color w:val="0000FF"/>
            <w:u w:val="single"/>
            <w:rtl/>
          </w:rPr>
          <w:t>סעיף 413יב'</w:t>
        </w:r>
      </w:hyperlink>
      <w:r>
        <w:rPr>
          <w:rFonts w:hint="cs"/>
          <w:rtl/>
        </w:rPr>
        <w:t xml:space="preserve"> ל</w:t>
      </w:r>
      <w:hyperlink r:id="rId69" w:history="1">
        <w:r w:rsidR="00DB74CB" w:rsidRPr="00DB74CB">
          <w:rPr>
            <w:color w:val="0000FF"/>
            <w:u w:val="single"/>
            <w:rtl/>
          </w:rPr>
          <w:t>חוק העונשין</w:t>
        </w:r>
      </w:hyperlink>
      <w:r>
        <w:rPr>
          <w:rFonts w:hint="cs"/>
          <w:rtl/>
        </w:rPr>
        <w:t xml:space="preserve">). עם זאת, ניתן לחשוב על שני מקורות סמכות אפשריים לפסילת רישיון הנהיגה בנסיבות ענייננו. הראשון הוא </w:t>
      </w:r>
      <w:hyperlink r:id="rId70" w:history="1">
        <w:r w:rsidR="007C0527" w:rsidRPr="007C0527">
          <w:rPr>
            <w:color w:val="0000FF"/>
            <w:u w:val="single"/>
            <w:rtl/>
          </w:rPr>
          <w:t>סעיף 35</w:t>
        </w:r>
      </w:hyperlink>
      <w:r>
        <w:rPr>
          <w:rFonts w:hint="cs"/>
          <w:rtl/>
        </w:rPr>
        <w:t xml:space="preserve"> ל</w:t>
      </w:r>
      <w:hyperlink r:id="rId71" w:history="1">
        <w:r w:rsidR="00DB74CB" w:rsidRPr="00DB74CB">
          <w:rPr>
            <w:color w:val="0000FF"/>
            <w:u w:val="single"/>
            <w:rtl/>
          </w:rPr>
          <w:t>פקודת התעבורה</w:t>
        </w:r>
      </w:hyperlink>
      <w:r>
        <w:rPr>
          <w:rFonts w:hint="cs"/>
          <w:rtl/>
        </w:rPr>
        <w:t xml:space="preserve"> [נוסח חדש] הקובע כי:</w:t>
      </w:r>
    </w:p>
    <w:p w14:paraId="20254983" w14:textId="77777777" w:rsidR="00B033C4" w:rsidRPr="00E43BED" w:rsidRDefault="00B033C4" w:rsidP="00B033C4">
      <w:pPr>
        <w:pStyle w:val="a9"/>
        <w:rPr>
          <w:b/>
          <w:bCs/>
          <w:rtl/>
        </w:rPr>
      </w:pPr>
    </w:p>
    <w:p w14:paraId="5181F5A3" w14:textId="77777777" w:rsidR="00B033C4" w:rsidRDefault="00B033C4" w:rsidP="00B033C4">
      <w:pPr>
        <w:ind w:left="1440" w:right="1134"/>
        <w:contextualSpacing/>
        <w:jc w:val="both"/>
        <w:rPr>
          <w:rtl/>
        </w:rPr>
      </w:pPr>
      <w:r w:rsidRPr="00B71DC8">
        <w:rPr>
          <w:rFonts w:cs="Miriam"/>
          <w:rtl/>
        </w:rPr>
        <w:t xml:space="preserve">הורשע אדם בעבירת תעבורה או </w:t>
      </w:r>
      <w:r w:rsidRPr="00B71DC8">
        <w:rPr>
          <w:rFonts w:cs="Miriam"/>
          <w:u w:val="single"/>
          <w:rtl/>
        </w:rPr>
        <w:t>בעבירה לפי חוק אחר הכרוכה בנהיגה ברכב</w:t>
      </w:r>
      <w:r w:rsidRPr="00B71DC8">
        <w:rPr>
          <w:rFonts w:cs="Miriam"/>
          <w:rtl/>
        </w:rPr>
        <w:t xml:space="preserve">, רשאי בית המשפט שהרשיעו ... נוסף על כל עונש אחר במקומו, לפסול אותו מלקבל או מלהחזיק </w:t>
      </w:r>
      <w:r>
        <w:rPr>
          <w:rFonts w:cs="Miriam" w:hint="cs"/>
          <w:rtl/>
        </w:rPr>
        <w:t>ר</w:t>
      </w:r>
      <w:r w:rsidRPr="00B71DC8">
        <w:rPr>
          <w:rFonts w:cs="Miriam" w:hint="cs"/>
          <w:rtl/>
        </w:rPr>
        <w:t>שיו</w:t>
      </w:r>
      <w:r w:rsidRPr="00B71DC8">
        <w:rPr>
          <w:rFonts w:cs="Miriam" w:hint="eastAsia"/>
          <w:rtl/>
        </w:rPr>
        <w:t>ן</w:t>
      </w:r>
      <w:r w:rsidRPr="00B71DC8">
        <w:rPr>
          <w:rFonts w:cs="Miriam"/>
          <w:rtl/>
        </w:rPr>
        <w:t xml:space="preserve"> נהיגה, לצמיתות או לתקופה מסוימת</w:t>
      </w:r>
      <w:r>
        <w:rPr>
          <w:rFonts w:hint="cs"/>
          <w:rtl/>
        </w:rPr>
        <w:t xml:space="preserve">. </w:t>
      </w:r>
    </w:p>
    <w:p w14:paraId="01B96043" w14:textId="77777777" w:rsidR="00B033C4" w:rsidRDefault="00B033C4" w:rsidP="00B033C4">
      <w:pPr>
        <w:spacing w:line="360" w:lineRule="auto"/>
        <w:ind w:firstLine="720"/>
        <w:contextualSpacing/>
        <w:jc w:val="both"/>
        <w:rPr>
          <w:rtl/>
        </w:rPr>
      </w:pPr>
    </w:p>
    <w:p w14:paraId="3FAE88FC" w14:textId="77777777" w:rsidR="00B033C4" w:rsidRDefault="00B033C4" w:rsidP="00B033C4">
      <w:pPr>
        <w:spacing w:line="360" w:lineRule="auto"/>
        <w:ind w:firstLine="720"/>
        <w:contextualSpacing/>
        <w:jc w:val="both"/>
        <w:rPr>
          <w:rtl/>
        </w:rPr>
      </w:pPr>
      <w:r>
        <w:rPr>
          <w:rFonts w:hint="cs"/>
          <w:rtl/>
        </w:rPr>
        <w:t xml:space="preserve">כמו כן קובע </w:t>
      </w:r>
      <w:hyperlink r:id="rId72" w:history="1">
        <w:r w:rsidR="007C0527" w:rsidRPr="007C0527">
          <w:rPr>
            <w:color w:val="0000FF"/>
            <w:u w:val="single"/>
            <w:rtl/>
          </w:rPr>
          <w:t>סעיף 43</w:t>
        </w:r>
      </w:hyperlink>
      <w:r>
        <w:rPr>
          <w:rFonts w:hint="cs"/>
          <w:rtl/>
        </w:rPr>
        <w:t xml:space="preserve"> ל</w:t>
      </w:r>
      <w:hyperlink r:id="rId73" w:history="1">
        <w:r w:rsidR="00DB74CB" w:rsidRPr="00DB74CB">
          <w:rPr>
            <w:color w:val="0000FF"/>
            <w:u w:val="single"/>
            <w:rtl/>
          </w:rPr>
          <w:t>פקודת התעבורה</w:t>
        </w:r>
      </w:hyperlink>
      <w:r>
        <w:rPr>
          <w:rFonts w:hint="cs"/>
          <w:rtl/>
        </w:rPr>
        <w:t xml:space="preserve"> כי </w:t>
      </w:r>
      <w:r w:rsidRPr="00B71DC8">
        <w:rPr>
          <w:rtl/>
        </w:rPr>
        <w:t xml:space="preserve"> </w:t>
      </w:r>
    </w:p>
    <w:p w14:paraId="25CA108E" w14:textId="77777777" w:rsidR="00B033C4" w:rsidRDefault="00B033C4" w:rsidP="00B033C4">
      <w:pPr>
        <w:ind w:left="1440" w:right="1134"/>
        <w:contextualSpacing/>
        <w:jc w:val="both"/>
        <w:rPr>
          <w:rFonts w:ascii="Miriam" w:hAnsi="Miriam" w:cs="Miriam"/>
          <w:rtl/>
        </w:rPr>
      </w:pPr>
    </w:p>
    <w:p w14:paraId="53E9DC5F" w14:textId="77777777" w:rsidR="00B033C4" w:rsidRDefault="00B033C4" w:rsidP="00B033C4">
      <w:pPr>
        <w:ind w:left="1440" w:right="1134"/>
        <w:contextualSpacing/>
        <w:jc w:val="both"/>
        <w:rPr>
          <w:rFonts w:ascii="Miriam" w:hAnsi="Miriam" w:cs="Miriam"/>
          <w:rtl/>
        </w:rPr>
      </w:pPr>
      <w:r w:rsidRPr="00CF2E39">
        <w:rPr>
          <w:rFonts w:ascii="Miriam" w:hAnsi="Miriam" w:cs="Miriam"/>
          <w:rtl/>
        </w:rPr>
        <w:t xml:space="preserve">בעל רשיון נהיגה או בעל רשיון רכב שהורשע על עוון או על פשע </w:t>
      </w:r>
      <w:r w:rsidRPr="00CF2E39">
        <w:rPr>
          <w:rFonts w:ascii="Miriam" w:hAnsi="Miriam" w:cs="Miriam"/>
          <w:u w:val="single"/>
          <w:rtl/>
        </w:rPr>
        <w:t>שביצועם נתאפשר או הוקל עקב נהיגתו ברכב</w:t>
      </w:r>
      <w:r w:rsidRPr="00CF2E39">
        <w:rPr>
          <w:rFonts w:ascii="Miriam" w:hAnsi="Miriam" w:cs="Miriam"/>
          <w:rtl/>
        </w:rPr>
        <w:t xml:space="preserve"> או עקב השימוש ברכב שיש לו רשיון עליו, בית המשפט שהרשיעו, רשאי – בנוסף על כל עונש אחר – לפסול אותו מהחזיק רשיון כאמור, לצמיתות או לתקופה מסויימת.</w:t>
      </w:r>
      <w:r>
        <w:rPr>
          <w:rFonts w:ascii="Miriam" w:hAnsi="Miriam" w:cs="Miriam" w:hint="cs"/>
          <w:rtl/>
        </w:rPr>
        <w:t xml:space="preserve"> </w:t>
      </w:r>
    </w:p>
    <w:p w14:paraId="4DB7F89C" w14:textId="77777777" w:rsidR="00B033C4" w:rsidRDefault="00B033C4" w:rsidP="00B033C4">
      <w:pPr>
        <w:ind w:left="1440" w:right="1134"/>
        <w:contextualSpacing/>
        <w:jc w:val="both"/>
        <w:rPr>
          <w:rFonts w:ascii="Miriam" w:hAnsi="Miriam" w:cs="Miriam"/>
          <w:rtl/>
        </w:rPr>
      </w:pPr>
    </w:p>
    <w:p w14:paraId="25C9592E" w14:textId="77777777" w:rsidR="00B033C4" w:rsidRPr="00CF2E39" w:rsidRDefault="00B033C4" w:rsidP="00B033C4">
      <w:pPr>
        <w:ind w:left="1440" w:right="1134"/>
        <w:contextualSpacing/>
        <w:jc w:val="both"/>
        <w:rPr>
          <w:rFonts w:ascii="Miriam" w:hAnsi="Miriam" w:cs="Miriam"/>
          <w:rtl/>
        </w:rPr>
      </w:pPr>
      <w:r w:rsidRPr="00B71DC8">
        <w:rPr>
          <w:rtl/>
        </w:rPr>
        <w:t>[ההדגש</w:t>
      </w:r>
      <w:r>
        <w:rPr>
          <w:rFonts w:hint="cs"/>
          <w:rtl/>
        </w:rPr>
        <w:t>ות</w:t>
      </w:r>
      <w:r w:rsidRPr="00B71DC8">
        <w:rPr>
          <w:rtl/>
        </w:rPr>
        <w:t xml:space="preserve"> </w:t>
      </w:r>
      <w:r>
        <w:rPr>
          <w:rFonts w:hint="cs"/>
          <w:rtl/>
        </w:rPr>
        <w:t xml:space="preserve">שלי </w:t>
      </w:r>
      <w:r>
        <w:rPr>
          <w:rtl/>
        </w:rPr>
        <w:t>–</w:t>
      </w:r>
      <w:r>
        <w:rPr>
          <w:rFonts w:hint="cs"/>
          <w:rtl/>
        </w:rPr>
        <w:t xml:space="preserve"> י.ט</w:t>
      </w:r>
      <w:r w:rsidRPr="00B71DC8">
        <w:rPr>
          <w:rtl/>
        </w:rPr>
        <w:t>].</w:t>
      </w:r>
      <w:r>
        <w:rPr>
          <w:rFonts w:hint="cs"/>
          <w:b/>
          <w:bCs/>
          <w:rtl/>
        </w:rPr>
        <w:t xml:space="preserve"> </w:t>
      </w:r>
    </w:p>
    <w:p w14:paraId="386F11C1" w14:textId="77777777" w:rsidR="00B033C4" w:rsidRDefault="00B033C4" w:rsidP="00B033C4">
      <w:pPr>
        <w:spacing w:line="360" w:lineRule="auto"/>
        <w:ind w:firstLine="720"/>
        <w:contextualSpacing/>
        <w:jc w:val="both"/>
        <w:rPr>
          <w:b/>
          <w:bCs/>
          <w:rtl/>
        </w:rPr>
      </w:pPr>
    </w:p>
    <w:p w14:paraId="1808DD00" w14:textId="77777777" w:rsidR="00B033C4" w:rsidRPr="00F02D0F" w:rsidRDefault="00B033C4" w:rsidP="00B033C4">
      <w:pPr>
        <w:numPr>
          <w:ilvl w:val="0"/>
          <w:numId w:val="1"/>
        </w:numPr>
        <w:spacing w:line="360" w:lineRule="auto"/>
        <w:contextualSpacing/>
        <w:jc w:val="both"/>
        <w:rPr>
          <w:b/>
          <w:bCs/>
        </w:rPr>
      </w:pPr>
      <w:r w:rsidRPr="00CF2E39">
        <w:rPr>
          <w:rFonts w:hint="cs"/>
          <w:rtl/>
        </w:rPr>
        <w:t>אינני סבור כי ניתן לומר שהעבירות בהן הורשע הנאשם "כרוכות" בשימוש ברכב</w:t>
      </w:r>
      <w:r>
        <w:rPr>
          <w:rFonts w:hint="cs"/>
          <w:rtl/>
        </w:rPr>
        <w:t xml:space="preserve"> (</w:t>
      </w:r>
      <w:hyperlink r:id="rId74" w:history="1">
        <w:r w:rsidR="007C0527" w:rsidRPr="007C0527">
          <w:rPr>
            <w:color w:val="0000FF"/>
            <w:u w:val="single"/>
            <w:rtl/>
          </w:rPr>
          <w:t>סעיף 35</w:t>
        </w:r>
      </w:hyperlink>
      <w:r>
        <w:rPr>
          <w:rFonts w:hint="cs"/>
          <w:rtl/>
        </w:rPr>
        <w:t xml:space="preserve"> ל</w:t>
      </w:r>
      <w:hyperlink r:id="rId75" w:history="1">
        <w:r w:rsidR="00DB74CB" w:rsidRPr="00DB74CB">
          <w:rPr>
            <w:color w:val="0000FF"/>
            <w:u w:val="single"/>
            <w:rtl/>
          </w:rPr>
          <w:t>פקודת התעבורה</w:t>
        </w:r>
      </w:hyperlink>
      <w:r>
        <w:rPr>
          <w:rFonts w:hint="cs"/>
          <w:rtl/>
        </w:rPr>
        <w:t>)</w:t>
      </w:r>
      <w:r w:rsidRPr="00CF2E39">
        <w:rPr>
          <w:rFonts w:hint="cs"/>
          <w:rtl/>
        </w:rPr>
        <w:t>. כאמור,</w:t>
      </w:r>
      <w:r>
        <w:rPr>
          <w:rFonts w:hint="cs"/>
          <w:rtl/>
        </w:rPr>
        <w:t xml:space="preserve"> המאשימה לא טענה כי זהו הבסיס לעתירתה וממילא שלא נימקה את עתירתה כנדרש. לאור כך שלא מדובר בבקשה שגרתית, יש בחסר זה להטות את הכף לעבר הימנעות מפסילה במקרה שאינו מובהק, בשל כך שהדבר הביא להיעדר טיעון מלא מצד ההגנה. </w:t>
      </w:r>
    </w:p>
    <w:p w14:paraId="27131235" w14:textId="77777777" w:rsidR="00B033C4" w:rsidRPr="00F02D0F" w:rsidRDefault="00B033C4" w:rsidP="00B033C4">
      <w:pPr>
        <w:spacing w:line="360" w:lineRule="auto"/>
        <w:contextualSpacing/>
        <w:jc w:val="both"/>
        <w:rPr>
          <w:b/>
          <w:bCs/>
        </w:rPr>
      </w:pPr>
    </w:p>
    <w:p w14:paraId="21AE407D" w14:textId="77777777" w:rsidR="00B033C4" w:rsidRPr="00CF2E39" w:rsidRDefault="00B033C4" w:rsidP="00B033C4">
      <w:pPr>
        <w:numPr>
          <w:ilvl w:val="0"/>
          <w:numId w:val="1"/>
        </w:numPr>
        <w:spacing w:line="360" w:lineRule="auto"/>
        <w:contextualSpacing/>
        <w:jc w:val="both"/>
        <w:rPr>
          <w:b/>
          <w:bCs/>
        </w:rPr>
      </w:pPr>
      <w:r>
        <w:rPr>
          <w:rFonts w:hint="cs"/>
          <w:rtl/>
        </w:rPr>
        <w:t xml:space="preserve">גם לגופו של עניין אינני סבור שהתקיימו יסודות הסעיף. בעת ביצוע עבירות האלימות לא היה כל שימוש בכלי הרכב ומשכך אין לומר שהן כרוכות בשימוש בו (להשוואה ראו </w:t>
      </w:r>
      <w:hyperlink r:id="rId76" w:history="1">
        <w:r w:rsidR="00DB74CB" w:rsidRPr="00DB74CB">
          <w:rPr>
            <w:color w:val="0000FF"/>
            <w:u w:val="single"/>
            <w:rtl/>
          </w:rPr>
          <w:t>ע"פ 5653/13</w:t>
        </w:r>
      </w:hyperlink>
      <w:r w:rsidRPr="00CD4725">
        <w:rPr>
          <w:rtl/>
        </w:rPr>
        <w:t xml:space="preserve"> </w:t>
      </w:r>
      <w:r w:rsidRPr="00CF2E39">
        <w:rPr>
          <w:b/>
          <w:bCs/>
          <w:rtl/>
        </w:rPr>
        <w:t>עודיי</w:t>
      </w:r>
      <w:r w:rsidRPr="00CF2E39">
        <w:rPr>
          <w:rFonts w:hint="cs"/>
          <w:b/>
          <w:bCs/>
          <w:rtl/>
        </w:rPr>
        <w:t xml:space="preserve"> </w:t>
      </w:r>
      <w:r w:rsidRPr="00CF2E39">
        <w:rPr>
          <w:b/>
          <w:bCs/>
          <w:rtl/>
        </w:rPr>
        <w:t>ביידון נ' מדינת ישראל</w:t>
      </w:r>
      <w:r>
        <w:rPr>
          <w:rFonts w:hint="cs"/>
          <w:rtl/>
        </w:rPr>
        <w:t xml:space="preserve">, פסקה 25 (2.1.14); </w:t>
      </w:r>
      <w:hyperlink r:id="rId77" w:history="1">
        <w:r w:rsidR="00DB74CB" w:rsidRPr="00DB74CB">
          <w:rPr>
            <w:color w:val="0000FF"/>
            <w:u w:val="single"/>
            <w:rtl/>
          </w:rPr>
          <w:t>ע"פ 6541/11</w:t>
        </w:r>
      </w:hyperlink>
      <w:r>
        <w:rPr>
          <w:rtl/>
        </w:rPr>
        <w:t xml:space="preserve"> </w:t>
      </w:r>
      <w:r w:rsidRPr="00CF2E39">
        <w:rPr>
          <w:b/>
          <w:bCs/>
          <w:rtl/>
        </w:rPr>
        <w:t>‏מוחמד תיים נ' מדינת ישראל</w:t>
      </w:r>
      <w:r>
        <w:rPr>
          <w:rFonts w:hint="cs"/>
          <w:rtl/>
        </w:rPr>
        <w:t xml:space="preserve">, פסקה 11 (13.3.12)). </w:t>
      </w:r>
      <w:r w:rsidRPr="00CF2E39">
        <w:rPr>
          <w:rFonts w:hint="cs"/>
          <w:rtl/>
        </w:rPr>
        <w:t xml:space="preserve">גם יסודות </w:t>
      </w:r>
      <w:hyperlink r:id="rId78" w:history="1">
        <w:r w:rsidR="007C0527" w:rsidRPr="007C0527">
          <w:rPr>
            <w:color w:val="0000FF"/>
            <w:u w:val="single"/>
            <w:rtl/>
          </w:rPr>
          <w:t>סעיף 43</w:t>
        </w:r>
      </w:hyperlink>
      <w:r w:rsidRPr="00CF2E39">
        <w:rPr>
          <w:rFonts w:hint="cs"/>
          <w:rtl/>
        </w:rPr>
        <w:t xml:space="preserve"> לפקודה אינן </w:t>
      </w:r>
      <w:r>
        <w:rPr>
          <w:rFonts w:hint="cs"/>
          <w:rtl/>
        </w:rPr>
        <w:t xml:space="preserve">ישימות לענייננו. </w:t>
      </w:r>
      <w:r w:rsidRPr="00CF2E39">
        <w:rPr>
          <w:rFonts w:hint="cs"/>
          <w:rtl/>
        </w:rPr>
        <w:t>עצם ההגעה למקום באמצעות הרכב אינ</w:t>
      </w:r>
      <w:r>
        <w:rPr>
          <w:rFonts w:hint="cs"/>
          <w:rtl/>
        </w:rPr>
        <w:t>ה</w:t>
      </w:r>
      <w:r w:rsidRPr="00CF2E39">
        <w:rPr>
          <w:rFonts w:hint="cs"/>
          <w:rtl/>
        </w:rPr>
        <w:t xml:space="preserve"> מספיק</w:t>
      </w:r>
      <w:r>
        <w:rPr>
          <w:rFonts w:hint="cs"/>
          <w:rtl/>
        </w:rPr>
        <w:t>ה</w:t>
      </w:r>
      <w:r w:rsidRPr="00CF2E39">
        <w:rPr>
          <w:rFonts w:hint="cs"/>
          <w:rtl/>
        </w:rPr>
        <w:t xml:space="preserve"> לצורך ביסוס מסקנה לפיה מעשה העבירה </w:t>
      </w:r>
      <w:r>
        <w:rPr>
          <w:rFonts w:hint="cs"/>
          <w:rtl/>
        </w:rPr>
        <w:t>"</w:t>
      </w:r>
      <w:r w:rsidRPr="00CF2E39">
        <w:rPr>
          <w:rFonts w:hint="cs"/>
          <w:rtl/>
        </w:rPr>
        <w:t>התאפשר</w:t>
      </w:r>
      <w:r>
        <w:rPr>
          <w:rFonts w:hint="cs"/>
          <w:rtl/>
        </w:rPr>
        <w:t xml:space="preserve"> או הוקל"</w:t>
      </w:r>
      <w:r w:rsidRPr="00CF2E39">
        <w:rPr>
          <w:rFonts w:hint="cs"/>
          <w:rtl/>
        </w:rPr>
        <w:t xml:space="preserve"> באמצעות שימוש ברכב ונדרשת לצורך כך זיקה ממשית יותר בין השימוש ברכב ל</w:t>
      </w:r>
      <w:r>
        <w:rPr>
          <w:rFonts w:hint="cs"/>
          <w:rtl/>
        </w:rPr>
        <w:t xml:space="preserve">בין </w:t>
      </w:r>
      <w:r w:rsidRPr="00CF2E39">
        <w:rPr>
          <w:rFonts w:hint="cs"/>
          <w:rtl/>
        </w:rPr>
        <w:t>ביצוע העבירה</w:t>
      </w:r>
      <w:r>
        <w:rPr>
          <w:rFonts w:hint="cs"/>
          <w:rtl/>
        </w:rPr>
        <w:t xml:space="preserve">. מסקנתי הייתה שונה לו היה הנאשם מורשע בנוסף גם (למשל) בעבירה של חטיפה באמצעות הרכב (באם יסודותיה היו מתקיימים כמובן, ראו בהשוואה </w:t>
      </w:r>
      <w:hyperlink r:id="rId79" w:history="1">
        <w:r w:rsidR="00DB74CB" w:rsidRPr="00DB74CB">
          <w:rPr>
            <w:color w:val="0000FF"/>
            <w:u w:val="single"/>
            <w:rtl/>
          </w:rPr>
          <w:t>ע"פ 6272/12</w:t>
        </w:r>
      </w:hyperlink>
      <w:r w:rsidRPr="00CD4725">
        <w:rPr>
          <w:rtl/>
        </w:rPr>
        <w:t xml:space="preserve"> </w:t>
      </w:r>
      <w:r w:rsidRPr="00CF2E39">
        <w:rPr>
          <w:b/>
          <w:bCs/>
          <w:rtl/>
        </w:rPr>
        <w:t>עוז</w:t>
      </w:r>
      <w:r w:rsidRPr="00CF2E39">
        <w:rPr>
          <w:rFonts w:hint="cs"/>
          <w:b/>
          <w:bCs/>
          <w:rtl/>
        </w:rPr>
        <w:t xml:space="preserve"> </w:t>
      </w:r>
      <w:r w:rsidRPr="00CF2E39">
        <w:rPr>
          <w:b/>
          <w:bCs/>
          <w:rtl/>
        </w:rPr>
        <w:t>ויסמן נ' מדינת ישראל</w:t>
      </w:r>
      <w:r>
        <w:rPr>
          <w:rFonts w:hint="cs"/>
          <w:rtl/>
        </w:rPr>
        <w:t xml:space="preserve">, פסקה 38 (1.5.14)). ואולם, הזיקה בין העבירות בהן הורשע הנאשם לבין השימוש ברכב, אינה חזקה דיה. בכל מקרה, כאשר המאשימה לא נימקה בקשתה כלל ואף לא התאפשר לנאשם להתגונן כראוי מפני טענה זו, אינני סבור שנכון הוא שהדיון בנושא יתקיים לראשונה בגזר הדין באמצעות העלאת אפשרויות שונות </w:t>
      </w:r>
      <w:r w:rsidRPr="00CF2E39">
        <w:rPr>
          <w:rFonts w:hint="cs"/>
          <w:rtl/>
        </w:rPr>
        <w:t xml:space="preserve"> </w:t>
      </w:r>
      <w:r>
        <w:rPr>
          <w:rFonts w:hint="cs"/>
          <w:rtl/>
        </w:rPr>
        <w:t xml:space="preserve">על ידי בית המשפט. </w:t>
      </w:r>
    </w:p>
    <w:p w14:paraId="34ECCEF5" w14:textId="77777777" w:rsidR="00B033C4" w:rsidRPr="00CF2E39" w:rsidRDefault="00B033C4" w:rsidP="00B033C4">
      <w:pPr>
        <w:spacing w:line="360" w:lineRule="auto"/>
        <w:contextualSpacing/>
        <w:jc w:val="both"/>
        <w:rPr>
          <w:b/>
          <w:bCs/>
        </w:rPr>
      </w:pPr>
    </w:p>
    <w:p w14:paraId="7BCC54C8" w14:textId="77777777" w:rsidR="00B033C4" w:rsidRPr="00CF2E39" w:rsidRDefault="00B033C4" w:rsidP="00B033C4">
      <w:pPr>
        <w:spacing w:line="360" w:lineRule="auto"/>
        <w:ind w:firstLine="720"/>
        <w:contextualSpacing/>
        <w:jc w:val="both"/>
        <w:rPr>
          <w:b/>
          <w:bCs/>
        </w:rPr>
      </w:pPr>
      <w:r>
        <w:rPr>
          <w:rFonts w:hint="cs"/>
          <w:rtl/>
        </w:rPr>
        <w:t xml:space="preserve">משכך, אינני סבור שיש מקום לפסול את רישיון הנהיגה של הנאשם. </w:t>
      </w:r>
    </w:p>
    <w:p w14:paraId="68DD7D4E" w14:textId="77777777" w:rsidR="00B033C4" w:rsidRPr="00CF2E39" w:rsidRDefault="00B033C4" w:rsidP="00B033C4">
      <w:pPr>
        <w:pStyle w:val="a9"/>
        <w:rPr>
          <w:rtl/>
        </w:rPr>
      </w:pPr>
    </w:p>
    <w:p w14:paraId="141D14E5" w14:textId="77777777" w:rsidR="00B033C4" w:rsidRDefault="00B033C4" w:rsidP="00B033C4">
      <w:pPr>
        <w:numPr>
          <w:ilvl w:val="0"/>
          <w:numId w:val="1"/>
        </w:numPr>
        <w:spacing w:line="360" w:lineRule="auto"/>
        <w:contextualSpacing/>
        <w:jc w:val="both"/>
      </w:pPr>
      <w:r>
        <w:rPr>
          <w:rtl/>
        </w:rPr>
        <w:t>סיכומו של דבר, לאחר שבחנתי את מכלול השיקולים, הן לקולה והן לחומרה, אני מטיל על הנאשם את העונשים הבאים:</w:t>
      </w:r>
    </w:p>
    <w:p w14:paraId="3AB75CD3" w14:textId="77777777" w:rsidR="00B033C4" w:rsidRPr="00AD4125" w:rsidRDefault="00B033C4" w:rsidP="00B033C4">
      <w:pPr>
        <w:spacing w:line="360" w:lineRule="auto"/>
        <w:contextualSpacing/>
        <w:jc w:val="both"/>
        <w:rPr>
          <w:rtl/>
        </w:rPr>
      </w:pPr>
    </w:p>
    <w:p w14:paraId="2770D702" w14:textId="77777777" w:rsidR="00B033C4" w:rsidRDefault="00B033C4" w:rsidP="00B033C4">
      <w:pPr>
        <w:pStyle w:val="a9"/>
        <w:numPr>
          <w:ilvl w:val="0"/>
          <w:numId w:val="2"/>
        </w:numPr>
        <w:spacing w:line="360" w:lineRule="auto"/>
        <w:ind w:left="357" w:firstLine="0"/>
        <w:jc w:val="both"/>
        <w:rPr>
          <w:b/>
          <w:bCs/>
        </w:rPr>
      </w:pPr>
      <w:r>
        <w:rPr>
          <w:rtl/>
        </w:rPr>
        <w:t xml:space="preserve">מאסר בפועל לתקופה של </w:t>
      </w:r>
      <w:r>
        <w:rPr>
          <w:rFonts w:hint="cs"/>
          <w:rtl/>
        </w:rPr>
        <w:t>9</w:t>
      </w:r>
      <w:r>
        <w:rPr>
          <w:rtl/>
        </w:rPr>
        <w:t xml:space="preserve"> חודשים</w:t>
      </w:r>
      <w:r>
        <w:rPr>
          <w:rFonts w:hint="cs"/>
          <w:rtl/>
        </w:rPr>
        <w:t xml:space="preserve">. הנאשם יישא בעונש זה בעבודות שירות בהתאם לחוות </w:t>
      </w:r>
      <w:r>
        <w:rPr>
          <w:rtl/>
        </w:rPr>
        <w:tab/>
      </w:r>
      <w:r>
        <w:rPr>
          <w:rFonts w:hint="cs"/>
          <w:rtl/>
        </w:rPr>
        <w:t xml:space="preserve">דעתו של הממונה מיום 16.9.19. </w:t>
      </w:r>
      <w:r>
        <w:rPr>
          <w:rtl/>
        </w:rPr>
        <w:t xml:space="preserve">הובהר לנאשם שעליו לבצע את עבודות השירות לשביעות </w:t>
      </w:r>
      <w:r>
        <w:rPr>
          <w:rtl/>
        </w:rPr>
        <w:tab/>
        <w:t xml:space="preserve">רצון הממונה וכי אם לא יעשה כן ניתן יהיה להפקיע את העבודות והוא יישא ביתרת התקופה </w:t>
      </w:r>
      <w:r>
        <w:rPr>
          <w:rtl/>
        </w:rPr>
        <w:tab/>
        <w:t>בכליאה</w:t>
      </w:r>
      <w:r>
        <w:rPr>
          <w:b/>
          <w:bCs/>
          <w:rtl/>
        </w:rPr>
        <w:t>. מועד תחילת עבודות השירות ביום</w:t>
      </w:r>
      <w:r>
        <w:rPr>
          <w:b/>
          <w:bCs/>
          <w:color w:val="FF0000"/>
          <w:rtl/>
        </w:rPr>
        <w:t xml:space="preserve"> </w:t>
      </w:r>
      <w:r>
        <w:rPr>
          <w:b/>
          <w:bCs/>
          <w:rtl/>
        </w:rPr>
        <w:t xml:space="preserve">25.11.19, ועל הנאשם להתייצב ביום זה </w:t>
      </w:r>
      <w:r>
        <w:rPr>
          <w:b/>
          <w:bCs/>
          <w:rtl/>
        </w:rPr>
        <w:tab/>
        <w:t>במשרדי הממונה כמפורט בחוות הדעת.</w:t>
      </w:r>
      <w:r>
        <w:rPr>
          <w:rFonts w:hint="cs"/>
          <w:rtl/>
        </w:rPr>
        <w:t xml:space="preserve"> </w:t>
      </w:r>
    </w:p>
    <w:p w14:paraId="2EF51EBA" w14:textId="77777777" w:rsidR="00B033C4" w:rsidRPr="005D55BA" w:rsidRDefault="00B033C4" w:rsidP="00B033C4">
      <w:pPr>
        <w:pStyle w:val="a9"/>
        <w:spacing w:line="360" w:lineRule="auto"/>
        <w:ind w:left="357"/>
        <w:jc w:val="both"/>
        <w:rPr>
          <w:b/>
          <w:bCs/>
        </w:rPr>
      </w:pPr>
    </w:p>
    <w:p w14:paraId="0CA8857D" w14:textId="77777777" w:rsidR="00B033C4" w:rsidRDefault="00B033C4" w:rsidP="00B033C4">
      <w:pPr>
        <w:pStyle w:val="a9"/>
        <w:numPr>
          <w:ilvl w:val="0"/>
          <w:numId w:val="2"/>
        </w:numPr>
        <w:spacing w:line="360" w:lineRule="auto"/>
        <w:ind w:left="357" w:firstLine="0"/>
        <w:jc w:val="both"/>
        <w:rPr>
          <w:b/>
          <w:bCs/>
        </w:rPr>
      </w:pPr>
      <w:r w:rsidRPr="00F86A2D">
        <w:rPr>
          <w:rtl/>
        </w:rPr>
        <w:t xml:space="preserve">מאסר על תנאי למשך </w:t>
      </w:r>
      <w:r>
        <w:rPr>
          <w:rFonts w:hint="cs"/>
          <w:rtl/>
        </w:rPr>
        <w:t>5</w:t>
      </w:r>
      <w:r w:rsidRPr="00F86A2D">
        <w:rPr>
          <w:rtl/>
        </w:rPr>
        <w:t xml:space="preserve"> חודשים והתנאי הוא שהנאשם לא יעבור בתוך שנתיים כל עבירת </w:t>
      </w:r>
      <w:r>
        <w:rPr>
          <w:rtl/>
        </w:rPr>
        <w:tab/>
      </w:r>
      <w:r w:rsidRPr="00F86A2D">
        <w:rPr>
          <w:rtl/>
        </w:rPr>
        <w:t>אלימות כנגד גופו של אדם</w:t>
      </w:r>
      <w:r>
        <w:rPr>
          <w:rFonts w:hint="cs"/>
          <w:rtl/>
        </w:rPr>
        <w:t>, אשר גרמה לפחות חבלה ממשית</w:t>
      </w:r>
      <w:r w:rsidRPr="00F86A2D">
        <w:rPr>
          <w:rtl/>
        </w:rPr>
        <w:t xml:space="preserve">. </w:t>
      </w:r>
    </w:p>
    <w:p w14:paraId="3815BD90" w14:textId="77777777" w:rsidR="00B033C4" w:rsidRPr="005D55BA" w:rsidRDefault="00B033C4" w:rsidP="00B033C4">
      <w:pPr>
        <w:pStyle w:val="a9"/>
        <w:spacing w:line="360" w:lineRule="auto"/>
        <w:ind w:left="357"/>
        <w:jc w:val="both"/>
        <w:rPr>
          <w:b/>
          <w:bCs/>
        </w:rPr>
      </w:pPr>
    </w:p>
    <w:p w14:paraId="35161D26" w14:textId="77777777" w:rsidR="00B033C4" w:rsidRDefault="00B033C4" w:rsidP="00B033C4">
      <w:pPr>
        <w:pStyle w:val="a9"/>
        <w:numPr>
          <w:ilvl w:val="0"/>
          <w:numId w:val="2"/>
        </w:numPr>
        <w:spacing w:line="360" w:lineRule="auto"/>
        <w:ind w:left="357" w:firstLine="0"/>
        <w:jc w:val="both"/>
        <w:rPr>
          <w:b/>
          <w:bCs/>
        </w:rPr>
      </w:pPr>
      <w:r w:rsidRPr="00F86A2D">
        <w:rPr>
          <w:rtl/>
        </w:rPr>
        <w:t>פיצוי למתלונן, ע"ת</w:t>
      </w:r>
      <w:r>
        <w:rPr>
          <w:rFonts w:hint="cs"/>
          <w:rtl/>
        </w:rPr>
        <w:t xml:space="preserve"> מס'</w:t>
      </w:r>
      <w:r w:rsidRPr="00F86A2D">
        <w:rPr>
          <w:rtl/>
        </w:rPr>
        <w:t xml:space="preserve"> </w:t>
      </w:r>
      <w:r>
        <w:rPr>
          <w:rFonts w:hint="cs"/>
          <w:rtl/>
        </w:rPr>
        <w:t>2</w:t>
      </w:r>
      <w:r w:rsidRPr="00F86A2D">
        <w:rPr>
          <w:rtl/>
        </w:rPr>
        <w:t xml:space="preserve">, בסך </w:t>
      </w:r>
      <w:r>
        <w:rPr>
          <w:rFonts w:hint="cs"/>
          <w:rtl/>
        </w:rPr>
        <w:t>50</w:t>
      </w:r>
      <w:r w:rsidRPr="00F86A2D">
        <w:rPr>
          <w:rtl/>
        </w:rPr>
        <w:t xml:space="preserve">,000 ש"ח. הפיצוי ישולם </w:t>
      </w:r>
      <w:r>
        <w:rPr>
          <w:rFonts w:hint="cs"/>
          <w:rtl/>
        </w:rPr>
        <w:t xml:space="preserve">בתוך 90 יום במזכירות בית </w:t>
      </w:r>
      <w:r>
        <w:rPr>
          <w:rtl/>
        </w:rPr>
        <w:tab/>
      </w:r>
      <w:r>
        <w:rPr>
          <w:rFonts w:hint="cs"/>
          <w:rtl/>
        </w:rPr>
        <w:t xml:space="preserve">המשפט. </w:t>
      </w:r>
      <w:r w:rsidRPr="002E74DE">
        <w:rPr>
          <w:rtl/>
        </w:rPr>
        <w:t xml:space="preserve">המאשימה תמציא למזכירות את פרטי חשבון הבנק של </w:t>
      </w:r>
      <w:r>
        <w:rPr>
          <w:rtl/>
        </w:rPr>
        <w:t>המתלונ</w:t>
      </w:r>
      <w:r>
        <w:rPr>
          <w:rFonts w:hint="cs"/>
          <w:rtl/>
        </w:rPr>
        <w:t>ן</w:t>
      </w:r>
      <w:r>
        <w:rPr>
          <w:rtl/>
        </w:rPr>
        <w:t xml:space="preserve"> ותביא לידיעת</w:t>
      </w:r>
      <w:r>
        <w:rPr>
          <w:rFonts w:hint="cs"/>
          <w:rtl/>
        </w:rPr>
        <w:t>ו</w:t>
      </w:r>
      <w:r>
        <w:rPr>
          <w:rtl/>
        </w:rPr>
        <w:t xml:space="preserve"> </w:t>
      </w:r>
      <w:r>
        <w:rPr>
          <w:rtl/>
        </w:rPr>
        <w:tab/>
      </w:r>
      <w:r w:rsidRPr="002E74DE">
        <w:rPr>
          <w:rtl/>
        </w:rPr>
        <w:t>תוכנו של גזר הדין.</w:t>
      </w:r>
      <w:r>
        <w:rPr>
          <w:rtl/>
        </w:rPr>
        <w:t xml:space="preserve"> מובהר למתלו</w:t>
      </w:r>
      <w:r>
        <w:rPr>
          <w:rFonts w:hint="cs"/>
          <w:rtl/>
        </w:rPr>
        <w:t>נן</w:t>
      </w:r>
      <w:r>
        <w:rPr>
          <w:rtl/>
        </w:rPr>
        <w:t xml:space="preserve"> שאין בפיצוי זה למצות את מלוא נזק</w:t>
      </w:r>
      <w:r>
        <w:rPr>
          <w:rFonts w:hint="cs"/>
          <w:rtl/>
        </w:rPr>
        <w:t>יו</w:t>
      </w:r>
      <w:r>
        <w:rPr>
          <w:rtl/>
        </w:rPr>
        <w:t xml:space="preserve"> וה</w:t>
      </w:r>
      <w:r>
        <w:rPr>
          <w:rFonts w:hint="cs"/>
          <w:rtl/>
        </w:rPr>
        <w:t>וא</w:t>
      </w:r>
      <w:r>
        <w:rPr>
          <w:rtl/>
        </w:rPr>
        <w:t xml:space="preserve"> רשאי להגיש </w:t>
      </w:r>
      <w:r>
        <w:rPr>
          <w:rtl/>
        </w:rPr>
        <w:tab/>
        <w:t xml:space="preserve">בנושא תביעה אזרחית. </w:t>
      </w:r>
    </w:p>
    <w:p w14:paraId="2C68FA7F" w14:textId="77777777" w:rsidR="00B033C4" w:rsidRPr="0026073F" w:rsidRDefault="00B033C4" w:rsidP="00B033C4">
      <w:pPr>
        <w:pStyle w:val="a9"/>
        <w:spacing w:line="360" w:lineRule="auto"/>
        <w:ind w:left="357"/>
        <w:jc w:val="both"/>
        <w:rPr>
          <w:b/>
          <w:bCs/>
        </w:rPr>
      </w:pPr>
    </w:p>
    <w:p w14:paraId="525E9CBF" w14:textId="77777777" w:rsidR="00B033C4" w:rsidRPr="0026073F" w:rsidRDefault="00B033C4" w:rsidP="00B033C4">
      <w:pPr>
        <w:pStyle w:val="a9"/>
        <w:numPr>
          <w:ilvl w:val="0"/>
          <w:numId w:val="2"/>
        </w:numPr>
        <w:spacing w:line="360" w:lineRule="auto"/>
        <w:ind w:left="357" w:firstLine="0"/>
        <w:jc w:val="both"/>
        <w:rPr>
          <w:b/>
          <w:bCs/>
        </w:rPr>
      </w:pPr>
      <w:r>
        <w:rPr>
          <w:rFonts w:hint="cs"/>
          <w:rtl/>
        </w:rPr>
        <w:t xml:space="preserve">אני מעמיד את הנאשם בפיקוח שירות המבחן למשך 18 חודשים. מובהר לנאשם כי עליו למלא </w:t>
      </w:r>
      <w:r>
        <w:rPr>
          <w:rtl/>
        </w:rPr>
        <w:tab/>
      </w:r>
      <w:r>
        <w:rPr>
          <w:rFonts w:hint="cs"/>
          <w:rtl/>
        </w:rPr>
        <w:t xml:space="preserve">אחר הוראות שירות המבחן וכי אם לא יעשה כן ניתן יהיה להפקיע את הצו ולהטיל עליו </w:t>
      </w:r>
      <w:r>
        <w:rPr>
          <w:rtl/>
        </w:rPr>
        <w:tab/>
      </w:r>
      <w:r>
        <w:rPr>
          <w:rFonts w:hint="cs"/>
          <w:rtl/>
        </w:rPr>
        <w:t xml:space="preserve">ענישה חלופית ונוספת. </w:t>
      </w:r>
    </w:p>
    <w:p w14:paraId="12B03796" w14:textId="77777777" w:rsidR="00B033C4" w:rsidRDefault="00B033C4" w:rsidP="00B033C4">
      <w:pPr>
        <w:pStyle w:val="a9"/>
        <w:rPr>
          <w:rtl/>
        </w:rPr>
      </w:pPr>
    </w:p>
    <w:p w14:paraId="0D513410" w14:textId="77777777" w:rsidR="00B033C4" w:rsidRPr="00CF2E39" w:rsidRDefault="00B033C4" w:rsidP="00B033C4">
      <w:pPr>
        <w:spacing w:line="360" w:lineRule="auto"/>
        <w:ind w:left="720"/>
        <w:contextualSpacing/>
        <w:jc w:val="both"/>
        <w:rPr>
          <w:b/>
          <w:bCs/>
          <w:u w:val="single"/>
          <w:rtl/>
        </w:rPr>
      </w:pPr>
      <w:r w:rsidRPr="00CF2E39">
        <w:rPr>
          <w:rFonts w:hint="cs"/>
          <w:b/>
          <w:bCs/>
          <w:u w:val="single"/>
          <w:rtl/>
        </w:rPr>
        <w:t xml:space="preserve">המזכירות תשלח את גזר הדין לשירות המבחן וכן לממונה על עבודות השירות. </w:t>
      </w:r>
    </w:p>
    <w:p w14:paraId="7F46F09F" w14:textId="77777777" w:rsidR="00B033C4" w:rsidRDefault="00B033C4" w:rsidP="00B033C4">
      <w:pPr>
        <w:spacing w:line="360" w:lineRule="auto"/>
        <w:ind w:left="720"/>
        <w:contextualSpacing/>
        <w:jc w:val="both"/>
        <w:rPr>
          <w:rtl/>
        </w:rPr>
      </w:pPr>
    </w:p>
    <w:p w14:paraId="5F8A0769" w14:textId="77777777" w:rsidR="00B033C4" w:rsidRDefault="00B033C4" w:rsidP="00B033C4">
      <w:pPr>
        <w:spacing w:line="360" w:lineRule="auto"/>
        <w:ind w:left="720"/>
        <w:contextualSpacing/>
        <w:jc w:val="both"/>
        <w:rPr>
          <w:rtl/>
        </w:rPr>
      </w:pPr>
      <w:r>
        <w:rPr>
          <w:rFonts w:hint="cs"/>
          <w:rtl/>
        </w:rPr>
        <w:t xml:space="preserve">תשומת לב הממונה ושירות המבחן לאורכו של עונש המאסר בעבודות שירות ולתחולתו של </w:t>
      </w:r>
      <w:hyperlink r:id="rId80" w:history="1">
        <w:r w:rsidR="007C0527" w:rsidRPr="007C0527">
          <w:rPr>
            <w:color w:val="0000FF"/>
            <w:u w:val="single"/>
            <w:rtl/>
          </w:rPr>
          <w:t>סעיף 51ג(ג)</w:t>
        </w:r>
      </w:hyperlink>
      <w:r>
        <w:rPr>
          <w:rFonts w:hint="cs"/>
          <w:rtl/>
        </w:rPr>
        <w:t xml:space="preserve"> ל</w:t>
      </w:r>
      <w:hyperlink r:id="rId81" w:history="1">
        <w:r w:rsidR="00DB74CB" w:rsidRPr="00DB74CB">
          <w:rPr>
            <w:color w:val="0000FF"/>
            <w:u w:val="single"/>
            <w:rtl/>
          </w:rPr>
          <w:t>חוק העונשין</w:t>
        </w:r>
      </w:hyperlink>
      <w:r>
        <w:rPr>
          <w:rFonts w:hint="cs"/>
          <w:rtl/>
        </w:rPr>
        <w:t>.</w:t>
      </w:r>
    </w:p>
    <w:p w14:paraId="4D4B2687" w14:textId="77777777" w:rsidR="00B033C4" w:rsidRDefault="00B033C4" w:rsidP="00B033C4">
      <w:pPr>
        <w:spacing w:line="360" w:lineRule="auto"/>
        <w:ind w:left="720"/>
        <w:jc w:val="both"/>
        <w:rPr>
          <w:b/>
          <w:bCs/>
          <w:u w:val="single"/>
          <w:rtl/>
        </w:rPr>
      </w:pPr>
    </w:p>
    <w:p w14:paraId="5711EBA6" w14:textId="77777777" w:rsidR="00B033C4" w:rsidRDefault="00DB74CB" w:rsidP="00B033C4">
      <w:pPr>
        <w:spacing w:line="360" w:lineRule="auto"/>
        <w:ind w:left="720"/>
        <w:jc w:val="both"/>
        <w:rPr>
          <w:b/>
          <w:bCs/>
          <w:u w:val="single"/>
          <w:rtl/>
        </w:rPr>
      </w:pPr>
      <w:r w:rsidRPr="00DB74CB">
        <w:rPr>
          <w:b/>
          <w:bCs/>
          <w:color w:val="FFFFFF"/>
          <w:sz w:val="2"/>
          <w:szCs w:val="2"/>
          <w:u w:val="single"/>
          <w:rtl/>
        </w:rPr>
        <w:t>5129371</w:t>
      </w:r>
      <w:r w:rsidR="00B033C4">
        <w:rPr>
          <w:b/>
          <w:bCs/>
          <w:u w:val="single"/>
          <w:rtl/>
        </w:rPr>
        <w:t>זכות ערעור בתוך 45 יום לבית המשפט המחוזי.</w:t>
      </w:r>
    </w:p>
    <w:p w14:paraId="658A1AA4" w14:textId="77777777" w:rsidR="00B033C4" w:rsidRPr="00DB74CB" w:rsidRDefault="00DB74CB" w:rsidP="00B033C4">
      <w:pPr>
        <w:spacing w:line="360" w:lineRule="auto"/>
        <w:jc w:val="both"/>
        <w:rPr>
          <w:color w:val="FFFFFF"/>
          <w:sz w:val="2"/>
          <w:szCs w:val="2"/>
          <w:rtl/>
        </w:rPr>
      </w:pPr>
      <w:r w:rsidRPr="00DB74CB">
        <w:rPr>
          <w:color w:val="FFFFFF"/>
          <w:sz w:val="2"/>
          <w:szCs w:val="2"/>
          <w:rtl/>
        </w:rPr>
        <w:t>54678313</w:t>
      </w:r>
    </w:p>
    <w:p w14:paraId="7E2CEF86" w14:textId="77777777" w:rsidR="00B033C4" w:rsidRDefault="00DB74CB" w:rsidP="00B033C4">
      <w:pPr>
        <w:rPr>
          <w:rFonts w:cs="FrankRuehl"/>
          <w:sz w:val="28"/>
          <w:szCs w:val="28"/>
          <w:rtl/>
        </w:rPr>
      </w:pPr>
      <w:bookmarkStart w:id="7" w:name="Nitan"/>
      <w:r>
        <w:rPr>
          <w:rFonts w:ascii="Arial" w:hAnsi="Arial"/>
          <w:rtl/>
        </w:rPr>
        <w:t xml:space="preserve">ניתן היום,  כ"ב אלול תשע"ט, 22 ספטמבר 2019, במעמד הצדדים. </w:t>
      </w:r>
      <w:bookmarkEnd w:id="7"/>
    </w:p>
    <w:p w14:paraId="1CEDE1BE" w14:textId="77777777" w:rsidR="00B033C4" w:rsidRDefault="00B033C4" w:rsidP="00DB74C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CF9E573" w14:textId="77777777" w:rsidR="00B033C4" w:rsidRDefault="00B033C4" w:rsidP="00B033C4">
      <w:pPr>
        <w:jc w:val="center"/>
        <w:rPr>
          <w:rFonts w:ascii="Arial" w:hAnsi="Arial" w:cs="FrankRuehl"/>
          <w:sz w:val="28"/>
          <w:szCs w:val="28"/>
          <w:rtl/>
        </w:rPr>
      </w:pPr>
    </w:p>
    <w:p w14:paraId="49E46C28" w14:textId="77777777" w:rsidR="00B033C4" w:rsidRDefault="00B033C4" w:rsidP="00B033C4">
      <w:pPr>
        <w:rPr>
          <w:rFonts w:cs="FrankRuehl"/>
          <w:sz w:val="28"/>
          <w:szCs w:val="28"/>
          <w:rtl/>
        </w:rPr>
      </w:pPr>
    </w:p>
    <w:p w14:paraId="5B160C47" w14:textId="77777777" w:rsidR="00C278BC" w:rsidRPr="00DB74CB" w:rsidRDefault="00C278BC" w:rsidP="00DB74CB">
      <w:pPr>
        <w:keepNext/>
        <w:rPr>
          <w:rFonts w:ascii="David" w:hAnsi="David"/>
          <w:color w:val="000000"/>
          <w:sz w:val="22"/>
          <w:szCs w:val="22"/>
          <w:rtl/>
        </w:rPr>
      </w:pPr>
    </w:p>
    <w:p w14:paraId="77E1E026" w14:textId="77777777" w:rsidR="00DB74CB" w:rsidRPr="00DB74CB" w:rsidRDefault="00DB74CB" w:rsidP="00DB74CB">
      <w:pPr>
        <w:keepNext/>
        <w:rPr>
          <w:rFonts w:ascii="David" w:hAnsi="David"/>
          <w:color w:val="000000"/>
          <w:sz w:val="22"/>
          <w:szCs w:val="22"/>
          <w:rtl/>
        </w:rPr>
      </w:pPr>
      <w:r w:rsidRPr="00DB74CB">
        <w:rPr>
          <w:rFonts w:ascii="David" w:hAnsi="David"/>
          <w:color w:val="000000"/>
          <w:sz w:val="22"/>
          <w:szCs w:val="22"/>
          <w:rtl/>
        </w:rPr>
        <w:t>יוסי טורס 54678313</w:t>
      </w:r>
    </w:p>
    <w:p w14:paraId="2F610246" w14:textId="77777777" w:rsidR="00DB74CB" w:rsidRDefault="00DB74CB" w:rsidP="00DB74CB">
      <w:r w:rsidRPr="00DB74CB">
        <w:rPr>
          <w:color w:val="000000"/>
          <w:rtl/>
        </w:rPr>
        <w:t>נוסח מסמך זה כפוף לשינויי ניסוח ועריכה</w:t>
      </w:r>
    </w:p>
    <w:p w14:paraId="37A103A2" w14:textId="77777777" w:rsidR="00DB74CB" w:rsidRDefault="00DB74CB" w:rsidP="00DB74CB">
      <w:pPr>
        <w:rPr>
          <w:rtl/>
        </w:rPr>
      </w:pPr>
    </w:p>
    <w:p w14:paraId="37152D47" w14:textId="77777777" w:rsidR="00DB74CB" w:rsidRDefault="00DB74CB" w:rsidP="00DB74CB">
      <w:pPr>
        <w:jc w:val="center"/>
        <w:rPr>
          <w:color w:val="0000FF"/>
          <w:u w:val="single"/>
        </w:rPr>
      </w:pPr>
      <w:hyperlink r:id="rId82" w:history="1">
        <w:r>
          <w:rPr>
            <w:color w:val="0000FF"/>
            <w:u w:val="single"/>
            <w:rtl/>
          </w:rPr>
          <w:t>בעניין עריכה ושינויים במסמכי פסיקה, חקיקה ועוד באתר נבו – הקש כאן</w:t>
        </w:r>
      </w:hyperlink>
    </w:p>
    <w:p w14:paraId="4276C4F3" w14:textId="77777777" w:rsidR="00DB74CB" w:rsidRPr="00DB74CB" w:rsidRDefault="00DB74CB" w:rsidP="00DB74CB">
      <w:pPr>
        <w:jc w:val="center"/>
        <w:rPr>
          <w:color w:val="0000FF"/>
          <w:u w:val="single"/>
        </w:rPr>
      </w:pPr>
    </w:p>
    <w:sectPr w:rsidR="00DB74CB" w:rsidRPr="00DB74CB" w:rsidSect="00DB74CB">
      <w:headerReference w:type="even" r:id="rId83"/>
      <w:headerReference w:type="default" r:id="rId84"/>
      <w:footerReference w:type="even" r:id="rId85"/>
      <w:footerReference w:type="default" r:id="rId8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D598F" w14:textId="77777777" w:rsidR="006151C0" w:rsidRDefault="006151C0" w:rsidP="002C75EC">
      <w:r>
        <w:separator/>
      </w:r>
    </w:p>
  </w:endnote>
  <w:endnote w:type="continuationSeparator" w:id="0">
    <w:p w14:paraId="382431FC" w14:textId="77777777" w:rsidR="006151C0" w:rsidRDefault="006151C0" w:rsidP="002C7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60FA5" w14:textId="77777777" w:rsidR="00DB74CB" w:rsidRDefault="00DB74CB" w:rsidP="00DB74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62CD16" w14:textId="77777777" w:rsidR="00AE3FB3" w:rsidRPr="00DB74CB" w:rsidRDefault="00DB74CB" w:rsidP="00DB74C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40819" w14:textId="77777777" w:rsidR="00DB74CB" w:rsidRDefault="00DB74CB" w:rsidP="00DB74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3943">
      <w:rPr>
        <w:rFonts w:ascii="FrankRuehl" w:hAnsi="FrankRuehl" w:cs="FrankRuehl"/>
        <w:noProof/>
        <w:rtl/>
      </w:rPr>
      <w:t>1</w:t>
    </w:r>
    <w:r>
      <w:rPr>
        <w:rFonts w:ascii="FrankRuehl" w:hAnsi="FrankRuehl" w:cs="FrankRuehl"/>
        <w:rtl/>
      </w:rPr>
      <w:fldChar w:fldCharType="end"/>
    </w:r>
  </w:p>
  <w:p w14:paraId="62B76173" w14:textId="77777777" w:rsidR="00AE3FB3" w:rsidRPr="00DB74CB" w:rsidRDefault="00DB74CB" w:rsidP="00DB74C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9CB8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D0DDF" w14:textId="77777777" w:rsidR="006151C0" w:rsidRDefault="006151C0" w:rsidP="002C75EC">
      <w:r>
        <w:separator/>
      </w:r>
    </w:p>
  </w:footnote>
  <w:footnote w:type="continuationSeparator" w:id="0">
    <w:p w14:paraId="6CAE2BDF" w14:textId="77777777" w:rsidR="006151C0" w:rsidRDefault="006151C0" w:rsidP="002C7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0360D" w14:textId="77777777" w:rsidR="00DB74CB" w:rsidRPr="00DB74CB" w:rsidRDefault="00DB74CB" w:rsidP="00DB74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5405-01-17</w:t>
    </w:r>
    <w:r>
      <w:rPr>
        <w:rFonts w:ascii="David" w:hAnsi="David"/>
        <w:color w:val="000000"/>
        <w:sz w:val="22"/>
        <w:szCs w:val="22"/>
        <w:rtl/>
      </w:rPr>
      <w:tab/>
      <w:t xml:space="preserve"> מדינת ישראל נ' יגאל רוזנצוויג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D9412" w14:textId="77777777" w:rsidR="00DB74CB" w:rsidRPr="00DB74CB" w:rsidRDefault="00DB74CB" w:rsidP="00DB74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5405-01-17</w:t>
    </w:r>
    <w:r>
      <w:rPr>
        <w:rFonts w:ascii="David" w:hAnsi="David"/>
        <w:color w:val="000000"/>
        <w:sz w:val="22"/>
        <w:szCs w:val="22"/>
        <w:rtl/>
      </w:rPr>
      <w:tab/>
      <w:t xml:space="preserve"> מדינת ישראל נ' יגאל רוזנצוויג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53556"/>
    <w:multiLevelType w:val="hybridMultilevel"/>
    <w:tmpl w:val="46242B3C"/>
    <w:lvl w:ilvl="0" w:tplc="BEB0DFDE">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736A5C"/>
    <w:multiLevelType w:val="hybridMultilevel"/>
    <w:tmpl w:val="1DC46A86"/>
    <w:lvl w:ilvl="0" w:tplc="FA5E7E80">
      <w:start w:val="1"/>
      <w:numFmt w:val="decimal"/>
      <w:lvlText w:val="%1."/>
      <w:lvlJc w:val="left"/>
      <w:pPr>
        <w:tabs>
          <w:tab w:val="num" w:pos="567"/>
        </w:tabs>
        <w:ind w:left="0" w:firstLine="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497205">
    <w:abstractNumId w:val="1"/>
  </w:num>
  <w:num w:numId="2" w16cid:durableId="20864935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33C4"/>
    <w:rsid w:val="00024A94"/>
    <w:rsid w:val="002C75EC"/>
    <w:rsid w:val="00381020"/>
    <w:rsid w:val="00470ED3"/>
    <w:rsid w:val="006151C0"/>
    <w:rsid w:val="00650802"/>
    <w:rsid w:val="007C0527"/>
    <w:rsid w:val="008C3943"/>
    <w:rsid w:val="00AE3FB3"/>
    <w:rsid w:val="00B033C4"/>
    <w:rsid w:val="00C278BC"/>
    <w:rsid w:val="00DB74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8DDAC9"/>
  <w15:chartTrackingRefBased/>
  <w15:docId w15:val="{AE465B65-0A73-44FF-87E6-90ADA68D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33C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033C4"/>
    <w:pPr>
      <w:tabs>
        <w:tab w:val="center" w:pos="4153"/>
        <w:tab w:val="right" w:pos="8306"/>
      </w:tabs>
    </w:pPr>
  </w:style>
  <w:style w:type="character" w:customStyle="1" w:styleId="a4">
    <w:name w:val="כותרת עליונה תו"/>
    <w:link w:val="a3"/>
    <w:rsid w:val="00B033C4"/>
    <w:rPr>
      <w:rFonts w:ascii="Times New Roman" w:eastAsia="Times New Roman" w:hAnsi="Times New Roman" w:cs="David"/>
      <w:sz w:val="24"/>
      <w:szCs w:val="24"/>
    </w:rPr>
  </w:style>
  <w:style w:type="paragraph" w:styleId="a5">
    <w:name w:val="footer"/>
    <w:basedOn w:val="a"/>
    <w:link w:val="a6"/>
    <w:rsid w:val="00B033C4"/>
    <w:pPr>
      <w:tabs>
        <w:tab w:val="center" w:pos="4153"/>
        <w:tab w:val="right" w:pos="8306"/>
      </w:tabs>
    </w:pPr>
  </w:style>
  <w:style w:type="character" w:customStyle="1" w:styleId="a6">
    <w:name w:val="כותרת תחתונה תו"/>
    <w:link w:val="a5"/>
    <w:rsid w:val="00B033C4"/>
    <w:rPr>
      <w:rFonts w:ascii="Times New Roman" w:eastAsia="Times New Roman" w:hAnsi="Times New Roman" w:cs="David"/>
      <w:sz w:val="24"/>
      <w:szCs w:val="24"/>
    </w:rPr>
  </w:style>
  <w:style w:type="table" w:styleId="a7">
    <w:name w:val="Table Grid"/>
    <w:basedOn w:val="a1"/>
    <w:rsid w:val="00B033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033C4"/>
  </w:style>
  <w:style w:type="paragraph" w:styleId="a9">
    <w:name w:val="List Paragraph"/>
    <w:basedOn w:val="a"/>
    <w:qFormat/>
    <w:rsid w:val="00B033C4"/>
    <w:pPr>
      <w:ind w:left="720"/>
      <w:contextualSpacing/>
    </w:pPr>
  </w:style>
  <w:style w:type="character" w:styleId="Hyperlink">
    <w:name w:val="Hyperlink"/>
    <w:rsid w:val="00DB74C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33" TargetMode="External"/><Relationship Id="rId21" Type="http://schemas.openxmlformats.org/officeDocument/2006/relationships/hyperlink" Target="http://www.nevo.co.il/law/71553" TargetMode="External"/><Relationship Id="rId42" Type="http://schemas.openxmlformats.org/officeDocument/2006/relationships/hyperlink" Target="http://www.nevo.co.il/law/74903" TargetMode="External"/><Relationship Id="rId47" Type="http://schemas.openxmlformats.org/officeDocument/2006/relationships/hyperlink" Target="http://www.nevo.co.il/case/20854519" TargetMode="External"/><Relationship Id="rId63" Type="http://schemas.openxmlformats.org/officeDocument/2006/relationships/hyperlink" Target="http://www.nevo.co.il/law/71553/1" TargetMode="External"/><Relationship Id="rId68" Type="http://schemas.openxmlformats.org/officeDocument/2006/relationships/hyperlink" Target="http://www.nevo.co.il/law/70301/413jb" TargetMode="External"/><Relationship Id="rId84" Type="http://schemas.openxmlformats.org/officeDocument/2006/relationships/header" Target="header2.xml"/><Relationship Id="rId16" Type="http://schemas.openxmlformats.org/officeDocument/2006/relationships/hyperlink" Target="http://www.nevo.co.il/law/70301/333" TargetMode="External"/><Relationship Id="rId11" Type="http://schemas.openxmlformats.org/officeDocument/2006/relationships/hyperlink" Target="http://www.nevo.co.il/law/70301/40j.b.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j.b.2"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0490021" TargetMode="External"/><Relationship Id="rId74" Type="http://schemas.openxmlformats.org/officeDocument/2006/relationships/hyperlink" Target="http://www.nevo.co.il/law/5227/35" TargetMode="External"/><Relationship Id="rId79" Type="http://schemas.openxmlformats.org/officeDocument/2006/relationships/hyperlink" Target="http://www.nevo.co.il/case/5593986" TargetMode="External"/><Relationship Id="rId5" Type="http://schemas.openxmlformats.org/officeDocument/2006/relationships/footnotes" Target="footnotes.xml"/><Relationship Id="rId19" Type="http://schemas.openxmlformats.org/officeDocument/2006/relationships/hyperlink" Target="http://www.nevo.co.il/law/74903" TargetMode="External"/><Relationship Id="rId14" Type="http://schemas.openxmlformats.org/officeDocument/2006/relationships/hyperlink" Target="http://www.nevo.co.il/law/70301/51c.c" TargetMode="External"/><Relationship Id="rId22" Type="http://schemas.openxmlformats.org/officeDocument/2006/relationships/hyperlink" Target="http://www.nevo.co.il/law/71553/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6142512" TargetMode="External"/><Relationship Id="rId48" Type="http://schemas.openxmlformats.org/officeDocument/2006/relationships/hyperlink" Target="http://www.nevo.co.il/case/22186449" TargetMode="External"/><Relationship Id="rId56" Type="http://schemas.openxmlformats.org/officeDocument/2006/relationships/hyperlink" Target="http://www.nevo.co.il/law/70301/40d.b" TargetMode="External"/><Relationship Id="rId64" Type="http://schemas.openxmlformats.org/officeDocument/2006/relationships/hyperlink" Target="http://www.nevo.co.il/law/71553" TargetMode="External"/><Relationship Id="rId69" Type="http://schemas.openxmlformats.org/officeDocument/2006/relationships/hyperlink" Target="http://www.nevo.co.il/law/70301" TargetMode="External"/><Relationship Id="rId77" Type="http://schemas.openxmlformats.org/officeDocument/2006/relationships/hyperlink" Target="http://www.nevo.co.il/case/5594967" TargetMode="External"/><Relationship Id="rId8" Type="http://schemas.openxmlformats.org/officeDocument/2006/relationships/hyperlink" Target="http://www.nevo.co.il/law/70301/40d" TargetMode="External"/><Relationship Id="rId51" Type="http://schemas.openxmlformats.org/officeDocument/2006/relationships/hyperlink" Target="http://www.nevo.co.il/case/25216628" TargetMode="External"/><Relationship Id="rId72" Type="http://schemas.openxmlformats.org/officeDocument/2006/relationships/hyperlink" Target="http://www.nevo.co.il/law/5227/43" TargetMode="External"/><Relationship Id="rId80" Type="http://schemas.openxmlformats.org/officeDocument/2006/relationships/hyperlink" Target="http://www.nevo.co.il/law/70301/51c.c"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j.b.j" TargetMode="External"/><Relationship Id="rId17" Type="http://schemas.openxmlformats.org/officeDocument/2006/relationships/hyperlink" Target="http://www.nevo.co.il/law/70301/413jb" TargetMode="External"/><Relationship Id="rId25" Type="http://schemas.openxmlformats.org/officeDocument/2006/relationships/hyperlink" Target="http://www.nevo.co.il/law/5227/43" TargetMode="External"/><Relationship Id="rId33" Type="http://schemas.openxmlformats.org/officeDocument/2006/relationships/hyperlink" Target="http://www.nevo.co.il/case/5576159"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0798650" TargetMode="External"/><Relationship Id="rId59" Type="http://schemas.openxmlformats.org/officeDocument/2006/relationships/hyperlink" Target="http://www.nevo.co.il/case/5991438" TargetMode="External"/><Relationship Id="rId67" Type="http://schemas.openxmlformats.org/officeDocument/2006/relationships/hyperlink" Target="http://www.nevo.co.il/case/7980301" TargetMode="External"/><Relationship Id="rId20" Type="http://schemas.openxmlformats.org/officeDocument/2006/relationships/hyperlink" Target="http://www.nevo.co.il/law/74903/191a" TargetMode="External"/><Relationship Id="rId41" Type="http://schemas.openxmlformats.org/officeDocument/2006/relationships/hyperlink" Target="http://www.nevo.co.il/law/74903/191a" TargetMode="External"/><Relationship Id="rId54" Type="http://schemas.openxmlformats.org/officeDocument/2006/relationships/hyperlink" Target="http://www.nevo.co.il/case/10459128" TargetMode="External"/><Relationship Id="rId62" Type="http://schemas.openxmlformats.org/officeDocument/2006/relationships/hyperlink" Target="http://www.nevo.co.il/case/20402486" TargetMode="External"/><Relationship Id="rId70" Type="http://schemas.openxmlformats.org/officeDocument/2006/relationships/hyperlink" Target="http://www.nevo.co.il/law/5227/35" TargetMode="External"/><Relationship Id="rId75" Type="http://schemas.openxmlformats.org/officeDocument/2006/relationships/hyperlink" Target="http://www.nevo.co.il/law/5227"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5227" TargetMode="External"/><Relationship Id="rId28" Type="http://schemas.openxmlformats.org/officeDocument/2006/relationships/hyperlink" Target="http://www.nevo.co.il/law/70301/192" TargetMode="External"/><Relationship Id="rId36" Type="http://schemas.openxmlformats.org/officeDocument/2006/relationships/hyperlink" Target="http://www.nevo.co.il/case/17948082" TargetMode="External"/><Relationship Id="rId49" Type="http://schemas.openxmlformats.org/officeDocument/2006/relationships/hyperlink" Target="http://www.nevo.co.il/case/2380331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40i" TargetMode="External"/><Relationship Id="rId44" Type="http://schemas.openxmlformats.org/officeDocument/2006/relationships/hyperlink" Target="http://www.nevo.co.il/case/6030667" TargetMode="External"/><Relationship Id="rId52" Type="http://schemas.openxmlformats.org/officeDocument/2006/relationships/hyperlink" Target="http://www.nevo.co.il/law/70301/40d" TargetMode="External"/><Relationship Id="rId60" Type="http://schemas.openxmlformats.org/officeDocument/2006/relationships/hyperlink" Target="http://www.nevo.co.il/case/11206360" TargetMode="External"/><Relationship Id="rId65" Type="http://schemas.openxmlformats.org/officeDocument/2006/relationships/hyperlink" Target="http://www.nevo.co.il/case/2894643" TargetMode="External"/><Relationship Id="rId73" Type="http://schemas.openxmlformats.org/officeDocument/2006/relationships/hyperlink" Target="http://www.nevo.co.il/law/5227" TargetMode="External"/><Relationship Id="rId78" Type="http://schemas.openxmlformats.org/officeDocument/2006/relationships/hyperlink" Target="http://www.nevo.co.il/law/5227/43" TargetMode="External"/><Relationship Id="rId81" Type="http://schemas.openxmlformats.org/officeDocument/2006/relationships/hyperlink" Target="http://www.nevo.co.il/law/70301"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d.b" TargetMode="External"/><Relationship Id="rId13" Type="http://schemas.openxmlformats.org/officeDocument/2006/relationships/hyperlink" Target="http://www.nevo.co.il/law/70301/40j.d" TargetMode="External"/><Relationship Id="rId18" Type="http://schemas.openxmlformats.org/officeDocument/2006/relationships/hyperlink" Target="http://www.nevo.co.il/law/70301/452" TargetMode="External"/><Relationship Id="rId39" Type="http://schemas.openxmlformats.org/officeDocument/2006/relationships/hyperlink" Target="http://www.nevo.co.il/law/70301/40j.b.j" TargetMode="External"/><Relationship Id="rId34" Type="http://schemas.openxmlformats.org/officeDocument/2006/relationships/hyperlink" Target="http://www.nevo.co.il/law/70301/40j.d" TargetMode="External"/><Relationship Id="rId50" Type="http://schemas.openxmlformats.org/officeDocument/2006/relationships/hyperlink" Target="http://www.nevo.co.il/case/18065669" TargetMode="External"/><Relationship Id="rId55" Type="http://schemas.openxmlformats.org/officeDocument/2006/relationships/hyperlink" Target="http://www.nevo.co.il/case/22938500" TargetMode="External"/><Relationship Id="rId76" Type="http://schemas.openxmlformats.org/officeDocument/2006/relationships/hyperlink" Target="http://www.nevo.co.il/case/7980301" TargetMode="External"/><Relationship Id="rId7" Type="http://schemas.openxmlformats.org/officeDocument/2006/relationships/hyperlink" Target="http://www.nevo.co.il/law/70301" TargetMode="External"/><Relationship Id="rId71" Type="http://schemas.openxmlformats.org/officeDocument/2006/relationships/hyperlink" Target="http://www.nevo.co.il/law/5227" TargetMode="External"/><Relationship Id="rId2" Type="http://schemas.openxmlformats.org/officeDocument/2006/relationships/styles" Target="styles.xml"/><Relationship Id="rId29" Type="http://schemas.openxmlformats.org/officeDocument/2006/relationships/hyperlink" Target="http://www.nevo.co.il/law/70301/452" TargetMode="External"/><Relationship Id="rId24" Type="http://schemas.openxmlformats.org/officeDocument/2006/relationships/hyperlink" Target="http://www.nevo.co.il/law/5227/35"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637380" TargetMode="External"/><Relationship Id="rId66" Type="http://schemas.openxmlformats.org/officeDocument/2006/relationships/hyperlink" Target="http://www.nevo.co.il/case/5589993" TargetMode="External"/><Relationship Id="rId87" Type="http://schemas.openxmlformats.org/officeDocument/2006/relationships/fontTable" Target="fontTable.xml"/><Relationship Id="rId61" Type="http://schemas.openxmlformats.org/officeDocument/2006/relationships/hyperlink" Target="http://www.nevo.co.il/case/20111708" TargetMode="External"/><Relationship Id="rId8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4406</Words>
  <Characters>22033</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26387</CharactersWithSpaces>
  <SharedDoc>false</SharedDoc>
  <HLinks>
    <vt:vector size="456" baseType="variant">
      <vt:variant>
        <vt:i4>393283</vt:i4>
      </vt:variant>
      <vt:variant>
        <vt:i4>225</vt:i4>
      </vt:variant>
      <vt:variant>
        <vt:i4>0</vt:i4>
      </vt:variant>
      <vt:variant>
        <vt:i4>5</vt:i4>
      </vt:variant>
      <vt:variant>
        <vt:lpwstr>http://www.nevo.co.il/advertisements/nevo-100.doc</vt:lpwstr>
      </vt:variant>
      <vt:variant>
        <vt:lpwstr/>
      </vt:variant>
      <vt:variant>
        <vt:i4>7995492</vt:i4>
      </vt:variant>
      <vt:variant>
        <vt:i4>222</vt:i4>
      </vt:variant>
      <vt:variant>
        <vt:i4>0</vt:i4>
      </vt:variant>
      <vt:variant>
        <vt:i4>5</vt:i4>
      </vt:variant>
      <vt:variant>
        <vt:lpwstr>http://www.nevo.co.il/law/70301</vt:lpwstr>
      </vt:variant>
      <vt:variant>
        <vt:lpwstr/>
      </vt:variant>
      <vt:variant>
        <vt:i4>4849667</vt:i4>
      </vt:variant>
      <vt:variant>
        <vt:i4>219</vt:i4>
      </vt:variant>
      <vt:variant>
        <vt:i4>0</vt:i4>
      </vt:variant>
      <vt:variant>
        <vt:i4>5</vt:i4>
      </vt:variant>
      <vt:variant>
        <vt:lpwstr>http://www.nevo.co.il/law/70301/51c.c</vt:lpwstr>
      </vt:variant>
      <vt:variant>
        <vt:lpwstr/>
      </vt:variant>
      <vt:variant>
        <vt:i4>3342458</vt:i4>
      </vt:variant>
      <vt:variant>
        <vt:i4>216</vt:i4>
      </vt:variant>
      <vt:variant>
        <vt:i4>0</vt:i4>
      </vt:variant>
      <vt:variant>
        <vt:i4>5</vt:i4>
      </vt:variant>
      <vt:variant>
        <vt:lpwstr>http://www.nevo.co.il/case/5593986</vt:lpwstr>
      </vt:variant>
      <vt:variant>
        <vt:lpwstr/>
      </vt:variant>
      <vt:variant>
        <vt:i4>4915272</vt:i4>
      </vt:variant>
      <vt:variant>
        <vt:i4>213</vt:i4>
      </vt:variant>
      <vt:variant>
        <vt:i4>0</vt:i4>
      </vt:variant>
      <vt:variant>
        <vt:i4>5</vt:i4>
      </vt:variant>
      <vt:variant>
        <vt:lpwstr>http://www.nevo.co.il/law/5227/43</vt:lpwstr>
      </vt:variant>
      <vt:variant>
        <vt:lpwstr/>
      </vt:variant>
      <vt:variant>
        <vt:i4>3276915</vt:i4>
      </vt:variant>
      <vt:variant>
        <vt:i4>210</vt:i4>
      </vt:variant>
      <vt:variant>
        <vt:i4>0</vt:i4>
      </vt:variant>
      <vt:variant>
        <vt:i4>5</vt:i4>
      </vt:variant>
      <vt:variant>
        <vt:lpwstr>http://www.nevo.co.il/case/5594967</vt:lpwstr>
      </vt:variant>
      <vt:variant>
        <vt:lpwstr/>
      </vt:variant>
      <vt:variant>
        <vt:i4>3997821</vt:i4>
      </vt:variant>
      <vt:variant>
        <vt:i4>207</vt:i4>
      </vt:variant>
      <vt:variant>
        <vt:i4>0</vt:i4>
      </vt:variant>
      <vt:variant>
        <vt:i4>5</vt:i4>
      </vt:variant>
      <vt:variant>
        <vt:lpwstr>http://www.nevo.co.il/case/7980301</vt:lpwstr>
      </vt:variant>
      <vt:variant>
        <vt:lpwstr/>
      </vt:variant>
      <vt:variant>
        <vt:i4>8323175</vt:i4>
      </vt:variant>
      <vt:variant>
        <vt:i4>204</vt:i4>
      </vt:variant>
      <vt:variant>
        <vt:i4>0</vt:i4>
      </vt:variant>
      <vt:variant>
        <vt:i4>5</vt:i4>
      </vt:variant>
      <vt:variant>
        <vt:lpwstr>http://www.nevo.co.il/law/5227</vt:lpwstr>
      </vt:variant>
      <vt:variant>
        <vt:lpwstr/>
      </vt:variant>
      <vt:variant>
        <vt:i4>4980808</vt:i4>
      </vt:variant>
      <vt:variant>
        <vt:i4>201</vt:i4>
      </vt:variant>
      <vt:variant>
        <vt:i4>0</vt:i4>
      </vt:variant>
      <vt:variant>
        <vt:i4>5</vt:i4>
      </vt:variant>
      <vt:variant>
        <vt:lpwstr>http://www.nevo.co.il/law/5227/35</vt:lpwstr>
      </vt:variant>
      <vt:variant>
        <vt:lpwstr/>
      </vt:variant>
      <vt:variant>
        <vt:i4>8323175</vt:i4>
      </vt:variant>
      <vt:variant>
        <vt:i4>198</vt:i4>
      </vt:variant>
      <vt:variant>
        <vt:i4>0</vt:i4>
      </vt:variant>
      <vt:variant>
        <vt:i4>5</vt:i4>
      </vt:variant>
      <vt:variant>
        <vt:lpwstr>http://www.nevo.co.il/law/5227</vt:lpwstr>
      </vt:variant>
      <vt:variant>
        <vt:lpwstr/>
      </vt:variant>
      <vt:variant>
        <vt:i4>4915272</vt:i4>
      </vt:variant>
      <vt:variant>
        <vt:i4>195</vt:i4>
      </vt:variant>
      <vt:variant>
        <vt:i4>0</vt:i4>
      </vt:variant>
      <vt:variant>
        <vt:i4>5</vt:i4>
      </vt:variant>
      <vt:variant>
        <vt:lpwstr>http://www.nevo.co.il/law/5227/43</vt:lpwstr>
      </vt:variant>
      <vt:variant>
        <vt:lpwstr/>
      </vt:variant>
      <vt:variant>
        <vt:i4>8323175</vt:i4>
      </vt:variant>
      <vt:variant>
        <vt:i4>192</vt:i4>
      </vt:variant>
      <vt:variant>
        <vt:i4>0</vt:i4>
      </vt:variant>
      <vt:variant>
        <vt:i4>5</vt:i4>
      </vt:variant>
      <vt:variant>
        <vt:lpwstr>http://www.nevo.co.il/law/5227</vt:lpwstr>
      </vt:variant>
      <vt:variant>
        <vt:lpwstr/>
      </vt:variant>
      <vt:variant>
        <vt:i4>4980808</vt:i4>
      </vt:variant>
      <vt:variant>
        <vt:i4>189</vt:i4>
      </vt:variant>
      <vt:variant>
        <vt:i4>0</vt:i4>
      </vt:variant>
      <vt:variant>
        <vt:i4>5</vt:i4>
      </vt:variant>
      <vt:variant>
        <vt:lpwstr>http://www.nevo.co.il/law/5227/35</vt:lpwstr>
      </vt:variant>
      <vt:variant>
        <vt:lpwstr/>
      </vt:variant>
      <vt:variant>
        <vt:i4>7995492</vt:i4>
      </vt:variant>
      <vt:variant>
        <vt:i4>186</vt:i4>
      </vt:variant>
      <vt:variant>
        <vt:i4>0</vt:i4>
      </vt:variant>
      <vt:variant>
        <vt:i4>5</vt:i4>
      </vt:variant>
      <vt:variant>
        <vt:lpwstr>http://www.nevo.co.il/law/70301</vt:lpwstr>
      </vt:variant>
      <vt:variant>
        <vt:lpwstr/>
      </vt:variant>
      <vt:variant>
        <vt:i4>917586</vt:i4>
      </vt:variant>
      <vt:variant>
        <vt:i4>183</vt:i4>
      </vt:variant>
      <vt:variant>
        <vt:i4>0</vt:i4>
      </vt:variant>
      <vt:variant>
        <vt:i4>5</vt:i4>
      </vt:variant>
      <vt:variant>
        <vt:lpwstr>http://www.nevo.co.il/law/70301/413jb</vt:lpwstr>
      </vt:variant>
      <vt:variant>
        <vt:lpwstr/>
      </vt:variant>
      <vt:variant>
        <vt:i4>3997821</vt:i4>
      </vt:variant>
      <vt:variant>
        <vt:i4>180</vt:i4>
      </vt:variant>
      <vt:variant>
        <vt:i4>0</vt:i4>
      </vt:variant>
      <vt:variant>
        <vt:i4>5</vt:i4>
      </vt:variant>
      <vt:variant>
        <vt:lpwstr>http://www.nevo.co.il/case/7980301</vt:lpwstr>
      </vt:variant>
      <vt:variant>
        <vt:lpwstr/>
      </vt:variant>
      <vt:variant>
        <vt:i4>3604593</vt:i4>
      </vt:variant>
      <vt:variant>
        <vt:i4>177</vt:i4>
      </vt:variant>
      <vt:variant>
        <vt:i4>0</vt:i4>
      </vt:variant>
      <vt:variant>
        <vt:i4>5</vt:i4>
      </vt:variant>
      <vt:variant>
        <vt:lpwstr>http://www.nevo.co.il/case/5589993</vt:lpwstr>
      </vt:variant>
      <vt:variant>
        <vt:lpwstr/>
      </vt:variant>
      <vt:variant>
        <vt:i4>4063356</vt:i4>
      </vt:variant>
      <vt:variant>
        <vt:i4>174</vt:i4>
      </vt:variant>
      <vt:variant>
        <vt:i4>0</vt:i4>
      </vt:variant>
      <vt:variant>
        <vt:i4>5</vt:i4>
      </vt:variant>
      <vt:variant>
        <vt:lpwstr>http://www.nevo.co.il/case/2894643</vt:lpwstr>
      </vt:variant>
      <vt:variant>
        <vt:lpwstr/>
      </vt:variant>
      <vt:variant>
        <vt:i4>8257634</vt:i4>
      </vt:variant>
      <vt:variant>
        <vt:i4>171</vt:i4>
      </vt:variant>
      <vt:variant>
        <vt:i4>0</vt:i4>
      </vt:variant>
      <vt:variant>
        <vt:i4>5</vt:i4>
      </vt:variant>
      <vt:variant>
        <vt:lpwstr>http://www.nevo.co.il/law/71553</vt:lpwstr>
      </vt:variant>
      <vt:variant>
        <vt:lpwstr/>
      </vt:variant>
      <vt:variant>
        <vt:i4>5308497</vt:i4>
      </vt:variant>
      <vt:variant>
        <vt:i4>168</vt:i4>
      </vt:variant>
      <vt:variant>
        <vt:i4>0</vt:i4>
      </vt:variant>
      <vt:variant>
        <vt:i4>5</vt:i4>
      </vt:variant>
      <vt:variant>
        <vt:lpwstr>http://www.nevo.co.il/law/71553/1</vt:lpwstr>
      </vt:variant>
      <vt:variant>
        <vt:lpwstr/>
      </vt:variant>
      <vt:variant>
        <vt:i4>3932272</vt:i4>
      </vt:variant>
      <vt:variant>
        <vt:i4>165</vt:i4>
      </vt:variant>
      <vt:variant>
        <vt:i4>0</vt:i4>
      </vt:variant>
      <vt:variant>
        <vt:i4>5</vt:i4>
      </vt:variant>
      <vt:variant>
        <vt:lpwstr>http://www.nevo.co.il/case/20402486</vt:lpwstr>
      </vt:variant>
      <vt:variant>
        <vt:lpwstr/>
      </vt:variant>
      <vt:variant>
        <vt:i4>3276914</vt:i4>
      </vt:variant>
      <vt:variant>
        <vt:i4>162</vt:i4>
      </vt:variant>
      <vt:variant>
        <vt:i4>0</vt:i4>
      </vt:variant>
      <vt:variant>
        <vt:i4>5</vt:i4>
      </vt:variant>
      <vt:variant>
        <vt:lpwstr>http://www.nevo.co.il/case/20111708</vt:lpwstr>
      </vt:variant>
      <vt:variant>
        <vt:lpwstr/>
      </vt:variant>
      <vt:variant>
        <vt:i4>3342454</vt:i4>
      </vt:variant>
      <vt:variant>
        <vt:i4>159</vt:i4>
      </vt:variant>
      <vt:variant>
        <vt:i4>0</vt:i4>
      </vt:variant>
      <vt:variant>
        <vt:i4>5</vt:i4>
      </vt:variant>
      <vt:variant>
        <vt:lpwstr>http://www.nevo.co.il/case/11206360</vt:lpwstr>
      </vt:variant>
      <vt:variant>
        <vt:lpwstr/>
      </vt:variant>
      <vt:variant>
        <vt:i4>3145855</vt:i4>
      </vt:variant>
      <vt:variant>
        <vt:i4>156</vt:i4>
      </vt:variant>
      <vt:variant>
        <vt:i4>0</vt:i4>
      </vt:variant>
      <vt:variant>
        <vt:i4>5</vt:i4>
      </vt:variant>
      <vt:variant>
        <vt:lpwstr>http://www.nevo.co.il/case/5991438</vt:lpwstr>
      </vt:variant>
      <vt:variant>
        <vt:lpwstr/>
      </vt:variant>
      <vt:variant>
        <vt:i4>3407997</vt:i4>
      </vt:variant>
      <vt:variant>
        <vt:i4>153</vt:i4>
      </vt:variant>
      <vt:variant>
        <vt:i4>0</vt:i4>
      </vt:variant>
      <vt:variant>
        <vt:i4>5</vt:i4>
      </vt:variant>
      <vt:variant>
        <vt:lpwstr>http://www.nevo.co.il/case/20490021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4915205</vt:i4>
      </vt:variant>
      <vt:variant>
        <vt:i4>147</vt:i4>
      </vt:variant>
      <vt:variant>
        <vt:i4>0</vt:i4>
      </vt:variant>
      <vt:variant>
        <vt:i4>5</vt:i4>
      </vt:variant>
      <vt:variant>
        <vt:lpwstr>http://www.nevo.co.il/law/70301/40d.b</vt:lpwstr>
      </vt:variant>
      <vt:variant>
        <vt:lpwstr/>
      </vt:variant>
      <vt:variant>
        <vt:i4>3342448</vt:i4>
      </vt:variant>
      <vt:variant>
        <vt:i4>144</vt:i4>
      </vt:variant>
      <vt:variant>
        <vt:i4>0</vt:i4>
      </vt:variant>
      <vt:variant>
        <vt:i4>5</vt:i4>
      </vt:variant>
      <vt:variant>
        <vt:lpwstr>http://www.nevo.co.il/case/22938500</vt:lpwstr>
      </vt:variant>
      <vt:variant>
        <vt:lpwstr/>
      </vt:variant>
      <vt:variant>
        <vt:i4>4063344</vt:i4>
      </vt:variant>
      <vt:variant>
        <vt:i4>141</vt:i4>
      </vt:variant>
      <vt:variant>
        <vt:i4>0</vt:i4>
      </vt:variant>
      <vt:variant>
        <vt:i4>5</vt:i4>
      </vt:variant>
      <vt:variant>
        <vt:lpwstr>http://www.nevo.co.il/case/10459128</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http://www.nevo.co.il/law/70301/40d</vt:lpwstr>
      </vt:variant>
      <vt:variant>
        <vt:lpwstr/>
      </vt:variant>
      <vt:variant>
        <vt:i4>3407990</vt:i4>
      </vt:variant>
      <vt:variant>
        <vt:i4>132</vt:i4>
      </vt:variant>
      <vt:variant>
        <vt:i4>0</vt:i4>
      </vt:variant>
      <vt:variant>
        <vt:i4>5</vt:i4>
      </vt:variant>
      <vt:variant>
        <vt:lpwstr>http://www.nevo.co.il/case/25216628</vt:lpwstr>
      </vt:variant>
      <vt:variant>
        <vt:lpwstr/>
      </vt:variant>
      <vt:variant>
        <vt:i4>3276924</vt:i4>
      </vt:variant>
      <vt:variant>
        <vt:i4>129</vt:i4>
      </vt:variant>
      <vt:variant>
        <vt:i4>0</vt:i4>
      </vt:variant>
      <vt:variant>
        <vt:i4>5</vt:i4>
      </vt:variant>
      <vt:variant>
        <vt:lpwstr>http://www.nevo.co.il/case/18065669</vt:lpwstr>
      </vt:variant>
      <vt:variant>
        <vt:lpwstr/>
      </vt:variant>
      <vt:variant>
        <vt:i4>3670132</vt:i4>
      </vt:variant>
      <vt:variant>
        <vt:i4>126</vt:i4>
      </vt:variant>
      <vt:variant>
        <vt:i4>0</vt:i4>
      </vt:variant>
      <vt:variant>
        <vt:i4>5</vt:i4>
      </vt:variant>
      <vt:variant>
        <vt:lpwstr>http://www.nevo.co.il/case/23803311</vt:lpwstr>
      </vt:variant>
      <vt:variant>
        <vt:lpwstr/>
      </vt:variant>
      <vt:variant>
        <vt:i4>3211386</vt:i4>
      </vt:variant>
      <vt:variant>
        <vt:i4>123</vt:i4>
      </vt:variant>
      <vt:variant>
        <vt:i4>0</vt:i4>
      </vt:variant>
      <vt:variant>
        <vt:i4>5</vt:i4>
      </vt:variant>
      <vt:variant>
        <vt:lpwstr>http://www.nevo.co.il/case/22186449</vt:lpwstr>
      </vt:variant>
      <vt:variant>
        <vt:lpwstr/>
      </vt:variant>
      <vt:variant>
        <vt:i4>4128884</vt:i4>
      </vt:variant>
      <vt:variant>
        <vt:i4>120</vt:i4>
      </vt:variant>
      <vt:variant>
        <vt:i4>0</vt:i4>
      </vt:variant>
      <vt:variant>
        <vt:i4>5</vt:i4>
      </vt:variant>
      <vt:variant>
        <vt:lpwstr>http://www.nevo.co.il/case/20854519</vt:lpwstr>
      </vt:variant>
      <vt:variant>
        <vt:lpwstr/>
      </vt:variant>
      <vt:variant>
        <vt:i4>3670139</vt:i4>
      </vt:variant>
      <vt:variant>
        <vt:i4>117</vt:i4>
      </vt:variant>
      <vt:variant>
        <vt:i4>0</vt:i4>
      </vt:variant>
      <vt:variant>
        <vt:i4>5</vt:i4>
      </vt:variant>
      <vt:variant>
        <vt:lpwstr>http://www.nevo.co.il/case/20798650</vt:lpwstr>
      </vt:variant>
      <vt:variant>
        <vt:lpwstr/>
      </vt:variant>
      <vt:variant>
        <vt:i4>589892</vt:i4>
      </vt:variant>
      <vt:variant>
        <vt:i4>114</vt:i4>
      </vt:variant>
      <vt:variant>
        <vt:i4>0</vt:i4>
      </vt:variant>
      <vt:variant>
        <vt:i4>5</vt:i4>
      </vt:variant>
      <vt:variant>
        <vt:lpwstr>http://www.nevo.co.il/case/637380</vt:lpwstr>
      </vt:variant>
      <vt:variant>
        <vt:lpwstr/>
      </vt:variant>
      <vt:variant>
        <vt:i4>3407986</vt:i4>
      </vt:variant>
      <vt:variant>
        <vt:i4>111</vt:i4>
      </vt:variant>
      <vt:variant>
        <vt:i4>0</vt:i4>
      </vt:variant>
      <vt:variant>
        <vt:i4>5</vt:i4>
      </vt:variant>
      <vt:variant>
        <vt:lpwstr>http://www.nevo.co.il/case/6030667</vt:lpwstr>
      </vt:variant>
      <vt:variant>
        <vt:lpwstr/>
      </vt:variant>
      <vt:variant>
        <vt:i4>3473526</vt:i4>
      </vt:variant>
      <vt:variant>
        <vt:i4>108</vt:i4>
      </vt:variant>
      <vt:variant>
        <vt:i4>0</vt:i4>
      </vt:variant>
      <vt:variant>
        <vt:i4>5</vt:i4>
      </vt:variant>
      <vt:variant>
        <vt:lpwstr>http://www.nevo.co.il/case/6142512</vt:lpwstr>
      </vt:variant>
      <vt:variant>
        <vt:lpwstr/>
      </vt:variant>
      <vt:variant>
        <vt:i4>8257646</vt:i4>
      </vt:variant>
      <vt:variant>
        <vt:i4>105</vt:i4>
      </vt:variant>
      <vt:variant>
        <vt:i4>0</vt:i4>
      </vt:variant>
      <vt:variant>
        <vt:i4>5</vt:i4>
      </vt:variant>
      <vt:variant>
        <vt:lpwstr>http://www.nevo.co.il/law/74903</vt:lpwstr>
      </vt:variant>
      <vt:variant>
        <vt:lpwstr/>
      </vt:variant>
      <vt:variant>
        <vt:i4>589917</vt:i4>
      </vt:variant>
      <vt:variant>
        <vt:i4>102</vt:i4>
      </vt:variant>
      <vt:variant>
        <vt:i4>0</vt:i4>
      </vt:variant>
      <vt:variant>
        <vt:i4>5</vt:i4>
      </vt:variant>
      <vt:variant>
        <vt:lpwstr>http://www.nevo.co.il/law/74903/191a</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6619241</vt:i4>
      </vt:variant>
      <vt:variant>
        <vt:i4>96</vt:i4>
      </vt:variant>
      <vt:variant>
        <vt:i4>0</vt:i4>
      </vt:variant>
      <vt:variant>
        <vt:i4>5</vt:i4>
      </vt:variant>
      <vt:variant>
        <vt:lpwstr>http://www.nevo.co.il/law/70301/40j.b.j</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6619241</vt:i4>
      </vt:variant>
      <vt:variant>
        <vt:i4>90</vt:i4>
      </vt:variant>
      <vt:variant>
        <vt:i4>0</vt:i4>
      </vt:variant>
      <vt:variant>
        <vt:i4>5</vt:i4>
      </vt:variant>
      <vt:variant>
        <vt:lpwstr>http://www.nevo.co.il/law/70301/40j.b.2</vt:lpwstr>
      </vt:variant>
      <vt:variant>
        <vt:lpwstr/>
      </vt:variant>
      <vt:variant>
        <vt:i4>3670135</vt:i4>
      </vt:variant>
      <vt:variant>
        <vt:i4>87</vt:i4>
      </vt:variant>
      <vt:variant>
        <vt:i4>0</vt:i4>
      </vt:variant>
      <vt:variant>
        <vt:i4>5</vt:i4>
      </vt:variant>
      <vt:variant>
        <vt:lpwstr>http://www.nevo.co.il/case/17948082</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4915211</vt:i4>
      </vt:variant>
      <vt:variant>
        <vt:i4>81</vt:i4>
      </vt:variant>
      <vt:variant>
        <vt:i4>0</vt:i4>
      </vt:variant>
      <vt:variant>
        <vt:i4>5</vt:i4>
      </vt:variant>
      <vt:variant>
        <vt:lpwstr>http://www.nevo.co.il/law/70301/40j.d</vt:lpwstr>
      </vt:variant>
      <vt:variant>
        <vt:lpwstr/>
      </vt:variant>
      <vt:variant>
        <vt:i4>3801202</vt:i4>
      </vt:variant>
      <vt:variant>
        <vt:i4>78</vt:i4>
      </vt:variant>
      <vt:variant>
        <vt:i4>0</vt:i4>
      </vt:variant>
      <vt:variant>
        <vt:i4>5</vt:i4>
      </vt:variant>
      <vt:variant>
        <vt:lpwstr>http://www.nevo.co.il/case/5576159</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7995492</vt:i4>
      </vt:variant>
      <vt:variant>
        <vt:i4>69</vt:i4>
      </vt:variant>
      <vt:variant>
        <vt:i4>0</vt:i4>
      </vt:variant>
      <vt:variant>
        <vt:i4>5</vt:i4>
      </vt:variant>
      <vt:variant>
        <vt:lpwstr>http://www.nevo.co.il/law/70301</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6684774</vt:i4>
      </vt:variant>
      <vt:variant>
        <vt:i4>57</vt:i4>
      </vt:variant>
      <vt:variant>
        <vt:i4>0</vt:i4>
      </vt:variant>
      <vt:variant>
        <vt:i4>5</vt:i4>
      </vt:variant>
      <vt:variant>
        <vt:lpwstr>http://www.nevo.co.il/law/70301/333</vt:lpwstr>
      </vt:variant>
      <vt:variant>
        <vt:lpwstr/>
      </vt:variant>
      <vt:variant>
        <vt:i4>4915272</vt:i4>
      </vt:variant>
      <vt:variant>
        <vt:i4>54</vt:i4>
      </vt:variant>
      <vt:variant>
        <vt:i4>0</vt:i4>
      </vt:variant>
      <vt:variant>
        <vt:i4>5</vt:i4>
      </vt:variant>
      <vt:variant>
        <vt:lpwstr>http://www.nevo.co.il/law/5227/43</vt:lpwstr>
      </vt:variant>
      <vt:variant>
        <vt:lpwstr/>
      </vt:variant>
      <vt:variant>
        <vt:i4>4980808</vt:i4>
      </vt:variant>
      <vt:variant>
        <vt:i4>51</vt:i4>
      </vt:variant>
      <vt:variant>
        <vt:i4>0</vt:i4>
      </vt:variant>
      <vt:variant>
        <vt:i4>5</vt:i4>
      </vt:variant>
      <vt:variant>
        <vt:lpwstr>http://www.nevo.co.il/law/5227/35</vt:lpwstr>
      </vt:variant>
      <vt:variant>
        <vt:lpwstr/>
      </vt:variant>
      <vt:variant>
        <vt:i4>8323175</vt:i4>
      </vt:variant>
      <vt:variant>
        <vt:i4>48</vt:i4>
      </vt:variant>
      <vt:variant>
        <vt:i4>0</vt:i4>
      </vt:variant>
      <vt:variant>
        <vt:i4>5</vt:i4>
      </vt:variant>
      <vt:variant>
        <vt:lpwstr>http://www.nevo.co.il/law/5227</vt:lpwstr>
      </vt:variant>
      <vt:variant>
        <vt:lpwstr/>
      </vt:variant>
      <vt:variant>
        <vt:i4>5308497</vt:i4>
      </vt:variant>
      <vt:variant>
        <vt:i4>45</vt:i4>
      </vt:variant>
      <vt:variant>
        <vt:i4>0</vt:i4>
      </vt:variant>
      <vt:variant>
        <vt:i4>5</vt:i4>
      </vt:variant>
      <vt:variant>
        <vt:lpwstr>http://www.nevo.co.il/law/71553/1</vt:lpwstr>
      </vt:variant>
      <vt:variant>
        <vt:lpwstr/>
      </vt:variant>
      <vt:variant>
        <vt:i4>8257634</vt:i4>
      </vt:variant>
      <vt:variant>
        <vt:i4>42</vt:i4>
      </vt:variant>
      <vt:variant>
        <vt:i4>0</vt:i4>
      </vt:variant>
      <vt:variant>
        <vt:i4>5</vt:i4>
      </vt:variant>
      <vt:variant>
        <vt:lpwstr>http://www.nevo.co.il/law/71553</vt:lpwstr>
      </vt:variant>
      <vt:variant>
        <vt:lpwstr/>
      </vt:variant>
      <vt:variant>
        <vt:i4>589917</vt:i4>
      </vt:variant>
      <vt:variant>
        <vt:i4>39</vt:i4>
      </vt:variant>
      <vt:variant>
        <vt:i4>0</vt:i4>
      </vt:variant>
      <vt:variant>
        <vt:i4>5</vt:i4>
      </vt:variant>
      <vt:variant>
        <vt:lpwstr>http://www.nevo.co.il/law/74903/191a</vt:lpwstr>
      </vt:variant>
      <vt:variant>
        <vt:lpwstr/>
      </vt:variant>
      <vt:variant>
        <vt:i4>8257646</vt:i4>
      </vt:variant>
      <vt:variant>
        <vt:i4>36</vt:i4>
      </vt:variant>
      <vt:variant>
        <vt:i4>0</vt:i4>
      </vt:variant>
      <vt:variant>
        <vt:i4>5</vt:i4>
      </vt:variant>
      <vt:variant>
        <vt:lpwstr>http://www.nevo.co.il/law/74903</vt:lpwstr>
      </vt:variant>
      <vt:variant>
        <vt:lpwstr/>
      </vt:variant>
      <vt:variant>
        <vt:i4>6291553</vt:i4>
      </vt:variant>
      <vt:variant>
        <vt:i4>33</vt:i4>
      </vt:variant>
      <vt:variant>
        <vt:i4>0</vt:i4>
      </vt:variant>
      <vt:variant>
        <vt:i4>5</vt:i4>
      </vt:variant>
      <vt:variant>
        <vt:lpwstr>http://www.nevo.co.il/law/70301/452</vt:lpwstr>
      </vt:variant>
      <vt:variant>
        <vt:lpwstr/>
      </vt:variant>
      <vt:variant>
        <vt:i4>917586</vt:i4>
      </vt:variant>
      <vt:variant>
        <vt:i4>30</vt:i4>
      </vt:variant>
      <vt:variant>
        <vt:i4>0</vt:i4>
      </vt:variant>
      <vt:variant>
        <vt:i4>5</vt:i4>
      </vt:variant>
      <vt:variant>
        <vt:lpwstr>http://www.nevo.co.il/law/70301/413jb</vt:lpwstr>
      </vt:variant>
      <vt:variant>
        <vt:lpwstr/>
      </vt:variant>
      <vt:variant>
        <vt:i4>6684774</vt:i4>
      </vt:variant>
      <vt:variant>
        <vt:i4>27</vt:i4>
      </vt:variant>
      <vt:variant>
        <vt:i4>0</vt:i4>
      </vt:variant>
      <vt:variant>
        <vt:i4>5</vt:i4>
      </vt:variant>
      <vt:variant>
        <vt:lpwstr>http://www.nevo.co.il/law/70301/333</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4849667</vt:i4>
      </vt:variant>
      <vt:variant>
        <vt:i4>21</vt:i4>
      </vt:variant>
      <vt:variant>
        <vt:i4>0</vt:i4>
      </vt:variant>
      <vt:variant>
        <vt:i4>5</vt:i4>
      </vt:variant>
      <vt:variant>
        <vt:lpwstr>http://www.nevo.co.il/law/70301/51c.c</vt:lpwstr>
      </vt:variant>
      <vt:variant>
        <vt:lpwstr/>
      </vt:variant>
      <vt:variant>
        <vt:i4>4915211</vt:i4>
      </vt:variant>
      <vt:variant>
        <vt:i4>18</vt:i4>
      </vt:variant>
      <vt:variant>
        <vt:i4>0</vt:i4>
      </vt:variant>
      <vt:variant>
        <vt:i4>5</vt:i4>
      </vt:variant>
      <vt:variant>
        <vt:lpwstr>http://www.nevo.co.il/law/70301/40j.d</vt:lpwstr>
      </vt:variant>
      <vt:variant>
        <vt:lpwstr/>
      </vt:variant>
      <vt:variant>
        <vt:i4>6619241</vt:i4>
      </vt:variant>
      <vt:variant>
        <vt:i4>15</vt:i4>
      </vt:variant>
      <vt:variant>
        <vt:i4>0</vt:i4>
      </vt:variant>
      <vt:variant>
        <vt:i4>5</vt:i4>
      </vt:variant>
      <vt:variant>
        <vt:lpwstr>http://www.nevo.co.il/law/70301/40j.b.j</vt:lpwstr>
      </vt:variant>
      <vt:variant>
        <vt:lpwstr/>
      </vt:variant>
      <vt:variant>
        <vt:i4>6619241</vt:i4>
      </vt:variant>
      <vt:variant>
        <vt:i4>12</vt:i4>
      </vt:variant>
      <vt:variant>
        <vt:i4>0</vt:i4>
      </vt:variant>
      <vt:variant>
        <vt:i4>5</vt:i4>
      </vt:variant>
      <vt:variant>
        <vt:lpwstr>http://www.nevo.co.il/law/70301/40j.b.2</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4915205</vt:i4>
      </vt:variant>
      <vt:variant>
        <vt:i4>6</vt:i4>
      </vt:variant>
      <vt:variant>
        <vt:i4>0</vt:i4>
      </vt:variant>
      <vt:variant>
        <vt:i4>5</vt:i4>
      </vt:variant>
      <vt:variant>
        <vt:lpwstr>http://www.nevo.co.il/law/70301/40d.b</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2025-04-22T23:18:00Z</dcterms:created>
  <dcterms:modified xsi:type="dcterms:W3CDTF">2025-04-22T23:18:00Z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5405</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יגאל רוזנצוויג</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20190922</vt:lpwstr>
  </property>
  <property fmtid="{D5CDD505-2E9C-101B-9397-08002B2CF9AE}" pid="13" name="TYPE_N_DATE">
    <vt:lpwstr>38020190922</vt:lpwstr>
  </property>
  <property fmtid="{D5CDD505-2E9C-101B-9397-08002B2CF9AE}" pid="14" name="CASESLISTTMP1">
    <vt:lpwstr>5576159;17948082;6142512;6030667;637380;20798650;20854519;22186449;23803311;18065669;25216628;10459128;22938500;20490021;5991438;11206360;20111708;20402486;2894643;5589993;7980301:2;5594967;5593986</vt:lpwstr>
  </property>
  <property fmtid="{D5CDD505-2E9C-101B-9397-08002B2CF9AE}" pid="15" name="WORDNUMPAGES">
    <vt:lpwstr>11</vt:lpwstr>
  </property>
  <property fmtid="{D5CDD505-2E9C-101B-9397-08002B2CF9AE}" pid="16" name="TYPE_ABS_DATE">
    <vt:lpwstr>380020190922</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70301/333;192;452;040i;040j.d;040j.b.2;040j.b.j;040d;040d.b;413jb;051c.c</vt:lpwstr>
  </property>
  <property fmtid="{D5CDD505-2E9C-101B-9397-08002B2CF9AE}" pid="37" name="LAWLISTTMP2">
    <vt:lpwstr>74903/191a</vt:lpwstr>
  </property>
  <property fmtid="{D5CDD505-2E9C-101B-9397-08002B2CF9AE}" pid="38" name="LAWLISTTMP3">
    <vt:lpwstr>71553/001</vt:lpwstr>
  </property>
  <property fmtid="{D5CDD505-2E9C-101B-9397-08002B2CF9AE}" pid="39" name="LAWLISTTMP4">
    <vt:lpwstr>5227/035:2;043:2</vt:lpwstr>
  </property>
</Properties>
</file>