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76D64" w:rsidRPr="00E61BBD" w14:paraId="65FF6E7B" w14:textId="77777777" w:rsidTr="003D194A">
        <w:trPr>
          <w:trHeight w:hRule="exact" w:val="418"/>
          <w:jc w:val="center"/>
        </w:trPr>
        <w:tc>
          <w:tcPr>
            <w:tcW w:w="8721" w:type="dxa"/>
            <w:gridSpan w:val="2"/>
          </w:tcPr>
          <w:p w14:paraId="1FA3B264" w14:textId="77777777" w:rsidR="00676D64" w:rsidRPr="00E61BBD" w:rsidRDefault="00676D64" w:rsidP="009A25DD">
            <w:pPr>
              <w:pStyle w:val="a3"/>
              <w:jc w:val="center"/>
              <w:rPr>
                <w:rFonts w:ascii="Tahoma" w:hAnsi="Tahoma" w:cs="Tahoma"/>
                <w:color w:val="000080"/>
                <w:rtl/>
              </w:rPr>
            </w:pPr>
            <w:bookmarkStart w:id="0" w:name="LastJudge"/>
            <w:r w:rsidRPr="00E61BBD">
              <w:rPr>
                <w:rFonts w:ascii="Tahoma" w:hAnsi="Tahoma" w:cs="Tahoma"/>
                <w:b/>
                <w:bCs/>
                <w:color w:val="000080"/>
                <w:rtl/>
              </w:rPr>
              <w:t>בית משפט השלום בקריות</w:t>
            </w:r>
          </w:p>
        </w:tc>
      </w:tr>
      <w:tr w:rsidR="00676D64" w:rsidRPr="00E61BBD" w14:paraId="6C49A02C" w14:textId="77777777" w:rsidTr="003D194A">
        <w:trPr>
          <w:trHeight w:val="337"/>
          <w:jc w:val="center"/>
        </w:trPr>
        <w:tc>
          <w:tcPr>
            <w:tcW w:w="5055" w:type="dxa"/>
          </w:tcPr>
          <w:p w14:paraId="133E61D1" w14:textId="77777777" w:rsidR="00676D64" w:rsidRPr="00E61BBD" w:rsidRDefault="00676D64" w:rsidP="009A25DD">
            <w:pPr>
              <w:rPr>
                <w:rFonts w:cs="FrankRuehl"/>
                <w:sz w:val="28"/>
                <w:szCs w:val="28"/>
                <w:rtl/>
              </w:rPr>
            </w:pPr>
            <w:r w:rsidRPr="00E61BBD">
              <w:rPr>
                <w:rFonts w:cs="FrankRuehl"/>
                <w:sz w:val="28"/>
                <w:szCs w:val="28"/>
                <w:rtl/>
              </w:rPr>
              <w:t>ת"פ</w:t>
            </w:r>
            <w:r w:rsidRPr="00E61BBD">
              <w:rPr>
                <w:rFonts w:cs="FrankRuehl" w:hint="cs"/>
                <w:sz w:val="28"/>
                <w:szCs w:val="28"/>
                <w:rtl/>
              </w:rPr>
              <w:t xml:space="preserve"> </w:t>
            </w:r>
            <w:r w:rsidRPr="00E61BBD">
              <w:rPr>
                <w:rFonts w:cs="FrankRuehl"/>
                <w:sz w:val="28"/>
                <w:szCs w:val="28"/>
                <w:rtl/>
              </w:rPr>
              <w:t>6048-01-17</w:t>
            </w:r>
            <w:r w:rsidRPr="00E61BBD">
              <w:rPr>
                <w:rFonts w:cs="FrankRuehl" w:hint="cs"/>
                <w:sz w:val="28"/>
                <w:szCs w:val="28"/>
                <w:rtl/>
              </w:rPr>
              <w:t xml:space="preserve"> </w:t>
            </w:r>
            <w:r w:rsidRPr="00E61BBD">
              <w:rPr>
                <w:rFonts w:cs="FrankRuehl"/>
                <w:sz w:val="28"/>
                <w:szCs w:val="28"/>
                <w:rtl/>
              </w:rPr>
              <w:t>מדינת ישראל נ' יעקובוב</w:t>
            </w:r>
          </w:p>
          <w:p w14:paraId="5B3B4F70" w14:textId="77777777" w:rsidR="00676D64" w:rsidRPr="00E61BBD" w:rsidRDefault="00676D64" w:rsidP="009A25DD">
            <w:pPr>
              <w:rPr>
                <w:rFonts w:cs="FrankRuehl"/>
                <w:sz w:val="28"/>
                <w:szCs w:val="28"/>
                <w:rtl/>
              </w:rPr>
            </w:pPr>
            <w:r w:rsidRPr="00E61BBD">
              <w:rPr>
                <w:rFonts w:cs="FrankRuehl"/>
                <w:sz w:val="28"/>
                <w:szCs w:val="28"/>
                <w:rtl/>
              </w:rPr>
              <w:t>ת"פ</w:t>
            </w:r>
            <w:r w:rsidRPr="00E61BBD">
              <w:rPr>
                <w:rFonts w:cs="FrankRuehl" w:hint="cs"/>
                <w:sz w:val="28"/>
                <w:szCs w:val="28"/>
                <w:rtl/>
              </w:rPr>
              <w:t xml:space="preserve"> </w:t>
            </w:r>
            <w:r w:rsidRPr="00E61BBD">
              <w:rPr>
                <w:rFonts w:cs="FrankRuehl"/>
                <w:sz w:val="28"/>
                <w:szCs w:val="28"/>
                <w:rtl/>
              </w:rPr>
              <w:t>6032-01-17</w:t>
            </w:r>
            <w:r w:rsidRPr="00E61BBD">
              <w:rPr>
                <w:rFonts w:cs="FrankRuehl" w:hint="cs"/>
                <w:sz w:val="28"/>
                <w:szCs w:val="28"/>
                <w:rtl/>
              </w:rPr>
              <w:t xml:space="preserve"> </w:t>
            </w:r>
            <w:r w:rsidRPr="00E61BBD">
              <w:rPr>
                <w:rFonts w:cs="FrankRuehl"/>
                <w:sz w:val="28"/>
                <w:szCs w:val="28"/>
                <w:rtl/>
              </w:rPr>
              <w:t>מדינת ישראל נ' יעקובוב</w:t>
            </w:r>
          </w:p>
          <w:p w14:paraId="0D636497" w14:textId="77777777" w:rsidR="00676D64" w:rsidRPr="00E61BBD" w:rsidRDefault="00676D64" w:rsidP="009A25DD">
            <w:pPr>
              <w:rPr>
                <w:rFonts w:cs="FrankRuehl"/>
                <w:sz w:val="28"/>
                <w:szCs w:val="28"/>
                <w:rtl/>
              </w:rPr>
            </w:pPr>
            <w:r w:rsidRPr="00E61BBD">
              <w:rPr>
                <w:rFonts w:cs="FrankRuehl"/>
                <w:sz w:val="28"/>
                <w:szCs w:val="28"/>
                <w:rtl/>
              </w:rPr>
              <w:t>ת"פ</w:t>
            </w:r>
            <w:r w:rsidRPr="00E61BBD">
              <w:rPr>
                <w:rFonts w:cs="FrankRuehl" w:hint="cs"/>
                <w:sz w:val="28"/>
                <w:szCs w:val="28"/>
                <w:rtl/>
              </w:rPr>
              <w:t xml:space="preserve"> </w:t>
            </w:r>
            <w:r w:rsidRPr="00E61BBD">
              <w:rPr>
                <w:rFonts w:cs="FrankRuehl"/>
                <w:sz w:val="28"/>
                <w:szCs w:val="28"/>
                <w:rtl/>
              </w:rPr>
              <w:t>53562-08-16</w:t>
            </w:r>
            <w:r w:rsidRPr="00E61BBD">
              <w:rPr>
                <w:rFonts w:cs="FrankRuehl" w:hint="cs"/>
                <w:sz w:val="28"/>
                <w:szCs w:val="28"/>
                <w:rtl/>
              </w:rPr>
              <w:t xml:space="preserve"> </w:t>
            </w:r>
            <w:r w:rsidRPr="00E61BBD">
              <w:rPr>
                <w:rFonts w:cs="FrankRuehl"/>
                <w:sz w:val="28"/>
                <w:szCs w:val="28"/>
                <w:rtl/>
              </w:rPr>
              <w:t>מדינת ישראל נ' יעקובוב</w:t>
            </w:r>
          </w:p>
          <w:p w14:paraId="3916B3B9" w14:textId="77777777" w:rsidR="00676D64" w:rsidRPr="00E61BBD" w:rsidRDefault="00676D64" w:rsidP="009A25DD">
            <w:pPr>
              <w:rPr>
                <w:rtl/>
              </w:rPr>
            </w:pPr>
            <w:r w:rsidRPr="00E61BBD">
              <w:rPr>
                <w:rFonts w:cs="FrankRuehl"/>
                <w:sz w:val="28"/>
                <w:szCs w:val="28"/>
                <w:rtl/>
              </w:rPr>
              <w:t>ת"פ</w:t>
            </w:r>
            <w:r w:rsidRPr="00E61BBD">
              <w:rPr>
                <w:rFonts w:cs="FrankRuehl" w:hint="cs"/>
                <w:sz w:val="28"/>
                <w:szCs w:val="28"/>
                <w:rtl/>
              </w:rPr>
              <w:t xml:space="preserve"> </w:t>
            </w:r>
            <w:r w:rsidRPr="00E61BBD">
              <w:rPr>
                <w:rFonts w:cs="FrankRuehl"/>
                <w:sz w:val="28"/>
                <w:szCs w:val="28"/>
                <w:rtl/>
              </w:rPr>
              <w:t>51521-10-14</w:t>
            </w:r>
            <w:r w:rsidRPr="00E61BBD">
              <w:rPr>
                <w:rFonts w:cs="FrankRuehl" w:hint="cs"/>
                <w:sz w:val="28"/>
                <w:szCs w:val="28"/>
                <w:rtl/>
              </w:rPr>
              <w:t xml:space="preserve"> </w:t>
            </w:r>
            <w:r w:rsidRPr="00E61BBD">
              <w:rPr>
                <w:rFonts w:cs="FrankRuehl"/>
                <w:sz w:val="28"/>
                <w:szCs w:val="28"/>
                <w:rtl/>
              </w:rPr>
              <w:t>מדינת ישראל נ' יעקובוב</w:t>
            </w:r>
          </w:p>
          <w:p w14:paraId="36F982E5" w14:textId="77777777" w:rsidR="00676D64" w:rsidRPr="00E61BBD" w:rsidRDefault="00676D64" w:rsidP="009A25DD">
            <w:pPr>
              <w:rPr>
                <w:rFonts w:cs="FrankRuehl"/>
                <w:sz w:val="28"/>
                <w:szCs w:val="28"/>
                <w:rtl/>
              </w:rPr>
            </w:pPr>
            <w:r w:rsidRPr="00E61BBD">
              <w:rPr>
                <w:rFonts w:cs="FrankRuehl"/>
                <w:sz w:val="28"/>
                <w:szCs w:val="28"/>
                <w:rtl/>
              </w:rPr>
              <w:t>ת"פ</w:t>
            </w:r>
            <w:r w:rsidRPr="00E61BBD">
              <w:rPr>
                <w:rFonts w:cs="FrankRuehl" w:hint="cs"/>
                <w:sz w:val="28"/>
                <w:szCs w:val="28"/>
                <w:rtl/>
              </w:rPr>
              <w:t xml:space="preserve"> 34638</w:t>
            </w:r>
            <w:r w:rsidRPr="00E61BBD">
              <w:rPr>
                <w:rFonts w:cs="FrankRuehl"/>
                <w:sz w:val="28"/>
                <w:szCs w:val="28"/>
                <w:rtl/>
              </w:rPr>
              <w:t>-</w:t>
            </w:r>
            <w:r w:rsidRPr="00E61BBD">
              <w:rPr>
                <w:rFonts w:cs="FrankRuehl" w:hint="cs"/>
                <w:sz w:val="28"/>
                <w:szCs w:val="28"/>
                <w:rtl/>
              </w:rPr>
              <w:t>03</w:t>
            </w:r>
            <w:r w:rsidRPr="00E61BBD">
              <w:rPr>
                <w:rFonts w:cs="FrankRuehl"/>
                <w:sz w:val="28"/>
                <w:szCs w:val="28"/>
                <w:rtl/>
              </w:rPr>
              <w:t>-</w:t>
            </w:r>
            <w:r w:rsidRPr="00E61BBD">
              <w:rPr>
                <w:rFonts w:cs="FrankRuehl" w:hint="cs"/>
                <w:sz w:val="28"/>
                <w:szCs w:val="28"/>
                <w:rtl/>
              </w:rPr>
              <w:t xml:space="preserve">17 </w:t>
            </w:r>
            <w:r w:rsidRPr="00E61BBD">
              <w:rPr>
                <w:rFonts w:cs="FrankRuehl"/>
                <w:sz w:val="28"/>
                <w:szCs w:val="28"/>
                <w:rtl/>
              </w:rPr>
              <w:t>מדינת ישראל נ' יעקובוב</w:t>
            </w:r>
          </w:p>
          <w:p w14:paraId="1D1F57FF" w14:textId="77777777" w:rsidR="00676D64" w:rsidRPr="00E61BBD" w:rsidRDefault="00E61BBD" w:rsidP="009A25DD">
            <w:pPr>
              <w:rPr>
                <w:rFonts w:cs="FrankRuehl"/>
                <w:sz w:val="28"/>
                <w:szCs w:val="28"/>
                <w:rtl/>
              </w:rPr>
            </w:pPr>
            <w:hyperlink r:id="rId7" w:history="1">
              <w:r w:rsidRPr="00E61BBD">
                <w:rPr>
                  <w:rFonts w:cs="FrankRuehl"/>
                  <w:color w:val="0000FF"/>
                  <w:sz w:val="28"/>
                  <w:szCs w:val="28"/>
                  <w:u w:val="single"/>
                  <w:rtl/>
                </w:rPr>
                <w:t>ת"פ 20654-11-17</w:t>
              </w:r>
            </w:hyperlink>
            <w:r w:rsidR="00676D64" w:rsidRPr="00E61BBD">
              <w:rPr>
                <w:rFonts w:cs="FrankRuehl" w:hint="cs"/>
                <w:sz w:val="28"/>
                <w:szCs w:val="28"/>
                <w:rtl/>
              </w:rPr>
              <w:t xml:space="preserve"> </w:t>
            </w:r>
            <w:r w:rsidR="00676D64" w:rsidRPr="00E61BBD">
              <w:rPr>
                <w:rFonts w:cs="FrankRuehl"/>
                <w:sz w:val="28"/>
                <w:szCs w:val="28"/>
                <w:rtl/>
              </w:rPr>
              <w:t>מדינת ישראל נ' יעקובוב</w:t>
            </w:r>
          </w:p>
          <w:p w14:paraId="567F8C14" w14:textId="77777777" w:rsidR="00676D64" w:rsidRPr="00E61BBD" w:rsidRDefault="00676D64" w:rsidP="009A25DD">
            <w:pPr>
              <w:rPr>
                <w:rFonts w:cs="FrankRuehl"/>
                <w:sz w:val="28"/>
                <w:szCs w:val="28"/>
                <w:rtl/>
              </w:rPr>
            </w:pPr>
          </w:p>
          <w:p w14:paraId="762DCF2D" w14:textId="77777777" w:rsidR="00676D64" w:rsidRPr="00E61BBD" w:rsidRDefault="00676D64" w:rsidP="009A25DD">
            <w:pPr>
              <w:pStyle w:val="a3"/>
              <w:rPr>
                <w:rFonts w:cs="FrankRuehl"/>
                <w:sz w:val="28"/>
                <w:szCs w:val="28"/>
                <w:rtl/>
              </w:rPr>
            </w:pPr>
          </w:p>
        </w:tc>
        <w:tc>
          <w:tcPr>
            <w:tcW w:w="3666" w:type="dxa"/>
          </w:tcPr>
          <w:p w14:paraId="5671F179" w14:textId="77777777" w:rsidR="00676D64" w:rsidRPr="00E61BBD" w:rsidRDefault="00676D64" w:rsidP="009A25DD">
            <w:pPr>
              <w:pStyle w:val="a3"/>
              <w:jc w:val="right"/>
              <w:rPr>
                <w:rFonts w:cs="FrankRuehl"/>
                <w:sz w:val="28"/>
                <w:szCs w:val="28"/>
                <w:rtl/>
              </w:rPr>
            </w:pPr>
          </w:p>
        </w:tc>
      </w:tr>
    </w:tbl>
    <w:p w14:paraId="5F92A36E" w14:textId="77777777" w:rsidR="00676D64" w:rsidRPr="00E61BBD" w:rsidRDefault="00676D64" w:rsidP="00676D64">
      <w:pPr>
        <w:pStyle w:val="a3"/>
        <w:rPr>
          <w:rtl/>
        </w:rPr>
      </w:pPr>
      <w:r w:rsidRPr="00E61BBD">
        <w:rPr>
          <w:rFonts w:hint="cs"/>
          <w:rtl/>
        </w:rPr>
        <w:t xml:space="preserve"> </w:t>
      </w:r>
    </w:p>
    <w:p w14:paraId="17949F16" w14:textId="77777777" w:rsidR="00676D64" w:rsidRPr="00E61BBD" w:rsidRDefault="00676D64" w:rsidP="00676D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76D64" w:rsidRPr="00E61BBD" w14:paraId="0B169FF7" w14:textId="77777777" w:rsidTr="00676D64">
        <w:trPr>
          <w:trHeight w:val="295"/>
          <w:jc w:val="center"/>
        </w:trPr>
        <w:tc>
          <w:tcPr>
            <w:tcW w:w="923" w:type="dxa"/>
            <w:tcBorders>
              <w:top w:val="nil"/>
              <w:left w:val="nil"/>
              <w:bottom w:val="nil"/>
              <w:right w:val="nil"/>
            </w:tcBorders>
            <w:shd w:val="clear" w:color="auto" w:fill="auto"/>
          </w:tcPr>
          <w:p w14:paraId="3BA7C697" w14:textId="77777777" w:rsidR="00676D64" w:rsidRPr="00E61BBD" w:rsidRDefault="00676D64" w:rsidP="00676D64">
            <w:pPr>
              <w:jc w:val="both"/>
              <w:rPr>
                <w:rFonts w:ascii="Arial" w:hAnsi="Arial"/>
                <w:b/>
                <w:bCs/>
              </w:rPr>
            </w:pPr>
            <w:r w:rsidRPr="00E61BBD">
              <w:rPr>
                <w:rFonts w:ascii="Arial" w:hAnsi="Arial" w:hint="cs"/>
                <w:b/>
                <w:bCs/>
                <w:rtl/>
              </w:rPr>
              <w:t>ב</w:t>
            </w:r>
            <w:r w:rsidRPr="00E61BBD">
              <w:rPr>
                <w:rFonts w:ascii="Arial" w:hAnsi="Arial"/>
                <w:b/>
                <w:bCs/>
                <w:rtl/>
              </w:rPr>
              <w:t xml:space="preserve">פני </w:t>
            </w:r>
          </w:p>
        </w:tc>
        <w:tc>
          <w:tcPr>
            <w:tcW w:w="7897" w:type="dxa"/>
            <w:gridSpan w:val="2"/>
            <w:tcBorders>
              <w:top w:val="nil"/>
              <w:left w:val="nil"/>
              <w:bottom w:val="nil"/>
              <w:right w:val="nil"/>
            </w:tcBorders>
            <w:shd w:val="clear" w:color="auto" w:fill="auto"/>
          </w:tcPr>
          <w:p w14:paraId="2E7A6027" w14:textId="77777777" w:rsidR="00676D64" w:rsidRPr="00E61BBD" w:rsidRDefault="00676D64" w:rsidP="009A25DD">
            <w:pPr>
              <w:rPr>
                <w:rFonts w:ascii="Arial" w:hAnsi="Arial"/>
                <w:b/>
                <w:bCs/>
                <w:rtl/>
              </w:rPr>
            </w:pPr>
            <w:r w:rsidRPr="00E61BBD">
              <w:rPr>
                <w:rFonts w:ascii="Arial" w:hAnsi="Arial" w:hint="cs"/>
                <w:b/>
                <w:bCs/>
                <w:rtl/>
              </w:rPr>
              <w:t>כבוד ה</w:t>
            </w:r>
            <w:r w:rsidRPr="00E61BBD">
              <w:rPr>
                <w:rFonts w:ascii="Arial" w:hAnsi="Arial"/>
                <w:b/>
                <w:bCs/>
                <w:rtl/>
              </w:rPr>
              <w:t>שופט</w:t>
            </w:r>
            <w:r w:rsidRPr="00E61BBD">
              <w:rPr>
                <w:rFonts w:ascii="Arial" w:hAnsi="Arial" w:hint="cs"/>
                <w:b/>
                <w:bCs/>
                <w:rtl/>
              </w:rPr>
              <w:t xml:space="preserve">  </w:t>
            </w:r>
            <w:r w:rsidRPr="00E61BBD">
              <w:rPr>
                <w:rFonts w:ascii="Arial" w:hAnsi="Arial"/>
                <w:b/>
                <w:bCs/>
                <w:rtl/>
              </w:rPr>
              <w:t>יוסי טורס</w:t>
            </w:r>
          </w:p>
          <w:p w14:paraId="27C79515" w14:textId="77777777" w:rsidR="00676D64" w:rsidRPr="00E61BBD" w:rsidRDefault="00676D64" w:rsidP="009A25DD">
            <w:pPr>
              <w:rPr>
                <w:b/>
                <w:bCs/>
                <w:rtl/>
              </w:rPr>
            </w:pPr>
          </w:p>
          <w:p w14:paraId="2EAF0319" w14:textId="77777777" w:rsidR="00676D64" w:rsidRPr="00E61BBD" w:rsidRDefault="00676D64" w:rsidP="00676D64">
            <w:pPr>
              <w:jc w:val="both"/>
              <w:rPr>
                <w:rFonts w:ascii="Arial" w:hAnsi="Arial"/>
                <w:b/>
                <w:bCs/>
              </w:rPr>
            </w:pPr>
          </w:p>
        </w:tc>
      </w:tr>
      <w:tr w:rsidR="00676D64" w:rsidRPr="00E61BBD" w14:paraId="5E4EB0C6" w14:textId="77777777" w:rsidTr="00676D64">
        <w:trPr>
          <w:trHeight w:val="355"/>
          <w:jc w:val="center"/>
        </w:trPr>
        <w:tc>
          <w:tcPr>
            <w:tcW w:w="923" w:type="dxa"/>
            <w:tcBorders>
              <w:top w:val="nil"/>
              <w:left w:val="nil"/>
              <w:bottom w:val="nil"/>
              <w:right w:val="nil"/>
            </w:tcBorders>
            <w:shd w:val="clear" w:color="auto" w:fill="auto"/>
          </w:tcPr>
          <w:p w14:paraId="7E037DF3" w14:textId="77777777" w:rsidR="00676D64" w:rsidRPr="00E61BBD" w:rsidRDefault="00676D64" w:rsidP="00676D64">
            <w:pPr>
              <w:jc w:val="both"/>
              <w:rPr>
                <w:rFonts w:ascii="Arial" w:hAnsi="Arial"/>
                <w:b/>
                <w:bCs/>
              </w:rPr>
            </w:pPr>
            <w:bookmarkStart w:id="1" w:name="FirstAppellant"/>
            <w:r w:rsidRPr="00E61BBD">
              <w:rPr>
                <w:rFonts w:ascii="Arial" w:hAnsi="Arial" w:hint="cs"/>
                <w:b/>
                <w:bCs/>
                <w:rtl/>
              </w:rPr>
              <w:t>בעניין:</w:t>
            </w:r>
          </w:p>
        </w:tc>
        <w:tc>
          <w:tcPr>
            <w:tcW w:w="4126" w:type="dxa"/>
            <w:tcBorders>
              <w:top w:val="nil"/>
              <w:left w:val="nil"/>
              <w:bottom w:val="nil"/>
              <w:right w:val="nil"/>
            </w:tcBorders>
            <w:shd w:val="clear" w:color="auto" w:fill="auto"/>
          </w:tcPr>
          <w:p w14:paraId="6703CE75" w14:textId="77777777" w:rsidR="00676D64" w:rsidRPr="00E61BBD" w:rsidRDefault="00676D64" w:rsidP="009A25DD">
            <w:pPr>
              <w:rPr>
                <w:b/>
                <w:bCs/>
              </w:rPr>
            </w:pPr>
            <w:r w:rsidRPr="00E61BBD">
              <w:rPr>
                <w:rFonts w:ascii="Arial" w:hAnsi="Arial"/>
                <w:b/>
                <w:bCs/>
                <w:rtl/>
              </w:rPr>
              <w:t>מדינת ישראל</w:t>
            </w:r>
          </w:p>
        </w:tc>
        <w:tc>
          <w:tcPr>
            <w:tcW w:w="3771" w:type="dxa"/>
            <w:tcBorders>
              <w:top w:val="nil"/>
              <w:left w:val="nil"/>
              <w:bottom w:val="nil"/>
              <w:right w:val="nil"/>
            </w:tcBorders>
            <w:shd w:val="clear" w:color="auto" w:fill="auto"/>
          </w:tcPr>
          <w:p w14:paraId="18145006" w14:textId="77777777" w:rsidR="00676D64" w:rsidRPr="00E61BBD" w:rsidRDefault="00676D64" w:rsidP="00676D64">
            <w:pPr>
              <w:jc w:val="both"/>
              <w:rPr>
                <w:rFonts w:ascii="Arial" w:hAnsi="Arial"/>
                <w:b/>
                <w:bCs/>
              </w:rPr>
            </w:pPr>
          </w:p>
        </w:tc>
      </w:tr>
      <w:bookmarkEnd w:id="1"/>
      <w:tr w:rsidR="00676D64" w:rsidRPr="00E61BBD" w14:paraId="037F54EA" w14:textId="77777777" w:rsidTr="00676D64">
        <w:trPr>
          <w:trHeight w:val="355"/>
          <w:jc w:val="center"/>
        </w:trPr>
        <w:tc>
          <w:tcPr>
            <w:tcW w:w="923" w:type="dxa"/>
            <w:tcBorders>
              <w:top w:val="nil"/>
              <w:left w:val="nil"/>
              <w:bottom w:val="nil"/>
              <w:right w:val="nil"/>
            </w:tcBorders>
            <w:shd w:val="clear" w:color="auto" w:fill="auto"/>
          </w:tcPr>
          <w:p w14:paraId="0BE0776C" w14:textId="77777777" w:rsidR="00676D64" w:rsidRPr="00E61BBD" w:rsidRDefault="00676D64" w:rsidP="00676D64">
            <w:pPr>
              <w:jc w:val="both"/>
              <w:rPr>
                <w:rFonts w:ascii="Arial" w:hAnsi="Arial"/>
                <w:b/>
                <w:bCs/>
                <w:rtl/>
              </w:rPr>
            </w:pPr>
          </w:p>
        </w:tc>
        <w:tc>
          <w:tcPr>
            <w:tcW w:w="4126" w:type="dxa"/>
            <w:tcBorders>
              <w:top w:val="nil"/>
              <w:left w:val="nil"/>
              <w:bottom w:val="nil"/>
              <w:right w:val="nil"/>
            </w:tcBorders>
            <w:shd w:val="clear" w:color="auto" w:fill="auto"/>
          </w:tcPr>
          <w:p w14:paraId="3D521565" w14:textId="77777777" w:rsidR="00676D64" w:rsidRPr="00E61BBD" w:rsidRDefault="00676D64" w:rsidP="00676D64">
            <w:pPr>
              <w:jc w:val="both"/>
              <w:rPr>
                <w:b/>
                <w:bCs/>
                <w:rtl/>
              </w:rPr>
            </w:pPr>
          </w:p>
        </w:tc>
        <w:tc>
          <w:tcPr>
            <w:tcW w:w="3771" w:type="dxa"/>
            <w:tcBorders>
              <w:top w:val="nil"/>
              <w:left w:val="nil"/>
              <w:bottom w:val="nil"/>
              <w:right w:val="nil"/>
            </w:tcBorders>
            <w:shd w:val="clear" w:color="auto" w:fill="auto"/>
          </w:tcPr>
          <w:p w14:paraId="110B8F26" w14:textId="77777777" w:rsidR="00676D64" w:rsidRPr="00E61BBD" w:rsidRDefault="00676D64" w:rsidP="00676D64">
            <w:pPr>
              <w:jc w:val="right"/>
              <w:rPr>
                <w:rFonts w:ascii="Arial" w:hAnsi="Arial"/>
                <w:b/>
                <w:bCs/>
                <w:rtl/>
              </w:rPr>
            </w:pPr>
            <w:r w:rsidRPr="00E61BBD">
              <w:rPr>
                <w:rFonts w:ascii="Arial" w:hAnsi="Arial" w:hint="cs"/>
                <w:b/>
                <w:bCs/>
                <w:rtl/>
              </w:rPr>
              <w:t>ה</w:t>
            </w:r>
            <w:r w:rsidRPr="00E61BBD">
              <w:rPr>
                <w:rFonts w:ascii="Arial" w:hAnsi="Arial"/>
                <w:b/>
                <w:bCs/>
                <w:rtl/>
              </w:rPr>
              <w:t>מאשימה</w:t>
            </w:r>
          </w:p>
        </w:tc>
      </w:tr>
      <w:tr w:rsidR="00676D64" w:rsidRPr="00E61BBD" w14:paraId="2E0EACD1" w14:textId="77777777" w:rsidTr="00676D64">
        <w:trPr>
          <w:trHeight w:val="355"/>
          <w:jc w:val="center"/>
        </w:trPr>
        <w:tc>
          <w:tcPr>
            <w:tcW w:w="923" w:type="dxa"/>
            <w:tcBorders>
              <w:top w:val="nil"/>
              <w:left w:val="nil"/>
              <w:bottom w:val="nil"/>
              <w:right w:val="nil"/>
            </w:tcBorders>
            <w:shd w:val="clear" w:color="auto" w:fill="auto"/>
          </w:tcPr>
          <w:p w14:paraId="46E939A6" w14:textId="77777777" w:rsidR="00676D64" w:rsidRPr="00E61BBD" w:rsidRDefault="00676D64" w:rsidP="00676D64">
            <w:pPr>
              <w:jc w:val="both"/>
              <w:rPr>
                <w:rFonts w:ascii="Arial" w:hAnsi="Arial"/>
                <w:b/>
                <w:bCs/>
                <w:rtl/>
              </w:rPr>
            </w:pPr>
          </w:p>
        </w:tc>
        <w:tc>
          <w:tcPr>
            <w:tcW w:w="7897" w:type="dxa"/>
            <w:gridSpan w:val="2"/>
            <w:tcBorders>
              <w:top w:val="nil"/>
              <w:left w:val="nil"/>
              <w:bottom w:val="nil"/>
              <w:right w:val="nil"/>
            </w:tcBorders>
            <w:shd w:val="clear" w:color="auto" w:fill="auto"/>
          </w:tcPr>
          <w:p w14:paraId="7C556852" w14:textId="77777777" w:rsidR="00676D64" w:rsidRPr="00E61BBD" w:rsidRDefault="00676D64" w:rsidP="00676D64">
            <w:pPr>
              <w:jc w:val="center"/>
              <w:rPr>
                <w:rFonts w:ascii="Arial" w:hAnsi="Arial"/>
                <w:b/>
                <w:bCs/>
                <w:rtl/>
              </w:rPr>
            </w:pPr>
          </w:p>
          <w:p w14:paraId="73901BE1" w14:textId="77777777" w:rsidR="00676D64" w:rsidRPr="00E61BBD" w:rsidRDefault="00676D64" w:rsidP="00676D64">
            <w:pPr>
              <w:jc w:val="center"/>
              <w:rPr>
                <w:rFonts w:ascii="Arial" w:hAnsi="Arial"/>
                <w:b/>
                <w:bCs/>
                <w:rtl/>
              </w:rPr>
            </w:pPr>
            <w:r w:rsidRPr="00E61BBD">
              <w:rPr>
                <w:rFonts w:ascii="Arial" w:hAnsi="Arial"/>
                <w:b/>
                <w:bCs/>
                <w:rtl/>
              </w:rPr>
              <w:t>נגד</w:t>
            </w:r>
          </w:p>
          <w:p w14:paraId="7A8A7DF2" w14:textId="77777777" w:rsidR="00676D64" w:rsidRPr="00E61BBD" w:rsidRDefault="00676D64" w:rsidP="00676D64">
            <w:pPr>
              <w:jc w:val="both"/>
              <w:rPr>
                <w:rFonts w:ascii="Arial" w:hAnsi="Arial"/>
                <w:b/>
                <w:bCs/>
              </w:rPr>
            </w:pPr>
          </w:p>
        </w:tc>
      </w:tr>
      <w:tr w:rsidR="00676D64" w:rsidRPr="00E61BBD" w14:paraId="0D7FA8EC" w14:textId="77777777" w:rsidTr="00676D64">
        <w:trPr>
          <w:trHeight w:val="355"/>
          <w:jc w:val="center"/>
        </w:trPr>
        <w:tc>
          <w:tcPr>
            <w:tcW w:w="923" w:type="dxa"/>
            <w:tcBorders>
              <w:top w:val="nil"/>
              <w:left w:val="nil"/>
              <w:bottom w:val="nil"/>
              <w:right w:val="nil"/>
            </w:tcBorders>
            <w:shd w:val="clear" w:color="auto" w:fill="auto"/>
          </w:tcPr>
          <w:p w14:paraId="0408AA2B" w14:textId="77777777" w:rsidR="00676D64" w:rsidRPr="00E61BBD" w:rsidRDefault="00676D64" w:rsidP="009A25DD">
            <w:pPr>
              <w:rPr>
                <w:rFonts w:ascii="Arial" w:hAnsi="Arial"/>
                <w:b/>
                <w:bCs/>
                <w:rtl/>
              </w:rPr>
            </w:pPr>
          </w:p>
        </w:tc>
        <w:tc>
          <w:tcPr>
            <w:tcW w:w="4126" w:type="dxa"/>
            <w:tcBorders>
              <w:top w:val="nil"/>
              <w:left w:val="nil"/>
              <w:bottom w:val="nil"/>
              <w:right w:val="nil"/>
            </w:tcBorders>
            <w:shd w:val="clear" w:color="auto" w:fill="auto"/>
          </w:tcPr>
          <w:p w14:paraId="5B74D7BC" w14:textId="77777777" w:rsidR="00676D64" w:rsidRPr="00E61BBD" w:rsidRDefault="00676D64" w:rsidP="009A25DD">
            <w:pPr>
              <w:rPr>
                <w:b/>
                <w:bCs/>
                <w:rtl/>
              </w:rPr>
            </w:pPr>
            <w:r w:rsidRPr="00E61BBD">
              <w:rPr>
                <w:rFonts w:ascii="Arial" w:hAnsi="Arial"/>
                <w:b/>
                <w:bCs/>
                <w:rtl/>
              </w:rPr>
              <w:t>גרי יעקובוב (עציר)</w:t>
            </w:r>
          </w:p>
        </w:tc>
        <w:tc>
          <w:tcPr>
            <w:tcW w:w="3771" w:type="dxa"/>
            <w:tcBorders>
              <w:top w:val="nil"/>
              <w:left w:val="nil"/>
              <w:bottom w:val="nil"/>
              <w:right w:val="nil"/>
            </w:tcBorders>
            <w:shd w:val="clear" w:color="auto" w:fill="auto"/>
          </w:tcPr>
          <w:p w14:paraId="2C853644" w14:textId="77777777" w:rsidR="00676D64" w:rsidRPr="00E61BBD" w:rsidRDefault="00676D64" w:rsidP="00676D64">
            <w:pPr>
              <w:jc w:val="right"/>
              <w:rPr>
                <w:rFonts w:ascii="Arial" w:hAnsi="Arial"/>
                <w:b/>
                <w:bCs/>
              </w:rPr>
            </w:pPr>
          </w:p>
        </w:tc>
      </w:tr>
      <w:tr w:rsidR="00676D64" w:rsidRPr="00E61BBD" w14:paraId="0266C9C5" w14:textId="77777777" w:rsidTr="00676D64">
        <w:trPr>
          <w:trHeight w:val="355"/>
          <w:jc w:val="center"/>
        </w:trPr>
        <w:tc>
          <w:tcPr>
            <w:tcW w:w="923" w:type="dxa"/>
            <w:tcBorders>
              <w:top w:val="nil"/>
              <w:left w:val="nil"/>
              <w:bottom w:val="nil"/>
              <w:right w:val="nil"/>
            </w:tcBorders>
            <w:shd w:val="clear" w:color="auto" w:fill="auto"/>
          </w:tcPr>
          <w:p w14:paraId="75800D85" w14:textId="77777777" w:rsidR="00676D64" w:rsidRPr="00E61BBD" w:rsidRDefault="00676D64" w:rsidP="00676D64">
            <w:pPr>
              <w:jc w:val="both"/>
              <w:rPr>
                <w:rFonts w:ascii="Arial" w:hAnsi="Arial"/>
                <w:b/>
                <w:bCs/>
                <w:rtl/>
              </w:rPr>
            </w:pPr>
          </w:p>
        </w:tc>
        <w:tc>
          <w:tcPr>
            <w:tcW w:w="4126" w:type="dxa"/>
            <w:tcBorders>
              <w:top w:val="nil"/>
              <w:left w:val="nil"/>
              <w:bottom w:val="nil"/>
              <w:right w:val="nil"/>
            </w:tcBorders>
            <w:shd w:val="clear" w:color="auto" w:fill="auto"/>
          </w:tcPr>
          <w:p w14:paraId="4C939277" w14:textId="77777777" w:rsidR="00676D64" w:rsidRPr="00E61BBD" w:rsidRDefault="00676D64" w:rsidP="00676D64">
            <w:pPr>
              <w:jc w:val="both"/>
              <w:rPr>
                <w:b/>
                <w:bCs/>
                <w:rtl/>
              </w:rPr>
            </w:pPr>
          </w:p>
        </w:tc>
        <w:tc>
          <w:tcPr>
            <w:tcW w:w="3771" w:type="dxa"/>
            <w:tcBorders>
              <w:top w:val="nil"/>
              <w:left w:val="nil"/>
              <w:bottom w:val="nil"/>
              <w:right w:val="nil"/>
            </w:tcBorders>
            <w:shd w:val="clear" w:color="auto" w:fill="auto"/>
          </w:tcPr>
          <w:p w14:paraId="5466AF7A" w14:textId="77777777" w:rsidR="00676D64" w:rsidRPr="00E61BBD" w:rsidRDefault="00676D64" w:rsidP="00676D64">
            <w:pPr>
              <w:jc w:val="right"/>
              <w:rPr>
                <w:rFonts w:ascii="Arial" w:hAnsi="Arial"/>
                <w:b/>
                <w:bCs/>
              </w:rPr>
            </w:pPr>
            <w:r w:rsidRPr="00E61BBD">
              <w:rPr>
                <w:rFonts w:ascii="Arial" w:hAnsi="Arial" w:hint="cs"/>
                <w:b/>
                <w:bCs/>
                <w:rtl/>
              </w:rPr>
              <w:t>ה</w:t>
            </w:r>
            <w:r w:rsidRPr="00E61BBD">
              <w:rPr>
                <w:rFonts w:ascii="Arial" w:hAnsi="Arial"/>
                <w:b/>
                <w:bCs/>
                <w:rtl/>
              </w:rPr>
              <w:t>נאשם</w:t>
            </w:r>
          </w:p>
        </w:tc>
      </w:tr>
    </w:tbl>
    <w:p w14:paraId="3C573401" w14:textId="77777777" w:rsidR="003D194A" w:rsidRDefault="003D194A" w:rsidP="00676D64">
      <w:pPr>
        <w:rPr>
          <w:rtl/>
        </w:rPr>
      </w:pPr>
      <w:bookmarkStart w:id="2" w:name="LawTable"/>
      <w:bookmarkEnd w:id="2"/>
    </w:p>
    <w:p w14:paraId="7872CEFF" w14:textId="77777777" w:rsidR="003D194A" w:rsidRPr="003D194A" w:rsidRDefault="003D194A" w:rsidP="003D194A">
      <w:pPr>
        <w:spacing w:after="120" w:line="240" w:lineRule="exact"/>
        <w:ind w:left="283" w:hanging="283"/>
        <w:jc w:val="both"/>
        <w:rPr>
          <w:rFonts w:ascii="FrankRuehl" w:hAnsi="FrankRuehl" w:cs="FrankRuehl"/>
          <w:rtl/>
        </w:rPr>
      </w:pPr>
    </w:p>
    <w:p w14:paraId="677C0C2A" w14:textId="77777777" w:rsidR="003D194A" w:rsidRPr="003D194A" w:rsidRDefault="003D194A" w:rsidP="003D194A">
      <w:pPr>
        <w:spacing w:after="120" w:line="240" w:lineRule="exact"/>
        <w:ind w:left="283" w:hanging="283"/>
        <w:jc w:val="both"/>
        <w:rPr>
          <w:rFonts w:ascii="FrankRuehl" w:hAnsi="FrankRuehl" w:cs="FrankRuehl"/>
          <w:rtl/>
        </w:rPr>
      </w:pPr>
      <w:r w:rsidRPr="003D194A">
        <w:rPr>
          <w:rFonts w:ascii="FrankRuehl" w:hAnsi="FrankRuehl" w:cs="FrankRuehl"/>
          <w:rtl/>
        </w:rPr>
        <w:t xml:space="preserve">חקיקה שאוזכרה: </w:t>
      </w:r>
    </w:p>
    <w:p w14:paraId="1CEB8718" w14:textId="77777777" w:rsidR="003D194A" w:rsidRPr="003D194A" w:rsidRDefault="003D194A" w:rsidP="003D194A">
      <w:pPr>
        <w:spacing w:after="120" w:line="240" w:lineRule="exact"/>
        <w:ind w:left="283" w:hanging="283"/>
        <w:jc w:val="both"/>
        <w:rPr>
          <w:rFonts w:ascii="FrankRuehl" w:hAnsi="FrankRuehl" w:cs="FrankRuehl"/>
          <w:rtl/>
        </w:rPr>
      </w:pPr>
      <w:hyperlink r:id="rId8" w:history="1">
        <w:r w:rsidRPr="003D194A">
          <w:rPr>
            <w:rFonts w:ascii="FrankRuehl" w:hAnsi="FrankRuehl" w:cs="FrankRuehl"/>
            <w:color w:val="0000FF"/>
            <w:u w:val="single"/>
            <w:rtl/>
          </w:rPr>
          <w:t>חוק העונשין, תשל"ז-1977</w:t>
        </w:r>
      </w:hyperlink>
      <w:r w:rsidRPr="003D194A">
        <w:rPr>
          <w:rFonts w:ascii="FrankRuehl" w:hAnsi="FrankRuehl" w:cs="FrankRuehl"/>
          <w:rtl/>
        </w:rPr>
        <w:t xml:space="preserve">: סע'  </w:t>
      </w:r>
      <w:hyperlink r:id="rId9" w:history="1">
        <w:r w:rsidRPr="003D194A">
          <w:rPr>
            <w:rFonts w:ascii="FrankRuehl" w:hAnsi="FrankRuehl" w:cs="FrankRuehl"/>
            <w:color w:val="0000FF"/>
            <w:u w:val="single"/>
            <w:rtl/>
          </w:rPr>
          <w:t>384</w:t>
        </w:r>
      </w:hyperlink>
      <w:r w:rsidRPr="003D194A">
        <w:rPr>
          <w:rFonts w:ascii="FrankRuehl" w:hAnsi="FrankRuehl" w:cs="FrankRuehl"/>
          <w:rtl/>
        </w:rPr>
        <w:t xml:space="preserve">, </w:t>
      </w:r>
      <w:hyperlink r:id="rId10" w:history="1">
        <w:r w:rsidRPr="003D194A">
          <w:rPr>
            <w:rFonts w:ascii="FrankRuehl" w:hAnsi="FrankRuehl" w:cs="FrankRuehl"/>
            <w:color w:val="0000FF"/>
            <w:u w:val="single"/>
            <w:rtl/>
          </w:rPr>
          <w:t>40יג(ב)</w:t>
        </w:r>
      </w:hyperlink>
    </w:p>
    <w:p w14:paraId="12AA6369" w14:textId="77777777" w:rsidR="003D194A" w:rsidRPr="003D194A" w:rsidRDefault="003D194A" w:rsidP="003D194A">
      <w:pPr>
        <w:spacing w:after="120" w:line="240" w:lineRule="exact"/>
        <w:ind w:left="283" w:hanging="283"/>
        <w:jc w:val="both"/>
        <w:rPr>
          <w:rFonts w:ascii="FrankRuehl" w:hAnsi="FrankRuehl" w:cs="FrankRuehl"/>
          <w:rtl/>
        </w:rPr>
      </w:pPr>
      <w:hyperlink r:id="rId11" w:history="1">
        <w:r w:rsidRPr="003D194A">
          <w:rPr>
            <w:rFonts w:ascii="FrankRuehl" w:hAnsi="FrankRuehl" w:cs="FrankRuehl"/>
            <w:color w:val="0000FF"/>
            <w:u w:val="single"/>
            <w:rtl/>
          </w:rPr>
          <w:t>פקודת הסמים המסוכנים [נוסח חדש], תשל"ג-1973</w:t>
        </w:r>
      </w:hyperlink>
      <w:r w:rsidRPr="003D194A">
        <w:rPr>
          <w:rFonts w:ascii="FrankRuehl" w:hAnsi="FrankRuehl" w:cs="FrankRuehl"/>
          <w:rtl/>
        </w:rPr>
        <w:t xml:space="preserve">: סע'  </w:t>
      </w:r>
      <w:hyperlink r:id="rId12" w:history="1">
        <w:r w:rsidRPr="003D194A">
          <w:rPr>
            <w:rFonts w:ascii="FrankRuehl" w:hAnsi="FrankRuehl" w:cs="FrankRuehl"/>
            <w:color w:val="0000FF"/>
            <w:u w:val="single"/>
            <w:rtl/>
          </w:rPr>
          <w:t>7.א.</w:t>
        </w:r>
      </w:hyperlink>
      <w:r w:rsidRPr="003D194A">
        <w:rPr>
          <w:rFonts w:ascii="FrankRuehl" w:hAnsi="FrankRuehl" w:cs="FrankRuehl"/>
          <w:rtl/>
        </w:rPr>
        <w:t xml:space="preserve">, </w:t>
      </w:r>
      <w:hyperlink r:id="rId13" w:history="1">
        <w:r w:rsidRPr="003D194A">
          <w:rPr>
            <w:rFonts w:ascii="FrankRuehl" w:hAnsi="FrankRuehl" w:cs="FrankRuehl"/>
            <w:color w:val="0000FF"/>
            <w:u w:val="single"/>
            <w:rtl/>
          </w:rPr>
          <w:t>7.ג</w:t>
        </w:r>
      </w:hyperlink>
      <w:r w:rsidRPr="003D194A">
        <w:rPr>
          <w:rFonts w:ascii="FrankRuehl" w:hAnsi="FrankRuehl" w:cs="FrankRuehl"/>
          <w:rtl/>
        </w:rPr>
        <w:t xml:space="preserve">, </w:t>
      </w:r>
      <w:hyperlink r:id="rId14" w:history="1">
        <w:r w:rsidRPr="003D194A">
          <w:rPr>
            <w:rFonts w:ascii="FrankRuehl" w:hAnsi="FrankRuehl" w:cs="FrankRuehl"/>
            <w:color w:val="0000FF"/>
            <w:u w:val="single"/>
            <w:rtl/>
          </w:rPr>
          <w:t>13</w:t>
        </w:r>
      </w:hyperlink>
      <w:r w:rsidRPr="003D194A">
        <w:rPr>
          <w:rFonts w:ascii="FrankRuehl" w:hAnsi="FrankRuehl" w:cs="FrankRuehl"/>
          <w:rtl/>
        </w:rPr>
        <w:t xml:space="preserve">, </w:t>
      </w:r>
      <w:hyperlink r:id="rId15" w:history="1">
        <w:r w:rsidRPr="003D194A">
          <w:rPr>
            <w:rFonts w:ascii="FrankRuehl" w:hAnsi="FrankRuehl" w:cs="FrankRuehl"/>
            <w:color w:val="0000FF"/>
            <w:u w:val="single"/>
            <w:rtl/>
          </w:rPr>
          <w:t>19.א</w:t>
        </w:r>
      </w:hyperlink>
    </w:p>
    <w:p w14:paraId="2DB475C2" w14:textId="77777777" w:rsidR="003D194A" w:rsidRPr="003D194A" w:rsidRDefault="003D194A" w:rsidP="003D194A">
      <w:pPr>
        <w:spacing w:after="120" w:line="240" w:lineRule="exact"/>
        <w:ind w:left="283" w:hanging="283"/>
        <w:jc w:val="both"/>
        <w:rPr>
          <w:rFonts w:ascii="FrankRuehl" w:hAnsi="FrankRuehl" w:cs="FrankRuehl"/>
          <w:rtl/>
        </w:rPr>
      </w:pPr>
    </w:p>
    <w:p w14:paraId="7F16594E" w14:textId="77777777" w:rsidR="003D194A" w:rsidRPr="003D194A" w:rsidRDefault="003D194A" w:rsidP="00676D64">
      <w:pPr>
        <w:rPr>
          <w:rtl/>
        </w:rPr>
      </w:pPr>
      <w:bookmarkStart w:id="3" w:name="LawTable_End"/>
      <w:bookmarkEnd w:id="3"/>
    </w:p>
    <w:p w14:paraId="176D10A1" w14:textId="77777777" w:rsidR="00E61BBD" w:rsidRPr="00E61BBD" w:rsidRDefault="00E61BBD" w:rsidP="00676D64">
      <w:pPr>
        <w:rPr>
          <w:rtl/>
        </w:rPr>
      </w:pPr>
    </w:p>
    <w:p w14:paraId="4E23BDBD" w14:textId="77777777" w:rsidR="00676D64" w:rsidRPr="00E61BBD" w:rsidRDefault="00676D64" w:rsidP="00676D6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6D64" w14:paraId="5C192D2D" w14:textId="77777777" w:rsidTr="00676D64">
        <w:trPr>
          <w:trHeight w:val="355"/>
          <w:jc w:val="center"/>
        </w:trPr>
        <w:tc>
          <w:tcPr>
            <w:tcW w:w="8820" w:type="dxa"/>
            <w:tcBorders>
              <w:top w:val="nil"/>
              <w:left w:val="nil"/>
              <w:bottom w:val="nil"/>
              <w:right w:val="nil"/>
            </w:tcBorders>
            <w:shd w:val="clear" w:color="auto" w:fill="auto"/>
          </w:tcPr>
          <w:p w14:paraId="4C32DFEA" w14:textId="77777777" w:rsidR="00E61BBD" w:rsidRPr="00E61BBD" w:rsidRDefault="00E61BBD" w:rsidP="00E61BBD">
            <w:pPr>
              <w:jc w:val="center"/>
              <w:rPr>
                <w:rFonts w:ascii="Arial" w:hAnsi="Arial" w:cs="FrankRuehl"/>
                <w:b/>
                <w:bCs/>
                <w:sz w:val="32"/>
                <w:szCs w:val="32"/>
                <w:u w:val="single"/>
                <w:rtl/>
              </w:rPr>
            </w:pPr>
            <w:bookmarkStart w:id="4" w:name="PsakDin" w:colFirst="0" w:colLast="0"/>
            <w:bookmarkEnd w:id="0"/>
            <w:r w:rsidRPr="00E61BBD">
              <w:rPr>
                <w:rFonts w:ascii="Arial" w:hAnsi="Arial" w:cs="FrankRuehl"/>
                <w:b/>
                <w:bCs/>
                <w:sz w:val="32"/>
                <w:szCs w:val="32"/>
                <w:u w:val="single"/>
                <w:rtl/>
              </w:rPr>
              <w:t>גזר דין</w:t>
            </w:r>
          </w:p>
          <w:p w14:paraId="56C4EF32" w14:textId="77777777" w:rsidR="00676D64" w:rsidRPr="00E61BBD" w:rsidRDefault="00676D64" w:rsidP="00E61BBD">
            <w:pPr>
              <w:jc w:val="center"/>
              <w:rPr>
                <w:rFonts w:ascii="Arial" w:hAnsi="Arial" w:cs="FrankRuehl"/>
                <w:bCs/>
                <w:sz w:val="32"/>
                <w:szCs w:val="32"/>
                <w:u w:val="single"/>
                <w:rtl/>
              </w:rPr>
            </w:pPr>
          </w:p>
        </w:tc>
      </w:tr>
      <w:bookmarkEnd w:id="4"/>
    </w:tbl>
    <w:p w14:paraId="4CE6F349" w14:textId="77777777" w:rsidR="00676D64" w:rsidRDefault="00676D64" w:rsidP="00676D64"/>
    <w:p w14:paraId="53100C7D" w14:textId="77777777" w:rsidR="00676D64" w:rsidRDefault="00676D64" w:rsidP="00676D64">
      <w:pPr>
        <w:rPr>
          <w:rtl/>
        </w:rPr>
      </w:pPr>
    </w:p>
    <w:p w14:paraId="29BBF080" w14:textId="77777777" w:rsidR="00676D64" w:rsidRDefault="00676D64" w:rsidP="00676D64">
      <w:pPr>
        <w:ind w:firstLine="720"/>
        <w:rPr>
          <w:b/>
          <w:bCs/>
          <w:u w:val="single"/>
          <w:rtl/>
        </w:rPr>
      </w:pPr>
      <w:r>
        <w:rPr>
          <w:rFonts w:hint="cs"/>
          <w:b/>
          <w:bCs/>
          <w:u w:val="single"/>
          <w:rtl/>
        </w:rPr>
        <w:t>כתבי האישום וההליכים</w:t>
      </w:r>
    </w:p>
    <w:p w14:paraId="2A063737" w14:textId="77777777" w:rsidR="00676D64" w:rsidRDefault="00676D64" w:rsidP="00676D64">
      <w:pPr>
        <w:rPr>
          <w:rtl/>
        </w:rPr>
      </w:pPr>
    </w:p>
    <w:p w14:paraId="4B811538" w14:textId="77777777" w:rsidR="00676D64" w:rsidRDefault="00676D64" w:rsidP="00676D64">
      <w:pPr>
        <w:rPr>
          <w:rtl/>
        </w:rPr>
      </w:pPr>
    </w:p>
    <w:p w14:paraId="3217CFD3" w14:textId="77777777" w:rsidR="00676D64" w:rsidRDefault="00676D64" w:rsidP="00676D64">
      <w:pPr>
        <w:numPr>
          <w:ilvl w:val="0"/>
          <w:numId w:val="1"/>
        </w:numPr>
        <w:spacing w:line="360" w:lineRule="auto"/>
        <w:contextualSpacing/>
        <w:jc w:val="both"/>
      </w:pPr>
      <w:bookmarkStart w:id="5" w:name="ABSTRACT_START"/>
      <w:bookmarkEnd w:id="5"/>
      <w:r w:rsidRPr="00032E65">
        <w:rPr>
          <w:rtl/>
        </w:rPr>
        <w:t xml:space="preserve">הנאשם שלפני נותן את הדין על </w:t>
      </w:r>
      <w:r>
        <w:rPr>
          <w:rFonts w:hint="cs"/>
          <w:rtl/>
        </w:rPr>
        <w:t xml:space="preserve">שורת </w:t>
      </w:r>
      <w:r w:rsidRPr="00032E65">
        <w:rPr>
          <w:rtl/>
        </w:rPr>
        <w:t>עבירות רכוש</w:t>
      </w:r>
      <w:r>
        <w:rPr>
          <w:rFonts w:hint="cs"/>
          <w:rtl/>
        </w:rPr>
        <w:t xml:space="preserve"> וסמים</w:t>
      </w:r>
      <w:r w:rsidRPr="00032E65">
        <w:rPr>
          <w:rtl/>
        </w:rPr>
        <w:t xml:space="preserve">. העבירות בוצעו במועדים שונים, </w:t>
      </w:r>
      <w:r>
        <w:rPr>
          <w:rFonts w:hint="cs"/>
          <w:rtl/>
        </w:rPr>
        <w:t xml:space="preserve">בגינן הוגשו שישה </w:t>
      </w:r>
      <w:r w:rsidRPr="00032E65">
        <w:rPr>
          <w:rtl/>
        </w:rPr>
        <w:t>כתבי אישום</w:t>
      </w:r>
      <w:r>
        <w:rPr>
          <w:rFonts w:hint="cs"/>
          <w:rtl/>
        </w:rPr>
        <w:t xml:space="preserve"> שונים</w:t>
      </w:r>
      <w:r w:rsidRPr="00032E65">
        <w:rPr>
          <w:rtl/>
        </w:rPr>
        <w:t xml:space="preserve"> אותם צירף הנאשם במסגרת </w:t>
      </w:r>
      <w:r>
        <w:rPr>
          <w:rFonts w:hint="cs"/>
          <w:rtl/>
        </w:rPr>
        <w:t xml:space="preserve">הליך </w:t>
      </w:r>
      <w:r w:rsidRPr="00032E65">
        <w:rPr>
          <w:rtl/>
        </w:rPr>
        <w:t xml:space="preserve">זה. להלן, אפרט את כתבי האישום והעבירות בהתאם לסדר כרונולוגי של מועד ביצוע העבירה. </w:t>
      </w:r>
    </w:p>
    <w:p w14:paraId="568C9A42" w14:textId="77777777" w:rsidR="00676D64" w:rsidRPr="00032E65" w:rsidRDefault="00676D64" w:rsidP="00676D64">
      <w:pPr>
        <w:spacing w:line="360" w:lineRule="auto"/>
        <w:contextualSpacing/>
        <w:jc w:val="both"/>
      </w:pPr>
    </w:p>
    <w:bookmarkStart w:id="6" w:name="ABSTRACT_END"/>
    <w:bookmarkEnd w:id="6"/>
    <w:p w14:paraId="6B06B030" w14:textId="77777777" w:rsidR="00676D64" w:rsidRDefault="00E61BBD" w:rsidP="00676D64">
      <w:pPr>
        <w:pStyle w:val="a9"/>
        <w:numPr>
          <w:ilvl w:val="0"/>
          <w:numId w:val="3"/>
        </w:numPr>
        <w:spacing w:line="360" w:lineRule="auto"/>
        <w:jc w:val="both"/>
        <w:rPr>
          <w:rFonts w:cs="David"/>
        </w:rPr>
      </w:pPr>
      <w:r w:rsidRPr="00E61BBD">
        <w:rPr>
          <w:rFonts w:cs="David"/>
          <w:b/>
          <w:bCs/>
          <w:color w:val="0000FF"/>
          <w:u w:val="single"/>
          <w:rtl/>
        </w:rPr>
        <w:lastRenderedPageBreak/>
        <w:fldChar w:fldCharType="begin"/>
      </w:r>
      <w:r w:rsidRPr="00E61BBD">
        <w:rPr>
          <w:rFonts w:cs="David"/>
          <w:b/>
          <w:bCs/>
          <w:color w:val="0000FF"/>
          <w:u w:val="single"/>
          <w:rtl/>
        </w:rPr>
        <w:instrText xml:space="preserve"> </w:instrText>
      </w:r>
      <w:r w:rsidRPr="00E61BBD">
        <w:rPr>
          <w:rFonts w:cs="David"/>
          <w:b/>
          <w:bCs/>
          <w:color w:val="0000FF"/>
          <w:u w:val="single"/>
        </w:rPr>
        <w:instrText>HYPERLINK</w:instrText>
      </w:r>
      <w:r w:rsidRPr="00E61BBD">
        <w:rPr>
          <w:rFonts w:cs="David"/>
          <w:b/>
          <w:bCs/>
          <w:color w:val="0000FF"/>
          <w:u w:val="single"/>
          <w:rtl/>
        </w:rPr>
        <w:instrText xml:space="preserve"> "</w:instrText>
      </w:r>
      <w:r w:rsidRPr="00E61BBD">
        <w:rPr>
          <w:rFonts w:cs="David"/>
          <w:b/>
          <w:bCs/>
          <w:color w:val="0000FF"/>
          <w:u w:val="single"/>
        </w:rPr>
        <w:instrText>http://www.nevo.co.il/case/21981745</w:instrText>
      </w:r>
      <w:r w:rsidRPr="00E61BBD">
        <w:rPr>
          <w:rFonts w:cs="David"/>
          <w:b/>
          <w:bCs/>
          <w:color w:val="0000FF"/>
          <w:u w:val="single"/>
          <w:rtl/>
        </w:rPr>
        <w:instrText xml:space="preserve">" </w:instrText>
      </w:r>
      <w:r w:rsidRPr="00E61BBD">
        <w:rPr>
          <w:rFonts w:cs="David"/>
          <w:b/>
          <w:bCs/>
          <w:color w:val="0000FF"/>
          <w:u w:val="single"/>
          <w:rtl/>
        </w:rPr>
      </w:r>
      <w:r w:rsidRPr="00E61BBD">
        <w:rPr>
          <w:rFonts w:cs="David"/>
          <w:b/>
          <w:bCs/>
          <w:color w:val="0000FF"/>
          <w:u w:val="single"/>
          <w:rtl/>
        </w:rPr>
        <w:fldChar w:fldCharType="separate"/>
      </w:r>
      <w:r w:rsidRPr="00E61BBD">
        <w:rPr>
          <w:rFonts w:cs="David"/>
          <w:b/>
          <w:bCs/>
          <w:color w:val="0000FF"/>
          <w:u w:val="single"/>
          <w:rtl/>
        </w:rPr>
        <w:t>ת"פ 6048-01-17</w:t>
      </w:r>
      <w:r w:rsidRPr="00E61BBD">
        <w:rPr>
          <w:rFonts w:cs="David"/>
          <w:b/>
          <w:bCs/>
          <w:color w:val="0000FF"/>
          <w:u w:val="single"/>
          <w:rtl/>
        </w:rPr>
        <w:fldChar w:fldCharType="end"/>
      </w:r>
      <w:r w:rsidR="00676D64">
        <w:rPr>
          <w:rFonts w:cs="David" w:hint="cs"/>
          <w:rtl/>
        </w:rPr>
        <w:t xml:space="preserve">, </w:t>
      </w:r>
      <w:r w:rsidR="00676D64" w:rsidRPr="00F168ED">
        <w:rPr>
          <w:rFonts w:cs="David" w:hint="cs"/>
          <w:rtl/>
        </w:rPr>
        <w:t xml:space="preserve">בו הורשע הנאשם בעבירה של גניבה לפי </w:t>
      </w:r>
      <w:hyperlink r:id="rId16" w:history="1">
        <w:r w:rsidR="003D194A" w:rsidRPr="003D194A">
          <w:rPr>
            <w:rFonts w:cs="David"/>
            <w:color w:val="0000FF"/>
            <w:u w:val="single"/>
            <w:rtl/>
          </w:rPr>
          <w:t>סעיף 384</w:t>
        </w:r>
      </w:hyperlink>
      <w:r w:rsidR="00676D64" w:rsidRPr="00F168ED">
        <w:rPr>
          <w:rFonts w:cs="David" w:hint="cs"/>
          <w:rtl/>
        </w:rPr>
        <w:t xml:space="preserve"> ל</w:t>
      </w:r>
      <w:hyperlink r:id="rId17" w:history="1">
        <w:r w:rsidRPr="00E61BBD">
          <w:rPr>
            <w:rFonts w:cs="David"/>
            <w:color w:val="0000FF"/>
            <w:u w:val="single"/>
            <w:rtl/>
          </w:rPr>
          <w:t>חוק העונשין</w:t>
        </w:r>
      </w:hyperlink>
      <w:r w:rsidR="00676D64" w:rsidRPr="00F168ED">
        <w:rPr>
          <w:rFonts w:cs="David" w:hint="cs"/>
          <w:rtl/>
        </w:rPr>
        <w:t xml:space="preserve">, תשל"ז-1977 (להלן </w:t>
      </w:r>
      <w:r w:rsidR="00676D64" w:rsidRPr="00F168ED">
        <w:rPr>
          <w:rFonts w:cs="David" w:hint="eastAsia"/>
        </w:rPr>
        <w:t>–</w:t>
      </w:r>
      <w:r w:rsidR="00676D64" w:rsidRPr="00F168ED">
        <w:rPr>
          <w:rFonts w:cs="David"/>
        </w:rPr>
        <w:t xml:space="preserve"> </w:t>
      </w:r>
      <w:r w:rsidR="00676D64" w:rsidRPr="00F168ED">
        <w:rPr>
          <w:rFonts w:cs="David" w:hint="cs"/>
          <w:rtl/>
        </w:rPr>
        <w:t xml:space="preserve"> "חוק העונשין") בכך שביום 30.3.14 בשעה 11:45, גנב  מכשיר טלפון נייד (מסוג אייפון) השייך לט</w:t>
      </w:r>
      <w:r w:rsidR="00676D64">
        <w:rPr>
          <w:rFonts w:cs="David" w:hint="cs"/>
          <w:rtl/>
        </w:rPr>
        <w:t>.</w:t>
      </w:r>
      <w:r w:rsidR="00676D64" w:rsidRPr="00F168ED">
        <w:rPr>
          <w:rFonts w:cs="David" w:hint="cs"/>
          <w:rtl/>
        </w:rPr>
        <w:t>ו</w:t>
      </w:r>
      <w:r w:rsidR="00676D64">
        <w:rPr>
          <w:rFonts w:cs="David" w:hint="cs"/>
          <w:rtl/>
        </w:rPr>
        <w:t>.</w:t>
      </w:r>
    </w:p>
    <w:p w14:paraId="7AA215F3" w14:textId="77777777" w:rsidR="00676D64" w:rsidRPr="00032E65" w:rsidRDefault="00676D64" w:rsidP="00676D64">
      <w:pPr>
        <w:pStyle w:val="a9"/>
        <w:spacing w:line="360" w:lineRule="auto"/>
        <w:ind w:left="1080"/>
        <w:jc w:val="both"/>
        <w:rPr>
          <w:rFonts w:cs="David"/>
        </w:rPr>
      </w:pPr>
    </w:p>
    <w:p w14:paraId="3730F680" w14:textId="77777777" w:rsidR="00676D64" w:rsidRDefault="00E61BBD" w:rsidP="00676D64">
      <w:pPr>
        <w:pStyle w:val="a9"/>
        <w:numPr>
          <w:ilvl w:val="0"/>
          <w:numId w:val="3"/>
        </w:numPr>
        <w:spacing w:line="360" w:lineRule="auto"/>
        <w:jc w:val="both"/>
        <w:rPr>
          <w:rFonts w:cs="David"/>
        </w:rPr>
      </w:pPr>
      <w:hyperlink r:id="rId18" w:history="1">
        <w:r w:rsidRPr="00E61BBD">
          <w:rPr>
            <w:rFonts w:cs="David"/>
            <w:b/>
            <w:bCs/>
            <w:color w:val="0000FF"/>
            <w:u w:val="single"/>
            <w:rtl/>
          </w:rPr>
          <w:t>ת"פ 51521-10-14</w:t>
        </w:r>
      </w:hyperlink>
      <w:r w:rsidR="00676D64" w:rsidRPr="00835A6E">
        <w:rPr>
          <w:rFonts w:cs="David" w:hint="cs"/>
          <w:rtl/>
        </w:rPr>
        <w:t>,</w:t>
      </w:r>
      <w:r w:rsidR="00676D64">
        <w:rPr>
          <w:rFonts w:cs="David" w:hint="cs"/>
          <w:b/>
          <w:bCs/>
          <w:rtl/>
        </w:rPr>
        <w:t xml:space="preserve"> </w:t>
      </w:r>
      <w:r w:rsidR="00676D64" w:rsidRPr="00F168ED">
        <w:rPr>
          <w:rFonts w:cs="David" w:hint="cs"/>
          <w:rtl/>
        </w:rPr>
        <w:t xml:space="preserve">בו הורשע הנאשם בעבירה של גניבה לפי </w:t>
      </w:r>
      <w:hyperlink r:id="rId19" w:history="1">
        <w:r w:rsidR="003D194A" w:rsidRPr="003D194A">
          <w:rPr>
            <w:rFonts w:cs="David"/>
            <w:color w:val="0000FF"/>
            <w:u w:val="single"/>
            <w:rtl/>
          </w:rPr>
          <w:t>סעיף 384</w:t>
        </w:r>
      </w:hyperlink>
      <w:r w:rsidR="00676D64" w:rsidRPr="00F168ED">
        <w:rPr>
          <w:rFonts w:cs="David" w:hint="cs"/>
          <w:rtl/>
        </w:rPr>
        <w:t xml:space="preserve"> ל</w:t>
      </w:r>
      <w:hyperlink r:id="rId20" w:history="1">
        <w:r w:rsidRPr="00E61BBD">
          <w:rPr>
            <w:rFonts w:cs="David"/>
            <w:color w:val="0000FF"/>
            <w:u w:val="single"/>
            <w:rtl/>
          </w:rPr>
          <w:t>חוק העונשין</w:t>
        </w:r>
      </w:hyperlink>
      <w:r w:rsidR="00676D64" w:rsidRPr="00F168ED">
        <w:rPr>
          <w:rFonts w:cs="David" w:hint="cs"/>
          <w:rtl/>
        </w:rPr>
        <w:t xml:space="preserve">, בכך </w:t>
      </w:r>
      <w:r w:rsidR="00676D64">
        <w:rPr>
          <w:rFonts w:cs="David" w:hint="cs"/>
          <w:rtl/>
        </w:rPr>
        <w:t xml:space="preserve">שגנב ביום 11.5.14,  </w:t>
      </w:r>
      <w:r w:rsidR="00676D64" w:rsidRPr="003D3EF3">
        <w:rPr>
          <w:rFonts w:cs="David" w:hint="cs"/>
          <w:rtl/>
        </w:rPr>
        <w:t>קסדת ספורט בשווי 2433 ₪</w:t>
      </w:r>
      <w:r w:rsidR="00676D64">
        <w:rPr>
          <w:rFonts w:cs="David" w:hint="cs"/>
          <w:rtl/>
        </w:rPr>
        <w:t xml:space="preserve"> </w:t>
      </w:r>
      <w:r w:rsidR="00676D64" w:rsidRPr="003D3EF3">
        <w:rPr>
          <w:rFonts w:cs="David" w:hint="cs"/>
          <w:rtl/>
        </w:rPr>
        <w:t xml:space="preserve">מחנות </w:t>
      </w:r>
      <w:r w:rsidR="00676D64">
        <w:rPr>
          <w:rFonts w:cs="David" w:hint="cs"/>
          <w:rtl/>
        </w:rPr>
        <w:t xml:space="preserve">בשם </w:t>
      </w:r>
      <w:r w:rsidR="00676D64" w:rsidRPr="003D3EF3">
        <w:rPr>
          <w:rFonts w:cs="David" w:hint="cs"/>
          <w:rtl/>
        </w:rPr>
        <w:t>"מטרו מוטור שיווק"</w:t>
      </w:r>
      <w:r w:rsidR="00676D64">
        <w:rPr>
          <w:rFonts w:cs="David" w:hint="cs"/>
          <w:rtl/>
        </w:rPr>
        <w:t xml:space="preserve">. </w:t>
      </w:r>
    </w:p>
    <w:p w14:paraId="6C6D63A4" w14:textId="77777777" w:rsidR="00676D64" w:rsidRPr="002A29EF" w:rsidRDefault="00676D64" w:rsidP="00676D64">
      <w:pPr>
        <w:pStyle w:val="a9"/>
        <w:spacing w:line="360" w:lineRule="auto"/>
        <w:ind w:left="1080"/>
        <w:jc w:val="both"/>
        <w:rPr>
          <w:rFonts w:cs="David"/>
        </w:rPr>
      </w:pPr>
    </w:p>
    <w:p w14:paraId="3B946DEF" w14:textId="77777777" w:rsidR="00676D64" w:rsidRDefault="00E61BBD" w:rsidP="00676D64">
      <w:pPr>
        <w:pStyle w:val="a9"/>
        <w:numPr>
          <w:ilvl w:val="0"/>
          <w:numId w:val="3"/>
        </w:numPr>
        <w:spacing w:line="360" w:lineRule="auto"/>
        <w:jc w:val="both"/>
        <w:rPr>
          <w:rFonts w:cs="David"/>
        </w:rPr>
      </w:pPr>
      <w:hyperlink r:id="rId21" w:history="1">
        <w:r w:rsidRPr="00E61BBD">
          <w:rPr>
            <w:rFonts w:cs="David"/>
            <w:b/>
            <w:bCs/>
            <w:color w:val="0000FF"/>
            <w:u w:val="single"/>
            <w:rtl/>
          </w:rPr>
          <w:t>ת"פ 6032-01-17</w:t>
        </w:r>
      </w:hyperlink>
      <w:r w:rsidR="00676D64" w:rsidRPr="00DC5864">
        <w:rPr>
          <w:rFonts w:cs="David" w:hint="cs"/>
          <w:rtl/>
        </w:rPr>
        <w:t>,</w:t>
      </w:r>
      <w:r w:rsidR="00676D64" w:rsidRPr="003D3EF3">
        <w:rPr>
          <w:rFonts w:cs="David" w:hint="cs"/>
          <w:rtl/>
        </w:rPr>
        <w:t xml:space="preserve"> </w:t>
      </w:r>
      <w:r w:rsidR="00676D64" w:rsidRPr="00F168ED">
        <w:rPr>
          <w:rFonts w:cs="David" w:hint="cs"/>
          <w:rtl/>
        </w:rPr>
        <w:t xml:space="preserve">בו הורשע הנאשם בעבירה של גניבה לפי </w:t>
      </w:r>
      <w:hyperlink r:id="rId22" w:history="1">
        <w:r w:rsidR="003D194A" w:rsidRPr="003D194A">
          <w:rPr>
            <w:rFonts w:cs="David"/>
            <w:color w:val="0000FF"/>
            <w:u w:val="single"/>
            <w:rtl/>
          </w:rPr>
          <w:t>סעיף 384</w:t>
        </w:r>
      </w:hyperlink>
      <w:r w:rsidR="00676D64" w:rsidRPr="00F168ED">
        <w:rPr>
          <w:rFonts w:cs="David" w:hint="cs"/>
          <w:rtl/>
        </w:rPr>
        <w:t xml:space="preserve"> ל</w:t>
      </w:r>
      <w:hyperlink r:id="rId23" w:history="1">
        <w:r w:rsidRPr="00E61BBD">
          <w:rPr>
            <w:rFonts w:cs="David"/>
            <w:color w:val="0000FF"/>
            <w:u w:val="single"/>
            <w:rtl/>
          </w:rPr>
          <w:t>חוק העונשין</w:t>
        </w:r>
      </w:hyperlink>
      <w:r w:rsidR="00676D64" w:rsidRPr="00F168ED">
        <w:rPr>
          <w:rFonts w:cs="David" w:hint="cs"/>
          <w:rtl/>
        </w:rPr>
        <w:t xml:space="preserve">, בכך </w:t>
      </w:r>
      <w:r w:rsidR="00676D64">
        <w:rPr>
          <w:rFonts w:cs="David" w:hint="cs"/>
          <w:rtl/>
        </w:rPr>
        <w:t xml:space="preserve">שגנב </w:t>
      </w:r>
      <w:r w:rsidR="00676D64" w:rsidRPr="003D3EF3">
        <w:rPr>
          <w:rFonts w:cs="David" w:hint="cs"/>
          <w:rtl/>
        </w:rPr>
        <w:t>ביום 28.7.14 מוצרי תינוקות</w:t>
      </w:r>
      <w:r w:rsidR="00676D64">
        <w:rPr>
          <w:rFonts w:cs="David" w:hint="cs"/>
          <w:rtl/>
        </w:rPr>
        <w:t xml:space="preserve"> </w:t>
      </w:r>
      <w:r w:rsidR="00676D64" w:rsidRPr="003D3EF3">
        <w:rPr>
          <w:rFonts w:cs="David" w:hint="cs"/>
          <w:rtl/>
        </w:rPr>
        <w:t>בשווי 608 ₪</w:t>
      </w:r>
      <w:r w:rsidR="00676D64">
        <w:rPr>
          <w:rFonts w:cs="David" w:hint="cs"/>
          <w:rtl/>
        </w:rPr>
        <w:t xml:space="preserve"> </w:t>
      </w:r>
      <w:r w:rsidR="00676D64" w:rsidRPr="003D3EF3">
        <w:rPr>
          <w:rFonts w:cs="David" w:hint="cs"/>
          <w:rtl/>
        </w:rPr>
        <w:t xml:space="preserve">מחנות </w:t>
      </w:r>
      <w:r w:rsidR="00676D64">
        <w:rPr>
          <w:rFonts w:cs="David" w:hint="cs"/>
          <w:rtl/>
        </w:rPr>
        <w:t xml:space="preserve">בשם </w:t>
      </w:r>
      <w:r w:rsidR="00676D64" w:rsidRPr="003D3EF3">
        <w:rPr>
          <w:rFonts w:cs="David" w:hint="cs"/>
          <w:rtl/>
        </w:rPr>
        <w:t>"הממלכה"</w:t>
      </w:r>
      <w:r w:rsidR="00676D64">
        <w:rPr>
          <w:rFonts w:cs="David" w:hint="cs"/>
          <w:rtl/>
        </w:rPr>
        <w:t xml:space="preserve">. בהמשך אותו יום, </w:t>
      </w:r>
      <w:r w:rsidR="00676D64" w:rsidRPr="003D3EF3">
        <w:rPr>
          <w:rFonts w:cs="David" w:hint="cs"/>
          <w:rtl/>
        </w:rPr>
        <w:t xml:space="preserve">גנב </w:t>
      </w:r>
      <w:r w:rsidR="00676D64">
        <w:rPr>
          <w:rFonts w:cs="David" w:hint="cs"/>
          <w:rtl/>
        </w:rPr>
        <w:t xml:space="preserve">הנאשם </w:t>
      </w:r>
      <w:r w:rsidR="00676D64" w:rsidRPr="003D3EF3">
        <w:rPr>
          <w:rFonts w:cs="David" w:hint="cs"/>
          <w:rtl/>
        </w:rPr>
        <w:t xml:space="preserve">שואב אבק בשווי 499 ₪ ממדפי חנות בתחנת דלק. </w:t>
      </w:r>
    </w:p>
    <w:p w14:paraId="484A3E45" w14:textId="77777777" w:rsidR="00676D64" w:rsidRPr="00F168ED" w:rsidRDefault="00676D64" w:rsidP="00676D64">
      <w:pPr>
        <w:spacing w:line="360" w:lineRule="auto"/>
        <w:jc w:val="both"/>
      </w:pPr>
    </w:p>
    <w:p w14:paraId="6343ABBD" w14:textId="77777777" w:rsidR="00676D64" w:rsidRDefault="00E61BBD" w:rsidP="00676D64">
      <w:pPr>
        <w:pStyle w:val="a9"/>
        <w:numPr>
          <w:ilvl w:val="0"/>
          <w:numId w:val="3"/>
        </w:numPr>
        <w:spacing w:line="360" w:lineRule="auto"/>
        <w:jc w:val="both"/>
        <w:rPr>
          <w:rFonts w:cs="David"/>
        </w:rPr>
      </w:pPr>
      <w:hyperlink r:id="rId24" w:history="1">
        <w:r w:rsidRPr="00E61BBD">
          <w:rPr>
            <w:rFonts w:cs="David"/>
            <w:b/>
            <w:bCs/>
            <w:color w:val="0000FF"/>
            <w:u w:val="single"/>
            <w:rtl/>
          </w:rPr>
          <w:t>ת"פ 53562-08-16</w:t>
        </w:r>
      </w:hyperlink>
      <w:r w:rsidR="00676D64">
        <w:rPr>
          <w:rFonts w:cs="David" w:hint="cs"/>
          <w:rtl/>
        </w:rPr>
        <w:t>, בו הורשע הנאשם בעבירות</w:t>
      </w:r>
      <w:r w:rsidR="00676D64" w:rsidRPr="00F168ED">
        <w:rPr>
          <w:rFonts w:cs="David" w:hint="cs"/>
          <w:rtl/>
        </w:rPr>
        <w:t xml:space="preserve"> של גניבה לפי </w:t>
      </w:r>
      <w:hyperlink r:id="rId25" w:history="1">
        <w:r w:rsidR="003D194A" w:rsidRPr="003D194A">
          <w:rPr>
            <w:rFonts w:cs="David"/>
            <w:color w:val="0000FF"/>
            <w:u w:val="single"/>
            <w:rtl/>
          </w:rPr>
          <w:t>סעיף 384</w:t>
        </w:r>
      </w:hyperlink>
      <w:r w:rsidR="00676D64" w:rsidRPr="00F168ED">
        <w:rPr>
          <w:rFonts w:cs="David" w:hint="cs"/>
          <w:rtl/>
        </w:rPr>
        <w:t xml:space="preserve"> ל</w:t>
      </w:r>
      <w:hyperlink r:id="rId26" w:history="1">
        <w:r w:rsidRPr="00E61BBD">
          <w:rPr>
            <w:rFonts w:cs="David"/>
            <w:color w:val="0000FF"/>
            <w:u w:val="single"/>
            <w:rtl/>
          </w:rPr>
          <w:t>חוק העונשין</w:t>
        </w:r>
      </w:hyperlink>
      <w:r w:rsidR="00676D64" w:rsidRPr="00F168ED">
        <w:rPr>
          <w:rFonts w:cs="David" w:hint="cs"/>
          <w:rtl/>
        </w:rPr>
        <w:t xml:space="preserve">, </w:t>
      </w:r>
      <w:r w:rsidR="00676D64" w:rsidRPr="003D3EF3">
        <w:rPr>
          <w:rFonts w:cs="David" w:hint="cs"/>
          <w:rtl/>
        </w:rPr>
        <w:t>בשני אישומים</w:t>
      </w:r>
      <w:r w:rsidR="00676D64">
        <w:rPr>
          <w:rFonts w:cs="David" w:hint="cs"/>
          <w:rtl/>
        </w:rPr>
        <w:t xml:space="preserve"> שונים</w:t>
      </w:r>
      <w:r w:rsidR="00676D64" w:rsidRPr="003D3EF3">
        <w:rPr>
          <w:rFonts w:cs="David" w:hint="cs"/>
          <w:rtl/>
        </w:rPr>
        <w:t xml:space="preserve">: באישום הראשון גנב הנאשם ביום 30.6.16 </w:t>
      </w:r>
      <w:r w:rsidR="00676D64" w:rsidRPr="00DD756D">
        <w:rPr>
          <w:rFonts w:cs="David" w:hint="cs"/>
          <w:rtl/>
        </w:rPr>
        <w:t xml:space="preserve">רחפנים מחנות טויס אר אס בכך שהכניסם לשקית ויצא מהחנות מבלי לשלם. </w:t>
      </w:r>
      <w:r w:rsidR="00676D64">
        <w:rPr>
          <w:rFonts w:cs="David" w:hint="cs"/>
          <w:rtl/>
        </w:rPr>
        <w:t>בהמשך, ובמועד שאינו ברור בכתב האישום (30.6.16 או 3.7.16),</w:t>
      </w:r>
      <w:r w:rsidR="00676D64" w:rsidRPr="00DD756D">
        <w:rPr>
          <w:rFonts w:cs="David" w:hint="cs"/>
          <w:rtl/>
        </w:rPr>
        <w:t xml:space="preserve"> </w:t>
      </w:r>
      <w:r w:rsidR="00676D64">
        <w:rPr>
          <w:rFonts w:cs="David" w:hint="cs"/>
          <w:rtl/>
        </w:rPr>
        <w:t xml:space="preserve">גנב הנאשם בדרך זו רחפנים נוספים מאותה החנות </w:t>
      </w:r>
      <w:r w:rsidR="00676D64" w:rsidRPr="003D3EF3">
        <w:rPr>
          <w:rFonts w:cs="David" w:hint="cs"/>
          <w:rtl/>
        </w:rPr>
        <w:t>בשווי</w:t>
      </w:r>
      <w:r w:rsidR="00676D64">
        <w:rPr>
          <w:rFonts w:cs="David" w:hint="cs"/>
          <w:rtl/>
        </w:rPr>
        <w:t xml:space="preserve"> כולל של-</w:t>
      </w:r>
      <w:r w:rsidR="00676D64" w:rsidRPr="003D3EF3">
        <w:rPr>
          <w:rFonts w:cs="David" w:hint="cs"/>
          <w:rtl/>
        </w:rPr>
        <w:t xml:space="preserve"> 1800 ₪. </w:t>
      </w:r>
    </w:p>
    <w:p w14:paraId="36206739" w14:textId="77777777" w:rsidR="00676D64" w:rsidRPr="00F168ED" w:rsidRDefault="00676D64" w:rsidP="00676D64">
      <w:pPr>
        <w:pStyle w:val="a9"/>
        <w:rPr>
          <w:rFonts w:cs="David"/>
          <w:rtl/>
        </w:rPr>
      </w:pPr>
    </w:p>
    <w:p w14:paraId="1424CF53" w14:textId="77777777" w:rsidR="00676D64" w:rsidRDefault="00676D64" w:rsidP="00676D64">
      <w:pPr>
        <w:pStyle w:val="a9"/>
        <w:spacing w:line="360" w:lineRule="auto"/>
        <w:ind w:left="1080"/>
        <w:jc w:val="both"/>
        <w:rPr>
          <w:rFonts w:cs="David"/>
        </w:rPr>
      </w:pPr>
      <w:r w:rsidRPr="003D3EF3">
        <w:rPr>
          <w:rFonts w:cs="David" w:hint="cs"/>
          <w:rtl/>
        </w:rPr>
        <w:t xml:space="preserve">באישום השני גנב הנאשם ביום 15.7.16 תיק מחנות </w:t>
      </w:r>
      <w:r w:rsidRPr="003D3EF3">
        <w:rPr>
          <w:rFonts w:cs="David" w:hint="cs"/>
        </w:rPr>
        <w:t>CK</w:t>
      </w:r>
      <w:r w:rsidRPr="003D3EF3">
        <w:rPr>
          <w:rFonts w:cs="David" w:hint="cs"/>
          <w:rtl/>
        </w:rPr>
        <w:t xml:space="preserve"> בכך שהכניס</w:t>
      </w:r>
      <w:r>
        <w:rPr>
          <w:rFonts w:cs="David" w:hint="cs"/>
          <w:rtl/>
        </w:rPr>
        <w:t>ו</w:t>
      </w:r>
      <w:r w:rsidRPr="003D3EF3">
        <w:rPr>
          <w:rFonts w:cs="David" w:hint="cs"/>
          <w:rtl/>
        </w:rPr>
        <w:t xml:space="preserve"> לשקית ויצא מהחנות מבלי לשלם </w:t>
      </w:r>
      <w:r>
        <w:rPr>
          <w:rFonts w:cs="David" w:hint="cs"/>
          <w:rtl/>
        </w:rPr>
        <w:t>עבורו</w:t>
      </w:r>
      <w:r w:rsidRPr="003D3EF3">
        <w:rPr>
          <w:rFonts w:cs="David" w:hint="cs"/>
          <w:rtl/>
        </w:rPr>
        <w:t>. על פעולה זו חזר הנאשם גם בי</w:t>
      </w:r>
      <w:r>
        <w:rPr>
          <w:rFonts w:cs="David" w:hint="cs"/>
          <w:rtl/>
        </w:rPr>
        <w:t>מי</w:t>
      </w:r>
      <w:r w:rsidRPr="003D3EF3">
        <w:rPr>
          <w:rFonts w:cs="David" w:hint="cs"/>
          <w:rtl/>
        </w:rPr>
        <w:t>ם 17.7.16 ו</w:t>
      </w:r>
      <w:r>
        <w:rPr>
          <w:rFonts w:cs="David" w:hint="cs"/>
          <w:rtl/>
        </w:rPr>
        <w:t>-</w:t>
      </w:r>
      <w:r w:rsidRPr="003D3EF3">
        <w:rPr>
          <w:rFonts w:cs="David" w:hint="cs"/>
          <w:rtl/>
        </w:rPr>
        <w:t xml:space="preserve"> 18.7.16</w:t>
      </w:r>
      <w:r>
        <w:rPr>
          <w:rFonts w:cs="David" w:hint="cs"/>
          <w:rtl/>
        </w:rPr>
        <w:t xml:space="preserve"> בהם גנב עוד שני תיקים מחנות זו</w:t>
      </w:r>
      <w:r w:rsidRPr="003D3EF3">
        <w:rPr>
          <w:rFonts w:cs="David" w:hint="cs"/>
          <w:rtl/>
        </w:rPr>
        <w:t xml:space="preserve">. </w:t>
      </w:r>
    </w:p>
    <w:p w14:paraId="63325FEB" w14:textId="77777777" w:rsidR="00676D64" w:rsidRPr="002A29EF" w:rsidRDefault="00676D64" w:rsidP="00676D64">
      <w:pPr>
        <w:pStyle w:val="a9"/>
        <w:spacing w:line="360" w:lineRule="auto"/>
        <w:ind w:left="1080"/>
        <w:jc w:val="both"/>
        <w:rPr>
          <w:rFonts w:cs="David"/>
        </w:rPr>
      </w:pPr>
    </w:p>
    <w:p w14:paraId="1E96A020" w14:textId="77777777" w:rsidR="00676D64" w:rsidRDefault="00E61BBD" w:rsidP="00676D64">
      <w:pPr>
        <w:pStyle w:val="a9"/>
        <w:numPr>
          <w:ilvl w:val="0"/>
          <w:numId w:val="3"/>
        </w:numPr>
        <w:spacing w:line="360" w:lineRule="auto"/>
        <w:jc w:val="both"/>
        <w:rPr>
          <w:rFonts w:cs="David"/>
        </w:rPr>
      </w:pPr>
      <w:hyperlink r:id="rId27" w:history="1">
        <w:r w:rsidRPr="00E61BBD">
          <w:rPr>
            <w:rFonts w:cs="David"/>
            <w:b/>
            <w:bCs/>
            <w:color w:val="0000FF"/>
            <w:u w:val="single"/>
            <w:rtl/>
          </w:rPr>
          <w:t>ת"פ 34638-03-17</w:t>
        </w:r>
      </w:hyperlink>
      <w:r w:rsidR="00676D64" w:rsidRPr="00AE0F4A">
        <w:rPr>
          <w:rFonts w:cs="David" w:hint="cs"/>
          <w:b/>
          <w:bCs/>
          <w:rtl/>
        </w:rPr>
        <w:t>,</w:t>
      </w:r>
      <w:r w:rsidR="00676D64" w:rsidRPr="003D3EF3">
        <w:rPr>
          <w:rFonts w:cs="David" w:hint="cs"/>
          <w:rtl/>
        </w:rPr>
        <w:t xml:space="preserve"> </w:t>
      </w:r>
      <w:r w:rsidR="00676D64" w:rsidRPr="00F168ED">
        <w:rPr>
          <w:rFonts w:cs="David" w:hint="cs"/>
          <w:rtl/>
        </w:rPr>
        <w:t xml:space="preserve">בו הורשע הנאשם בעבירה של גניבה לפי </w:t>
      </w:r>
      <w:hyperlink r:id="rId28" w:history="1">
        <w:r w:rsidR="003D194A" w:rsidRPr="003D194A">
          <w:rPr>
            <w:rFonts w:cs="David"/>
            <w:color w:val="0000FF"/>
            <w:u w:val="single"/>
            <w:rtl/>
          </w:rPr>
          <w:t>סעיף 384</w:t>
        </w:r>
      </w:hyperlink>
      <w:r w:rsidR="00676D64" w:rsidRPr="00F168ED">
        <w:rPr>
          <w:rFonts w:cs="David" w:hint="cs"/>
          <w:rtl/>
        </w:rPr>
        <w:t xml:space="preserve"> ל</w:t>
      </w:r>
      <w:hyperlink r:id="rId29" w:history="1">
        <w:r w:rsidRPr="00E61BBD">
          <w:rPr>
            <w:rFonts w:cs="David"/>
            <w:color w:val="0000FF"/>
            <w:u w:val="single"/>
            <w:rtl/>
          </w:rPr>
          <w:t>חוק העונשין</w:t>
        </w:r>
      </w:hyperlink>
      <w:r w:rsidR="00676D64" w:rsidRPr="00F168ED">
        <w:rPr>
          <w:rFonts w:cs="David" w:hint="cs"/>
          <w:rtl/>
        </w:rPr>
        <w:t xml:space="preserve">, בכך </w:t>
      </w:r>
      <w:r w:rsidR="00676D64">
        <w:rPr>
          <w:rFonts w:cs="David" w:hint="cs"/>
          <w:rtl/>
        </w:rPr>
        <w:t xml:space="preserve">שגנב ביום 9.6.16, </w:t>
      </w:r>
      <w:r w:rsidR="00676D64" w:rsidRPr="003D3EF3">
        <w:rPr>
          <w:rFonts w:cs="David" w:hint="cs"/>
          <w:rtl/>
        </w:rPr>
        <w:t>זוג נעלי ספורט מ</w:t>
      </w:r>
      <w:r w:rsidR="00676D64">
        <w:rPr>
          <w:rFonts w:cs="David" w:hint="cs"/>
          <w:rtl/>
        </w:rPr>
        <w:t>חנות "</w:t>
      </w:r>
      <w:r w:rsidR="00676D64" w:rsidRPr="003D3EF3">
        <w:rPr>
          <w:rFonts w:cs="David" w:hint="cs"/>
          <w:rtl/>
        </w:rPr>
        <w:t>מגה ספורט</w:t>
      </w:r>
      <w:r w:rsidR="00676D64">
        <w:rPr>
          <w:rFonts w:cs="David" w:hint="cs"/>
          <w:rtl/>
        </w:rPr>
        <w:t>"</w:t>
      </w:r>
      <w:r w:rsidR="00676D64" w:rsidRPr="003D3EF3">
        <w:rPr>
          <w:rFonts w:cs="David" w:hint="cs"/>
          <w:rtl/>
        </w:rPr>
        <w:t xml:space="preserve"> לאחר שהוציא</w:t>
      </w:r>
      <w:r w:rsidR="00676D64">
        <w:rPr>
          <w:rFonts w:cs="David" w:hint="cs"/>
          <w:rtl/>
        </w:rPr>
        <w:t>ן</w:t>
      </w:r>
      <w:r w:rsidR="00676D64" w:rsidRPr="003D3EF3">
        <w:rPr>
          <w:rFonts w:cs="David" w:hint="cs"/>
          <w:rtl/>
        </w:rPr>
        <w:t xml:space="preserve"> מהקופסה והכניס</w:t>
      </w:r>
      <w:r w:rsidR="00676D64">
        <w:rPr>
          <w:rFonts w:cs="David" w:hint="cs"/>
          <w:rtl/>
        </w:rPr>
        <w:t>ן</w:t>
      </w:r>
      <w:r w:rsidR="00676D64" w:rsidRPr="003D3EF3">
        <w:rPr>
          <w:rFonts w:cs="David" w:hint="cs"/>
          <w:rtl/>
        </w:rPr>
        <w:t xml:space="preserve"> לשקית שהביא עמו. ביום </w:t>
      </w:r>
      <w:r w:rsidR="00676D64">
        <w:rPr>
          <w:rFonts w:cs="David" w:hint="cs"/>
          <w:rtl/>
        </w:rPr>
        <w:t>10.6.16 חזר הנאשם לחנות זו וגנב בדרך זו שני זוגות נעליים נוספים. סה"כ גנב</w:t>
      </w:r>
      <w:r w:rsidR="00676D64" w:rsidRPr="003D3EF3">
        <w:rPr>
          <w:rFonts w:cs="David" w:hint="cs"/>
          <w:rtl/>
        </w:rPr>
        <w:t xml:space="preserve"> </w:t>
      </w:r>
      <w:r w:rsidR="00676D64">
        <w:rPr>
          <w:rFonts w:cs="David" w:hint="cs"/>
          <w:rtl/>
        </w:rPr>
        <w:t xml:space="preserve">הנאשם </w:t>
      </w:r>
      <w:r w:rsidR="00676D64" w:rsidRPr="003D3EF3">
        <w:rPr>
          <w:rFonts w:cs="David" w:hint="cs"/>
          <w:rtl/>
        </w:rPr>
        <w:t xml:space="preserve">נעליים בשווי מוערך של 2400 ₪. </w:t>
      </w:r>
    </w:p>
    <w:p w14:paraId="1389B8BB" w14:textId="77777777" w:rsidR="00676D64" w:rsidRDefault="00676D64" w:rsidP="00676D64">
      <w:pPr>
        <w:pStyle w:val="a9"/>
        <w:spacing w:line="360" w:lineRule="auto"/>
        <w:ind w:left="1080"/>
        <w:jc w:val="both"/>
        <w:rPr>
          <w:rFonts w:cs="David"/>
        </w:rPr>
      </w:pPr>
    </w:p>
    <w:p w14:paraId="25808DE4" w14:textId="77777777" w:rsidR="00676D64" w:rsidRPr="00AF39E6" w:rsidRDefault="00E61BBD" w:rsidP="00676D64">
      <w:pPr>
        <w:pStyle w:val="a9"/>
        <w:numPr>
          <w:ilvl w:val="0"/>
          <w:numId w:val="3"/>
        </w:numPr>
        <w:spacing w:line="360" w:lineRule="auto"/>
        <w:jc w:val="both"/>
        <w:rPr>
          <w:rFonts w:cs="David"/>
        </w:rPr>
      </w:pPr>
      <w:hyperlink r:id="rId30" w:history="1">
        <w:r w:rsidRPr="00E61BBD">
          <w:rPr>
            <w:rFonts w:cs="David"/>
            <w:b/>
            <w:bCs/>
            <w:color w:val="0000FF"/>
            <w:u w:val="single"/>
            <w:rtl/>
          </w:rPr>
          <w:t>ת"פ 20654-11-17</w:t>
        </w:r>
      </w:hyperlink>
      <w:r w:rsidR="00676D64" w:rsidRPr="00F168ED">
        <w:rPr>
          <w:rFonts w:cs="David" w:hint="cs"/>
          <w:rtl/>
        </w:rPr>
        <w:t>, בו הורשע</w:t>
      </w:r>
      <w:r w:rsidR="00676D64">
        <w:rPr>
          <w:rFonts w:cs="David" w:hint="cs"/>
          <w:rtl/>
        </w:rPr>
        <w:t xml:space="preserve"> הנאשם </w:t>
      </w:r>
      <w:r w:rsidR="00676D64" w:rsidRPr="00F168ED">
        <w:rPr>
          <w:rFonts w:cs="David" w:hint="cs"/>
          <w:rtl/>
        </w:rPr>
        <w:t xml:space="preserve"> בעבירות של סחר בסמים (שתי עבירות), לפי סעיף </w:t>
      </w:r>
      <w:hyperlink r:id="rId31" w:history="1">
        <w:r w:rsidR="003D194A" w:rsidRPr="003D194A">
          <w:rPr>
            <w:rFonts w:cs="David"/>
            <w:color w:val="0000FF"/>
            <w:u w:val="single"/>
            <w:rtl/>
          </w:rPr>
          <w:t>13 + 19א</w:t>
        </w:r>
      </w:hyperlink>
      <w:r w:rsidR="00676D64" w:rsidRPr="00F168ED">
        <w:rPr>
          <w:rFonts w:cs="David" w:hint="cs"/>
          <w:rtl/>
        </w:rPr>
        <w:t xml:space="preserve"> ל</w:t>
      </w:r>
      <w:hyperlink r:id="rId32" w:history="1">
        <w:r w:rsidRPr="00E61BBD">
          <w:rPr>
            <w:rFonts w:cs="David"/>
            <w:color w:val="0000FF"/>
            <w:u w:val="single"/>
            <w:rtl/>
          </w:rPr>
          <w:t>פקודת הסמים המסוכנים</w:t>
        </w:r>
      </w:hyperlink>
      <w:r w:rsidR="00676D64" w:rsidRPr="00F168ED">
        <w:rPr>
          <w:rFonts w:cs="David" w:hint="cs"/>
          <w:rtl/>
        </w:rPr>
        <w:t xml:space="preserve"> (נוסח חדש) תשל"ג-1973 (להלן: "פקודת הסמים") ובעבירות של החזקת סמים שלא לשימוש עצמי (שתי עבירות), לפי </w:t>
      </w:r>
      <w:hyperlink r:id="rId33" w:history="1">
        <w:r w:rsidR="003D194A" w:rsidRPr="003D194A">
          <w:rPr>
            <w:rFonts w:cs="David"/>
            <w:color w:val="0000FF"/>
            <w:u w:val="single"/>
            <w:rtl/>
          </w:rPr>
          <w:t>סעיף 7 (א)+ 7(ג)</w:t>
        </w:r>
      </w:hyperlink>
      <w:r w:rsidR="00676D64">
        <w:rPr>
          <w:rFonts w:cs="David" w:hint="cs"/>
          <w:rtl/>
        </w:rPr>
        <w:t xml:space="preserve"> רישא</w:t>
      </w:r>
      <w:r w:rsidR="00676D64" w:rsidRPr="00F168ED">
        <w:rPr>
          <w:rFonts w:cs="David" w:hint="cs"/>
          <w:rtl/>
        </w:rPr>
        <w:t xml:space="preserve"> לפקודת הסמים. בהתאם לעובדות כתב האישום הנאשם מכר סמים מסוג חשיש לסוכן משטרתי </w:t>
      </w:r>
      <w:r w:rsidR="00676D64">
        <w:rPr>
          <w:rFonts w:cs="David" w:hint="cs"/>
          <w:rtl/>
        </w:rPr>
        <w:t>בשתי הזדמנויות שונות</w:t>
      </w:r>
      <w:r w:rsidR="00676D64" w:rsidRPr="00F168ED">
        <w:rPr>
          <w:rFonts w:cs="David" w:hint="cs"/>
          <w:rtl/>
        </w:rPr>
        <w:t xml:space="preserve">: </w:t>
      </w:r>
      <w:r w:rsidR="00676D64">
        <w:rPr>
          <w:rFonts w:cs="David" w:hint="cs"/>
          <w:rtl/>
        </w:rPr>
        <w:t xml:space="preserve">האחת, </w:t>
      </w:r>
      <w:r w:rsidR="00676D64" w:rsidRPr="00F168ED">
        <w:rPr>
          <w:rFonts w:cs="David" w:hint="cs"/>
          <w:rtl/>
        </w:rPr>
        <w:t xml:space="preserve">ביום 23.10.17 </w:t>
      </w:r>
      <w:r w:rsidR="00676D64">
        <w:rPr>
          <w:rFonts w:cs="David" w:hint="cs"/>
          <w:rtl/>
        </w:rPr>
        <w:t xml:space="preserve">עת </w:t>
      </w:r>
      <w:r w:rsidR="00676D64" w:rsidRPr="00F168ED">
        <w:rPr>
          <w:rFonts w:cs="David" w:hint="cs"/>
          <w:rtl/>
        </w:rPr>
        <w:t>מסר הנאשם לסוכן 4.42 גרם חשיש בתמורה ל- 200 ₪; ו</w:t>
      </w:r>
      <w:r w:rsidR="00676D64">
        <w:rPr>
          <w:rFonts w:cs="David" w:hint="cs"/>
          <w:rtl/>
        </w:rPr>
        <w:t xml:space="preserve">השנייה, </w:t>
      </w:r>
      <w:r w:rsidR="00676D64" w:rsidRPr="00F168ED">
        <w:rPr>
          <w:rFonts w:cs="David" w:hint="cs"/>
          <w:rtl/>
        </w:rPr>
        <w:t xml:space="preserve">ביום 2.11.17 </w:t>
      </w:r>
      <w:r w:rsidR="00676D64">
        <w:rPr>
          <w:rFonts w:cs="David" w:hint="cs"/>
          <w:rtl/>
        </w:rPr>
        <w:t xml:space="preserve">עת </w:t>
      </w:r>
      <w:r w:rsidR="00676D64" w:rsidRPr="00F168ED">
        <w:rPr>
          <w:rFonts w:cs="David" w:hint="cs"/>
          <w:rtl/>
        </w:rPr>
        <w:t xml:space="preserve">מסר הנאשם לסוכן 4.79 גרם חשיש תמורת 200 ₪. כמו כן בנסיבות אלה נמצא הנאשם </w:t>
      </w:r>
      <w:r w:rsidR="00676D64" w:rsidRPr="00F168ED">
        <w:rPr>
          <w:rFonts w:cs="David" w:hint="cs"/>
          <w:rtl/>
        </w:rPr>
        <w:lastRenderedPageBreak/>
        <w:t>מחזיק בסם מסוג חשיש במשקל נטו של 15.39 גרם</w:t>
      </w:r>
      <w:r w:rsidR="00676D64" w:rsidRPr="00AF39E6">
        <w:rPr>
          <w:rFonts w:cs="David" w:hint="cs"/>
          <w:rtl/>
        </w:rPr>
        <w:t xml:space="preserve">. </w:t>
      </w:r>
      <w:r w:rsidR="00676D64">
        <w:rPr>
          <w:rFonts w:cs="David" w:hint="cs"/>
          <w:rtl/>
        </w:rPr>
        <w:t xml:space="preserve">כן אציין בעניין </w:t>
      </w:r>
      <w:r w:rsidR="00676D64" w:rsidRPr="00AF39E6">
        <w:rPr>
          <w:rFonts w:cs="David" w:hint="cs"/>
          <w:rtl/>
        </w:rPr>
        <w:t xml:space="preserve">זה </w:t>
      </w:r>
      <w:r w:rsidR="00676D64">
        <w:rPr>
          <w:rFonts w:cs="David" w:hint="cs"/>
          <w:rtl/>
        </w:rPr>
        <w:t xml:space="preserve">שמוסכם על </w:t>
      </w:r>
      <w:r w:rsidR="00676D64" w:rsidRPr="00AF39E6">
        <w:rPr>
          <w:rFonts w:cs="David" w:hint="cs"/>
          <w:rtl/>
        </w:rPr>
        <w:t xml:space="preserve">הצדדים שהסוכן הוא זה שהתקשר אל הנאשם ויזם את השיחות.   </w:t>
      </w:r>
    </w:p>
    <w:p w14:paraId="4FD020E5" w14:textId="77777777" w:rsidR="00676D64" w:rsidRDefault="00676D64" w:rsidP="00676D64">
      <w:pPr>
        <w:pStyle w:val="a9"/>
        <w:numPr>
          <w:ilvl w:val="0"/>
          <w:numId w:val="1"/>
        </w:numPr>
        <w:spacing w:line="360" w:lineRule="auto"/>
        <w:jc w:val="both"/>
      </w:pPr>
      <w:r w:rsidRPr="0064236A">
        <w:rPr>
          <w:rFonts w:cs="David" w:hint="cs"/>
          <w:rtl/>
        </w:rPr>
        <w:t xml:space="preserve">להשלמת התמונה יובהר כי </w:t>
      </w:r>
      <w:r>
        <w:rPr>
          <w:rFonts w:cs="David" w:hint="cs"/>
          <w:rtl/>
        </w:rPr>
        <w:t xml:space="preserve">בגין העבירות שבוצעו בשנת 2014 הוגשו בעבר כתבי אישום אשר ההליכים בעניינם עוכבו על ידי היועץ המשפטי לממשלה בשל מצבו הרפואי של הנאשם (שיפורט בהמשך). ואולם, בהמשך חודשו ההליכים בשל כך שהנאשם עבר עבירות נוספות כאמור בתיקים המצורפים לעיל. </w:t>
      </w:r>
    </w:p>
    <w:p w14:paraId="7E8ACC73" w14:textId="77777777" w:rsidR="00676D64" w:rsidRDefault="00676D64" w:rsidP="00676D64">
      <w:pPr>
        <w:pStyle w:val="a9"/>
        <w:spacing w:line="360" w:lineRule="auto"/>
        <w:jc w:val="both"/>
        <w:rPr>
          <w:rtl/>
        </w:rPr>
      </w:pPr>
    </w:p>
    <w:p w14:paraId="2DD2611F" w14:textId="77777777" w:rsidR="00676D64" w:rsidRDefault="00676D64" w:rsidP="00676D64">
      <w:pPr>
        <w:spacing w:line="360" w:lineRule="auto"/>
        <w:ind w:firstLine="720"/>
        <w:contextualSpacing/>
        <w:jc w:val="both"/>
        <w:rPr>
          <w:b/>
          <w:bCs/>
          <w:u w:val="single"/>
          <w:rtl/>
        </w:rPr>
      </w:pPr>
      <w:r>
        <w:rPr>
          <w:rFonts w:hint="cs"/>
          <w:b/>
          <w:bCs/>
          <w:u w:val="single"/>
          <w:rtl/>
        </w:rPr>
        <w:t>טיעוני הצדדים לעונש והראיות</w:t>
      </w:r>
    </w:p>
    <w:p w14:paraId="7AE4BA26" w14:textId="77777777" w:rsidR="00676D64" w:rsidRDefault="00676D64" w:rsidP="00676D64">
      <w:pPr>
        <w:spacing w:line="360" w:lineRule="auto"/>
        <w:contextualSpacing/>
        <w:jc w:val="both"/>
        <w:rPr>
          <w:b/>
          <w:bCs/>
          <w:u w:val="single"/>
          <w:rtl/>
        </w:rPr>
      </w:pPr>
    </w:p>
    <w:p w14:paraId="33C6467B" w14:textId="77777777" w:rsidR="00676D64" w:rsidRDefault="00676D64" w:rsidP="00676D64">
      <w:pPr>
        <w:numPr>
          <w:ilvl w:val="0"/>
          <w:numId w:val="1"/>
        </w:numPr>
        <w:spacing w:line="360" w:lineRule="auto"/>
        <w:contextualSpacing/>
        <w:jc w:val="both"/>
      </w:pPr>
      <w:r>
        <w:rPr>
          <w:rFonts w:hint="cs"/>
          <w:rtl/>
        </w:rPr>
        <w:t xml:space="preserve">מטעמו של הנאשם העידה בתו לעונש. הבת (שהיא כבת 20) תארה את מצבו הקשה של הנאשם תוך כדי שהיא ממררת בבכי. לדבריה אביה הוא "חסר ישע" המתגורר בדירת חדר ומתקיים מ-1700 ₪ בלבד. </w:t>
      </w:r>
    </w:p>
    <w:p w14:paraId="588AAE21" w14:textId="77777777" w:rsidR="00676D64" w:rsidRDefault="00676D64" w:rsidP="00676D64">
      <w:pPr>
        <w:spacing w:line="360" w:lineRule="auto"/>
        <w:ind w:left="720"/>
        <w:contextualSpacing/>
        <w:jc w:val="both"/>
      </w:pPr>
    </w:p>
    <w:p w14:paraId="5B4712D6" w14:textId="77777777" w:rsidR="00676D64" w:rsidRDefault="00676D64" w:rsidP="00676D64">
      <w:pPr>
        <w:numPr>
          <w:ilvl w:val="0"/>
          <w:numId w:val="1"/>
        </w:numPr>
        <w:spacing w:line="360" w:lineRule="auto"/>
        <w:contextualSpacing/>
        <w:jc w:val="both"/>
      </w:pPr>
      <w:r w:rsidRPr="00C95B30">
        <w:rPr>
          <w:rFonts w:hint="cs"/>
          <w:rtl/>
        </w:rPr>
        <w:t xml:space="preserve">ב"כ המאשימה </w:t>
      </w:r>
      <w:r>
        <w:rPr>
          <w:rFonts w:hint="cs"/>
          <w:rtl/>
        </w:rPr>
        <w:t>הפנה לחומרת מעשיו של הנאשם הבאה לידי ביטוי בריבוי המקרים והישנותם. נטען כי הערכים המוגנים שנפגעו הם שלום הציבור ובטחונו וכן שמירה על קניינם של המתלוננים. בהקשר זה ציינה המאשימה כי הרכוש לא הוחזר למתלוננים. ביחס למתחם העונש ההולם ביקשה המאשימה לקבוע מתחם נפרד לכל אירוע גניבה הנע בין חודשיים מאסר בפועל ועד 8 חודשי מאסר. ביחס לעבירות הסמים נטען כי יש לקבוע מתחם אחד הנע בין 7 חודשי מאסר בפועל ל-18 חודשי מאסר. ביחס לעונש הראוי לנאשם נטען כי יש לתת את הדעת לעברו הפלילי המכביד הכולל 34 עבירות קודמות; לכך שריצה מאסרים בעבר בגין עבירות דומות; לעובדה שקיים מאסר מותנה חב הפעלה שהוארך. לפיכך טענה המאשימה כי מדובר בנאשם מסוכן ורצידיוויס</w:t>
      </w:r>
      <w:r>
        <w:rPr>
          <w:rFonts w:hint="eastAsia"/>
          <w:rtl/>
        </w:rPr>
        <w:t>ט</w:t>
      </w:r>
      <w:r>
        <w:rPr>
          <w:rFonts w:hint="cs"/>
          <w:rtl/>
        </w:rPr>
        <w:t xml:space="preserve"> שיש להרחיקו מהציבור לתקופה משמעותית וזאת חרף מצבו הרפואי. המאשימה ביקשה אפוא להטיל על הנאשם עונש מאסר ברף העליון של המתחמים לצד הפעלת המאסר המותנה וההתחייבות, מאסר על תנאי ארוך, פיצוי למתלוננים, פסילת רישיון והשמדת מוצגים. </w:t>
      </w:r>
    </w:p>
    <w:p w14:paraId="50AA7654" w14:textId="77777777" w:rsidR="00676D64" w:rsidRDefault="00676D64" w:rsidP="00676D64">
      <w:pPr>
        <w:spacing w:line="360" w:lineRule="auto"/>
        <w:ind w:left="720"/>
        <w:contextualSpacing/>
        <w:jc w:val="both"/>
      </w:pPr>
    </w:p>
    <w:p w14:paraId="368A6582" w14:textId="77777777" w:rsidR="00676D64" w:rsidRDefault="00676D64" w:rsidP="00676D64">
      <w:pPr>
        <w:numPr>
          <w:ilvl w:val="0"/>
          <w:numId w:val="1"/>
        </w:numPr>
        <w:spacing w:line="360" w:lineRule="auto"/>
        <w:contextualSpacing/>
        <w:jc w:val="both"/>
      </w:pPr>
      <w:r>
        <w:rPr>
          <w:rFonts w:hint="cs"/>
          <w:rtl/>
        </w:rPr>
        <w:t>ב"כ הנאשם הפנה לנסיבות ביצוע העבירות וטען כי אלו אינן מחמירות. לדבריו עבירות הגניבה בוצעו כלפי בתי עסק ובסכומים נמוכים, ואילו עבירות הסמים הן פרי יוזמתו של הסוכן וכללו סמים "קלים" בלבד ובסכומים נמוכים. ביחס למתחם העונש הראוי ביקש הסנגור לראות בכל אירועי הגניבה אירוע אחד ובאירוע</w:t>
      </w:r>
      <w:r>
        <w:rPr>
          <w:rFonts w:hint="eastAsia"/>
          <w:rtl/>
        </w:rPr>
        <w:t>י</w:t>
      </w:r>
      <w:r>
        <w:rPr>
          <w:rFonts w:hint="cs"/>
          <w:rtl/>
        </w:rPr>
        <w:t xml:space="preserve"> הסמים אירוע אחד נוסף. עם זאת לא ציין הסנגור את מתחמי הענישה ההולמים לשיטתו. בהתייחסו לעונש הראוי הפנה הסנגור להודאתו של הנאשם בהזדמנות הראשונה ולנסיבותיו האישיות הקשות. בשל צנעת הפרט לא ארחיב בעניין ורק אציין כי הנאשם סובל ממצב רפואי מורכב (קטוע שתי רגליים) וממצב משפחתי וכלכלי לא קל. לאור כך ביקש הסנגור להטיל על הנאשם עונש של 6 חודשי מאסר בגין עבירות הרכוש ושישה חודשים נוספים בגין עבירות הסמים. ביחס לעונש המותנה ביקש הסנגור להפעילו בחופף בשל חלוף הזמן מאז שהוטל. ביחס ליתר הרכיבים ביקש הסנגור להימנע מפסילה ומפיצוי למתלוננים. </w:t>
      </w:r>
    </w:p>
    <w:p w14:paraId="766502C4" w14:textId="77777777" w:rsidR="00676D64" w:rsidRPr="007C153E" w:rsidRDefault="00676D64" w:rsidP="00676D64">
      <w:pPr>
        <w:spacing w:line="360" w:lineRule="auto"/>
        <w:contextualSpacing/>
        <w:jc w:val="both"/>
        <w:rPr>
          <w:rtl/>
        </w:rPr>
      </w:pPr>
    </w:p>
    <w:p w14:paraId="1C28118A" w14:textId="77777777" w:rsidR="00676D64" w:rsidRDefault="00676D64" w:rsidP="00676D64">
      <w:pPr>
        <w:spacing w:line="360" w:lineRule="auto"/>
        <w:ind w:left="720"/>
        <w:contextualSpacing/>
        <w:jc w:val="both"/>
        <w:rPr>
          <w:rtl/>
        </w:rPr>
      </w:pPr>
      <w:r w:rsidRPr="00C95B30">
        <w:rPr>
          <w:rFonts w:hint="cs"/>
          <w:rtl/>
        </w:rPr>
        <w:t xml:space="preserve">הנאשם </w:t>
      </w:r>
      <w:r>
        <w:rPr>
          <w:rFonts w:hint="cs"/>
          <w:rtl/>
        </w:rPr>
        <w:t xml:space="preserve">בדברו האחרון הביע צער וחרטה על מעשיו וציין כי הוא צריך לטפל בעצמו וכי לא יחזור על מעשיו בעתיד. </w:t>
      </w:r>
    </w:p>
    <w:p w14:paraId="4835AA2F" w14:textId="77777777" w:rsidR="00676D64" w:rsidRDefault="00676D64" w:rsidP="00676D64">
      <w:pPr>
        <w:spacing w:line="360" w:lineRule="auto"/>
        <w:ind w:left="720"/>
        <w:contextualSpacing/>
        <w:jc w:val="both"/>
        <w:rPr>
          <w:b/>
          <w:bCs/>
          <w:u w:val="single"/>
          <w:rtl/>
        </w:rPr>
      </w:pPr>
    </w:p>
    <w:p w14:paraId="4DCE98C0" w14:textId="77777777" w:rsidR="00676D64" w:rsidRDefault="00676D64" w:rsidP="00676D64">
      <w:pPr>
        <w:spacing w:line="360" w:lineRule="auto"/>
        <w:ind w:firstLine="720"/>
        <w:contextualSpacing/>
        <w:jc w:val="both"/>
        <w:rPr>
          <w:b/>
          <w:bCs/>
          <w:u w:val="single"/>
          <w:rtl/>
        </w:rPr>
      </w:pPr>
      <w:r>
        <w:rPr>
          <w:rFonts w:hint="cs"/>
          <w:b/>
          <w:bCs/>
          <w:u w:val="single"/>
          <w:rtl/>
        </w:rPr>
        <w:t>דיון והכרעה</w:t>
      </w:r>
    </w:p>
    <w:p w14:paraId="09C6E920" w14:textId="77777777" w:rsidR="00676D64" w:rsidRDefault="00676D64" w:rsidP="00676D64">
      <w:pPr>
        <w:spacing w:line="360" w:lineRule="auto"/>
        <w:ind w:firstLine="720"/>
        <w:contextualSpacing/>
        <w:jc w:val="both"/>
        <w:rPr>
          <w:b/>
          <w:bCs/>
          <w:u w:val="single"/>
          <w:rtl/>
        </w:rPr>
      </w:pPr>
      <w:r>
        <w:rPr>
          <w:rFonts w:hint="cs"/>
          <w:b/>
          <w:bCs/>
          <w:u w:val="single"/>
          <w:rtl/>
        </w:rPr>
        <w:t>קביעת מתחם העונש ההולם</w:t>
      </w:r>
    </w:p>
    <w:p w14:paraId="2EEA2F44" w14:textId="77777777" w:rsidR="00676D64" w:rsidRDefault="00676D64" w:rsidP="00676D64">
      <w:pPr>
        <w:spacing w:line="360" w:lineRule="auto"/>
        <w:ind w:left="720"/>
        <w:contextualSpacing/>
        <w:jc w:val="both"/>
      </w:pPr>
    </w:p>
    <w:p w14:paraId="692417D8" w14:textId="77777777" w:rsidR="00676D64" w:rsidRPr="003D73E1" w:rsidRDefault="00676D64" w:rsidP="00676D64">
      <w:pPr>
        <w:numPr>
          <w:ilvl w:val="0"/>
          <w:numId w:val="1"/>
        </w:numPr>
        <w:spacing w:line="360" w:lineRule="auto"/>
        <w:contextualSpacing/>
        <w:jc w:val="both"/>
        <w:rPr>
          <w:rFonts w:ascii="David" w:hAnsi="David"/>
        </w:rPr>
      </w:pPr>
      <w:r w:rsidRPr="009D2A85">
        <w:rPr>
          <w:rFonts w:ascii="David" w:eastAsia="Calibri" w:hAnsi="David"/>
          <w:rtl/>
        </w:rPr>
        <w:t>כידוע, מאז תיקון 113 ל</w:t>
      </w:r>
      <w:hyperlink r:id="rId34" w:history="1">
        <w:r w:rsidR="00E61BBD" w:rsidRPr="00E61BBD">
          <w:rPr>
            <w:rFonts w:ascii="David" w:eastAsia="Calibri" w:hAnsi="David"/>
            <w:color w:val="0000FF"/>
            <w:u w:val="single"/>
            <w:rtl/>
          </w:rPr>
          <w:t>חוק העונשין</w:t>
        </w:r>
      </w:hyperlink>
      <w:r w:rsidRPr="009D2A85">
        <w:rPr>
          <w:rFonts w:ascii="David" w:eastAsia="Calibri" w:hAnsi="David"/>
          <w:rtl/>
        </w:rPr>
        <w:t xml:space="preserve"> גזר הדין ניתן במסגרת הליך תלת שלבי. בשלב הראשון יש לקבוע אם כתב האישום מתאר אירוע אחד או מספר אירועים. לאחר מכן יש לקבוע את מתחם הענישה ההול</w:t>
      </w:r>
      <w:r w:rsidRPr="009D2A85">
        <w:rPr>
          <w:rFonts w:ascii="David" w:eastAsia="Calibri" w:hAnsi="David" w:hint="cs"/>
          <w:rtl/>
        </w:rPr>
        <w:t>ם</w:t>
      </w:r>
      <w:r w:rsidRPr="009D2A85">
        <w:rPr>
          <w:rFonts w:ascii="David" w:eastAsia="Calibri" w:hAnsi="David"/>
          <w:rtl/>
        </w:rPr>
        <w:t xml:space="preserve"> את האירוע ובסופו של תהליך, יש להחליט אם נכון לחרוג מהמתחם שנקבע, שאחרת ייגזר העונש בגדרי המתחם.</w:t>
      </w:r>
      <w:r w:rsidRPr="009D2A85">
        <w:rPr>
          <w:rFonts w:ascii="David" w:eastAsia="Calibri" w:hAnsi="David" w:hint="cs"/>
          <w:rtl/>
        </w:rPr>
        <w:t xml:space="preserve"> </w:t>
      </w:r>
    </w:p>
    <w:p w14:paraId="28B3B900" w14:textId="77777777" w:rsidR="00676D64" w:rsidRDefault="00676D64" w:rsidP="00676D64">
      <w:pPr>
        <w:spacing w:line="360" w:lineRule="auto"/>
        <w:ind w:left="720"/>
        <w:contextualSpacing/>
        <w:jc w:val="both"/>
        <w:rPr>
          <w:rFonts w:ascii="David" w:eastAsia="Calibri" w:hAnsi="David"/>
          <w:rtl/>
        </w:rPr>
      </w:pPr>
    </w:p>
    <w:p w14:paraId="11CCEE53" w14:textId="77777777" w:rsidR="00676D64" w:rsidRDefault="00676D64" w:rsidP="00676D64">
      <w:pPr>
        <w:spacing w:line="360" w:lineRule="auto"/>
        <w:ind w:left="720"/>
        <w:contextualSpacing/>
        <w:jc w:val="both"/>
        <w:rPr>
          <w:rFonts w:ascii="David" w:hAnsi="David"/>
        </w:rPr>
      </w:pPr>
      <w:r w:rsidRPr="001074DE">
        <w:rPr>
          <w:rFonts w:ascii="David" w:eastAsia="Calibri" w:hAnsi="David" w:hint="cs"/>
          <w:b/>
          <w:bCs/>
          <w:rtl/>
        </w:rPr>
        <w:t>ביחס לעבירות הסמים</w:t>
      </w:r>
      <w:r>
        <w:rPr>
          <w:rFonts w:ascii="David" w:eastAsia="Calibri" w:hAnsi="David" w:hint="cs"/>
          <w:rtl/>
        </w:rPr>
        <w:t xml:space="preserve">, </w:t>
      </w:r>
      <w:r w:rsidRPr="00593641">
        <w:rPr>
          <w:rtl/>
        </w:rPr>
        <w:t xml:space="preserve">הצדדים </w:t>
      </w:r>
      <w:r>
        <w:rPr>
          <w:rFonts w:hint="cs"/>
          <w:rtl/>
        </w:rPr>
        <w:t>הסכימו כי יש לקבוע</w:t>
      </w:r>
      <w:r w:rsidRPr="00593641">
        <w:rPr>
          <w:rtl/>
        </w:rPr>
        <w:t xml:space="preserve"> מתחם עונש אחד </w:t>
      </w:r>
      <w:r>
        <w:rPr>
          <w:rFonts w:hint="cs"/>
          <w:rtl/>
        </w:rPr>
        <w:t xml:space="preserve">בגין שתי העבירות </w:t>
      </w:r>
      <w:r w:rsidRPr="00593641">
        <w:rPr>
          <w:rtl/>
        </w:rPr>
        <w:t>ודומה שיש ממש בטיעון זה. העבירות נבעו מאותה מערכת נסיבות והן פרי של תכנית עבריינית אחת. כמו כן המכירה התבצעה לאותו סוכן ובסמיכות זמנים יחסית. מכאן שקיים קשר הדוק בין העבירות וראוי לקבוע מתחם עונש אחד, המביא בחשבון כמובן שמדובר במספר עבירות (</w:t>
      </w:r>
      <w:hyperlink r:id="rId35" w:history="1">
        <w:r w:rsidR="00E61BBD" w:rsidRPr="00E61BBD">
          <w:rPr>
            <w:color w:val="0000FF"/>
            <w:u w:val="single"/>
            <w:rtl/>
          </w:rPr>
          <w:t>ע"פ 4910/13</w:t>
        </w:r>
      </w:hyperlink>
      <w:r w:rsidRPr="00593641">
        <w:rPr>
          <w:rtl/>
        </w:rPr>
        <w:t xml:space="preserve"> </w:t>
      </w:r>
      <w:r w:rsidRPr="00593641">
        <w:rPr>
          <w:b/>
          <w:bCs/>
          <w:rtl/>
        </w:rPr>
        <w:t>ג'אבר נ' מדינת ישראל</w:t>
      </w:r>
      <w:r w:rsidRPr="00593641">
        <w:rPr>
          <w:rtl/>
        </w:rPr>
        <w:t xml:space="preserve"> (29.10.14); (</w:t>
      </w:r>
      <w:hyperlink r:id="rId36" w:history="1">
        <w:r w:rsidR="00E61BBD" w:rsidRPr="00E61BBD">
          <w:rPr>
            <w:color w:val="0000FF"/>
            <w:u w:val="single"/>
            <w:rtl/>
          </w:rPr>
          <w:t>רע"פ 4760/14</w:t>
        </w:r>
      </w:hyperlink>
      <w:r w:rsidRPr="00593641">
        <w:rPr>
          <w:rtl/>
        </w:rPr>
        <w:t xml:space="preserve"> </w:t>
      </w:r>
      <w:r w:rsidRPr="00593641">
        <w:rPr>
          <w:b/>
          <w:bCs/>
          <w:rtl/>
        </w:rPr>
        <w:t>קיסלמן ואח' נ' מדינת ישראל</w:t>
      </w:r>
      <w:r w:rsidRPr="00593641">
        <w:rPr>
          <w:rtl/>
        </w:rPr>
        <w:t xml:space="preserve"> (7.5.15); (</w:t>
      </w:r>
      <w:hyperlink r:id="rId37" w:history="1">
        <w:r w:rsidR="00E61BBD" w:rsidRPr="00E61BBD">
          <w:rPr>
            <w:color w:val="0000FF"/>
            <w:u w:val="single"/>
            <w:rtl/>
          </w:rPr>
          <w:t>דנ"פ 2999/16</w:t>
        </w:r>
      </w:hyperlink>
      <w:r w:rsidRPr="00593641">
        <w:rPr>
          <w:rtl/>
        </w:rPr>
        <w:t xml:space="preserve"> </w:t>
      </w:r>
      <w:r w:rsidRPr="00593641">
        <w:rPr>
          <w:b/>
          <w:bCs/>
          <w:rtl/>
        </w:rPr>
        <w:t>מזרחי נ' מדינת ישראל</w:t>
      </w:r>
      <w:r w:rsidRPr="00593641">
        <w:rPr>
          <w:rtl/>
        </w:rPr>
        <w:t xml:space="preserve"> (22.5.2016)).</w:t>
      </w:r>
    </w:p>
    <w:p w14:paraId="7DDF97E7" w14:textId="77777777" w:rsidR="00676D64" w:rsidRPr="00593641" w:rsidRDefault="00676D64" w:rsidP="00676D64">
      <w:pPr>
        <w:spacing w:line="360" w:lineRule="auto"/>
        <w:ind w:left="720"/>
        <w:contextualSpacing/>
        <w:jc w:val="both"/>
        <w:rPr>
          <w:rFonts w:ascii="David" w:hAnsi="David"/>
        </w:rPr>
      </w:pPr>
    </w:p>
    <w:p w14:paraId="05D36A23" w14:textId="77777777" w:rsidR="00676D64" w:rsidRPr="003321BB" w:rsidRDefault="00676D64" w:rsidP="00676D64">
      <w:pPr>
        <w:pStyle w:val="a9"/>
        <w:spacing w:line="360" w:lineRule="auto"/>
        <w:jc w:val="both"/>
        <w:rPr>
          <w:rFonts w:ascii="David" w:eastAsia="Calibri" w:hAnsi="David" w:cs="David"/>
        </w:rPr>
      </w:pPr>
      <w:r w:rsidRPr="001074DE">
        <w:rPr>
          <w:rFonts w:ascii="David" w:eastAsia="Calibri" w:hAnsi="David" w:cs="David" w:hint="cs"/>
          <w:b/>
          <w:bCs/>
          <w:rtl/>
        </w:rPr>
        <w:t>ביחס לעבירות הרכוש</w:t>
      </w:r>
      <w:r>
        <w:rPr>
          <w:rFonts w:ascii="David" w:eastAsia="Calibri" w:hAnsi="David" w:cs="David" w:hint="cs"/>
          <w:rtl/>
        </w:rPr>
        <w:t xml:space="preserve"> הצדדים היו חלוקים בשאלת מספר המתחמים. הסנגור טען כי יש לראות את כלל כתבי האישום כאירוע אחד ואילו המאשימה סברה שמדובר במספר אירועים. </w:t>
      </w:r>
      <w:r w:rsidRPr="009B4718">
        <w:rPr>
          <w:rFonts w:cs="David"/>
          <w:rtl/>
        </w:rPr>
        <w:t xml:space="preserve">דעתי כדעת המאשימה בעניין זה. ענייננו עוסק בקיבוצם המקרי של </w:t>
      </w:r>
      <w:r>
        <w:rPr>
          <w:rFonts w:cs="David" w:hint="cs"/>
          <w:rtl/>
        </w:rPr>
        <w:t>חמישה</w:t>
      </w:r>
      <w:r w:rsidRPr="009B4718">
        <w:rPr>
          <w:rFonts w:cs="David"/>
          <w:rtl/>
        </w:rPr>
        <w:t xml:space="preserve"> כתבי אישום לכדי גזר דין אחד, וזאת בשל בקשת ההגנה. משכך, על פני הדברים קשה להלום אפשרות שמדובר באירוע אחד, אם כי כמובן אין מדובר בנתון השולל – כשלעצמו – אפשרות שאכן מתקיים מבחן הקשר ההדוק </w:t>
      </w:r>
      <w:r w:rsidRPr="003321BB">
        <w:rPr>
          <w:rFonts w:ascii="Calibri" w:hAnsi="Calibri" w:cs="David"/>
          <w:rtl/>
        </w:rPr>
        <w:t>(</w:t>
      </w:r>
      <w:hyperlink r:id="rId38" w:history="1">
        <w:r w:rsidR="00E61BBD" w:rsidRPr="00E61BBD">
          <w:rPr>
            <w:rFonts w:ascii="Calibri" w:hAnsi="Calibri" w:cs="David" w:hint="eastAsia"/>
            <w:color w:val="0000FF"/>
            <w:u w:val="single"/>
            <w:rtl/>
          </w:rPr>
          <w:t>ע</w:t>
        </w:r>
        <w:r w:rsidR="00E61BBD" w:rsidRPr="00E61BBD">
          <w:rPr>
            <w:rFonts w:ascii="Calibri" w:hAnsi="Calibri" w:cs="David"/>
            <w:color w:val="0000FF"/>
            <w:u w:val="single"/>
            <w:rtl/>
          </w:rPr>
          <w:t>"</w:t>
        </w:r>
        <w:r w:rsidR="00E61BBD" w:rsidRPr="00E61BBD">
          <w:rPr>
            <w:rFonts w:ascii="Calibri" w:hAnsi="Calibri" w:cs="David" w:hint="eastAsia"/>
            <w:color w:val="0000FF"/>
            <w:u w:val="single"/>
            <w:rtl/>
          </w:rPr>
          <w:t>פ</w:t>
        </w:r>
        <w:r w:rsidR="00E61BBD" w:rsidRPr="00E61BBD">
          <w:rPr>
            <w:rFonts w:ascii="Calibri" w:hAnsi="Calibri" w:cs="David"/>
            <w:color w:val="0000FF"/>
            <w:u w:val="single"/>
            <w:rtl/>
          </w:rPr>
          <w:t xml:space="preserve"> 4910/13</w:t>
        </w:r>
      </w:hyperlink>
      <w:r w:rsidRPr="003321BB">
        <w:rPr>
          <w:rFonts w:ascii="Calibri" w:hAnsi="Calibri" w:cs="David"/>
          <w:rtl/>
        </w:rPr>
        <w:t xml:space="preserve"> </w:t>
      </w:r>
      <w:r w:rsidRPr="003321BB">
        <w:rPr>
          <w:rFonts w:ascii="Calibri" w:hAnsi="Calibri" w:cs="David" w:hint="eastAsia"/>
          <w:b/>
          <w:bCs/>
          <w:rtl/>
        </w:rPr>
        <w:t>ג</w:t>
      </w:r>
      <w:r w:rsidRPr="003321BB">
        <w:rPr>
          <w:rFonts w:ascii="Calibri" w:hAnsi="Calibri" w:cs="David"/>
          <w:b/>
          <w:bCs/>
          <w:rtl/>
        </w:rPr>
        <w:t>'</w:t>
      </w:r>
      <w:r w:rsidRPr="003321BB">
        <w:rPr>
          <w:rFonts w:ascii="Calibri" w:hAnsi="Calibri" w:cs="David" w:hint="eastAsia"/>
          <w:b/>
          <w:bCs/>
          <w:rtl/>
        </w:rPr>
        <w:t>אבר</w:t>
      </w:r>
      <w:r w:rsidRPr="003321BB">
        <w:rPr>
          <w:rFonts w:ascii="Calibri" w:hAnsi="Calibri" w:cs="David"/>
          <w:b/>
          <w:bCs/>
          <w:rtl/>
        </w:rPr>
        <w:t xml:space="preserve"> </w:t>
      </w:r>
      <w:r w:rsidRPr="003321BB">
        <w:rPr>
          <w:rFonts w:ascii="Calibri" w:hAnsi="Calibri" w:cs="David" w:hint="eastAsia"/>
          <w:b/>
          <w:bCs/>
          <w:rtl/>
        </w:rPr>
        <w:t>נ</w:t>
      </w:r>
      <w:r w:rsidRPr="003321BB">
        <w:rPr>
          <w:rFonts w:ascii="Calibri" w:hAnsi="Calibri" w:cs="David"/>
          <w:b/>
          <w:bCs/>
          <w:rtl/>
        </w:rPr>
        <w:t xml:space="preserve">' </w:t>
      </w:r>
      <w:r w:rsidRPr="003321BB">
        <w:rPr>
          <w:rFonts w:ascii="Calibri" w:hAnsi="Calibri" w:cs="David" w:hint="eastAsia"/>
          <w:b/>
          <w:bCs/>
          <w:rtl/>
        </w:rPr>
        <w:t>מדינת</w:t>
      </w:r>
      <w:r w:rsidRPr="003321BB">
        <w:rPr>
          <w:rFonts w:ascii="Calibri" w:hAnsi="Calibri" w:cs="David"/>
          <w:b/>
          <w:bCs/>
          <w:rtl/>
        </w:rPr>
        <w:t xml:space="preserve"> </w:t>
      </w:r>
      <w:r w:rsidRPr="003321BB">
        <w:rPr>
          <w:rFonts w:ascii="Calibri" w:hAnsi="Calibri" w:cs="David" w:hint="eastAsia"/>
          <w:b/>
          <w:bCs/>
          <w:rtl/>
        </w:rPr>
        <w:t>ישראל</w:t>
      </w:r>
      <w:r w:rsidRPr="003321BB">
        <w:rPr>
          <w:rFonts w:ascii="Calibri" w:hAnsi="Calibri" w:cs="David"/>
          <w:rtl/>
        </w:rPr>
        <w:t xml:space="preserve"> (29.10.14)). </w:t>
      </w:r>
      <w:r w:rsidRPr="009B4718">
        <w:rPr>
          <w:rFonts w:cs="David"/>
          <w:rtl/>
        </w:rPr>
        <w:t xml:space="preserve">לכן מתבקשת בדיקה מהותית, אליה אפנה כעת. </w:t>
      </w:r>
    </w:p>
    <w:p w14:paraId="1A9B85E0" w14:textId="77777777" w:rsidR="00676D64" w:rsidRPr="009B4718" w:rsidRDefault="00676D64" w:rsidP="00676D64">
      <w:pPr>
        <w:spacing w:line="360" w:lineRule="auto"/>
        <w:ind w:left="720"/>
        <w:contextualSpacing/>
        <w:jc w:val="both"/>
        <w:rPr>
          <w:rFonts w:ascii="Calibri" w:hAnsi="Calibri" w:cs="Times New Roman"/>
        </w:rPr>
      </w:pPr>
    </w:p>
    <w:p w14:paraId="5B6BAEF3" w14:textId="77777777" w:rsidR="00676D64" w:rsidRPr="009B4718" w:rsidRDefault="00676D64" w:rsidP="00676D64">
      <w:pPr>
        <w:spacing w:line="360" w:lineRule="auto"/>
        <w:ind w:left="720"/>
        <w:contextualSpacing/>
        <w:jc w:val="both"/>
        <w:rPr>
          <w:rFonts w:ascii="Calibri" w:hAnsi="Calibri"/>
        </w:rPr>
      </w:pPr>
      <w:r w:rsidRPr="009B4718">
        <w:rPr>
          <w:rtl/>
        </w:rPr>
        <w:t xml:space="preserve">בענייננו, המכנה המשותף למרבית העבירות שביצע הנאשם הוא שמדובר בעבירות גניבה בשיטה דומה יחסית, היינו הגעה למקום פלוני, ניצול שעת כושר ונטילת החפץ. עם זאת, מדובר באירועים אשר בוצעו בזמנים שונים, </w:t>
      </w:r>
      <w:r>
        <w:rPr>
          <w:rFonts w:hint="cs"/>
          <w:rtl/>
        </w:rPr>
        <w:t xml:space="preserve">לעיתים תוך ריחוק ממשי בזמן, </w:t>
      </w:r>
      <w:r w:rsidRPr="009B4718">
        <w:rPr>
          <w:rtl/>
        </w:rPr>
        <w:t xml:space="preserve">במקומות שונים ומרוחקים, כלפי קורבנות </w:t>
      </w:r>
      <w:r>
        <w:rPr>
          <w:rFonts w:hint="cs"/>
          <w:rtl/>
        </w:rPr>
        <w:t xml:space="preserve">שונים </w:t>
      </w:r>
      <w:r w:rsidRPr="009B4718">
        <w:rPr>
          <w:rtl/>
        </w:rPr>
        <w:t>ומבלי שקיימת בבסיסם תכנית עבריינית מוגדרת אחת (</w:t>
      </w:r>
      <w:hyperlink r:id="rId39" w:history="1">
        <w:r w:rsidR="00E61BBD" w:rsidRPr="00E61BBD">
          <w:rPr>
            <w:color w:val="0000FF"/>
            <w:u w:val="single"/>
            <w:rtl/>
          </w:rPr>
          <w:t>ע"פ 2580/14</w:t>
        </w:r>
      </w:hyperlink>
      <w:r w:rsidRPr="009B4718">
        <w:rPr>
          <w:rtl/>
        </w:rPr>
        <w:t xml:space="preserve"> </w:t>
      </w:r>
      <w:r w:rsidRPr="009B4718">
        <w:rPr>
          <w:b/>
          <w:bCs/>
          <w:rtl/>
        </w:rPr>
        <w:t>אבו ליל חסן נ' מדינת ישראל</w:t>
      </w:r>
      <w:r w:rsidRPr="009B4718">
        <w:rPr>
          <w:rtl/>
        </w:rPr>
        <w:t xml:space="preserve"> (23.9.14)). אכן, ניתן לזהות "תכנית עבריינית" דומה והיא הנטייה לביצוע גניבות ואפשר שגם מאותו מניע (</w:t>
      </w:r>
      <w:r>
        <w:rPr>
          <w:rFonts w:hint="cs"/>
          <w:rtl/>
        </w:rPr>
        <w:t>קושי</w:t>
      </w:r>
      <w:r w:rsidRPr="009B4718">
        <w:rPr>
          <w:rtl/>
        </w:rPr>
        <w:t xml:space="preserve"> כלכלי). ואולם, מדובר בטיעון מופשט משהו, ובנסיבות העניין ולאור ריחוק הזמן בין האירועים; הקורבנות השונים; והמקומות השונים והמגוונים בהם בוצעו המעשים, אינני סבור שדי בכך כדי לקיים </w:t>
      </w:r>
      <w:r>
        <w:rPr>
          <w:rtl/>
        </w:rPr>
        <w:t>את מבחן הקשר ההדוק</w:t>
      </w:r>
      <w:r>
        <w:rPr>
          <w:rFonts w:hint="cs"/>
          <w:rtl/>
        </w:rPr>
        <w:t xml:space="preserve"> (</w:t>
      </w:r>
      <w:r>
        <w:rPr>
          <w:rtl/>
        </w:rPr>
        <w:t>בעניין דומה</w:t>
      </w:r>
      <w:r>
        <w:rPr>
          <w:rFonts w:ascii="Calibri" w:hAnsi="Calibri" w:hint="cs"/>
          <w:rtl/>
        </w:rPr>
        <w:t xml:space="preserve"> ראה גם </w:t>
      </w:r>
      <w:hyperlink r:id="rId40" w:history="1">
        <w:r w:rsidR="00E61BBD" w:rsidRPr="00E61BBD">
          <w:rPr>
            <w:rFonts w:ascii="Calibri" w:hAnsi="Calibri" w:hint="eastAsia"/>
            <w:color w:val="0000FF"/>
            <w:u w:val="single"/>
            <w:rtl/>
          </w:rPr>
          <w:t>ת</w:t>
        </w:r>
        <w:r w:rsidR="00E61BBD" w:rsidRPr="00E61BBD">
          <w:rPr>
            <w:rFonts w:ascii="Calibri" w:hAnsi="Calibri"/>
            <w:color w:val="0000FF"/>
            <w:u w:val="single"/>
            <w:rtl/>
          </w:rPr>
          <w:t>"</w:t>
        </w:r>
        <w:r w:rsidR="00E61BBD" w:rsidRPr="00E61BBD">
          <w:rPr>
            <w:rFonts w:ascii="Calibri" w:hAnsi="Calibri" w:hint="eastAsia"/>
            <w:color w:val="0000FF"/>
            <w:u w:val="single"/>
            <w:rtl/>
          </w:rPr>
          <w:t>פ</w:t>
        </w:r>
        <w:r w:rsidR="00E61BBD" w:rsidRPr="00E61BBD">
          <w:rPr>
            <w:rFonts w:ascii="Calibri" w:hAnsi="Calibri"/>
            <w:color w:val="0000FF"/>
            <w:u w:val="single"/>
            <w:rtl/>
          </w:rPr>
          <w:t xml:space="preserve"> (</w:t>
        </w:r>
        <w:r w:rsidR="00E61BBD" w:rsidRPr="00E61BBD">
          <w:rPr>
            <w:rFonts w:ascii="Calibri" w:hAnsi="Calibri" w:hint="eastAsia"/>
            <w:color w:val="0000FF"/>
            <w:u w:val="single"/>
            <w:rtl/>
          </w:rPr>
          <w:t>מח</w:t>
        </w:r>
        <w:r w:rsidR="00E61BBD" w:rsidRPr="00E61BBD">
          <w:rPr>
            <w:rFonts w:ascii="Calibri" w:hAnsi="Calibri"/>
            <w:color w:val="0000FF"/>
            <w:u w:val="single"/>
            <w:rtl/>
          </w:rPr>
          <w:t xml:space="preserve">' </w:t>
        </w:r>
        <w:r w:rsidR="00E61BBD" w:rsidRPr="00E61BBD">
          <w:rPr>
            <w:rFonts w:ascii="Calibri" w:hAnsi="Calibri" w:hint="eastAsia"/>
            <w:color w:val="0000FF"/>
            <w:u w:val="single"/>
            <w:rtl/>
          </w:rPr>
          <w:t>חי</w:t>
        </w:r>
        <w:r w:rsidR="00E61BBD" w:rsidRPr="00E61BBD">
          <w:rPr>
            <w:rFonts w:ascii="Calibri" w:hAnsi="Calibri"/>
            <w:color w:val="0000FF"/>
            <w:u w:val="single"/>
            <w:rtl/>
          </w:rPr>
          <w:t>') 40168-08-15</w:t>
        </w:r>
      </w:hyperlink>
      <w:r w:rsidRPr="009B4718">
        <w:rPr>
          <w:rFonts w:ascii="Calibri" w:hAnsi="Calibri"/>
          <w:rtl/>
        </w:rPr>
        <w:t xml:space="preserve"> </w:t>
      </w:r>
      <w:r w:rsidRPr="009B4718">
        <w:rPr>
          <w:rFonts w:ascii="Calibri" w:hAnsi="Calibri" w:hint="eastAsia"/>
          <w:b/>
          <w:bCs/>
          <w:rtl/>
        </w:rPr>
        <w:t>מדינת</w:t>
      </w:r>
      <w:r w:rsidRPr="009B4718">
        <w:rPr>
          <w:rFonts w:ascii="Calibri" w:hAnsi="Calibri"/>
          <w:b/>
          <w:bCs/>
          <w:rtl/>
        </w:rPr>
        <w:t xml:space="preserve"> </w:t>
      </w:r>
      <w:r w:rsidRPr="009B4718">
        <w:rPr>
          <w:rFonts w:ascii="Calibri" w:hAnsi="Calibri" w:hint="eastAsia"/>
          <w:b/>
          <w:bCs/>
          <w:rtl/>
        </w:rPr>
        <w:t>ישראל</w:t>
      </w:r>
      <w:r w:rsidRPr="009B4718">
        <w:rPr>
          <w:rFonts w:ascii="Calibri" w:hAnsi="Calibri"/>
          <w:b/>
          <w:bCs/>
          <w:rtl/>
        </w:rPr>
        <w:t xml:space="preserve"> </w:t>
      </w:r>
      <w:r w:rsidRPr="009B4718">
        <w:rPr>
          <w:rFonts w:ascii="Calibri" w:hAnsi="Calibri" w:hint="eastAsia"/>
          <w:b/>
          <w:bCs/>
          <w:rtl/>
        </w:rPr>
        <w:t>נ</w:t>
      </w:r>
      <w:r w:rsidRPr="009B4718">
        <w:rPr>
          <w:rFonts w:ascii="Calibri" w:hAnsi="Calibri"/>
          <w:b/>
          <w:bCs/>
          <w:rtl/>
        </w:rPr>
        <w:t xml:space="preserve">' </w:t>
      </w:r>
      <w:r w:rsidRPr="009B4718">
        <w:rPr>
          <w:rFonts w:ascii="Calibri" w:hAnsi="Calibri" w:hint="eastAsia"/>
          <w:b/>
          <w:bCs/>
          <w:rtl/>
        </w:rPr>
        <w:t>יבדאיב</w:t>
      </w:r>
      <w:r>
        <w:rPr>
          <w:rFonts w:ascii="Calibri" w:hAnsi="Calibri"/>
          <w:rtl/>
        </w:rPr>
        <w:t xml:space="preserve"> (17.4.16)</w:t>
      </w:r>
      <w:r>
        <w:rPr>
          <w:rFonts w:ascii="Calibri" w:hAnsi="Calibri" w:hint="cs"/>
          <w:rtl/>
        </w:rPr>
        <w:t xml:space="preserve">). </w:t>
      </w:r>
      <w:r w:rsidRPr="009B4718">
        <w:rPr>
          <w:rFonts w:ascii="Calibri" w:hAnsi="Calibri" w:hint="eastAsia"/>
          <w:rtl/>
        </w:rPr>
        <w:t>לדיון</w:t>
      </w:r>
      <w:r w:rsidRPr="009B4718">
        <w:rPr>
          <w:rFonts w:ascii="Calibri" w:hAnsi="Calibri"/>
          <w:rtl/>
        </w:rPr>
        <w:t xml:space="preserve"> </w:t>
      </w:r>
      <w:r w:rsidRPr="009B4718">
        <w:rPr>
          <w:rFonts w:ascii="Calibri" w:hAnsi="Calibri" w:hint="eastAsia"/>
          <w:rtl/>
        </w:rPr>
        <w:t>מעמיק</w:t>
      </w:r>
      <w:r w:rsidRPr="009B4718">
        <w:rPr>
          <w:rFonts w:ascii="Calibri" w:hAnsi="Calibri"/>
          <w:rtl/>
        </w:rPr>
        <w:t xml:space="preserve"> </w:t>
      </w:r>
      <w:r w:rsidRPr="009B4718">
        <w:rPr>
          <w:rFonts w:ascii="Calibri" w:hAnsi="Calibri" w:hint="eastAsia"/>
          <w:rtl/>
        </w:rPr>
        <w:t>בנושא</w:t>
      </w:r>
      <w:r w:rsidRPr="009B4718">
        <w:rPr>
          <w:rFonts w:ascii="Calibri" w:hAnsi="Calibri"/>
          <w:rtl/>
        </w:rPr>
        <w:t xml:space="preserve"> </w:t>
      </w:r>
      <w:r w:rsidRPr="009B4718">
        <w:rPr>
          <w:rFonts w:ascii="Calibri" w:hAnsi="Calibri" w:hint="eastAsia"/>
          <w:rtl/>
        </w:rPr>
        <w:t>ראו</w:t>
      </w:r>
      <w:r w:rsidRPr="009B4718">
        <w:rPr>
          <w:rFonts w:ascii="Calibri" w:hAnsi="Calibri"/>
          <w:rtl/>
        </w:rPr>
        <w:t xml:space="preserve"> </w:t>
      </w:r>
      <w:r w:rsidRPr="009B4718">
        <w:rPr>
          <w:rFonts w:ascii="Calibri" w:hAnsi="Calibri" w:hint="eastAsia"/>
          <w:rtl/>
        </w:rPr>
        <w:t>גם</w:t>
      </w:r>
      <w:r w:rsidRPr="009B4718">
        <w:rPr>
          <w:rFonts w:ascii="Calibri" w:hAnsi="Calibri"/>
          <w:rtl/>
        </w:rPr>
        <w:t xml:space="preserve"> </w:t>
      </w:r>
      <w:hyperlink r:id="rId41" w:history="1">
        <w:r w:rsidR="00E61BBD" w:rsidRPr="00E61BBD">
          <w:rPr>
            <w:rFonts w:ascii="Calibri" w:hAnsi="Calibri" w:hint="eastAsia"/>
            <w:color w:val="0000FF"/>
            <w:u w:val="single"/>
            <w:rtl/>
          </w:rPr>
          <w:t>ע</w:t>
        </w:r>
        <w:r w:rsidR="00E61BBD" w:rsidRPr="00E61BBD">
          <w:rPr>
            <w:rFonts w:ascii="Calibri" w:hAnsi="Calibri"/>
            <w:color w:val="0000FF"/>
            <w:u w:val="single"/>
            <w:rtl/>
          </w:rPr>
          <w:t>"</w:t>
        </w:r>
        <w:r w:rsidR="00E61BBD" w:rsidRPr="00E61BBD">
          <w:rPr>
            <w:rFonts w:ascii="Calibri" w:hAnsi="Calibri" w:hint="eastAsia"/>
            <w:color w:val="0000FF"/>
            <w:u w:val="single"/>
            <w:rtl/>
          </w:rPr>
          <w:t>פ</w:t>
        </w:r>
        <w:r w:rsidR="00E61BBD" w:rsidRPr="00E61BBD">
          <w:rPr>
            <w:rFonts w:ascii="Calibri" w:hAnsi="Calibri"/>
            <w:color w:val="0000FF"/>
            <w:u w:val="single"/>
            <w:rtl/>
          </w:rPr>
          <w:t xml:space="preserve"> 5668/13</w:t>
        </w:r>
      </w:hyperlink>
      <w:r w:rsidRPr="009B4718">
        <w:rPr>
          <w:rFonts w:ascii="Calibri" w:hAnsi="Calibri"/>
          <w:rtl/>
        </w:rPr>
        <w:t xml:space="preserve"> </w:t>
      </w:r>
      <w:r w:rsidRPr="009B4718">
        <w:rPr>
          <w:rFonts w:ascii="Calibri" w:hAnsi="Calibri" w:hint="eastAsia"/>
          <w:b/>
          <w:bCs/>
          <w:rtl/>
        </w:rPr>
        <w:t>ערן</w:t>
      </w:r>
      <w:r w:rsidRPr="009B4718">
        <w:rPr>
          <w:rFonts w:ascii="Calibri" w:hAnsi="Calibri"/>
          <w:b/>
          <w:bCs/>
          <w:rtl/>
        </w:rPr>
        <w:t xml:space="preserve"> </w:t>
      </w:r>
      <w:r w:rsidRPr="009B4718">
        <w:rPr>
          <w:rFonts w:ascii="Calibri" w:hAnsi="Calibri" w:hint="eastAsia"/>
          <w:b/>
          <w:bCs/>
          <w:rtl/>
        </w:rPr>
        <w:t>מזרחי</w:t>
      </w:r>
      <w:r w:rsidRPr="009B4718">
        <w:rPr>
          <w:rFonts w:ascii="Calibri" w:hAnsi="Calibri"/>
          <w:b/>
          <w:bCs/>
          <w:rtl/>
        </w:rPr>
        <w:t xml:space="preserve"> </w:t>
      </w:r>
      <w:r w:rsidRPr="009B4718">
        <w:rPr>
          <w:rFonts w:ascii="Calibri" w:hAnsi="Calibri" w:hint="eastAsia"/>
          <w:b/>
          <w:bCs/>
          <w:rtl/>
        </w:rPr>
        <w:t>נ</w:t>
      </w:r>
      <w:r w:rsidRPr="009B4718">
        <w:rPr>
          <w:rFonts w:ascii="Calibri" w:hAnsi="Calibri"/>
          <w:b/>
          <w:bCs/>
          <w:rtl/>
        </w:rPr>
        <w:t xml:space="preserve">' </w:t>
      </w:r>
      <w:r w:rsidRPr="009B4718">
        <w:rPr>
          <w:rFonts w:ascii="Calibri" w:hAnsi="Calibri" w:hint="eastAsia"/>
          <w:b/>
          <w:bCs/>
          <w:rtl/>
        </w:rPr>
        <w:t>מדינת</w:t>
      </w:r>
      <w:r w:rsidRPr="009B4718">
        <w:rPr>
          <w:rFonts w:ascii="Calibri" w:hAnsi="Calibri"/>
          <w:b/>
          <w:bCs/>
          <w:rtl/>
        </w:rPr>
        <w:t xml:space="preserve"> </w:t>
      </w:r>
      <w:r w:rsidRPr="009B4718">
        <w:rPr>
          <w:rFonts w:ascii="Calibri" w:hAnsi="Calibri" w:hint="eastAsia"/>
          <w:b/>
          <w:bCs/>
          <w:rtl/>
        </w:rPr>
        <w:t>ישראל</w:t>
      </w:r>
      <w:r w:rsidRPr="009B4718">
        <w:rPr>
          <w:rFonts w:ascii="Calibri" w:hAnsi="Calibri"/>
          <w:rtl/>
        </w:rPr>
        <w:t xml:space="preserve"> (17.3.16); </w:t>
      </w:r>
      <w:r w:rsidRPr="009B4718">
        <w:rPr>
          <w:rFonts w:ascii="Calibri" w:hAnsi="Calibri" w:hint="eastAsia"/>
          <w:rtl/>
        </w:rPr>
        <w:t>להלן</w:t>
      </w:r>
      <w:r w:rsidRPr="009B4718">
        <w:rPr>
          <w:rFonts w:ascii="Calibri" w:hAnsi="Calibri"/>
          <w:rtl/>
        </w:rPr>
        <w:t xml:space="preserve"> – "</w:t>
      </w:r>
      <w:r w:rsidRPr="009B4718">
        <w:rPr>
          <w:rFonts w:ascii="Calibri" w:hAnsi="Calibri" w:hint="eastAsia"/>
          <w:rtl/>
        </w:rPr>
        <w:t>עניין</w:t>
      </w:r>
      <w:r w:rsidRPr="009B4718">
        <w:rPr>
          <w:rFonts w:ascii="Calibri" w:hAnsi="Calibri"/>
          <w:rtl/>
        </w:rPr>
        <w:t xml:space="preserve"> </w:t>
      </w:r>
      <w:r w:rsidRPr="009B4718">
        <w:rPr>
          <w:rFonts w:ascii="Calibri" w:hAnsi="Calibri" w:hint="eastAsia"/>
          <w:rtl/>
        </w:rPr>
        <w:t>מזרחי</w:t>
      </w:r>
      <w:r w:rsidRPr="009B4718">
        <w:rPr>
          <w:rFonts w:ascii="Calibri" w:hAnsi="Calibri"/>
          <w:rtl/>
        </w:rPr>
        <w:t>").</w:t>
      </w:r>
    </w:p>
    <w:p w14:paraId="4D23928B" w14:textId="77777777" w:rsidR="00676D64" w:rsidRPr="003D73E1" w:rsidRDefault="00676D64" w:rsidP="00676D64">
      <w:pPr>
        <w:ind w:left="720"/>
        <w:contextualSpacing/>
        <w:rPr>
          <w:rFonts w:ascii="Calibri" w:hAnsi="Calibri"/>
          <w:rtl/>
        </w:rPr>
      </w:pPr>
    </w:p>
    <w:p w14:paraId="68B9B868" w14:textId="77777777" w:rsidR="00676D64" w:rsidRPr="009B4718" w:rsidRDefault="00676D64" w:rsidP="00676D64">
      <w:pPr>
        <w:numPr>
          <w:ilvl w:val="0"/>
          <w:numId w:val="1"/>
        </w:numPr>
        <w:spacing w:line="360" w:lineRule="auto"/>
        <w:contextualSpacing/>
        <w:jc w:val="both"/>
        <w:rPr>
          <w:rFonts w:ascii="Calibri" w:hAnsi="Calibri" w:cs="Times New Roman"/>
          <w:rtl/>
        </w:rPr>
      </w:pPr>
      <w:r w:rsidRPr="009B4718">
        <w:rPr>
          <w:rFonts w:ascii="Calibri" w:hAnsi="Calibri" w:hint="eastAsia"/>
          <w:rtl/>
        </w:rPr>
        <w:t>מכאן</w:t>
      </w:r>
      <w:r w:rsidRPr="009B4718">
        <w:rPr>
          <w:rFonts w:ascii="Calibri" w:hAnsi="Calibri"/>
          <w:rtl/>
        </w:rPr>
        <w:t xml:space="preserve"> </w:t>
      </w:r>
      <w:r>
        <w:rPr>
          <w:rFonts w:ascii="Calibri" w:hAnsi="Calibri" w:hint="cs"/>
          <w:rtl/>
        </w:rPr>
        <w:t xml:space="preserve">שביחס לכתבי האישום בעבירות הרכוש </w:t>
      </w:r>
      <w:r w:rsidRPr="009B4718">
        <w:rPr>
          <w:rFonts w:ascii="Calibri" w:hAnsi="Calibri" w:hint="eastAsia"/>
          <w:rtl/>
        </w:rPr>
        <w:t>לא</w:t>
      </w:r>
      <w:r w:rsidRPr="009B4718">
        <w:rPr>
          <w:rFonts w:ascii="Calibri" w:hAnsi="Calibri"/>
          <w:rtl/>
        </w:rPr>
        <w:t xml:space="preserve"> </w:t>
      </w:r>
      <w:r w:rsidRPr="009B4718">
        <w:rPr>
          <w:rFonts w:ascii="Calibri" w:hAnsi="Calibri" w:hint="eastAsia"/>
          <w:rtl/>
        </w:rPr>
        <w:t>התקיים</w:t>
      </w:r>
      <w:r w:rsidRPr="009B4718">
        <w:rPr>
          <w:rFonts w:ascii="Calibri" w:hAnsi="Calibri"/>
          <w:rtl/>
        </w:rPr>
        <w:t xml:space="preserve"> </w:t>
      </w:r>
      <w:r w:rsidRPr="009B4718">
        <w:rPr>
          <w:rFonts w:ascii="Calibri" w:hAnsi="Calibri" w:hint="eastAsia"/>
          <w:rtl/>
        </w:rPr>
        <w:t>מבחן</w:t>
      </w:r>
      <w:r w:rsidRPr="009B4718">
        <w:rPr>
          <w:rFonts w:ascii="Calibri" w:hAnsi="Calibri"/>
          <w:rtl/>
        </w:rPr>
        <w:t xml:space="preserve"> </w:t>
      </w:r>
      <w:r w:rsidRPr="009B4718">
        <w:rPr>
          <w:rFonts w:ascii="Calibri" w:hAnsi="Calibri" w:hint="eastAsia"/>
          <w:rtl/>
        </w:rPr>
        <w:t>הקשר</w:t>
      </w:r>
      <w:r w:rsidRPr="009B4718">
        <w:rPr>
          <w:rFonts w:ascii="Calibri" w:hAnsi="Calibri"/>
          <w:rtl/>
        </w:rPr>
        <w:t xml:space="preserve"> </w:t>
      </w:r>
      <w:r w:rsidRPr="009B4718">
        <w:rPr>
          <w:rFonts w:ascii="Calibri" w:hAnsi="Calibri" w:hint="eastAsia"/>
          <w:rtl/>
        </w:rPr>
        <w:t>ההדוק</w:t>
      </w:r>
      <w:r w:rsidRPr="009B4718">
        <w:rPr>
          <w:rFonts w:ascii="Calibri" w:hAnsi="Calibri"/>
          <w:rtl/>
        </w:rPr>
        <w:t xml:space="preserve"> </w:t>
      </w:r>
      <w:r w:rsidRPr="009B4718">
        <w:rPr>
          <w:rFonts w:ascii="Calibri" w:hAnsi="Calibri" w:hint="eastAsia"/>
          <w:rtl/>
        </w:rPr>
        <w:t>ויש</w:t>
      </w:r>
      <w:r w:rsidRPr="009B4718">
        <w:rPr>
          <w:rFonts w:ascii="Calibri" w:hAnsi="Calibri"/>
          <w:rtl/>
        </w:rPr>
        <w:t xml:space="preserve"> </w:t>
      </w:r>
      <w:r w:rsidRPr="009B4718">
        <w:rPr>
          <w:rFonts w:ascii="Calibri" w:hAnsi="Calibri" w:hint="eastAsia"/>
          <w:rtl/>
        </w:rPr>
        <w:t>לקבוע</w:t>
      </w:r>
      <w:r w:rsidRPr="009B4718">
        <w:rPr>
          <w:rFonts w:ascii="Calibri" w:hAnsi="Calibri"/>
          <w:rtl/>
        </w:rPr>
        <w:t xml:space="preserve"> </w:t>
      </w:r>
      <w:r w:rsidRPr="009B4718">
        <w:rPr>
          <w:rFonts w:ascii="Calibri" w:hAnsi="Calibri" w:hint="eastAsia"/>
          <w:rtl/>
        </w:rPr>
        <w:t>מתחם</w:t>
      </w:r>
      <w:r w:rsidRPr="009B4718">
        <w:rPr>
          <w:rFonts w:ascii="Calibri" w:hAnsi="Calibri"/>
          <w:rtl/>
        </w:rPr>
        <w:t xml:space="preserve"> </w:t>
      </w:r>
      <w:r w:rsidRPr="009B4718">
        <w:rPr>
          <w:rFonts w:ascii="Calibri" w:hAnsi="Calibri" w:hint="eastAsia"/>
          <w:rtl/>
        </w:rPr>
        <w:t>עונש</w:t>
      </w:r>
      <w:r w:rsidRPr="009B4718">
        <w:rPr>
          <w:rFonts w:ascii="Calibri" w:hAnsi="Calibri"/>
          <w:rtl/>
        </w:rPr>
        <w:t xml:space="preserve"> </w:t>
      </w:r>
      <w:r w:rsidRPr="009B4718">
        <w:rPr>
          <w:rFonts w:ascii="Calibri" w:hAnsi="Calibri" w:hint="eastAsia"/>
          <w:rtl/>
        </w:rPr>
        <w:t>הולם</w:t>
      </w:r>
      <w:r w:rsidRPr="009B4718">
        <w:rPr>
          <w:rFonts w:ascii="Calibri" w:hAnsi="Calibri"/>
          <w:rtl/>
        </w:rPr>
        <w:t xml:space="preserve"> </w:t>
      </w:r>
      <w:r w:rsidRPr="009B4718">
        <w:rPr>
          <w:rFonts w:ascii="Calibri" w:hAnsi="Calibri" w:hint="eastAsia"/>
          <w:rtl/>
        </w:rPr>
        <w:t>נפרד</w:t>
      </w:r>
      <w:r w:rsidRPr="009B4718">
        <w:rPr>
          <w:rFonts w:ascii="Calibri" w:hAnsi="Calibri"/>
          <w:rtl/>
        </w:rPr>
        <w:t xml:space="preserve"> </w:t>
      </w:r>
      <w:r w:rsidRPr="009B4718">
        <w:rPr>
          <w:rFonts w:ascii="Calibri" w:hAnsi="Calibri" w:hint="eastAsia"/>
          <w:rtl/>
        </w:rPr>
        <w:t>לכל</w:t>
      </w:r>
      <w:r w:rsidRPr="009B4718">
        <w:rPr>
          <w:rFonts w:ascii="Calibri" w:hAnsi="Calibri"/>
          <w:rtl/>
        </w:rPr>
        <w:t xml:space="preserve"> </w:t>
      </w:r>
      <w:r w:rsidRPr="009B4718">
        <w:rPr>
          <w:rFonts w:ascii="Calibri" w:hAnsi="Calibri" w:hint="eastAsia"/>
          <w:rtl/>
        </w:rPr>
        <w:t>אחד</w:t>
      </w:r>
      <w:r w:rsidRPr="009B4718">
        <w:rPr>
          <w:rFonts w:ascii="Calibri" w:hAnsi="Calibri"/>
          <w:rtl/>
        </w:rPr>
        <w:t xml:space="preserve"> </w:t>
      </w:r>
      <w:r w:rsidRPr="009B4718">
        <w:rPr>
          <w:rFonts w:ascii="Calibri" w:hAnsi="Calibri" w:hint="eastAsia"/>
          <w:rtl/>
        </w:rPr>
        <w:t>מכתבי</w:t>
      </w:r>
      <w:r w:rsidRPr="009B4718">
        <w:rPr>
          <w:rFonts w:ascii="Calibri" w:hAnsi="Calibri"/>
          <w:rtl/>
        </w:rPr>
        <w:t xml:space="preserve"> </w:t>
      </w:r>
      <w:r w:rsidRPr="009B4718">
        <w:rPr>
          <w:rFonts w:ascii="Calibri" w:hAnsi="Calibri" w:hint="eastAsia"/>
          <w:rtl/>
        </w:rPr>
        <w:t>האישום</w:t>
      </w:r>
      <w:r w:rsidRPr="009B4718">
        <w:rPr>
          <w:rFonts w:ascii="Calibri" w:hAnsi="Calibri"/>
          <w:rtl/>
        </w:rPr>
        <w:t xml:space="preserve">. </w:t>
      </w:r>
      <w:r w:rsidRPr="009B4718">
        <w:rPr>
          <w:rtl/>
        </w:rPr>
        <w:t>אציין כי מקובל עלי שביחס לכל כתב אישום, יש לקבוע מתחם אחד גם כאשר קיימות בו מספר עבירות, שכן בכל כתב אישום קיים אירוע אחד, בשל התקיימותו של מבחן הקשר ההדוק. עם זאת, אציין כבר עתה שייקבעו מתחמים זהים לכל "קבוצת עבירות דומות" ויוטל בסופו של דבר עונש אחד כולל בגין כל העבירות</w:t>
      </w:r>
      <w:r>
        <w:rPr>
          <w:rFonts w:hint="cs"/>
          <w:rtl/>
        </w:rPr>
        <w:t>, שכן ענישה נפרדת בגין כל עבירה נראית בעיני מלאכותית ומחמירה מידי</w:t>
      </w:r>
      <w:r w:rsidRPr="009B4718">
        <w:rPr>
          <w:rtl/>
        </w:rPr>
        <w:t xml:space="preserve"> (</w:t>
      </w:r>
      <w:hyperlink r:id="rId42" w:history="1">
        <w:r w:rsidR="003D194A" w:rsidRPr="003D194A">
          <w:rPr>
            <w:color w:val="0000FF"/>
            <w:u w:val="single"/>
            <w:rtl/>
          </w:rPr>
          <w:t>סעיף 40יג(ב)</w:t>
        </w:r>
      </w:hyperlink>
      <w:r w:rsidRPr="009B4718">
        <w:rPr>
          <w:rtl/>
        </w:rPr>
        <w:t xml:space="preserve"> ל</w:t>
      </w:r>
      <w:hyperlink r:id="rId43" w:history="1">
        <w:r w:rsidR="00E61BBD" w:rsidRPr="00E61BBD">
          <w:rPr>
            <w:color w:val="0000FF"/>
            <w:u w:val="single"/>
            <w:rtl/>
          </w:rPr>
          <w:t>חוק העונשין</w:t>
        </w:r>
      </w:hyperlink>
      <w:r w:rsidRPr="009B4718">
        <w:rPr>
          <w:rtl/>
        </w:rPr>
        <w:t>; עניין מזרחי, סעיף 2 לפסק דינה של כב' הנשיאה נאור).</w:t>
      </w:r>
    </w:p>
    <w:p w14:paraId="37E46CC9" w14:textId="77777777" w:rsidR="00676D64" w:rsidRDefault="00676D64" w:rsidP="00676D64">
      <w:pPr>
        <w:spacing w:line="360" w:lineRule="auto"/>
        <w:jc w:val="both"/>
        <w:rPr>
          <w:rFonts w:ascii="David" w:eastAsia="Calibri" w:hAnsi="David"/>
        </w:rPr>
      </w:pPr>
    </w:p>
    <w:p w14:paraId="512E304A" w14:textId="77777777" w:rsidR="00676D64" w:rsidRPr="00E73FC1" w:rsidRDefault="00676D64" w:rsidP="00676D64">
      <w:pPr>
        <w:numPr>
          <w:ilvl w:val="0"/>
          <w:numId w:val="1"/>
        </w:numPr>
        <w:spacing w:line="360" w:lineRule="auto"/>
        <w:contextualSpacing/>
        <w:jc w:val="both"/>
        <w:rPr>
          <w:b/>
          <w:bCs/>
        </w:rPr>
      </w:pPr>
      <w:r>
        <w:rPr>
          <w:rFonts w:hint="cs"/>
          <w:b/>
          <w:bCs/>
          <w:rtl/>
        </w:rPr>
        <w:t xml:space="preserve">הערכים המוגנים בבסיס העבירות: </w:t>
      </w:r>
      <w:r w:rsidRPr="009B4718">
        <w:rPr>
          <w:rtl/>
        </w:rPr>
        <w:t>אין צורך להרחיב בדבר הערכים המוגנים שבבסיס עבירת הגניבה. המדובר בפגיעה בקניינם של המתלוננים וכן בביטחונם האישי.</w:t>
      </w:r>
      <w:r>
        <w:rPr>
          <w:rFonts w:hint="cs"/>
          <w:b/>
          <w:bCs/>
          <w:rtl/>
        </w:rPr>
        <w:t xml:space="preserve"> </w:t>
      </w:r>
      <w:r>
        <w:rPr>
          <w:rFonts w:hint="cs"/>
          <w:rtl/>
        </w:rPr>
        <w:t xml:space="preserve">ביחס לערכים המוגנים בבסיס עבירות הסחר בסמים, ברי כי מדובר בנזקים בריאותיים, חברתיים וכלכליים </w:t>
      </w:r>
      <w:r w:rsidRPr="00E73FC1">
        <w:rPr>
          <w:rFonts w:hint="cs"/>
          <w:rtl/>
        </w:rPr>
        <w:t>במישרין ובעקיפין</w:t>
      </w:r>
      <w:r w:rsidRPr="00593641">
        <w:rPr>
          <w:rtl/>
        </w:rPr>
        <w:t xml:space="preserve"> (</w:t>
      </w:r>
      <w:hyperlink r:id="rId44" w:history="1">
        <w:r w:rsidR="00E61BBD" w:rsidRPr="00E61BBD">
          <w:rPr>
            <w:color w:val="0000FF"/>
            <w:u w:val="single"/>
            <w:rtl/>
          </w:rPr>
          <w:t>ע"פ 11220/03</w:t>
        </w:r>
      </w:hyperlink>
      <w:r w:rsidRPr="00593641">
        <w:rPr>
          <w:rtl/>
        </w:rPr>
        <w:t xml:space="preserve"> </w:t>
      </w:r>
      <w:r w:rsidRPr="00E73FC1">
        <w:rPr>
          <w:b/>
          <w:bCs/>
          <w:rtl/>
        </w:rPr>
        <w:t>פלוני נ' מדינת ישראל</w:t>
      </w:r>
      <w:r w:rsidRPr="00593641">
        <w:rPr>
          <w:rtl/>
        </w:rPr>
        <w:t xml:space="preserve"> (6.7.05); </w:t>
      </w:r>
      <w:hyperlink r:id="rId45" w:history="1">
        <w:r w:rsidR="00E61BBD" w:rsidRPr="00E61BBD">
          <w:rPr>
            <w:color w:val="0000FF"/>
            <w:u w:val="single"/>
            <w:rtl/>
          </w:rPr>
          <w:t>ע"פ 4998/95 קרדוסו נ' מדינת ישראל,  פ"ד נא</w:t>
        </w:r>
      </w:hyperlink>
      <w:r w:rsidRPr="00593641">
        <w:rPr>
          <w:rtl/>
        </w:rPr>
        <w:t>(3), 769)). הצורך בסם, מוליד מספר נזקי משנה ובהם נזקים לגופו של המשתמש בסם, ובעקיפין גם לשלום הציבור, בשל כך שלא אחת מכורי הסם מבצעים עבירות רכוש על מנת לממנו. בענייננו, שימש הנאשם חלק ממערך הפצת הסמים ומכאן שפגע פגיעה ממשית באינטרסים המוגנים כמפורט לעיל.</w:t>
      </w:r>
    </w:p>
    <w:p w14:paraId="73FF557B" w14:textId="77777777" w:rsidR="00676D64" w:rsidRDefault="00676D64" w:rsidP="00676D64">
      <w:pPr>
        <w:pStyle w:val="a9"/>
        <w:spacing w:line="360" w:lineRule="auto"/>
        <w:rPr>
          <w:rFonts w:cs="David"/>
          <w:b/>
          <w:bCs/>
        </w:rPr>
      </w:pPr>
    </w:p>
    <w:p w14:paraId="257F3E48" w14:textId="77777777" w:rsidR="00676D64" w:rsidRDefault="00676D64" w:rsidP="00676D64">
      <w:pPr>
        <w:pStyle w:val="a9"/>
        <w:numPr>
          <w:ilvl w:val="0"/>
          <w:numId w:val="1"/>
        </w:numPr>
        <w:spacing w:line="360" w:lineRule="auto"/>
        <w:jc w:val="both"/>
        <w:rPr>
          <w:rFonts w:cs="David"/>
        </w:rPr>
      </w:pPr>
      <w:r w:rsidRPr="00E83E84">
        <w:rPr>
          <w:rFonts w:cs="David" w:hint="cs"/>
          <w:b/>
          <w:bCs/>
          <w:rtl/>
        </w:rPr>
        <w:t>נסיבות הקשורות בביצוע עבירות הרכוש</w:t>
      </w:r>
      <w:r w:rsidRPr="000008E7">
        <w:rPr>
          <w:rFonts w:cs="David" w:hint="cs"/>
          <w:rtl/>
        </w:rPr>
        <w:t xml:space="preserve">: </w:t>
      </w:r>
    </w:p>
    <w:p w14:paraId="1D850788" w14:textId="77777777" w:rsidR="00676D64" w:rsidRDefault="00676D64" w:rsidP="00676D64">
      <w:pPr>
        <w:pStyle w:val="a9"/>
        <w:spacing w:line="360" w:lineRule="auto"/>
        <w:jc w:val="both"/>
        <w:rPr>
          <w:rFonts w:cs="David"/>
          <w:u w:val="single"/>
          <w:rtl/>
        </w:rPr>
      </w:pPr>
    </w:p>
    <w:p w14:paraId="137EA8CD" w14:textId="77777777" w:rsidR="00676D64" w:rsidRDefault="00676D64" w:rsidP="00676D64">
      <w:pPr>
        <w:pStyle w:val="a9"/>
        <w:spacing w:line="360" w:lineRule="auto"/>
        <w:jc w:val="both"/>
        <w:rPr>
          <w:rFonts w:cs="David"/>
        </w:rPr>
      </w:pPr>
      <w:r w:rsidRPr="000008E7">
        <w:rPr>
          <w:rFonts w:cs="David"/>
          <w:u w:val="single"/>
          <w:rtl/>
        </w:rPr>
        <w:t>תכנון מוקדם</w:t>
      </w:r>
      <w:r w:rsidRPr="000008E7">
        <w:rPr>
          <w:rFonts w:cs="David"/>
          <w:rtl/>
        </w:rPr>
        <w:t xml:space="preserve"> – </w:t>
      </w:r>
      <w:r>
        <w:rPr>
          <w:rFonts w:cs="David" w:hint="cs"/>
          <w:rtl/>
        </w:rPr>
        <w:t xml:space="preserve">בחלק מהמקרים ניתן לזהות תכנון מוקדם הבא לידי ביטוי בהצטיידות באמצעים להקלת הגניבה ואילו במקרים אחרים ניתן לומר שמדובר בניצול שעת כושר. </w:t>
      </w:r>
    </w:p>
    <w:p w14:paraId="7D1E8361" w14:textId="77777777" w:rsidR="00676D64" w:rsidRPr="00FF6D4F" w:rsidRDefault="00676D64" w:rsidP="00676D64">
      <w:pPr>
        <w:pStyle w:val="a9"/>
        <w:spacing w:line="360" w:lineRule="auto"/>
        <w:jc w:val="both"/>
        <w:rPr>
          <w:rFonts w:cs="David"/>
          <w:rtl/>
        </w:rPr>
      </w:pPr>
    </w:p>
    <w:p w14:paraId="16A32850" w14:textId="77777777" w:rsidR="00676D64" w:rsidRDefault="00676D64" w:rsidP="00676D64">
      <w:pPr>
        <w:pStyle w:val="a9"/>
        <w:spacing w:line="360" w:lineRule="auto"/>
        <w:jc w:val="both"/>
        <w:rPr>
          <w:rFonts w:cs="David"/>
          <w:rtl/>
        </w:rPr>
      </w:pPr>
      <w:r w:rsidRPr="000008E7">
        <w:rPr>
          <w:rFonts w:cs="David"/>
          <w:u w:val="single"/>
          <w:rtl/>
        </w:rPr>
        <w:t>הנזק שנגרם בעבירה</w:t>
      </w:r>
      <w:r w:rsidRPr="000008E7">
        <w:rPr>
          <w:rFonts w:cs="David"/>
          <w:rtl/>
        </w:rPr>
        <w:t xml:space="preserve"> – </w:t>
      </w:r>
      <w:r>
        <w:rPr>
          <w:rFonts w:cs="David" w:hint="cs"/>
          <w:rtl/>
        </w:rPr>
        <w:t>הנאשם גנב מבתי העסק סחורה בשווי הנע בין 499 ₪ ל- 2433 ₪. אינני רואה בסכומים אלה כ"זניחים" ואין אף בעובדה שמדובר בבתי עסק (ולא בקורבנות "פרטיים") משום נסיבה מקלה כטענת הסנגור, קל וחומר כאשר הרכוש לא הושב לבעליו. יצוין כי במקרה אחד</w:t>
      </w:r>
      <w:r w:rsidRPr="000008E7">
        <w:rPr>
          <w:rFonts w:cs="David"/>
          <w:rtl/>
        </w:rPr>
        <w:t xml:space="preserve"> גנב הנאשם </w:t>
      </w:r>
      <w:r>
        <w:rPr>
          <w:rFonts w:cs="David" w:hint="cs"/>
          <w:rtl/>
        </w:rPr>
        <w:t>טלפון חכם מאישה ואף הוא לא הושב. לגבי מכשירים סלולריים</w:t>
      </w:r>
      <w:r>
        <w:rPr>
          <w:rFonts w:cs="David"/>
          <w:rtl/>
        </w:rPr>
        <w:t xml:space="preserve"> </w:t>
      </w:r>
      <w:r>
        <w:rPr>
          <w:rFonts w:cs="David" w:hint="cs"/>
          <w:rtl/>
        </w:rPr>
        <w:t xml:space="preserve">חכמים </w:t>
      </w:r>
      <w:r w:rsidRPr="000008E7">
        <w:rPr>
          <w:rFonts w:cs="David"/>
          <w:rtl/>
        </w:rPr>
        <w:t xml:space="preserve">צוין לא אחת כי בימינו, מכשיר </w:t>
      </w:r>
      <w:r>
        <w:rPr>
          <w:rFonts w:cs="David" w:hint="cs"/>
          <w:rtl/>
        </w:rPr>
        <w:t xml:space="preserve">זה </w:t>
      </w:r>
      <w:r w:rsidRPr="000008E7">
        <w:rPr>
          <w:rFonts w:cs="David"/>
          <w:rtl/>
        </w:rPr>
        <w:t>אינו עוד מכשיר טלפון בלבד, אלא מחשב המכיל מידע רב על אודות בעליו. גניבה של מכשיר מסוג זה, אפוא, מגלמת בתוכה פוטנציאל נזק של ממש, לא רק בהיבט הכלכלי אלא היא כוללת היבטים של פגיעה קשה בפרטיות, בשל התכנים השמורים בו, ולעיתים נדרש אף שחזור של החומר האבוד (</w:t>
      </w:r>
      <w:hyperlink r:id="rId46" w:history="1">
        <w:r w:rsidR="00E61BBD" w:rsidRPr="00E61BBD">
          <w:rPr>
            <w:rFonts w:cs="David"/>
            <w:color w:val="0000FF"/>
            <w:u w:val="single"/>
            <w:rtl/>
          </w:rPr>
          <w:t>ע"פ 8627/14</w:t>
        </w:r>
      </w:hyperlink>
      <w:r w:rsidRPr="000008E7">
        <w:rPr>
          <w:rFonts w:cs="David"/>
          <w:rtl/>
        </w:rPr>
        <w:t xml:space="preserve"> </w:t>
      </w:r>
      <w:r w:rsidRPr="00324B53">
        <w:rPr>
          <w:rFonts w:cs="David"/>
          <w:b/>
          <w:bCs/>
          <w:rtl/>
        </w:rPr>
        <w:t>נתן דבראש דביר נ' מדינת ישראל</w:t>
      </w:r>
      <w:r w:rsidRPr="000008E7">
        <w:rPr>
          <w:rFonts w:cs="David"/>
          <w:rtl/>
        </w:rPr>
        <w:t xml:space="preserve"> (14.7.15)). </w:t>
      </w:r>
    </w:p>
    <w:p w14:paraId="0C4E3326" w14:textId="77777777" w:rsidR="00676D64" w:rsidRPr="00B96D00" w:rsidRDefault="00676D64" w:rsidP="00676D64">
      <w:pPr>
        <w:spacing w:line="360" w:lineRule="auto"/>
        <w:jc w:val="both"/>
        <w:rPr>
          <w:rtl/>
        </w:rPr>
      </w:pPr>
    </w:p>
    <w:p w14:paraId="2F0CE11E" w14:textId="77777777" w:rsidR="00676D64" w:rsidRDefault="00676D64" w:rsidP="00676D64">
      <w:pPr>
        <w:numPr>
          <w:ilvl w:val="0"/>
          <w:numId w:val="1"/>
        </w:numPr>
        <w:spacing w:line="360" w:lineRule="auto"/>
        <w:contextualSpacing/>
        <w:jc w:val="both"/>
        <w:rPr>
          <w:b/>
          <w:bCs/>
        </w:rPr>
      </w:pPr>
      <w:r>
        <w:rPr>
          <w:rFonts w:hint="cs"/>
          <w:b/>
          <w:bCs/>
          <w:rtl/>
        </w:rPr>
        <w:t>נסיבות הקשורות בביצוע עבירות הסמים:</w:t>
      </w:r>
      <w:r w:rsidRPr="00F2480C">
        <w:rPr>
          <w:rtl/>
        </w:rPr>
        <w:t xml:space="preserve"> </w:t>
      </w:r>
      <w:r w:rsidRPr="00593641">
        <w:rPr>
          <w:rtl/>
        </w:rPr>
        <w:t xml:space="preserve">מטבע הדברים עבירות מסוג זה מלוות בתכנון קודם וכך היה גם במקרה זה. ביחס לחלקו של הנאשם בביצוע העבירה והשפעתו של אחר, ראיתי להדגיש כי מהנסיבות המוסכמות על הצדדים עולה כי </w:t>
      </w:r>
      <w:r>
        <w:rPr>
          <w:rFonts w:hint="cs"/>
          <w:rtl/>
        </w:rPr>
        <w:t xml:space="preserve">הסוכן הוא זה שיזם את הקשר עם הנאשם ואף הגיע לביתו באחד המקרים. </w:t>
      </w:r>
    </w:p>
    <w:p w14:paraId="1C250B1A" w14:textId="77777777" w:rsidR="00676D64" w:rsidRDefault="00676D64" w:rsidP="00676D64">
      <w:pPr>
        <w:spacing w:line="360" w:lineRule="auto"/>
        <w:ind w:left="720"/>
        <w:contextualSpacing/>
        <w:jc w:val="both"/>
        <w:rPr>
          <w:b/>
          <w:bCs/>
          <w:rtl/>
        </w:rPr>
      </w:pPr>
    </w:p>
    <w:p w14:paraId="542797B2" w14:textId="77777777" w:rsidR="00676D64" w:rsidRDefault="00676D64" w:rsidP="00676D64">
      <w:pPr>
        <w:spacing w:line="360" w:lineRule="auto"/>
        <w:ind w:left="720"/>
        <w:contextualSpacing/>
        <w:jc w:val="both"/>
        <w:rPr>
          <w:b/>
          <w:bCs/>
          <w:rtl/>
        </w:rPr>
      </w:pPr>
    </w:p>
    <w:p w14:paraId="0DF36ACC" w14:textId="77777777" w:rsidR="00676D64" w:rsidRDefault="00676D64" w:rsidP="00676D64">
      <w:pPr>
        <w:spacing w:line="360" w:lineRule="auto"/>
        <w:ind w:left="720"/>
        <w:contextualSpacing/>
        <w:jc w:val="both"/>
        <w:rPr>
          <w:b/>
          <w:bCs/>
          <w:rtl/>
        </w:rPr>
      </w:pPr>
    </w:p>
    <w:p w14:paraId="4E54D380" w14:textId="77777777" w:rsidR="00676D64" w:rsidRDefault="00676D64" w:rsidP="00676D64">
      <w:pPr>
        <w:spacing w:line="360" w:lineRule="auto"/>
        <w:ind w:left="720"/>
        <w:contextualSpacing/>
        <w:jc w:val="both"/>
        <w:rPr>
          <w:b/>
          <w:bCs/>
          <w:rtl/>
        </w:rPr>
      </w:pPr>
    </w:p>
    <w:p w14:paraId="2742A29A" w14:textId="77777777" w:rsidR="00676D64" w:rsidRDefault="00676D64" w:rsidP="00676D64">
      <w:pPr>
        <w:spacing w:line="360" w:lineRule="auto"/>
        <w:ind w:firstLine="720"/>
        <w:contextualSpacing/>
        <w:jc w:val="both"/>
        <w:rPr>
          <w:b/>
          <w:bCs/>
          <w:u w:val="single"/>
          <w:rtl/>
        </w:rPr>
      </w:pPr>
      <w:r w:rsidRPr="00E83E84">
        <w:rPr>
          <w:rFonts w:hint="cs"/>
          <w:b/>
          <w:bCs/>
          <w:u w:val="single"/>
          <w:rtl/>
        </w:rPr>
        <w:t>מדיניות ענישה</w:t>
      </w:r>
      <w:r>
        <w:rPr>
          <w:rFonts w:hint="cs"/>
          <w:b/>
          <w:bCs/>
          <w:u w:val="single"/>
          <w:rtl/>
        </w:rPr>
        <w:t xml:space="preserve"> נוהגת</w:t>
      </w:r>
    </w:p>
    <w:p w14:paraId="4264C443" w14:textId="77777777" w:rsidR="00676D64" w:rsidRPr="00E83E84" w:rsidRDefault="00676D64" w:rsidP="00676D64">
      <w:pPr>
        <w:spacing w:line="360" w:lineRule="auto"/>
        <w:contextualSpacing/>
        <w:jc w:val="both"/>
        <w:rPr>
          <w:b/>
          <w:bCs/>
          <w:u w:val="single"/>
        </w:rPr>
      </w:pPr>
    </w:p>
    <w:p w14:paraId="2ECA21C5" w14:textId="77777777" w:rsidR="00676D64" w:rsidRPr="00E83E84" w:rsidRDefault="00676D64" w:rsidP="00676D64">
      <w:pPr>
        <w:numPr>
          <w:ilvl w:val="0"/>
          <w:numId w:val="1"/>
        </w:numPr>
        <w:spacing w:line="360" w:lineRule="auto"/>
        <w:contextualSpacing/>
        <w:jc w:val="both"/>
        <w:rPr>
          <w:b/>
          <w:bCs/>
        </w:rPr>
      </w:pPr>
      <w:r w:rsidRPr="00E83E84">
        <w:rPr>
          <w:rFonts w:hint="cs"/>
          <w:b/>
          <w:bCs/>
          <w:rtl/>
        </w:rPr>
        <w:t>מדיניות הענישה בעבירות הסמים:</w:t>
      </w:r>
      <w:r w:rsidRPr="00E83E84">
        <w:rPr>
          <w:rFonts w:ascii="David" w:hAnsi="David" w:hint="cs"/>
          <w:rtl/>
        </w:rPr>
        <w:t xml:space="preserve"> </w:t>
      </w:r>
      <w:r w:rsidRPr="00E83E84">
        <w:rPr>
          <w:rtl/>
        </w:rPr>
        <w:t>בתי המשפט הדגישו פעם אחר פעם כי יש לנהוג בעבירות הקשורות להפצת סמים ביד נוקשה, ולהטיל עונשים כבדים. ראו:</w:t>
      </w:r>
      <w:r w:rsidRPr="00E83E84">
        <w:rPr>
          <w:rFonts w:cs="Times New Roman"/>
          <w:rtl/>
        </w:rPr>
        <w:t xml:space="preserve"> </w:t>
      </w:r>
    </w:p>
    <w:p w14:paraId="1B7E5DD5" w14:textId="77777777" w:rsidR="00676D64" w:rsidRPr="00E83E84" w:rsidRDefault="00676D64" w:rsidP="00676D64">
      <w:pPr>
        <w:spacing w:line="360" w:lineRule="auto"/>
        <w:ind w:left="720"/>
        <w:contextualSpacing/>
        <w:jc w:val="both"/>
        <w:rPr>
          <w:b/>
          <w:bCs/>
          <w:rtl/>
        </w:rPr>
      </w:pPr>
    </w:p>
    <w:p w14:paraId="59E270FF" w14:textId="77777777" w:rsidR="00676D64" w:rsidRPr="00E83E84" w:rsidRDefault="00676D64" w:rsidP="00676D64">
      <w:pPr>
        <w:spacing w:line="360" w:lineRule="auto"/>
        <w:ind w:left="1440" w:right="1134"/>
        <w:contextualSpacing/>
        <w:jc w:val="both"/>
        <w:rPr>
          <w:rtl/>
        </w:rPr>
      </w:pPr>
      <w:r w:rsidRPr="00E83E84">
        <w:rPr>
          <w:rFonts w:cs="Miriam"/>
          <w:rtl/>
        </w:rPr>
        <w:t xml:space="preserve">"ההלכה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r w:rsidRPr="00E83E84">
        <w:rPr>
          <w:rtl/>
        </w:rPr>
        <w:t>(</w:t>
      </w:r>
      <w:hyperlink r:id="rId47" w:history="1">
        <w:r w:rsidR="00E61BBD" w:rsidRPr="00E61BBD">
          <w:rPr>
            <w:color w:val="0000FF"/>
            <w:u w:val="single"/>
            <w:rtl/>
          </w:rPr>
          <w:t>ע"פ 8988/16</w:t>
        </w:r>
      </w:hyperlink>
      <w:r w:rsidRPr="00E83E84">
        <w:rPr>
          <w:rtl/>
        </w:rPr>
        <w:t xml:space="preserve"> </w:t>
      </w:r>
      <w:r w:rsidRPr="00E83E84">
        <w:rPr>
          <w:b/>
          <w:bCs/>
          <w:rtl/>
        </w:rPr>
        <w:t xml:space="preserve">אשר בן סימון נ' מדינת ישראל </w:t>
      </w:r>
      <w:r w:rsidRPr="00E83E84">
        <w:rPr>
          <w:rtl/>
        </w:rPr>
        <w:t>(8.3.17))</w:t>
      </w:r>
    </w:p>
    <w:p w14:paraId="5F15BE73" w14:textId="77777777" w:rsidR="00676D64" w:rsidRPr="00E83E84" w:rsidRDefault="00676D64" w:rsidP="00676D64">
      <w:pPr>
        <w:pStyle w:val="a9"/>
        <w:spacing w:line="360" w:lineRule="auto"/>
        <w:jc w:val="both"/>
        <w:rPr>
          <w:rFonts w:ascii="David" w:eastAsia="Calibri" w:hAnsi="David"/>
        </w:rPr>
      </w:pPr>
    </w:p>
    <w:p w14:paraId="60383D7B" w14:textId="77777777" w:rsidR="00676D64" w:rsidRPr="00AF12F6" w:rsidRDefault="00676D64" w:rsidP="00676D64">
      <w:pPr>
        <w:rPr>
          <w:b/>
          <w:bCs/>
        </w:rPr>
      </w:pPr>
    </w:p>
    <w:p w14:paraId="689B939D" w14:textId="77777777" w:rsidR="00676D64" w:rsidRPr="00593641" w:rsidRDefault="00676D64" w:rsidP="00676D64">
      <w:pPr>
        <w:numPr>
          <w:ilvl w:val="0"/>
          <w:numId w:val="1"/>
        </w:numPr>
        <w:spacing w:line="360" w:lineRule="auto"/>
        <w:contextualSpacing/>
        <w:jc w:val="both"/>
        <w:rPr>
          <w:rtl/>
        </w:rPr>
      </w:pPr>
      <w:r w:rsidRPr="00593641">
        <w:rPr>
          <w:rtl/>
        </w:rPr>
        <w:t xml:space="preserve">וביחס לתרומתו של כל "שחקן" בשרשרת הפצת הסמים והעונש הראוי לו נקבע כי </w:t>
      </w:r>
      <w:r w:rsidRPr="00593641">
        <w:rPr>
          <w:rFonts w:cs="Miriam"/>
          <w:rtl/>
        </w:rPr>
        <w:t>"ההתמודדות עם תופעת הפצת הסמים המסוכנים בישראל מחייבת תחילה הכרה בתרומתם של כלל השחקנים במערך המסועף של שוק זה, ולאחר מכן חייבות הרשויות האמונות על הדבר, כל אחת בתחומה שלה, לפעול כדי ליצור מצב של חוסר-כדאיות לעסוק בהפצה עבור כלל חוליות שרשרת ההפצה, החל ביצרן, עובר בבלדר וכלה בסוחר. גם לרשות השופטת ישנו תפקיד במאמץ ההתמודדות עם תופעת הפצת הסמים בישראל, על התפקיד החיוני שבתי המשפט צריכים למלא במסגרת זו"</w:t>
      </w:r>
      <w:r w:rsidRPr="00593641">
        <w:rPr>
          <w:rtl/>
        </w:rPr>
        <w:t xml:space="preserve"> (</w:t>
      </w:r>
      <w:hyperlink r:id="rId48" w:history="1">
        <w:r w:rsidR="00E61BBD" w:rsidRPr="00E61BBD">
          <w:rPr>
            <w:color w:val="0000FF"/>
            <w:u w:val="single"/>
            <w:rtl/>
          </w:rPr>
          <w:t>ע"פ 7657/10</w:t>
        </w:r>
      </w:hyperlink>
      <w:r w:rsidRPr="00593641">
        <w:rPr>
          <w:rtl/>
        </w:rPr>
        <w:t xml:space="preserve"> </w:t>
      </w:r>
      <w:r w:rsidRPr="00593641">
        <w:rPr>
          <w:b/>
          <w:bCs/>
          <w:rtl/>
        </w:rPr>
        <w:t>יוסף הייב נ' מדינת ישראל</w:t>
      </w:r>
      <w:r w:rsidRPr="00593641">
        <w:rPr>
          <w:rtl/>
        </w:rPr>
        <w:t xml:space="preserve"> (29.3.12)). </w:t>
      </w:r>
    </w:p>
    <w:p w14:paraId="337AD882" w14:textId="77777777" w:rsidR="00676D64" w:rsidRPr="00593641" w:rsidRDefault="00676D64" w:rsidP="00676D64">
      <w:pPr>
        <w:rPr>
          <w:b/>
          <w:bCs/>
        </w:rPr>
      </w:pPr>
    </w:p>
    <w:p w14:paraId="0AD0D157" w14:textId="77777777" w:rsidR="00676D64" w:rsidRDefault="00676D64" w:rsidP="00676D64">
      <w:pPr>
        <w:numPr>
          <w:ilvl w:val="0"/>
          <w:numId w:val="1"/>
        </w:numPr>
        <w:spacing w:line="360" w:lineRule="auto"/>
        <w:contextualSpacing/>
        <w:jc w:val="both"/>
        <w:rPr>
          <w:rFonts w:cs="Miriam"/>
        </w:rPr>
      </w:pPr>
      <w:r w:rsidRPr="00593641">
        <w:rPr>
          <w:rtl/>
        </w:rPr>
        <w:t xml:space="preserve">הסנגור טען כי חומרת מעשיו של הנאשם פחותה שעה שמדובר בסם המוגדר "קל" ובכמות קטנה . בעניין זה נקבע כי </w:t>
      </w:r>
      <w:r w:rsidRPr="00593641">
        <w:rPr>
          <w:rFonts w:cs="Miriam"/>
          <w:rtl/>
        </w:rPr>
        <w:t>"המאבק בנגע הסמים צריך להיות מכוון גם נגד השימוש בסמים קלים ובפגיעתם של אלה ביחידים ובחוסנה של החברה כולה אין להמעיט".</w:t>
      </w:r>
      <w:r w:rsidRPr="00593641">
        <w:rPr>
          <w:rtl/>
        </w:rPr>
        <w:t xml:space="preserve"> ( </w:t>
      </w:r>
      <w:hyperlink r:id="rId49" w:history="1">
        <w:r w:rsidR="00E61BBD" w:rsidRPr="00E61BBD">
          <w:rPr>
            <w:color w:val="0000FF"/>
            <w:u w:val="single"/>
            <w:rtl/>
          </w:rPr>
          <w:t>ע"פ 2000/06</w:t>
        </w:r>
      </w:hyperlink>
      <w:r w:rsidRPr="00593641">
        <w:rPr>
          <w:rtl/>
        </w:rPr>
        <w:t xml:space="preserve"> </w:t>
      </w:r>
      <w:r w:rsidRPr="00593641">
        <w:rPr>
          <w:b/>
          <w:bCs/>
          <w:rtl/>
        </w:rPr>
        <w:t>מדינת ישראל נ' ויצמן</w:t>
      </w:r>
      <w:r w:rsidRPr="00593641">
        <w:rPr>
          <w:rtl/>
        </w:rPr>
        <w:t xml:space="preserve"> (20.07.06). ביחס לכמות, גם אם אניח לטובת הנאשם כי אין מדובר בכמות שניתן להגדירה כגדולה (ואין אני קובע זאת) נקבע כי  </w:t>
      </w:r>
      <w:r w:rsidRPr="00593641">
        <w:rPr>
          <w:rFonts w:cs="Miriam"/>
          <w:rtl/>
        </w:rPr>
        <w:t xml:space="preserve">"אף אם כמויות הסמים נושא העבירות "קטנות" – כטענת המבקש – אין בכך כדי להפחית מחומרתן של עבירות אלה ומהצורך למגר אותן באמצעות הטלת עונש בעל היבט הרתעתי" </w:t>
      </w:r>
      <w:r w:rsidRPr="00593641">
        <w:rPr>
          <w:rtl/>
        </w:rPr>
        <w:t>(</w:t>
      </w:r>
      <w:hyperlink r:id="rId50" w:history="1">
        <w:r w:rsidR="00E61BBD" w:rsidRPr="00E61BBD">
          <w:rPr>
            <w:color w:val="0000FF"/>
            <w:u w:val="single"/>
            <w:rtl/>
          </w:rPr>
          <w:t>רע"פ 7996/12</w:t>
        </w:r>
      </w:hyperlink>
      <w:r w:rsidRPr="00593641">
        <w:rPr>
          <w:rtl/>
        </w:rPr>
        <w:t xml:space="preserve"> </w:t>
      </w:r>
      <w:r w:rsidRPr="00593641">
        <w:rPr>
          <w:b/>
          <w:bCs/>
          <w:rtl/>
        </w:rPr>
        <w:t>יוסף נ' מדינת ישראל</w:t>
      </w:r>
      <w:r w:rsidRPr="00593641">
        <w:rPr>
          <w:rtl/>
        </w:rPr>
        <w:t xml:space="preserve"> (23.1.13)).</w:t>
      </w:r>
    </w:p>
    <w:p w14:paraId="07FBAF7B" w14:textId="77777777" w:rsidR="00676D64" w:rsidRPr="002A4BA3" w:rsidRDefault="00676D64" w:rsidP="00676D64">
      <w:pPr>
        <w:spacing w:line="360" w:lineRule="auto"/>
        <w:ind w:left="720"/>
        <w:contextualSpacing/>
        <w:jc w:val="both"/>
        <w:rPr>
          <w:rFonts w:cs="Miriam"/>
        </w:rPr>
      </w:pPr>
    </w:p>
    <w:p w14:paraId="5D87AFFD" w14:textId="77777777" w:rsidR="00676D64" w:rsidRDefault="00676D64" w:rsidP="00676D64">
      <w:pPr>
        <w:numPr>
          <w:ilvl w:val="0"/>
          <w:numId w:val="1"/>
        </w:numPr>
        <w:spacing w:line="360" w:lineRule="auto"/>
        <w:contextualSpacing/>
        <w:jc w:val="both"/>
        <w:rPr>
          <w:rFonts w:cs="Miriam"/>
        </w:rPr>
      </w:pPr>
      <w:r w:rsidRPr="00E83E84">
        <w:rPr>
          <w:rtl/>
        </w:rPr>
        <w:t>מדיניות הענישה ביחס לעבירות סחר בסמים משתנה ממקרה למקרה והיא תלויה בסוג הסם,</w:t>
      </w:r>
      <w:r w:rsidRPr="00E83E84">
        <w:rPr>
          <w:rFonts w:hint="cs"/>
          <w:rtl/>
        </w:rPr>
        <w:t xml:space="preserve"> </w:t>
      </w:r>
      <w:r w:rsidRPr="00E83E84">
        <w:rPr>
          <w:rtl/>
        </w:rPr>
        <w:t>בכמות שנמכרה, בהישנות המקרים ובנסיבותיו האישיות של הנאשם.</w:t>
      </w:r>
      <w:r w:rsidRPr="00A82B9E">
        <w:rPr>
          <w:rFonts w:cs="Miriam" w:hint="cs"/>
          <w:rtl/>
        </w:rPr>
        <w:t xml:space="preserve"> </w:t>
      </w:r>
      <w:r>
        <w:rPr>
          <w:rFonts w:hint="cs"/>
          <w:rtl/>
        </w:rPr>
        <w:t xml:space="preserve">להלן אפנה למספר דוגמאות: </w:t>
      </w:r>
      <w:hyperlink r:id="rId51" w:history="1">
        <w:r w:rsidR="00E61BBD" w:rsidRPr="00E61BBD">
          <w:rPr>
            <w:color w:val="0000FF"/>
            <w:u w:val="single"/>
            <w:rtl/>
          </w:rPr>
          <w:t>רע"פ 3627/13</w:t>
        </w:r>
      </w:hyperlink>
      <w:r w:rsidRPr="00E83E84">
        <w:rPr>
          <w:rtl/>
        </w:rPr>
        <w:t xml:space="preserve"> </w:t>
      </w:r>
      <w:r w:rsidRPr="00A82B9E">
        <w:rPr>
          <w:b/>
          <w:bCs/>
          <w:rtl/>
        </w:rPr>
        <w:t>שדה נ' מדינת ישראל</w:t>
      </w:r>
      <w:r w:rsidRPr="00E83E84">
        <w:rPr>
          <w:rtl/>
        </w:rPr>
        <w:t xml:space="preserve"> (22.5.13), בו נדחתה בקשת רשות ערעור של נאשם על חומרת עונשו- 7 חודשי מאסר בגין סחר בסמים מסוג קנבוס בשתי הזדמנויות במשקלים של 0.8 גרם ו- </w:t>
      </w:r>
      <w:r>
        <w:rPr>
          <w:rtl/>
        </w:rPr>
        <w:t>1 גרם תמורת 80 ש"ח, בכל הזדמנות</w:t>
      </w:r>
      <w:r>
        <w:rPr>
          <w:rFonts w:hint="cs"/>
          <w:rtl/>
        </w:rPr>
        <w:t>;</w:t>
      </w:r>
      <w:r w:rsidRPr="00E83E84">
        <w:rPr>
          <w:rtl/>
        </w:rPr>
        <w:t xml:space="preserve"> </w:t>
      </w:r>
      <w:hyperlink r:id="rId52" w:history="1">
        <w:r w:rsidR="00E61BBD" w:rsidRPr="00E61BBD">
          <w:rPr>
            <w:color w:val="0000FF"/>
            <w:u w:val="single"/>
            <w:rtl/>
          </w:rPr>
          <w:t>רע"פ 7275/11</w:t>
        </w:r>
      </w:hyperlink>
      <w:r w:rsidRPr="00E83E84">
        <w:rPr>
          <w:rtl/>
        </w:rPr>
        <w:t xml:space="preserve"> </w:t>
      </w:r>
      <w:r w:rsidRPr="00E83E84">
        <w:rPr>
          <w:b/>
          <w:bCs/>
          <w:rtl/>
        </w:rPr>
        <w:t>נאסר נ' מדינת ישראל</w:t>
      </w:r>
      <w:r w:rsidRPr="00E83E84">
        <w:rPr>
          <w:rtl/>
        </w:rPr>
        <w:t xml:space="preserve"> (11.10.11), בו נדחתה בקשת רשות ערעור של נאשם שהורשע בעבירות של סחר בסמים מול סוכן משטרתי במספר מקרי</w:t>
      </w:r>
      <w:r>
        <w:rPr>
          <w:rtl/>
        </w:rPr>
        <w:t>ם, ונדון ל- 5 חודשי מאסר בפועל</w:t>
      </w:r>
      <w:r>
        <w:rPr>
          <w:rFonts w:hint="cs"/>
          <w:rtl/>
        </w:rPr>
        <w:t xml:space="preserve">; </w:t>
      </w:r>
      <w:hyperlink r:id="rId53" w:history="1">
        <w:r w:rsidR="00E61BBD" w:rsidRPr="00E61BBD">
          <w:rPr>
            <w:color w:val="0000FF"/>
            <w:u w:val="single"/>
            <w:rtl/>
          </w:rPr>
          <w:t>ת"פ 54706-01-13</w:t>
        </w:r>
      </w:hyperlink>
      <w:r w:rsidRPr="00E83E84">
        <w:rPr>
          <w:rtl/>
        </w:rPr>
        <w:t xml:space="preserve"> </w:t>
      </w:r>
      <w:r w:rsidRPr="00E83E84">
        <w:rPr>
          <w:b/>
          <w:bCs/>
          <w:rtl/>
        </w:rPr>
        <w:t>מדינת ישראל נ' חביב</w:t>
      </w:r>
      <w:r w:rsidRPr="00E83E84">
        <w:rPr>
          <w:rtl/>
        </w:rPr>
        <w:t xml:space="preserve"> (09.09.13), בו </w:t>
      </w:r>
      <w:r>
        <w:rPr>
          <w:rFonts w:hint="cs"/>
          <w:rtl/>
        </w:rPr>
        <w:t>נידון נאשם ל-6 חודשי עבודות שירות</w:t>
      </w:r>
      <w:r w:rsidRPr="00E83E84">
        <w:rPr>
          <w:rtl/>
        </w:rPr>
        <w:t xml:space="preserve"> </w:t>
      </w:r>
      <w:r>
        <w:rPr>
          <w:rFonts w:hint="cs"/>
          <w:rtl/>
        </w:rPr>
        <w:t>לאחר</w:t>
      </w:r>
      <w:r w:rsidRPr="00E83E84">
        <w:rPr>
          <w:rtl/>
        </w:rPr>
        <w:t xml:space="preserve"> שמכר בארבע הזדמנויות שונות סם מסוג חשיש במשקלים של 6.4 גרם, 5.38 גרם, 3.98 גרם, וכן אצבע חשיש ב</w:t>
      </w:r>
      <w:r>
        <w:rPr>
          <w:rtl/>
        </w:rPr>
        <w:t>כמות לא ידועה</w:t>
      </w:r>
      <w:r>
        <w:rPr>
          <w:rFonts w:hint="cs"/>
          <w:rtl/>
        </w:rPr>
        <w:t xml:space="preserve">; </w:t>
      </w:r>
      <w:hyperlink r:id="rId54" w:history="1">
        <w:r w:rsidR="00E61BBD" w:rsidRPr="00E61BBD">
          <w:rPr>
            <w:color w:val="0000FF"/>
            <w:u w:val="single"/>
            <w:rtl/>
          </w:rPr>
          <w:t>ת"פ 20280-06-14</w:t>
        </w:r>
      </w:hyperlink>
      <w:r w:rsidRPr="00E83E84">
        <w:rPr>
          <w:rtl/>
        </w:rPr>
        <w:t xml:space="preserve"> </w:t>
      </w:r>
      <w:r w:rsidRPr="00E83E84">
        <w:rPr>
          <w:b/>
          <w:bCs/>
          <w:rtl/>
        </w:rPr>
        <w:t>מדינת ישראל נ' איסמעיל</w:t>
      </w:r>
      <w:r w:rsidRPr="00E83E84">
        <w:rPr>
          <w:rtl/>
        </w:rPr>
        <w:t xml:space="preserve"> (27.7.14), בו </w:t>
      </w:r>
      <w:r>
        <w:rPr>
          <w:rFonts w:hint="cs"/>
          <w:rtl/>
        </w:rPr>
        <w:t>נידון נאשם ל-8 חודשי מאסר לאחר שמכר</w:t>
      </w:r>
      <w:r>
        <w:rPr>
          <w:rtl/>
        </w:rPr>
        <w:t xml:space="preserve"> </w:t>
      </w:r>
      <w:r w:rsidRPr="00E83E84">
        <w:rPr>
          <w:rtl/>
        </w:rPr>
        <w:t>סם מסוג חשיש לסוכן מש</w:t>
      </w:r>
      <w:r>
        <w:rPr>
          <w:rtl/>
        </w:rPr>
        <w:t>טרתי, בתמורה ל- 800 ₪ בכל מכירה</w:t>
      </w:r>
      <w:r>
        <w:rPr>
          <w:rFonts w:hint="cs"/>
          <w:rtl/>
        </w:rPr>
        <w:t xml:space="preserve">; </w:t>
      </w:r>
      <w:hyperlink r:id="rId55" w:history="1">
        <w:r w:rsidR="00E61BBD" w:rsidRPr="00E61BBD">
          <w:rPr>
            <w:color w:val="0000FF"/>
            <w:u w:val="single"/>
            <w:rtl/>
          </w:rPr>
          <w:t>ת"פ 26709-06-14</w:t>
        </w:r>
      </w:hyperlink>
      <w:r w:rsidRPr="00E83E84">
        <w:rPr>
          <w:rtl/>
        </w:rPr>
        <w:t xml:space="preserve"> </w:t>
      </w:r>
      <w:r w:rsidRPr="00E83E84">
        <w:rPr>
          <w:b/>
          <w:bCs/>
          <w:rtl/>
        </w:rPr>
        <w:t>מדינת ישראל נ' ישראלוב</w:t>
      </w:r>
      <w:r w:rsidRPr="00E83E84">
        <w:rPr>
          <w:rtl/>
        </w:rPr>
        <w:t xml:space="preserve"> (26.10.14), בו נידון נאשם ל-11 חודשי מאסר בפועל בגין סחר בסם קנבוס בשתי הזדמנויות שונות לסוכנת משטרתית באירועים חברתיים.</w:t>
      </w:r>
    </w:p>
    <w:p w14:paraId="3977607E" w14:textId="77777777" w:rsidR="00676D64" w:rsidRDefault="00676D64" w:rsidP="00676D64">
      <w:pPr>
        <w:spacing w:line="360" w:lineRule="auto"/>
        <w:ind w:left="720"/>
        <w:contextualSpacing/>
        <w:jc w:val="both"/>
        <w:rPr>
          <w:rFonts w:cs="Miriam"/>
        </w:rPr>
      </w:pPr>
    </w:p>
    <w:p w14:paraId="33BD849C" w14:textId="77777777" w:rsidR="00676D64" w:rsidRPr="002D36CB" w:rsidRDefault="00676D64" w:rsidP="00676D64">
      <w:pPr>
        <w:numPr>
          <w:ilvl w:val="0"/>
          <w:numId w:val="1"/>
        </w:numPr>
        <w:spacing w:line="360" w:lineRule="auto"/>
        <w:contextualSpacing/>
        <w:jc w:val="both"/>
        <w:rPr>
          <w:b/>
          <w:bCs/>
          <w:u w:val="single"/>
          <w:rtl/>
        </w:rPr>
      </w:pPr>
      <w:r w:rsidRPr="002D36CB">
        <w:rPr>
          <w:rFonts w:hint="cs"/>
          <w:b/>
          <w:bCs/>
          <w:u w:val="single"/>
          <w:rtl/>
        </w:rPr>
        <w:t xml:space="preserve">מדניות הענישה בעבירות </w:t>
      </w:r>
      <w:r>
        <w:rPr>
          <w:rFonts w:hint="cs"/>
          <w:b/>
          <w:bCs/>
          <w:u w:val="single"/>
          <w:rtl/>
        </w:rPr>
        <w:t>ה</w:t>
      </w:r>
      <w:r w:rsidRPr="002D36CB">
        <w:rPr>
          <w:rFonts w:hint="cs"/>
          <w:b/>
          <w:bCs/>
          <w:u w:val="single"/>
          <w:rtl/>
        </w:rPr>
        <w:t xml:space="preserve">רכוש: </w:t>
      </w:r>
      <w:r>
        <w:rPr>
          <w:rFonts w:hint="cs"/>
          <w:rtl/>
        </w:rPr>
        <w:t>ב</w:t>
      </w:r>
      <w:r w:rsidRPr="002D36CB">
        <w:rPr>
          <w:rtl/>
        </w:rPr>
        <w:t>עבירות אלו קיימת קשת רחבה של ענישה, אשר גבולה העליון הוא מספר חודשי מאסר בודדים</w:t>
      </w:r>
      <w:r>
        <w:rPr>
          <w:rtl/>
        </w:rPr>
        <w:t>, במקרים בהם מדובר ב</w:t>
      </w:r>
      <w:r>
        <w:rPr>
          <w:rFonts w:hint="cs"/>
          <w:rtl/>
        </w:rPr>
        <w:t>נאשם בעל עבר פלילי ללא סיכויי שיקום ממשיים</w:t>
      </w:r>
      <w:r w:rsidRPr="002D36CB">
        <w:rPr>
          <w:rtl/>
        </w:rPr>
        <w:t xml:space="preserve">. ראו למשל </w:t>
      </w:r>
      <w:hyperlink r:id="rId56" w:history="1">
        <w:r w:rsidR="00E61BBD" w:rsidRPr="00E61BBD">
          <w:rPr>
            <w:color w:val="0000FF"/>
            <w:u w:val="single"/>
            <w:rtl/>
          </w:rPr>
          <w:t>עפ"ג 17016-02-14</w:t>
        </w:r>
      </w:hyperlink>
      <w:r w:rsidRPr="002D36CB">
        <w:rPr>
          <w:rtl/>
        </w:rPr>
        <w:t xml:space="preserve"> </w:t>
      </w:r>
      <w:r w:rsidRPr="002D36CB">
        <w:rPr>
          <w:b/>
          <w:bCs/>
          <w:rtl/>
        </w:rPr>
        <w:t>אבוקסיס נ' מדינת ישראל</w:t>
      </w:r>
      <w:r w:rsidRPr="002D36CB">
        <w:rPr>
          <w:rtl/>
        </w:rPr>
        <w:t xml:space="preserve"> (6.4.14), בו נדחה ערעורו של הנאשם על חומרת עונשו – </w:t>
      </w:r>
      <w:r>
        <w:rPr>
          <w:rFonts w:hint="cs"/>
          <w:rtl/>
        </w:rPr>
        <w:t xml:space="preserve"> </w:t>
      </w:r>
      <w:r w:rsidRPr="002D36CB">
        <w:rPr>
          <w:rtl/>
        </w:rPr>
        <w:t>18</w:t>
      </w:r>
      <w:r>
        <w:rPr>
          <w:rFonts w:hint="cs"/>
          <w:rtl/>
        </w:rPr>
        <w:t xml:space="preserve"> </w:t>
      </w:r>
      <w:r w:rsidRPr="002D36CB">
        <w:rPr>
          <w:rtl/>
        </w:rPr>
        <w:t xml:space="preserve">חודשי מאסר בפועל (4 חודשי מאסר בגין גניבה של 8 בקבוקי בושם מהסופר פארם והיתר הפעלה של מאסרים מותנים); </w:t>
      </w:r>
      <w:hyperlink r:id="rId57" w:history="1">
        <w:r w:rsidR="00E61BBD" w:rsidRPr="00E61BBD">
          <w:rPr>
            <w:color w:val="0000FF"/>
            <w:u w:val="single"/>
            <w:rtl/>
          </w:rPr>
          <w:t>ת"פ (פ"ת) 28425-02-13</w:t>
        </w:r>
      </w:hyperlink>
      <w:r w:rsidRPr="002D36CB">
        <w:rPr>
          <w:rtl/>
        </w:rPr>
        <w:t xml:space="preserve"> </w:t>
      </w:r>
      <w:r w:rsidRPr="002D36CB">
        <w:rPr>
          <w:b/>
          <w:bCs/>
          <w:rtl/>
        </w:rPr>
        <w:t>מדינת ישראל נ' דריבין</w:t>
      </w:r>
      <w:r w:rsidRPr="002D36CB">
        <w:rPr>
          <w:rtl/>
        </w:rPr>
        <w:t xml:space="preserve"> (4.11.13), בו הוטל על הנאשם חודשיים מאסר בפועל לצד הפעלת מאסר מותנה בגין גניבה של בושם מחנות סופר פארם.</w:t>
      </w:r>
      <w:r w:rsidRPr="002D36CB">
        <w:rPr>
          <w:rFonts w:cs="Times New Roman"/>
          <w:rtl/>
        </w:rPr>
        <w:t xml:space="preserve"> </w:t>
      </w:r>
    </w:p>
    <w:p w14:paraId="08952F6A" w14:textId="77777777" w:rsidR="00676D64" w:rsidRPr="002D36CB" w:rsidRDefault="00676D64" w:rsidP="00676D64">
      <w:pPr>
        <w:rPr>
          <w:b/>
          <w:bCs/>
        </w:rPr>
      </w:pPr>
    </w:p>
    <w:p w14:paraId="5E48A7B5" w14:textId="77777777" w:rsidR="00676D64" w:rsidRPr="002D36CB" w:rsidRDefault="00676D64" w:rsidP="00676D64">
      <w:pPr>
        <w:numPr>
          <w:ilvl w:val="0"/>
          <w:numId w:val="1"/>
        </w:numPr>
        <w:spacing w:line="360" w:lineRule="auto"/>
        <w:contextualSpacing/>
        <w:jc w:val="both"/>
      </w:pPr>
      <w:r w:rsidRPr="002D36CB">
        <w:rPr>
          <w:rtl/>
        </w:rPr>
        <w:t xml:space="preserve">ביחס לגניבת מכשירי טלפון חכמים, הרי שהפסיקה בעניין זה מחמירה יותר </w:t>
      </w:r>
      <w:r>
        <w:rPr>
          <w:rFonts w:hint="cs"/>
          <w:rtl/>
        </w:rPr>
        <w:t xml:space="preserve">וזאת </w:t>
      </w:r>
      <w:r w:rsidRPr="002D36CB">
        <w:rPr>
          <w:rtl/>
        </w:rPr>
        <w:t xml:space="preserve">מהנימוקים שפורטו לעיל. ראו בעניין זה </w:t>
      </w:r>
      <w:hyperlink r:id="rId58" w:history="1">
        <w:r w:rsidR="00E61BBD" w:rsidRPr="00E61BBD">
          <w:rPr>
            <w:color w:val="0000FF"/>
            <w:u w:val="single"/>
            <w:rtl/>
          </w:rPr>
          <w:t>רע"פ 6365/13</w:t>
        </w:r>
      </w:hyperlink>
      <w:r w:rsidRPr="002D36CB">
        <w:rPr>
          <w:rtl/>
        </w:rPr>
        <w:t xml:space="preserve"> </w:t>
      </w:r>
      <w:r w:rsidRPr="002D36CB">
        <w:rPr>
          <w:b/>
          <w:bCs/>
          <w:rtl/>
        </w:rPr>
        <w:t>יפים קליינר נ' מדינת ישראל</w:t>
      </w:r>
      <w:r w:rsidRPr="002D36CB">
        <w:rPr>
          <w:rtl/>
        </w:rPr>
        <w:t xml:space="preserve"> (23.9.13), בו נדחתה בקשת רשות ערעור ביחס לעונש מאסר של 4 חודשים שהוטל על מי שהורשע בגניבת מכשיר טלפון סלולרי; </w:t>
      </w:r>
      <w:hyperlink r:id="rId59" w:history="1">
        <w:r w:rsidR="00E61BBD" w:rsidRPr="00E61BBD">
          <w:rPr>
            <w:color w:val="0000FF"/>
            <w:u w:val="single"/>
            <w:rtl/>
          </w:rPr>
          <w:t>עפ"ג 25337-07-11</w:t>
        </w:r>
      </w:hyperlink>
      <w:r w:rsidRPr="002D36CB">
        <w:rPr>
          <w:rtl/>
        </w:rPr>
        <w:t xml:space="preserve"> </w:t>
      </w:r>
      <w:r w:rsidRPr="002D36CB">
        <w:rPr>
          <w:b/>
          <w:bCs/>
          <w:rtl/>
        </w:rPr>
        <w:t>מדינת ישראל נ' אבו סביתאן</w:t>
      </w:r>
      <w:r w:rsidRPr="002D36CB">
        <w:rPr>
          <w:rtl/>
        </w:rPr>
        <w:t xml:space="preserve"> (7.9.11) בו הוחמר עונשו של אדם שגנב תיק וטלפון סלולרי, משישה חודשי מאסר ל-12 חודשי מאסר תוך הפעלת מאסר מותנה במצטבר; </w:t>
      </w:r>
      <w:hyperlink r:id="rId60" w:history="1">
        <w:r w:rsidR="00E61BBD" w:rsidRPr="00E61BBD">
          <w:rPr>
            <w:color w:val="0000FF"/>
            <w:u w:val="single"/>
            <w:rtl/>
          </w:rPr>
          <w:t>ת"פ 20795-09-15</w:t>
        </w:r>
      </w:hyperlink>
      <w:r w:rsidRPr="002D36CB">
        <w:rPr>
          <w:rtl/>
        </w:rPr>
        <w:t xml:space="preserve"> </w:t>
      </w:r>
      <w:r w:rsidRPr="002D36CB">
        <w:rPr>
          <w:b/>
          <w:bCs/>
          <w:rtl/>
        </w:rPr>
        <w:t>מדינת ישראל נ' חוסין</w:t>
      </w:r>
      <w:r w:rsidRPr="002D36CB">
        <w:rPr>
          <w:rtl/>
        </w:rPr>
        <w:t xml:space="preserve"> (9.2.16), בו הוטל על נאשם 12 חודשי מאסר בפועל בגין גניבה של שלושה מכשירי טלפון סלולריים מחולים בבית חולים (הנאשם צירף גם תיק של גניבת רכוש נוסף).</w:t>
      </w:r>
    </w:p>
    <w:p w14:paraId="2456BF6B" w14:textId="77777777" w:rsidR="00676D64" w:rsidRPr="002D36CB" w:rsidRDefault="00676D64" w:rsidP="00676D64">
      <w:pPr>
        <w:spacing w:line="360" w:lineRule="auto"/>
        <w:jc w:val="both"/>
      </w:pPr>
    </w:p>
    <w:p w14:paraId="2EFA3E98" w14:textId="77777777" w:rsidR="00676D64" w:rsidRDefault="00676D64" w:rsidP="00676D64">
      <w:pPr>
        <w:numPr>
          <w:ilvl w:val="0"/>
          <w:numId w:val="1"/>
        </w:numPr>
        <w:spacing w:line="360" w:lineRule="auto"/>
        <w:contextualSpacing/>
        <w:jc w:val="both"/>
      </w:pPr>
      <w:r w:rsidRPr="002D36CB">
        <w:rPr>
          <w:rtl/>
        </w:rPr>
        <w:t>לאור כל זאת, אני בדעה כי מתחמי הענישה בענייננו הם כדלקמן:</w:t>
      </w:r>
    </w:p>
    <w:p w14:paraId="51401513" w14:textId="77777777" w:rsidR="00676D64" w:rsidRDefault="00676D64" w:rsidP="00676D64">
      <w:pPr>
        <w:spacing w:line="360" w:lineRule="auto"/>
        <w:ind w:left="720"/>
        <w:contextualSpacing/>
        <w:jc w:val="both"/>
      </w:pPr>
    </w:p>
    <w:p w14:paraId="22755B29" w14:textId="77777777" w:rsidR="00676D64" w:rsidRDefault="00E61BBD" w:rsidP="00676D64">
      <w:pPr>
        <w:spacing w:line="360" w:lineRule="auto"/>
        <w:ind w:left="720"/>
        <w:contextualSpacing/>
        <w:jc w:val="both"/>
        <w:rPr>
          <w:rtl/>
        </w:rPr>
      </w:pPr>
      <w:hyperlink r:id="rId61" w:history="1">
        <w:r w:rsidRPr="00E61BBD">
          <w:rPr>
            <w:b/>
            <w:bCs/>
            <w:color w:val="0000FF"/>
            <w:u w:val="single"/>
            <w:rtl/>
          </w:rPr>
          <w:t>ת"פ 6048-01-17</w:t>
        </w:r>
      </w:hyperlink>
      <w:r w:rsidR="00676D64">
        <w:rPr>
          <w:rtl/>
        </w:rPr>
        <w:t xml:space="preserve"> (גניבת מכשיר טלפון חכ</w:t>
      </w:r>
      <w:r w:rsidR="00676D64">
        <w:rPr>
          <w:rFonts w:hint="cs"/>
          <w:rtl/>
        </w:rPr>
        <w:t>ם</w:t>
      </w:r>
      <w:r w:rsidR="00676D64" w:rsidRPr="00F703A9">
        <w:rPr>
          <w:rtl/>
        </w:rPr>
        <w:t>) – ממאסר מותנה ועד 10 חודשי מאסר בפועל.</w:t>
      </w:r>
    </w:p>
    <w:p w14:paraId="0B3704E5" w14:textId="77777777" w:rsidR="00676D64" w:rsidRDefault="00E61BBD" w:rsidP="00676D64">
      <w:pPr>
        <w:spacing w:line="360" w:lineRule="auto"/>
        <w:ind w:left="720"/>
        <w:contextualSpacing/>
        <w:jc w:val="both"/>
        <w:rPr>
          <w:rtl/>
        </w:rPr>
      </w:pPr>
      <w:hyperlink r:id="rId62" w:history="1">
        <w:r w:rsidRPr="00E61BBD">
          <w:rPr>
            <w:b/>
            <w:bCs/>
            <w:color w:val="0000FF"/>
            <w:u w:val="single"/>
            <w:rtl/>
          </w:rPr>
          <w:t>ת"פ 51521-10-14</w:t>
        </w:r>
      </w:hyperlink>
      <w:r w:rsidR="00676D64">
        <w:rPr>
          <w:rFonts w:hint="cs"/>
          <w:b/>
          <w:bCs/>
          <w:rtl/>
        </w:rPr>
        <w:t xml:space="preserve"> </w:t>
      </w:r>
      <w:r w:rsidR="00676D64">
        <w:rPr>
          <w:rFonts w:hint="eastAsia"/>
          <w:b/>
          <w:bCs/>
        </w:rPr>
        <w:t>–</w:t>
      </w:r>
      <w:r w:rsidR="00676D64">
        <w:rPr>
          <w:b/>
          <w:bCs/>
        </w:rPr>
        <w:t xml:space="preserve"> </w:t>
      </w:r>
      <w:r w:rsidR="00676D64">
        <w:rPr>
          <w:rFonts w:hint="cs"/>
          <w:b/>
          <w:bCs/>
          <w:rtl/>
        </w:rPr>
        <w:t xml:space="preserve"> </w:t>
      </w:r>
      <w:r w:rsidR="00676D64">
        <w:rPr>
          <w:rFonts w:hint="cs"/>
          <w:rtl/>
        </w:rPr>
        <w:t>מקנס ועד מספר חודשי מאסר שניתן לשאת בהם בעבודות שירות.</w:t>
      </w:r>
    </w:p>
    <w:p w14:paraId="58C3863A" w14:textId="77777777" w:rsidR="00676D64" w:rsidRDefault="00E61BBD" w:rsidP="00676D64">
      <w:pPr>
        <w:spacing w:line="360" w:lineRule="auto"/>
        <w:ind w:left="720"/>
        <w:contextualSpacing/>
        <w:jc w:val="both"/>
        <w:rPr>
          <w:rtl/>
        </w:rPr>
      </w:pPr>
      <w:hyperlink r:id="rId63" w:history="1">
        <w:r w:rsidRPr="00E61BBD">
          <w:rPr>
            <w:b/>
            <w:bCs/>
            <w:color w:val="0000FF"/>
            <w:u w:val="single"/>
            <w:rtl/>
          </w:rPr>
          <w:t>ת"פ 6032-01-17</w:t>
        </w:r>
      </w:hyperlink>
      <w:r w:rsidR="00676D64" w:rsidRPr="00643837">
        <w:rPr>
          <w:rFonts w:hint="cs"/>
          <w:b/>
          <w:bCs/>
          <w:rtl/>
        </w:rPr>
        <w:t xml:space="preserve"> ו- </w:t>
      </w:r>
      <w:hyperlink r:id="rId64" w:history="1">
        <w:r w:rsidRPr="00E61BBD">
          <w:rPr>
            <w:b/>
            <w:bCs/>
            <w:color w:val="0000FF"/>
            <w:u w:val="single"/>
            <w:rtl/>
          </w:rPr>
          <w:t>ת"פ 34638-03-17</w:t>
        </w:r>
      </w:hyperlink>
      <w:r w:rsidR="00676D64">
        <w:rPr>
          <w:rFonts w:hint="cs"/>
          <w:rtl/>
        </w:rPr>
        <w:t xml:space="preserve"> </w:t>
      </w:r>
      <w:r w:rsidR="00676D64">
        <w:rPr>
          <w:rFonts w:hint="eastAsia"/>
        </w:rPr>
        <w:t>–</w:t>
      </w:r>
      <w:r w:rsidR="00676D64">
        <w:rPr>
          <w:rFonts w:hint="cs"/>
          <w:rtl/>
        </w:rPr>
        <w:t xml:space="preserve"> מקנס ועד מספר חודשי מאסר שניתן לשאת בהם בעבודות שירות.</w:t>
      </w:r>
    </w:p>
    <w:p w14:paraId="60015262" w14:textId="77777777" w:rsidR="00676D64" w:rsidRDefault="00E61BBD" w:rsidP="00676D64">
      <w:pPr>
        <w:spacing w:line="360" w:lineRule="auto"/>
        <w:ind w:left="720"/>
        <w:contextualSpacing/>
        <w:jc w:val="both"/>
        <w:rPr>
          <w:rtl/>
        </w:rPr>
      </w:pPr>
      <w:hyperlink r:id="rId65" w:history="1">
        <w:r w:rsidRPr="00E61BBD">
          <w:rPr>
            <w:b/>
            <w:bCs/>
            <w:color w:val="0000FF"/>
            <w:u w:val="single"/>
            <w:rtl/>
          </w:rPr>
          <w:t>ת"פ 53562-08-16</w:t>
        </w:r>
      </w:hyperlink>
      <w:r w:rsidR="00676D64">
        <w:rPr>
          <w:rFonts w:hint="cs"/>
          <w:rtl/>
        </w:rPr>
        <w:t xml:space="preserve"> </w:t>
      </w:r>
      <w:r w:rsidR="00676D64">
        <w:rPr>
          <w:rFonts w:hint="eastAsia"/>
        </w:rPr>
        <w:t>–</w:t>
      </w:r>
      <w:r w:rsidR="00676D64">
        <w:rPr>
          <w:rFonts w:hint="cs"/>
          <w:rtl/>
        </w:rPr>
        <w:t xml:space="preserve"> ממאסר מותנה ועד 8 חודשי מאסר בפועל.</w:t>
      </w:r>
    </w:p>
    <w:p w14:paraId="2DC26859" w14:textId="77777777" w:rsidR="00676D64" w:rsidRPr="00A233B5" w:rsidRDefault="00E61BBD" w:rsidP="00676D64">
      <w:pPr>
        <w:spacing w:line="360" w:lineRule="auto"/>
        <w:ind w:left="720"/>
        <w:contextualSpacing/>
        <w:jc w:val="both"/>
      </w:pPr>
      <w:hyperlink r:id="rId66" w:history="1">
        <w:r w:rsidRPr="00E61BBD">
          <w:rPr>
            <w:b/>
            <w:bCs/>
            <w:color w:val="0000FF"/>
            <w:u w:val="single"/>
            <w:rtl/>
          </w:rPr>
          <w:t>ת"פ 20654-11-17</w:t>
        </w:r>
      </w:hyperlink>
      <w:r w:rsidR="00676D64">
        <w:rPr>
          <w:rFonts w:hint="cs"/>
          <w:rtl/>
        </w:rPr>
        <w:t xml:space="preserve"> (עבירות הסמים) </w:t>
      </w:r>
      <w:r w:rsidR="00676D64">
        <w:rPr>
          <w:rFonts w:hint="eastAsia"/>
        </w:rPr>
        <w:t>–</w:t>
      </w:r>
      <w:r w:rsidR="00676D64">
        <w:rPr>
          <w:rFonts w:hint="cs"/>
          <w:rtl/>
        </w:rPr>
        <w:t xml:space="preserve"> ממספר </w:t>
      </w:r>
      <w:r w:rsidR="00676D64" w:rsidRPr="00A233B5">
        <w:rPr>
          <w:rtl/>
        </w:rPr>
        <w:t>חודשי מאסר</w:t>
      </w:r>
      <w:r w:rsidR="00676D64">
        <w:rPr>
          <w:rFonts w:hint="cs"/>
          <w:rtl/>
        </w:rPr>
        <w:t xml:space="preserve"> שניתן לשאת בהם בעבודות שירות</w:t>
      </w:r>
      <w:r w:rsidR="00676D64" w:rsidRPr="00A233B5">
        <w:rPr>
          <w:rtl/>
        </w:rPr>
        <w:t>, ועד 18 חודשי מאסר בפועל.</w:t>
      </w:r>
    </w:p>
    <w:p w14:paraId="1629E3A5" w14:textId="77777777" w:rsidR="00676D64" w:rsidRPr="0070483C" w:rsidRDefault="00676D64" w:rsidP="00676D64">
      <w:pPr>
        <w:spacing w:line="360" w:lineRule="auto"/>
        <w:ind w:left="720"/>
        <w:contextualSpacing/>
        <w:jc w:val="both"/>
      </w:pPr>
    </w:p>
    <w:p w14:paraId="600EE517" w14:textId="77777777" w:rsidR="00676D64" w:rsidRDefault="00676D64" w:rsidP="00676D64">
      <w:pPr>
        <w:spacing w:line="360" w:lineRule="auto"/>
        <w:ind w:firstLine="720"/>
        <w:jc w:val="both"/>
        <w:rPr>
          <w:b/>
          <w:bCs/>
          <w:u w:val="single"/>
          <w:rtl/>
        </w:rPr>
      </w:pPr>
      <w:r>
        <w:rPr>
          <w:rFonts w:hint="cs"/>
          <w:b/>
          <w:bCs/>
          <w:u w:val="single"/>
          <w:rtl/>
        </w:rPr>
        <w:t>קביעת עונשו של הנאשם</w:t>
      </w:r>
    </w:p>
    <w:p w14:paraId="36778D61" w14:textId="77777777" w:rsidR="00676D64" w:rsidRDefault="00676D64" w:rsidP="00676D64">
      <w:pPr>
        <w:spacing w:line="360" w:lineRule="auto"/>
        <w:ind w:left="360"/>
        <w:jc w:val="both"/>
        <w:rPr>
          <w:b/>
          <w:bCs/>
          <w:u w:val="single"/>
          <w:rtl/>
        </w:rPr>
      </w:pPr>
    </w:p>
    <w:p w14:paraId="23779CE7" w14:textId="77777777" w:rsidR="00676D64" w:rsidRDefault="00676D64" w:rsidP="00676D64">
      <w:pPr>
        <w:numPr>
          <w:ilvl w:val="0"/>
          <w:numId w:val="1"/>
        </w:numPr>
        <w:spacing w:line="360" w:lineRule="auto"/>
        <w:contextualSpacing/>
        <w:jc w:val="both"/>
        <w:rPr>
          <w:rtl/>
        </w:rPr>
      </w:pPr>
      <w:r>
        <w:rPr>
          <w:rFonts w:hint="cs"/>
          <w:rtl/>
        </w:rPr>
        <w:t xml:space="preserve">שני הצדדים לא טענו לחריגה ממתחם הענישה, לחומרה או לקולה ואכן, עונשו של הנאשם אמור להיגזר בגדרי מתחמי הענישה שנקבעו לעיל. </w:t>
      </w:r>
      <w:r w:rsidRPr="002A3112">
        <w:rPr>
          <w:rtl/>
        </w:rPr>
        <w:t xml:space="preserve">דברים אלו נאמרים בצער, שכן </w:t>
      </w:r>
      <w:r>
        <w:rPr>
          <w:rFonts w:hint="cs"/>
          <w:rtl/>
        </w:rPr>
        <w:t xml:space="preserve">הדבר מחייב הטלת עונש מאסר בפועל, לרבות הפעלת מאסר מותנה, ובטוחני כי עונש זה יהיה קשה מאוד עבור הנאשם, בשל מצבו הרפואי הקשה. כפי שפורט לעיל, הנאשם הוא קטוע שתי רגליים. מצבו הרפואי מחייב תפריט מיוחד ותנאי ניקיון מיוחדים. כמו כן הוא מתקשה מטבע הדברים בניידות ומתהלך על פרוטזות בסיוע קביים. ברי ששלטונות הכלא יעשו כל מאמץ להעניק לנאשם את התנאים המיוחדים להם הוא זקוק ואולם לא ניתן להתעלם מהקושי שיהיה מנת חלקו בעת תקופת כליאתו. מצב רפואי זה מצדיק (ושמא נאמר מחייב) התחשבות של ממש בעת קביעת העונש. דברים אלו מקבלים משנה תוקף בשים לב לכך שמצבו של הנאשם הוחמר ממשית לאחר ביצוע עבירות הרכוש, עת נקטעה רגלו השנייה בחודש 1/17 (ראו ענ/1 בשים לב למועדי ביצוע עבירות הרכוש). </w:t>
      </w:r>
    </w:p>
    <w:p w14:paraId="3ECB1B84" w14:textId="77777777" w:rsidR="00676D64" w:rsidRDefault="00676D64" w:rsidP="00676D64">
      <w:pPr>
        <w:spacing w:line="360" w:lineRule="auto"/>
        <w:ind w:left="720"/>
        <w:contextualSpacing/>
        <w:jc w:val="both"/>
      </w:pPr>
    </w:p>
    <w:p w14:paraId="10EB6961" w14:textId="77777777" w:rsidR="00676D64" w:rsidRDefault="00676D64" w:rsidP="00676D64">
      <w:pPr>
        <w:numPr>
          <w:ilvl w:val="0"/>
          <w:numId w:val="1"/>
        </w:numPr>
        <w:spacing w:line="360" w:lineRule="auto"/>
        <w:contextualSpacing/>
        <w:jc w:val="both"/>
      </w:pPr>
      <w:r>
        <w:rPr>
          <w:rFonts w:hint="cs"/>
          <w:rtl/>
        </w:rPr>
        <w:t xml:space="preserve">אכן, הנאשם חטא במספר לא מבוטל על עבירות. בעלי עסקים לא מעטים נפגעו ממעשיו. הרכוש לא הושב עד היום. גם עברו הפלילי של הנאשם אינו קל ותומך בהחמרה. ועדין, לא ניתן לדעתי להעלם ממצבו הרפואי הקשה והחריג וזאת בשני אספקטים עיקרים כפי שתוארו לעיל: האספקט האחד הוא הקושי לאדם במצבו של הנאשם לשאת עונש מאסר. בעניין זה נדרשת לדעתי מעין "התאמה" על פי מידת הסבל שיסב עונש מאסר לנאשם המסוים שבפני, ביחס לאדם שאינו סובל ממצב רפואי שכזה (ראו בהשוואה </w:t>
      </w:r>
      <w:hyperlink r:id="rId67" w:history="1">
        <w:r w:rsidR="00E61BBD" w:rsidRPr="00E61BBD">
          <w:rPr>
            <w:color w:val="0000FF"/>
            <w:u w:val="single"/>
            <w:rtl/>
          </w:rPr>
          <w:t>ע"פ 4506/15</w:t>
        </w:r>
      </w:hyperlink>
      <w:r>
        <w:rPr>
          <w:rFonts w:hint="cs"/>
          <w:rtl/>
        </w:rPr>
        <w:t xml:space="preserve"> </w:t>
      </w:r>
      <w:r w:rsidRPr="00DF1FE3">
        <w:rPr>
          <w:rFonts w:hint="cs"/>
          <w:b/>
          <w:bCs/>
          <w:rtl/>
        </w:rPr>
        <w:t>צבי בר ואח' נ' מדינת ישראל</w:t>
      </w:r>
      <w:r>
        <w:rPr>
          <w:rFonts w:hint="cs"/>
          <w:rtl/>
        </w:rPr>
        <w:t xml:space="preserve"> (11.12.16), פסקה 14 לפסק דינו של השופט סולברג). האספקט השני עניינו מידת הפגיעה שעלול להסב עונש מאסר לבריאותו של אדם במצבו של הנאשם. אמנם לא הוגשו בעניינו של הנאשם חוות דעת וחזקה על שב"ס שיעניק לנאשם את מלוא הטיפול והתנאים הנדרשים במצבו ואולם דומה כי למרות זאת יש להביא בחשבון נושא זה מבחינת תקופת המאסר שראוי להטיל על הנאשם (</w:t>
      </w:r>
      <w:hyperlink r:id="rId68" w:history="1">
        <w:r w:rsidR="00E61BBD" w:rsidRPr="00E61BBD">
          <w:rPr>
            <w:color w:val="0000FF"/>
            <w:u w:val="single"/>
            <w:rtl/>
          </w:rPr>
          <w:t>ע"פ 4506/15</w:t>
        </w:r>
      </w:hyperlink>
      <w:r>
        <w:rPr>
          <w:rFonts w:hint="cs"/>
          <w:rtl/>
        </w:rPr>
        <w:t xml:space="preserve"> </w:t>
      </w:r>
      <w:r w:rsidRPr="00DF1FE3">
        <w:rPr>
          <w:rFonts w:hint="cs"/>
          <w:b/>
          <w:bCs/>
          <w:rtl/>
        </w:rPr>
        <w:t>צבי בר ואח' נ' מדינת ישראל</w:t>
      </w:r>
      <w:r>
        <w:rPr>
          <w:rFonts w:hint="cs"/>
          <w:rtl/>
        </w:rPr>
        <w:t xml:space="preserve"> (11.12.16); </w:t>
      </w:r>
      <w:hyperlink r:id="rId69" w:history="1">
        <w:r w:rsidR="00E61BBD" w:rsidRPr="00E61BBD">
          <w:rPr>
            <w:color w:val="0000FF"/>
            <w:u w:val="single"/>
            <w:rtl/>
          </w:rPr>
          <w:t>ע"פ 5669/14</w:t>
        </w:r>
      </w:hyperlink>
      <w:r w:rsidRPr="00DF1FE3">
        <w:rPr>
          <w:rFonts w:hint="cs"/>
          <w:b/>
          <w:bCs/>
          <w:rtl/>
        </w:rPr>
        <w:t xml:space="preserve"> לופוליאנסקי נ' מדינת ישראל</w:t>
      </w:r>
      <w:r w:rsidRPr="00DF1FE3">
        <w:rPr>
          <w:rFonts w:hint="cs"/>
          <w:rtl/>
        </w:rPr>
        <w:t xml:space="preserve"> (29.12.2015)</w:t>
      </w:r>
      <w:r>
        <w:rPr>
          <w:rFonts w:hint="cs"/>
          <w:rtl/>
        </w:rPr>
        <w:t>).אכן, ההתחשבות אינה מגיעה כדי חריגה ממתחם הענישה ואולם היא מצדיקה את התאמת העונש למצבו המיוחד של הנאשם.</w:t>
      </w:r>
    </w:p>
    <w:p w14:paraId="32365A39" w14:textId="77777777" w:rsidR="00676D64" w:rsidRPr="00267C92" w:rsidRDefault="00676D64" w:rsidP="00676D64">
      <w:pPr>
        <w:spacing w:line="360" w:lineRule="auto"/>
        <w:ind w:left="720"/>
        <w:contextualSpacing/>
        <w:jc w:val="both"/>
      </w:pPr>
    </w:p>
    <w:p w14:paraId="6A300815" w14:textId="77777777" w:rsidR="00676D64" w:rsidRDefault="00676D64" w:rsidP="00676D64">
      <w:pPr>
        <w:numPr>
          <w:ilvl w:val="0"/>
          <w:numId w:val="1"/>
        </w:numPr>
        <w:spacing w:line="360" w:lineRule="auto"/>
        <w:contextualSpacing/>
        <w:jc w:val="both"/>
      </w:pPr>
      <w:r>
        <w:rPr>
          <w:rFonts w:hint="cs"/>
          <w:rtl/>
        </w:rPr>
        <w:t xml:space="preserve">בנוסף, הבאתי בחשבון את הודאת הנאשם בכל העבירות בהזדמנות הראשונה. הבאתי עוד בחשבון כי מספר לא מבוטל של עבירות בוצעו בשנת 2014. אמנם, חלוף הזמן נגרם בשל כך שההליכים בתיקים אלו עוכבו על ידי היועמ"ש בשל מצבו הרפואי של הנאשם וחודשו בשל כך שהפר את תנאי העיכוב (בכך שביצע עבירות רכוש נוספות בשנת 2016). אכן, אין לנאשם אלא להלין על עצמו בעניין זה ועדין יש להביא בחשבון במידה מסוימת את חלוף הזמן. </w:t>
      </w:r>
    </w:p>
    <w:p w14:paraId="4FB3037E" w14:textId="77777777" w:rsidR="00676D64" w:rsidRDefault="00676D64" w:rsidP="00676D64">
      <w:pPr>
        <w:spacing w:line="360" w:lineRule="auto"/>
        <w:ind w:left="720"/>
        <w:contextualSpacing/>
        <w:jc w:val="both"/>
      </w:pPr>
    </w:p>
    <w:p w14:paraId="2199C7E6" w14:textId="77777777" w:rsidR="00676D64" w:rsidRDefault="00676D64" w:rsidP="00676D64">
      <w:pPr>
        <w:numPr>
          <w:ilvl w:val="0"/>
          <w:numId w:val="1"/>
        </w:numPr>
        <w:spacing w:line="360" w:lineRule="auto"/>
        <w:contextualSpacing/>
        <w:jc w:val="both"/>
      </w:pPr>
      <w:r>
        <w:rPr>
          <w:rFonts w:hint="cs"/>
          <w:rtl/>
        </w:rPr>
        <w:t xml:space="preserve">כן הבאתי בחשבון את מצבו האישי והכלכלי של הנאשם. מדובר באדם החי בגפו בדירת חדר, בעוני ובדלות ולעניין זה אפנה לדבריה של בתו שתיארה בדמעות את עוניו ותנאי מחייתו הדלים. </w:t>
      </w:r>
    </w:p>
    <w:p w14:paraId="23969534" w14:textId="77777777" w:rsidR="00676D64" w:rsidRPr="007274EC" w:rsidRDefault="00676D64" w:rsidP="00676D64">
      <w:pPr>
        <w:spacing w:line="360" w:lineRule="auto"/>
        <w:ind w:left="720"/>
        <w:contextualSpacing/>
        <w:jc w:val="both"/>
      </w:pPr>
    </w:p>
    <w:p w14:paraId="62E6ACC7" w14:textId="77777777" w:rsidR="00676D64" w:rsidRDefault="00676D64" w:rsidP="00676D64">
      <w:pPr>
        <w:numPr>
          <w:ilvl w:val="0"/>
          <w:numId w:val="1"/>
        </w:numPr>
        <w:spacing w:line="360" w:lineRule="auto"/>
        <w:contextualSpacing/>
        <w:jc w:val="both"/>
      </w:pPr>
      <w:r>
        <w:rPr>
          <w:rFonts w:hint="cs"/>
          <w:rtl/>
        </w:rPr>
        <w:t xml:space="preserve">מנגד, יש להביאו בחשבון את עברו הפלילי של הנאשם. מדובר במי שלא אחת פגע ברכושו של הציבור ואף ריצה בעבר עונשי מאסר (אם כי לא ארוכים). כמו כן תלוי ועומד נגד הנאשם עונש מאסר מותנה שהוארך בעבר וכיום הוא חב הפעלה. </w:t>
      </w:r>
    </w:p>
    <w:p w14:paraId="467F33AC" w14:textId="77777777" w:rsidR="00676D64" w:rsidRDefault="00676D64" w:rsidP="00676D64">
      <w:pPr>
        <w:spacing w:line="360" w:lineRule="auto"/>
        <w:ind w:left="720"/>
        <w:contextualSpacing/>
        <w:jc w:val="both"/>
      </w:pPr>
    </w:p>
    <w:p w14:paraId="18EE1E1C" w14:textId="77777777" w:rsidR="00676D64" w:rsidRDefault="00676D64" w:rsidP="00676D64">
      <w:pPr>
        <w:numPr>
          <w:ilvl w:val="0"/>
          <w:numId w:val="1"/>
        </w:numPr>
        <w:spacing w:before="120" w:after="120" w:line="360" w:lineRule="auto"/>
        <w:contextualSpacing/>
        <w:jc w:val="both"/>
      </w:pPr>
      <w:r w:rsidRPr="00C95B30">
        <w:rPr>
          <w:rFonts w:hint="cs"/>
          <w:rtl/>
        </w:rPr>
        <w:t>סיכומו של דבר, לאחר שבחנתי את מכלול השיקולים, הן לקולה והן לחומרה,  אני מטיל על הנאשם את העונשים הבאים:</w:t>
      </w:r>
    </w:p>
    <w:p w14:paraId="0205DCBC" w14:textId="77777777" w:rsidR="00676D64" w:rsidRPr="00E80A84" w:rsidRDefault="00676D64" w:rsidP="00676D64">
      <w:pPr>
        <w:pStyle w:val="a9"/>
        <w:numPr>
          <w:ilvl w:val="0"/>
          <w:numId w:val="2"/>
        </w:numPr>
        <w:spacing w:before="120" w:after="120" w:line="360" w:lineRule="auto"/>
        <w:jc w:val="both"/>
        <w:rPr>
          <w:rFonts w:cs="David"/>
        </w:rPr>
      </w:pPr>
      <w:r>
        <w:rPr>
          <w:rFonts w:cs="David" w:hint="cs"/>
          <w:rtl/>
        </w:rPr>
        <w:t xml:space="preserve">8 חודשי מאסר בפועל. </w:t>
      </w:r>
    </w:p>
    <w:p w14:paraId="35F1D37E" w14:textId="77777777" w:rsidR="00676D64" w:rsidRDefault="00676D64" w:rsidP="00676D64">
      <w:pPr>
        <w:numPr>
          <w:ilvl w:val="0"/>
          <w:numId w:val="2"/>
        </w:numPr>
        <w:spacing w:line="360" w:lineRule="auto"/>
        <w:contextualSpacing/>
        <w:jc w:val="both"/>
      </w:pPr>
      <w:r w:rsidRPr="00E80A84">
        <w:rPr>
          <w:rtl/>
        </w:rPr>
        <w:t xml:space="preserve">אני מפעיל עונש מאסר מותנה בן </w:t>
      </w:r>
      <w:r>
        <w:rPr>
          <w:rFonts w:hint="cs"/>
          <w:rtl/>
        </w:rPr>
        <w:t xml:space="preserve">6 </w:t>
      </w:r>
      <w:r w:rsidRPr="00E80A84">
        <w:rPr>
          <w:rtl/>
        </w:rPr>
        <w:t>חודשים מ</w:t>
      </w:r>
      <w:hyperlink r:id="rId70" w:history="1">
        <w:r w:rsidR="00E61BBD" w:rsidRPr="00E61BBD">
          <w:rPr>
            <w:color w:val="0000FF"/>
            <w:u w:val="single"/>
            <w:rtl/>
          </w:rPr>
          <w:t>ת.פ 5174-05-12</w:t>
        </w:r>
      </w:hyperlink>
      <w:r w:rsidRPr="00E80A84">
        <w:rPr>
          <w:rtl/>
        </w:rPr>
        <w:t xml:space="preserve"> (בית משפט שלום קריות) מיום </w:t>
      </w:r>
      <w:r>
        <w:rPr>
          <w:rFonts w:hint="cs"/>
          <w:rtl/>
        </w:rPr>
        <w:t>3.12.12</w:t>
      </w:r>
      <w:r w:rsidRPr="00E80A84">
        <w:rPr>
          <w:rtl/>
        </w:rPr>
        <w:t xml:space="preserve"> </w:t>
      </w:r>
      <w:r>
        <w:rPr>
          <w:rFonts w:hint="cs"/>
          <w:rtl/>
        </w:rPr>
        <w:t xml:space="preserve">(אשר הוארך ביום 12.1.16 במסגרת </w:t>
      </w:r>
      <w:hyperlink r:id="rId71" w:history="1">
        <w:r w:rsidR="00E61BBD" w:rsidRPr="00E61BBD">
          <w:rPr>
            <w:color w:val="0000FF"/>
            <w:u w:val="single"/>
            <w:rtl/>
          </w:rPr>
          <w:t>ת"פ 57357-12-14</w:t>
        </w:r>
      </w:hyperlink>
      <w:r>
        <w:rPr>
          <w:rFonts w:hint="cs"/>
          <w:rtl/>
        </w:rPr>
        <w:t xml:space="preserve"> (שלום קריות)) </w:t>
      </w:r>
      <w:r w:rsidRPr="00E80A84">
        <w:rPr>
          <w:rtl/>
        </w:rPr>
        <w:t xml:space="preserve">וזאת </w:t>
      </w:r>
      <w:r>
        <w:rPr>
          <w:rFonts w:hint="cs"/>
          <w:rtl/>
        </w:rPr>
        <w:t xml:space="preserve">באופן </w:t>
      </w:r>
      <w:r w:rsidRPr="000C459F">
        <w:rPr>
          <w:rFonts w:hint="cs"/>
          <w:b/>
          <w:bCs/>
          <w:rtl/>
        </w:rPr>
        <w:t>שארבעה</w:t>
      </w:r>
      <w:r>
        <w:rPr>
          <w:rFonts w:hint="cs"/>
          <w:rtl/>
        </w:rPr>
        <w:t xml:space="preserve"> חודשים ירוצו במצטבר לעונש שהטלתי </w:t>
      </w:r>
      <w:r w:rsidRPr="000C459F">
        <w:rPr>
          <w:rFonts w:hint="cs"/>
          <w:b/>
          <w:bCs/>
          <w:rtl/>
        </w:rPr>
        <w:t>וחודשיים</w:t>
      </w:r>
      <w:r>
        <w:rPr>
          <w:rFonts w:hint="cs"/>
          <w:rtl/>
        </w:rPr>
        <w:t xml:space="preserve"> בחופף. בעניין זה הבאתי בחשבון</w:t>
      </w:r>
      <w:r w:rsidRPr="00E80A84">
        <w:rPr>
          <w:rtl/>
        </w:rPr>
        <w:t xml:space="preserve"> </w:t>
      </w:r>
      <w:r>
        <w:rPr>
          <w:rFonts w:hint="cs"/>
          <w:rtl/>
        </w:rPr>
        <w:t xml:space="preserve">את העובדה שהעבירה מושא התנאי בוצעה בשנת 2009. אמנם, מדובר במאסר מותנה שהוארך ואולם לא ניתן להתעלם מכך שחלפו מאז ביצוע העבירה מעל לשמונה שנים ויש בדבר להצדיק חפיפה ולו חלקית.  </w:t>
      </w:r>
    </w:p>
    <w:p w14:paraId="194B4F49" w14:textId="77777777" w:rsidR="00676D64" w:rsidRPr="000C459F" w:rsidRDefault="00676D64" w:rsidP="00676D64">
      <w:pPr>
        <w:spacing w:line="360" w:lineRule="auto"/>
        <w:ind w:left="1440"/>
        <w:contextualSpacing/>
        <w:jc w:val="both"/>
        <w:rPr>
          <w:rtl/>
        </w:rPr>
      </w:pPr>
    </w:p>
    <w:p w14:paraId="792D6B13" w14:textId="77777777" w:rsidR="00676D64" w:rsidRDefault="00676D64" w:rsidP="00676D64">
      <w:pPr>
        <w:spacing w:line="360" w:lineRule="auto"/>
        <w:ind w:left="1440"/>
        <w:contextualSpacing/>
        <w:jc w:val="both"/>
        <w:rPr>
          <w:b/>
          <w:bCs/>
          <w:rtl/>
        </w:rPr>
      </w:pPr>
      <w:r w:rsidRPr="000C459F">
        <w:rPr>
          <w:b/>
          <w:bCs/>
          <w:rtl/>
        </w:rPr>
        <w:t xml:space="preserve">סה"כ ירצה הנאשם </w:t>
      </w:r>
      <w:r w:rsidRPr="000C459F">
        <w:rPr>
          <w:rFonts w:hint="cs"/>
          <w:b/>
          <w:bCs/>
          <w:rtl/>
        </w:rPr>
        <w:t xml:space="preserve">12 </w:t>
      </w:r>
      <w:r w:rsidRPr="000C459F">
        <w:rPr>
          <w:b/>
          <w:bCs/>
          <w:rtl/>
        </w:rPr>
        <w:t xml:space="preserve">חודשי מאסר, החל מיום מעצרו – </w:t>
      </w:r>
      <w:r w:rsidRPr="000C459F">
        <w:rPr>
          <w:rFonts w:hint="cs"/>
          <w:b/>
          <w:bCs/>
          <w:rtl/>
        </w:rPr>
        <w:t>2.11.17</w:t>
      </w:r>
      <w:r>
        <w:rPr>
          <w:rFonts w:hint="cs"/>
          <w:b/>
          <w:bCs/>
          <w:rtl/>
        </w:rPr>
        <w:t xml:space="preserve"> </w:t>
      </w:r>
    </w:p>
    <w:p w14:paraId="5E71A3A6" w14:textId="77777777" w:rsidR="00676D64" w:rsidRPr="00E80A84" w:rsidRDefault="00676D64" w:rsidP="00676D64">
      <w:pPr>
        <w:spacing w:line="360" w:lineRule="auto"/>
        <w:ind w:left="1440"/>
        <w:contextualSpacing/>
        <w:jc w:val="both"/>
        <w:rPr>
          <w:rtl/>
        </w:rPr>
      </w:pPr>
      <w:r w:rsidRPr="00E80A84">
        <w:rPr>
          <w:rtl/>
        </w:rPr>
        <w:t xml:space="preserve"> </w:t>
      </w:r>
    </w:p>
    <w:p w14:paraId="489FF8F0" w14:textId="77777777" w:rsidR="00676D64" w:rsidRDefault="00676D64" w:rsidP="00676D64">
      <w:pPr>
        <w:numPr>
          <w:ilvl w:val="0"/>
          <w:numId w:val="2"/>
        </w:numPr>
        <w:spacing w:line="360" w:lineRule="auto"/>
        <w:contextualSpacing/>
        <w:jc w:val="both"/>
      </w:pPr>
      <w:r w:rsidRPr="001D452A">
        <w:rPr>
          <w:rtl/>
        </w:rPr>
        <w:t xml:space="preserve">אני מורה על תשלום ההתחייבות שהוטלה על הנאשם במסגרת </w:t>
      </w:r>
      <w:hyperlink r:id="rId72" w:history="1">
        <w:r w:rsidR="00E61BBD" w:rsidRPr="00E61BBD">
          <w:rPr>
            <w:color w:val="0000FF"/>
            <w:u w:val="single"/>
            <w:rtl/>
          </w:rPr>
          <w:t>ת.פ 57357-12-14</w:t>
        </w:r>
      </w:hyperlink>
      <w:r>
        <w:rPr>
          <w:rFonts w:hint="cs"/>
          <w:rtl/>
        </w:rPr>
        <w:t xml:space="preserve"> (בית משפט שלום קריות) מיום 12.1.16</w:t>
      </w:r>
      <w:r w:rsidRPr="001D452A">
        <w:rPr>
          <w:rtl/>
        </w:rPr>
        <w:t xml:space="preserve"> על-סך </w:t>
      </w:r>
      <w:r>
        <w:rPr>
          <w:rFonts w:hint="cs"/>
          <w:rtl/>
        </w:rPr>
        <w:t>1000</w:t>
      </w:r>
      <w:r w:rsidRPr="001D452A">
        <w:rPr>
          <w:rtl/>
        </w:rPr>
        <w:t xml:space="preserve"> ₪ לטובת אוצר המדינה. הסכום ישולם </w:t>
      </w:r>
      <w:r>
        <w:rPr>
          <w:rFonts w:hint="cs"/>
          <w:rtl/>
        </w:rPr>
        <w:t>בארבעה</w:t>
      </w:r>
      <w:r w:rsidRPr="001D452A">
        <w:rPr>
          <w:rtl/>
        </w:rPr>
        <w:t xml:space="preserve"> תשלומים שווים </w:t>
      </w:r>
      <w:r>
        <w:rPr>
          <w:rFonts w:hint="cs"/>
          <w:rtl/>
        </w:rPr>
        <w:t xml:space="preserve">כאשר התשלום הראשון יהיה 60 יום לאחר מועד שחרורו מהמאסר. </w:t>
      </w:r>
    </w:p>
    <w:p w14:paraId="3C1DDCAA" w14:textId="77777777" w:rsidR="00676D64" w:rsidRPr="001D452A" w:rsidRDefault="00676D64" w:rsidP="00676D64">
      <w:pPr>
        <w:spacing w:line="360" w:lineRule="auto"/>
        <w:ind w:left="1440"/>
        <w:contextualSpacing/>
        <w:jc w:val="both"/>
      </w:pPr>
    </w:p>
    <w:p w14:paraId="60A7388D" w14:textId="77777777" w:rsidR="00676D64" w:rsidRDefault="00676D64" w:rsidP="00676D64">
      <w:pPr>
        <w:numPr>
          <w:ilvl w:val="0"/>
          <w:numId w:val="2"/>
        </w:numPr>
        <w:spacing w:line="360" w:lineRule="auto"/>
        <w:contextualSpacing/>
        <w:jc w:val="both"/>
      </w:pPr>
      <w:r w:rsidRPr="001D452A">
        <w:rPr>
          <w:rtl/>
        </w:rPr>
        <w:t xml:space="preserve">מאסר </w:t>
      </w:r>
      <w:r>
        <w:rPr>
          <w:rFonts w:hint="cs"/>
          <w:rtl/>
        </w:rPr>
        <w:t xml:space="preserve">למשך חודשיים וזאת על תנאי כאשר התנאי הוא שהנאשם לא יעבור בתוך 12 חודשים מיום שחרורו מהמאסר, עבירת רכוש או סמים מסוג פשע. </w:t>
      </w:r>
    </w:p>
    <w:p w14:paraId="0A316E6A" w14:textId="77777777" w:rsidR="00676D64" w:rsidRPr="001D452A" w:rsidRDefault="00676D64" w:rsidP="00676D64">
      <w:pPr>
        <w:spacing w:line="360" w:lineRule="auto"/>
        <w:ind w:left="1440"/>
        <w:contextualSpacing/>
        <w:jc w:val="both"/>
      </w:pPr>
    </w:p>
    <w:p w14:paraId="25658F48" w14:textId="77777777" w:rsidR="00676D64" w:rsidRPr="001D452A" w:rsidRDefault="00676D64" w:rsidP="00676D64">
      <w:pPr>
        <w:numPr>
          <w:ilvl w:val="0"/>
          <w:numId w:val="2"/>
        </w:numPr>
        <w:spacing w:before="120" w:after="120" w:line="360" w:lineRule="auto"/>
        <w:contextualSpacing/>
        <w:jc w:val="both"/>
      </w:pPr>
      <w:r w:rsidRPr="001D452A">
        <w:rPr>
          <w:rtl/>
        </w:rPr>
        <w:t>בשל מצבו הכלכלי של הנאשם והעובדה שהוריתי על תשלום ההתחייבות, אני נמנע מהטלת קנס.</w:t>
      </w:r>
      <w:r>
        <w:rPr>
          <w:rFonts w:hint="cs"/>
          <w:rtl/>
        </w:rPr>
        <w:t xml:space="preserve"> </w:t>
      </w:r>
    </w:p>
    <w:p w14:paraId="44368E87" w14:textId="77777777" w:rsidR="00676D64" w:rsidRDefault="00676D64" w:rsidP="00676D64">
      <w:pPr>
        <w:pStyle w:val="1"/>
        <w:spacing w:before="240" w:after="240" w:line="360" w:lineRule="auto"/>
        <w:ind w:left="1440"/>
        <w:jc w:val="both"/>
        <w:rPr>
          <w:rtl/>
        </w:rPr>
      </w:pPr>
      <w:r>
        <w:rPr>
          <w:rFonts w:hint="cs"/>
          <w:b/>
          <w:bCs/>
          <w:u w:val="single"/>
          <w:rtl/>
        </w:rPr>
        <w:t>זכות ערעור בתוך 45 יום.</w:t>
      </w:r>
    </w:p>
    <w:p w14:paraId="7C06B4EB" w14:textId="77777777" w:rsidR="00676D64" w:rsidRDefault="00676D64" w:rsidP="00676D64">
      <w:pPr>
        <w:spacing w:before="120" w:after="120" w:line="360" w:lineRule="auto"/>
        <w:ind w:left="1440"/>
        <w:contextualSpacing/>
        <w:jc w:val="both"/>
        <w:rPr>
          <w:b/>
          <w:bCs/>
          <w:u w:val="single"/>
          <w:rtl/>
        </w:rPr>
      </w:pPr>
    </w:p>
    <w:p w14:paraId="2857A072" w14:textId="77777777" w:rsidR="00676D64" w:rsidRDefault="00676D64" w:rsidP="00676D64">
      <w:pPr>
        <w:spacing w:before="120" w:after="120" w:line="360" w:lineRule="auto"/>
        <w:ind w:left="1440"/>
        <w:contextualSpacing/>
        <w:jc w:val="both"/>
        <w:rPr>
          <w:b/>
          <w:bCs/>
          <w:u w:val="single"/>
          <w:rtl/>
        </w:rPr>
      </w:pPr>
    </w:p>
    <w:p w14:paraId="44B2FFAB" w14:textId="77777777" w:rsidR="00676D64" w:rsidRDefault="00676D64" w:rsidP="00676D64">
      <w:pPr>
        <w:spacing w:before="120" w:after="120" w:line="360" w:lineRule="auto"/>
        <w:ind w:left="1440"/>
        <w:contextualSpacing/>
        <w:jc w:val="both"/>
        <w:rPr>
          <w:b/>
          <w:bCs/>
          <w:u w:val="single"/>
          <w:rtl/>
        </w:rPr>
      </w:pPr>
    </w:p>
    <w:p w14:paraId="22071D30" w14:textId="77777777" w:rsidR="00676D64" w:rsidRPr="00D22796" w:rsidRDefault="00676D64" w:rsidP="00676D64">
      <w:pPr>
        <w:spacing w:before="120" w:after="120" w:line="360" w:lineRule="auto"/>
        <w:contextualSpacing/>
        <w:jc w:val="both"/>
        <w:rPr>
          <w:b/>
          <w:bCs/>
          <w:u w:val="single"/>
        </w:rPr>
      </w:pPr>
      <w:r w:rsidRPr="00D22796">
        <w:rPr>
          <w:b/>
          <w:bCs/>
          <w:u w:val="single"/>
          <w:rtl/>
        </w:rPr>
        <w:t>אני מורה על השמדת המוצגים- הסמים שנתפסו</w:t>
      </w:r>
      <w:r>
        <w:rPr>
          <w:rFonts w:hint="cs"/>
          <w:b/>
          <w:bCs/>
          <w:u w:val="single"/>
          <w:rtl/>
        </w:rPr>
        <w:t xml:space="preserve"> בתום תקופת הערעור.</w:t>
      </w:r>
    </w:p>
    <w:p w14:paraId="05F77AA8" w14:textId="77777777" w:rsidR="00676D64" w:rsidRPr="00B05A4B" w:rsidRDefault="00676D64" w:rsidP="00676D64">
      <w:pPr>
        <w:rPr>
          <w:rFonts w:ascii="Arial" w:hAnsi="Arial"/>
          <w:rtl/>
        </w:rPr>
      </w:pPr>
    </w:p>
    <w:p w14:paraId="022925B3" w14:textId="77777777" w:rsidR="00676D64" w:rsidRPr="00B05847" w:rsidRDefault="00676D64" w:rsidP="00676D64">
      <w:pPr>
        <w:rPr>
          <w:rFonts w:ascii="Arial" w:hAnsi="Arial"/>
          <w:rtl/>
        </w:rPr>
      </w:pPr>
    </w:p>
    <w:p w14:paraId="7F97ED02" w14:textId="77777777" w:rsidR="00676D64" w:rsidRPr="00E61BBD" w:rsidRDefault="00E61BBD" w:rsidP="00676D64">
      <w:pPr>
        <w:rPr>
          <w:color w:val="FFFFFF"/>
          <w:sz w:val="2"/>
          <w:szCs w:val="2"/>
          <w:rtl/>
        </w:rPr>
      </w:pPr>
      <w:r w:rsidRPr="00E61BBD">
        <w:rPr>
          <w:color w:val="FFFFFF"/>
          <w:sz w:val="2"/>
          <w:szCs w:val="2"/>
          <w:rtl/>
        </w:rPr>
        <w:t>5129371</w:t>
      </w:r>
    </w:p>
    <w:p w14:paraId="026C73A6" w14:textId="77777777" w:rsidR="00676D64" w:rsidRPr="009128A2" w:rsidRDefault="00E61BBD" w:rsidP="00676D64">
      <w:pPr>
        <w:rPr>
          <w:rFonts w:cs="FrankRuehl"/>
          <w:sz w:val="28"/>
          <w:szCs w:val="28"/>
          <w:rtl/>
        </w:rPr>
      </w:pPr>
      <w:r w:rsidRPr="00E61BBD">
        <w:rPr>
          <w:rFonts w:ascii="Arial" w:hAnsi="Arial"/>
          <w:color w:val="FFFFFF"/>
          <w:sz w:val="2"/>
          <w:szCs w:val="2"/>
          <w:rtl/>
        </w:rPr>
        <w:t>54678313</w:t>
      </w:r>
      <w:r>
        <w:rPr>
          <w:rFonts w:ascii="Arial" w:hAnsi="Arial"/>
          <w:rtl/>
        </w:rPr>
        <w:t xml:space="preserve">ניתן היום,  כ"ט טבת תשע"ח, 16 ינואר 2018, במעמד הצדדים. </w:t>
      </w:r>
    </w:p>
    <w:p w14:paraId="159D4C8C" w14:textId="77777777" w:rsidR="00676D64" w:rsidRDefault="00676D64" w:rsidP="00676D6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E8E54E7" w14:textId="77777777" w:rsidR="00676D64" w:rsidRDefault="00676D64" w:rsidP="00676D64">
      <w:pPr>
        <w:jc w:val="center"/>
        <w:rPr>
          <w:rFonts w:ascii="Arial" w:hAnsi="Arial" w:cs="FrankRuehl"/>
          <w:sz w:val="28"/>
          <w:szCs w:val="28"/>
          <w:rtl/>
        </w:rPr>
      </w:pPr>
    </w:p>
    <w:p w14:paraId="455BFBAF" w14:textId="77777777" w:rsidR="00676D64" w:rsidRDefault="00676D64" w:rsidP="00676D64">
      <w:pPr>
        <w:rPr>
          <w:rFonts w:cs="FrankRuehl"/>
          <w:sz w:val="28"/>
          <w:szCs w:val="28"/>
          <w:rtl/>
        </w:rPr>
      </w:pPr>
    </w:p>
    <w:p w14:paraId="74D33346" w14:textId="77777777" w:rsidR="00676D64" w:rsidRDefault="00676D64" w:rsidP="00676D64">
      <w:pPr>
        <w:pStyle w:val="a3"/>
        <w:jc w:val="center"/>
        <w:rPr>
          <w:rtl/>
        </w:rPr>
      </w:pPr>
    </w:p>
    <w:p w14:paraId="6563084D" w14:textId="77777777" w:rsidR="002D7B2F" w:rsidRPr="00E61BBD" w:rsidRDefault="002D7B2F" w:rsidP="00E61BBD">
      <w:pPr>
        <w:keepNext/>
        <w:rPr>
          <w:rFonts w:ascii="David" w:hAnsi="David"/>
          <w:color w:val="000000"/>
          <w:sz w:val="22"/>
          <w:szCs w:val="22"/>
          <w:rtl/>
        </w:rPr>
      </w:pPr>
    </w:p>
    <w:p w14:paraId="23426630" w14:textId="77777777" w:rsidR="00E61BBD" w:rsidRPr="00E61BBD" w:rsidRDefault="00E61BBD" w:rsidP="00E61BBD">
      <w:pPr>
        <w:keepNext/>
        <w:rPr>
          <w:rFonts w:ascii="David" w:hAnsi="David"/>
          <w:color w:val="000000"/>
          <w:sz w:val="22"/>
          <w:szCs w:val="22"/>
          <w:rtl/>
        </w:rPr>
      </w:pPr>
      <w:r w:rsidRPr="00E61BBD">
        <w:rPr>
          <w:rFonts w:ascii="David" w:hAnsi="David"/>
          <w:color w:val="000000"/>
          <w:sz w:val="22"/>
          <w:szCs w:val="22"/>
          <w:rtl/>
        </w:rPr>
        <w:t>יוסי טורס 54678313</w:t>
      </w:r>
    </w:p>
    <w:p w14:paraId="45570EB6" w14:textId="77777777" w:rsidR="00E61BBD" w:rsidRDefault="00E61BBD" w:rsidP="00E61BBD">
      <w:r w:rsidRPr="00E61BBD">
        <w:rPr>
          <w:color w:val="000000"/>
          <w:rtl/>
        </w:rPr>
        <w:t>נוסח מסמך זה כפוף לשינויי ניסוח ועריכה</w:t>
      </w:r>
    </w:p>
    <w:p w14:paraId="37DC3CB3" w14:textId="77777777" w:rsidR="00E61BBD" w:rsidRDefault="00E61BBD" w:rsidP="00E61BBD">
      <w:pPr>
        <w:rPr>
          <w:rtl/>
        </w:rPr>
      </w:pPr>
    </w:p>
    <w:p w14:paraId="17117E0A" w14:textId="77777777" w:rsidR="00E61BBD" w:rsidRDefault="00E61BBD" w:rsidP="00E61BBD">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151D0566" w14:textId="77777777" w:rsidR="00E61BBD" w:rsidRPr="00E61BBD" w:rsidRDefault="00E61BBD" w:rsidP="00E61BBD">
      <w:pPr>
        <w:jc w:val="center"/>
        <w:rPr>
          <w:color w:val="0000FF"/>
          <w:u w:val="single"/>
        </w:rPr>
      </w:pPr>
    </w:p>
    <w:sectPr w:rsidR="00E61BBD" w:rsidRPr="00E61BBD" w:rsidSect="00E61BBD">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5354F" w14:textId="77777777" w:rsidR="00CD41A3" w:rsidRDefault="00CD41A3" w:rsidP="006859A9">
      <w:r>
        <w:separator/>
      </w:r>
    </w:p>
  </w:endnote>
  <w:endnote w:type="continuationSeparator" w:id="0">
    <w:p w14:paraId="41B525C0" w14:textId="77777777" w:rsidR="00CD41A3" w:rsidRDefault="00CD41A3" w:rsidP="00685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9282" w14:textId="77777777" w:rsidR="00CD41A3" w:rsidRDefault="00CD41A3" w:rsidP="00E61B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7A334F" w14:textId="77777777" w:rsidR="00CD41A3" w:rsidRPr="00E61BBD" w:rsidRDefault="00CD41A3" w:rsidP="00E61B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62E13" w14:textId="77777777" w:rsidR="00CD41A3" w:rsidRDefault="00CD41A3" w:rsidP="00E61B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1151">
      <w:rPr>
        <w:rFonts w:ascii="FrankRuehl" w:hAnsi="FrankRuehl" w:cs="FrankRuehl"/>
        <w:noProof/>
        <w:rtl/>
      </w:rPr>
      <w:t>1</w:t>
    </w:r>
    <w:r>
      <w:rPr>
        <w:rFonts w:ascii="FrankRuehl" w:hAnsi="FrankRuehl" w:cs="FrankRuehl"/>
        <w:rtl/>
      </w:rPr>
      <w:fldChar w:fldCharType="end"/>
    </w:r>
  </w:p>
  <w:p w14:paraId="38C26884" w14:textId="77777777" w:rsidR="00CD41A3" w:rsidRPr="00E61BBD" w:rsidRDefault="00CD41A3" w:rsidP="00E61B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682C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DA5ED" w14:textId="77777777" w:rsidR="00CD41A3" w:rsidRDefault="00CD41A3" w:rsidP="006859A9">
      <w:r>
        <w:separator/>
      </w:r>
    </w:p>
  </w:footnote>
  <w:footnote w:type="continuationSeparator" w:id="0">
    <w:p w14:paraId="15BFEB13" w14:textId="77777777" w:rsidR="00CD41A3" w:rsidRDefault="00CD41A3" w:rsidP="00685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C6089" w14:textId="77777777" w:rsidR="00CD41A3" w:rsidRPr="00E61BBD" w:rsidRDefault="00CD41A3" w:rsidP="00E61B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6048-01-17</w:t>
    </w:r>
    <w:r>
      <w:rPr>
        <w:rFonts w:ascii="David" w:hAnsi="David"/>
        <w:color w:val="000000"/>
        <w:sz w:val="22"/>
        <w:szCs w:val="22"/>
        <w:rtl/>
      </w:rPr>
      <w:tab/>
      <w:t xml:space="preserve"> מדינת ישראל נ' גרי יעקובוב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DD782" w14:textId="77777777" w:rsidR="00CD41A3" w:rsidRPr="00E61BBD" w:rsidRDefault="00CD41A3" w:rsidP="00E61B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6048-01-17</w:t>
    </w:r>
    <w:r>
      <w:rPr>
        <w:rFonts w:ascii="David" w:hAnsi="David"/>
        <w:color w:val="000000"/>
        <w:sz w:val="22"/>
        <w:szCs w:val="22"/>
        <w:rtl/>
      </w:rPr>
      <w:tab/>
      <w:t xml:space="preserve"> מדינת ישראל נ' גרי יעקובוב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70D1"/>
    <w:multiLevelType w:val="hybridMultilevel"/>
    <w:tmpl w:val="CE284FB0"/>
    <w:lvl w:ilvl="0" w:tplc="BB206BB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30174">
    <w:abstractNumId w:val="2"/>
  </w:num>
  <w:num w:numId="2" w16cid:durableId="449862913">
    <w:abstractNumId w:val="1"/>
  </w:num>
  <w:num w:numId="3" w16cid:durableId="117337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6D64"/>
    <w:rsid w:val="002D7B2F"/>
    <w:rsid w:val="003D194A"/>
    <w:rsid w:val="003E1151"/>
    <w:rsid w:val="00676D64"/>
    <w:rsid w:val="006859A9"/>
    <w:rsid w:val="00730D66"/>
    <w:rsid w:val="009A25DD"/>
    <w:rsid w:val="00BA16A0"/>
    <w:rsid w:val="00CD41A3"/>
    <w:rsid w:val="00D30B5C"/>
    <w:rsid w:val="00D8180A"/>
    <w:rsid w:val="00E61B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4368C0E"/>
  <w15:chartTrackingRefBased/>
  <w15:docId w15:val="{830CE9B1-4317-46BA-A93D-B1AFB657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6D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6D64"/>
    <w:pPr>
      <w:tabs>
        <w:tab w:val="center" w:pos="4153"/>
        <w:tab w:val="right" w:pos="8306"/>
      </w:tabs>
    </w:pPr>
  </w:style>
  <w:style w:type="character" w:customStyle="1" w:styleId="a4">
    <w:name w:val="כותרת עליונה תו"/>
    <w:link w:val="a3"/>
    <w:rsid w:val="00676D64"/>
    <w:rPr>
      <w:rFonts w:ascii="Times New Roman" w:eastAsia="Times New Roman" w:hAnsi="Times New Roman" w:cs="David"/>
      <w:sz w:val="24"/>
      <w:szCs w:val="24"/>
    </w:rPr>
  </w:style>
  <w:style w:type="paragraph" w:styleId="a5">
    <w:name w:val="footer"/>
    <w:basedOn w:val="a"/>
    <w:link w:val="a6"/>
    <w:rsid w:val="00676D64"/>
    <w:pPr>
      <w:tabs>
        <w:tab w:val="center" w:pos="4153"/>
        <w:tab w:val="right" w:pos="8306"/>
      </w:tabs>
    </w:pPr>
  </w:style>
  <w:style w:type="character" w:customStyle="1" w:styleId="a6">
    <w:name w:val="כותרת תחתונה תו"/>
    <w:link w:val="a5"/>
    <w:rsid w:val="00676D64"/>
    <w:rPr>
      <w:rFonts w:ascii="Times New Roman" w:eastAsia="Times New Roman" w:hAnsi="Times New Roman" w:cs="David"/>
      <w:sz w:val="24"/>
      <w:szCs w:val="24"/>
    </w:rPr>
  </w:style>
  <w:style w:type="table" w:styleId="a7">
    <w:name w:val="Table Grid"/>
    <w:basedOn w:val="a1"/>
    <w:rsid w:val="00676D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76D64"/>
  </w:style>
  <w:style w:type="paragraph" w:styleId="a9">
    <w:name w:val="List Paragraph"/>
    <w:basedOn w:val="a"/>
    <w:qFormat/>
    <w:rsid w:val="00676D64"/>
    <w:pPr>
      <w:ind w:left="720"/>
      <w:contextualSpacing/>
    </w:pPr>
    <w:rPr>
      <w:rFonts w:cs="Times New Roman"/>
    </w:rPr>
  </w:style>
  <w:style w:type="paragraph" w:customStyle="1" w:styleId="1">
    <w:name w:val="פיסקת רשימה1"/>
    <w:basedOn w:val="a"/>
    <w:rsid w:val="00676D64"/>
    <w:pPr>
      <w:ind w:left="720"/>
      <w:contextualSpacing/>
    </w:pPr>
  </w:style>
  <w:style w:type="character" w:styleId="Hyperlink">
    <w:name w:val="Hyperlink"/>
    <w:rsid w:val="00E61BBD"/>
    <w:rPr>
      <w:color w:val="0563C1"/>
      <w:u w:val="single"/>
    </w:rPr>
  </w:style>
  <w:style w:type="character" w:styleId="aa">
    <w:name w:val="Unresolved Mention"/>
    <w:rsid w:val="00E61B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case/21981717" TargetMode="External"/><Relationship Id="rId42" Type="http://schemas.openxmlformats.org/officeDocument/2006/relationships/hyperlink" Target="http://www.nevo.co.il/law/70301/40jc.b" TargetMode="External"/><Relationship Id="rId47" Type="http://schemas.openxmlformats.org/officeDocument/2006/relationships/hyperlink" Target="http://www.nevo.co.il/case/21644133" TargetMode="External"/><Relationship Id="rId63" Type="http://schemas.openxmlformats.org/officeDocument/2006/relationships/hyperlink" Target="http://www.nevo.co.il/case/21981717" TargetMode="External"/><Relationship Id="rId68" Type="http://schemas.openxmlformats.org/officeDocument/2006/relationships/hyperlink" Target="http://www.nevo.co.il/case/20402459" TargetMode="External"/><Relationship Id="rId16" Type="http://schemas.openxmlformats.org/officeDocument/2006/relationships/hyperlink" Target="http://www.nevo.co.il/law/70301/384"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1646872" TargetMode="External"/><Relationship Id="rId32" Type="http://schemas.openxmlformats.org/officeDocument/2006/relationships/hyperlink" Target="http://www.nevo.co.il/law/4216" TargetMode="External"/><Relationship Id="rId37" Type="http://schemas.openxmlformats.org/officeDocument/2006/relationships/hyperlink" Target="http://www.nevo.co.il/case/21473042" TargetMode="External"/><Relationship Id="rId40" Type="http://schemas.openxmlformats.org/officeDocument/2006/relationships/hyperlink" Target="http://www.nevo.co.il/case/20523680" TargetMode="External"/><Relationship Id="rId45" Type="http://schemas.openxmlformats.org/officeDocument/2006/relationships/hyperlink" Target="http://www.nevo.co.il/case/5988308" TargetMode="External"/><Relationship Id="rId53" Type="http://schemas.openxmlformats.org/officeDocument/2006/relationships/hyperlink" Target="http://www.nevo.co.il/case/5642705" TargetMode="External"/><Relationship Id="rId58" Type="http://schemas.openxmlformats.org/officeDocument/2006/relationships/hyperlink" Target="http://www.nevo.co.il/case/8245018" TargetMode="External"/><Relationship Id="rId66" Type="http://schemas.openxmlformats.org/officeDocument/2006/relationships/hyperlink" Target="http://www.nevo.co.il/case/23252188"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1981745" TargetMode="External"/><Relationship Id="rId19" Type="http://schemas.openxmlformats.org/officeDocument/2006/relationships/hyperlink" Target="http://www.nevo.co.il/law/70301/384"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384" TargetMode="External"/><Relationship Id="rId27" Type="http://schemas.openxmlformats.org/officeDocument/2006/relationships/hyperlink" Target="http://www.nevo.co.il/case/22331336" TargetMode="External"/><Relationship Id="rId30" Type="http://schemas.openxmlformats.org/officeDocument/2006/relationships/hyperlink" Target="http://www.nevo.co.il/case/23252188" TargetMode="External"/><Relationship Id="rId35" Type="http://schemas.openxmlformats.org/officeDocument/2006/relationships/hyperlink" Target="http://www.nevo.co.il/case/13093721"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093386" TargetMode="External"/><Relationship Id="rId56" Type="http://schemas.openxmlformats.org/officeDocument/2006/relationships/hyperlink" Target="http://www.nevo.co.il/case/11305696" TargetMode="External"/><Relationship Id="rId64" Type="http://schemas.openxmlformats.org/officeDocument/2006/relationships/hyperlink" Target="http://www.nevo.co.il/case/22331336" TargetMode="External"/><Relationship Id="rId69" Type="http://schemas.openxmlformats.org/officeDocument/2006/relationships/hyperlink" Target="http://www.nevo.co.il/case/17954217" TargetMode="External"/><Relationship Id="rId77"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7012287" TargetMode="External"/><Relationship Id="rId72" Type="http://schemas.openxmlformats.org/officeDocument/2006/relationships/hyperlink" Target="http://www.nevo.co.il/case/18764488"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84" TargetMode="External"/><Relationship Id="rId33" Type="http://schemas.openxmlformats.org/officeDocument/2006/relationships/hyperlink" Target="http://www.nevo.co.il/law/4216/7.a.;7.c"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case/18739556" TargetMode="External"/><Relationship Id="rId59" Type="http://schemas.openxmlformats.org/officeDocument/2006/relationships/hyperlink" Target="http://www.nevo.co.il/case/3760115" TargetMode="External"/><Relationship Id="rId67" Type="http://schemas.openxmlformats.org/officeDocument/2006/relationships/hyperlink" Target="http://www.nevo.co.il/case/20402459"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7958246" TargetMode="External"/><Relationship Id="rId54" Type="http://schemas.openxmlformats.org/officeDocument/2006/relationships/hyperlink" Target="http://www.nevo.co.il/case/16993522" TargetMode="External"/><Relationship Id="rId62" Type="http://schemas.openxmlformats.org/officeDocument/2006/relationships/hyperlink" Target="http://www.nevo.co.il/case/18669292" TargetMode="External"/><Relationship Id="rId70" Type="http://schemas.openxmlformats.org/officeDocument/2006/relationships/hyperlink" Target="http://www.nevo.co.il/case/5073029"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84" TargetMode="External"/><Relationship Id="rId36" Type="http://schemas.openxmlformats.org/officeDocument/2006/relationships/hyperlink" Target="http://www.nevo.co.il/case/17023776" TargetMode="External"/><Relationship Id="rId49" Type="http://schemas.openxmlformats.org/officeDocument/2006/relationships/hyperlink" Target="http://www.nevo.co.il/case/5805976" TargetMode="External"/><Relationship Id="rId57" Type="http://schemas.openxmlformats.org/officeDocument/2006/relationships/hyperlink" Target="http://www.nevo.co.il/case/6307347" TargetMode="External"/><Relationship Id="rId10" Type="http://schemas.openxmlformats.org/officeDocument/2006/relationships/hyperlink" Target="http://www.nevo.co.il/law/70301/40jc.b" TargetMode="External"/><Relationship Id="rId31" Type="http://schemas.openxmlformats.org/officeDocument/2006/relationships/hyperlink" Target="http://www.nevo.co.il/law/4216/13;19.a" TargetMode="External"/><Relationship Id="rId44" Type="http://schemas.openxmlformats.org/officeDocument/2006/relationships/hyperlink" Target="http://www.nevo.co.il/case/6241434" TargetMode="External"/><Relationship Id="rId52" Type="http://schemas.openxmlformats.org/officeDocument/2006/relationships/hyperlink" Target="http://www.nevo.co.il/case/5600751" TargetMode="External"/><Relationship Id="rId60" Type="http://schemas.openxmlformats.org/officeDocument/2006/relationships/hyperlink" Target="http://www.nevo.co.il/case/20567336" TargetMode="External"/><Relationship Id="rId65" Type="http://schemas.openxmlformats.org/officeDocument/2006/relationships/hyperlink" Target="http://www.nevo.co.il/case/21646872"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18669292" TargetMode="External"/><Relationship Id="rId39" Type="http://schemas.openxmlformats.org/officeDocument/2006/relationships/hyperlink" Target="http://www.nevo.co.il/case/13104267"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5605484" TargetMode="External"/><Relationship Id="rId55" Type="http://schemas.openxmlformats.org/officeDocument/2006/relationships/hyperlink" Target="http://www.nevo.co.il/case/17011278" TargetMode="External"/><Relationship Id="rId76" Type="http://schemas.openxmlformats.org/officeDocument/2006/relationships/footer" Target="footer1.xml"/><Relationship Id="rId7" Type="http://schemas.openxmlformats.org/officeDocument/2006/relationships/hyperlink" Target="http://www.nevo.co.il/case/23252188" TargetMode="External"/><Relationship Id="rId71" Type="http://schemas.openxmlformats.org/officeDocument/2006/relationships/hyperlink" Target="http://www.nevo.co.il/case/18764488"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20979</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3801214</vt:i4>
      </vt:variant>
      <vt:variant>
        <vt:i4>198</vt:i4>
      </vt:variant>
      <vt:variant>
        <vt:i4>0</vt:i4>
      </vt:variant>
      <vt:variant>
        <vt:i4>5</vt:i4>
      </vt:variant>
      <vt:variant>
        <vt:lpwstr>http://www.nevo.co.il/case/18764488</vt:lpwstr>
      </vt:variant>
      <vt:variant>
        <vt:lpwstr/>
      </vt:variant>
      <vt:variant>
        <vt:i4>3801214</vt:i4>
      </vt:variant>
      <vt:variant>
        <vt:i4>195</vt:i4>
      </vt:variant>
      <vt:variant>
        <vt:i4>0</vt:i4>
      </vt:variant>
      <vt:variant>
        <vt:i4>5</vt:i4>
      </vt:variant>
      <vt:variant>
        <vt:lpwstr>http://www.nevo.co.il/case/18764488</vt:lpwstr>
      </vt:variant>
      <vt:variant>
        <vt:lpwstr/>
      </vt:variant>
      <vt:variant>
        <vt:i4>3866741</vt:i4>
      </vt:variant>
      <vt:variant>
        <vt:i4>192</vt:i4>
      </vt:variant>
      <vt:variant>
        <vt:i4>0</vt:i4>
      </vt:variant>
      <vt:variant>
        <vt:i4>5</vt:i4>
      </vt:variant>
      <vt:variant>
        <vt:lpwstr>http://www.nevo.co.il/case/5073029</vt:lpwstr>
      </vt:variant>
      <vt:variant>
        <vt:lpwstr/>
      </vt:variant>
      <vt:variant>
        <vt:i4>3997812</vt:i4>
      </vt:variant>
      <vt:variant>
        <vt:i4>189</vt:i4>
      </vt:variant>
      <vt:variant>
        <vt:i4>0</vt:i4>
      </vt:variant>
      <vt:variant>
        <vt:i4>5</vt:i4>
      </vt:variant>
      <vt:variant>
        <vt:lpwstr>http://www.nevo.co.il/case/17954217</vt:lpwstr>
      </vt:variant>
      <vt:variant>
        <vt:lpwstr/>
      </vt:variant>
      <vt:variant>
        <vt:i4>3211376</vt:i4>
      </vt:variant>
      <vt:variant>
        <vt:i4>186</vt:i4>
      </vt:variant>
      <vt:variant>
        <vt:i4>0</vt:i4>
      </vt:variant>
      <vt:variant>
        <vt:i4>5</vt:i4>
      </vt:variant>
      <vt:variant>
        <vt:lpwstr>http://www.nevo.co.il/case/20402459</vt:lpwstr>
      </vt:variant>
      <vt:variant>
        <vt:lpwstr/>
      </vt:variant>
      <vt:variant>
        <vt:i4>3211376</vt:i4>
      </vt:variant>
      <vt:variant>
        <vt:i4>183</vt:i4>
      </vt:variant>
      <vt:variant>
        <vt:i4>0</vt:i4>
      </vt:variant>
      <vt:variant>
        <vt:i4>5</vt:i4>
      </vt:variant>
      <vt:variant>
        <vt:lpwstr>http://www.nevo.co.il/case/20402459</vt:lpwstr>
      </vt:variant>
      <vt:variant>
        <vt:lpwstr/>
      </vt:variant>
      <vt:variant>
        <vt:i4>3801203</vt:i4>
      </vt:variant>
      <vt:variant>
        <vt:i4>180</vt:i4>
      </vt:variant>
      <vt:variant>
        <vt:i4>0</vt:i4>
      </vt:variant>
      <vt:variant>
        <vt:i4>5</vt:i4>
      </vt:variant>
      <vt:variant>
        <vt:lpwstr>http://www.nevo.co.il/case/23252188</vt:lpwstr>
      </vt:variant>
      <vt:variant>
        <vt:lpwstr/>
      </vt:variant>
      <vt:variant>
        <vt:i4>3473529</vt:i4>
      </vt:variant>
      <vt:variant>
        <vt:i4>177</vt:i4>
      </vt:variant>
      <vt:variant>
        <vt:i4>0</vt:i4>
      </vt:variant>
      <vt:variant>
        <vt:i4>5</vt:i4>
      </vt:variant>
      <vt:variant>
        <vt:lpwstr>http://www.nevo.co.il/case/21646872</vt:lpwstr>
      </vt:variant>
      <vt:variant>
        <vt:lpwstr/>
      </vt:variant>
      <vt:variant>
        <vt:i4>3342454</vt:i4>
      </vt:variant>
      <vt:variant>
        <vt:i4>174</vt:i4>
      </vt:variant>
      <vt:variant>
        <vt:i4>0</vt:i4>
      </vt:variant>
      <vt:variant>
        <vt:i4>5</vt:i4>
      </vt:variant>
      <vt:variant>
        <vt:lpwstr>http://www.nevo.co.il/case/22331336</vt:lpwstr>
      </vt:variant>
      <vt:variant>
        <vt:lpwstr/>
      </vt:variant>
      <vt:variant>
        <vt:i4>3866746</vt:i4>
      </vt:variant>
      <vt:variant>
        <vt:i4>171</vt:i4>
      </vt:variant>
      <vt:variant>
        <vt:i4>0</vt:i4>
      </vt:variant>
      <vt:variant>
        <vt:i4>5</vt:i4>
      </vt:variant>
      <vt:variant>
        <vt:lpwstr>http://www.nevo.co.il/case/21981717</vt:lpwstr>
      </vt:variant>
      <vt:variant>
        <vt:lpwstr/>
      </vt:variant>
      <vt:variant>
        <vt:i4>3604600</vt:i4>
      </vt:variant>
      <vt:variant>
        <vt:i4>168</vt:i4>
      </vt:variant>
      <vt:variant>
        <vt:i4>0</vt:i4>
      </vt:variant>
      <vt:variant>
        <vt:i4>5</vt:i4>
      </vt:variant>
      <vt:variant>
        <vt:lpwstr>http://www.nevo.co.il/case/18669292</vt:lpwstr>
      </vt:variant>
      <vt:variant>
        <vt:lpwstr/>
      </vt:variant>
      <vt:variant>
        <vt:i4>4063354</vt:i4>
      </vt:variant>
      <vt:variant>
        <vt:i4>165</vt:i4>
      </vt:variant>
      <vt:variant>
        <vt:i4>0</vt:i4>
      </vt:variant>
      <vt:variant>
        <vt:i4>5</vt:i4>
      </vt:variant>
      <vt:variant>
        <vt:lpwstr>http://www.nevo.co.il/case/21981745</vt:lpwstr>
      </vt:variant>
      <vt:variant>
        <vt:lpwstr/>
      </vt:variant>
      <vt:variant>
        <vt:i4>3342449</vt:i4>
      </vt:variant>
      <vt:variant>
        <vt:i4>162</vt:i4>
      </vt:variant>
      <vt:variant>
        <vt:i4>0</vt:i4>
      </vt:variant>
      <vt:variant>
        <vt:i4>5</vt:i4>
      </vt:variant>
      <vt:variant>
        <vt:lpwstr>http://www.nevo.co.il/case/20567336</vt:lpwstr>
      </vt:variant>
      <vt:variant>
        <vt:lpwstr/>
      </vt:variant>
      <vt:variant>
        <vt:i4>3211378</vt:i4>
      </vt:variant>
      <vt:variant>
        <vt:i4>159</vt:i4>
      </vt:variant>
      <vt:variant>
        <vt:i4>0</vt:i4>
      </vt:variant>
      <vt:variant>
        <vt:i4>5</vt:i4>
      </vt:variant>
      <vt:variant>
        <vt:lpwstr>http://www.nevo.co.il/case/3760115</vt:lpwstr>
      </vt:variant>
      <vt:variant>
        <vt:lpwstr/>
      </vt:variant>
      <vt:variant>
        <vt:i4>3407986</vt:i4>
      </vt:variant>
      <vt:variant>
        <vt:i4>156</vt:i4>
      </vt:variant>
      <vt:variant>
        <vt:i4>0</vt:i4>
      </vt:variant>
      <vt:variant>
        <vt:i4>5</vt:i4>
      </vt:variant>
      <vt:variant>
        <vt:lpwstr>http://www.nevo.co.il/case/8245018</vt:lpwstr>
      </vt:variant>
      <vt:variant>
        <vt:lpwstr/>
      </vt:variant>
      <vt:variant>
        <vt:i4>3276916</vt:i4>
      </vt:variant>
      <vt:variant>
        <vt:i4>153</vt:i4>
      </vt:variant>
      <vt:variant>
        <vt:i4>0</vt:i4>
      </vt:variant>
      <vt:variant>
        <vt:i4>5</vt:i4>
      </vt:variant>
      <vt:variant>
        <vt:lpwstr>http://www.nevo.co.il/case/6307347</vt:lpwstr>
      </vt:variant>
      <vt:variant>
        <vt:lpwstr/>
      </vt:variant>
      <vt:variant>
        <vt:i4>4063347</vt:i4>
      </vt:variant>
      <vt:variant>
        <vt:i4>150</vt:i4>
      </vt:variant>
      <vt:variant>
        <vt:i4>0</vt:i4>
      </vt:variant>
      <vt:variant>
        <vt:i4>5</vt:i4>
      </vt:variant>
      <vt:variant>
        <vt:lpwstr>http://www.nevo.co.il/case/11305696</vt:lpwstr>
      </vt:variant>
      <vt:variant>
        <vt:lpwstr/>
      </vt:variant>
      <vt:variant>
        <vt:i4>3604592</vt:i4>
      </vt:variant>
      <vt:variant>
        <vt:i4>147</vt:i4>
      </vt:variant>
      <vt:variant>
        <vt:i4>0</vt:i4>
      </vt:variant>
      <vt:variant>
        <vt:i4>5</vt:i4>
      </vt:variant>
      <vt:variant>
        <vt:lpwstr>http://www.nevo.co.il/case/17011278</vt:lpwstr>
      </vt:variant>
      <vt:variant>
        <vt:lpwstr/>
      </vt:variant>
      <vt:variant>
        <vt:i4>3735678</vt:i4>
      </vt:variant>
      <vt:variant>
        <vt:i4>144</vt:i4>
      </vt:variant>
      <vt:variant>
        <vt:i4>0</vt:i4>
      </vt:variant>
      <vt:variant>
        <vt:i4>5</vt:i4>
      </vt:variant>
      <vt:variant>
        <vt:lpwstr>http://www.nevo.co.il/case/16993522</vt:lpwstr>
      </vt:variant>
      <vt:variant>
        <vt:lpwstr/>
      </vt:variant>
      <vt:variant>
        <vt:i4>3342448</vt:i4>
      </vt:variant>
      <vt:variant>
        <vt:i4>141</vt:i4>
      </vt:variant>
      <vt:variant>
        <vt:i4>0</vt:i4>
      </vt:variant>
      <vt:variant>
        <vt:i4>5</vt:i4>
      </vt:variant>
      <vt:variant>
        <vt:lpwstr>http://www.nevo.co.il/case/5642705</vt:lpwstr>
      </vt:variant>
      <vt:variant>
        <vt:lpwstr/>
      </vt:variant>
      <vt:variant>
        <vt:i4>3342455</vt:i4>
      </vt:variant>
      <vt:variant>
        <vt:i4>138</vt:i4>
      </vt:variant>
      <vt:variant>
        <vt:i4>0</vt:i4>
      </vt:variant>
      <vt:variant>
        <vt:i4>5</vt:i4>
      </vt:variant>
      <vt:variant>
        <vt:lpwstr>http://www.nevo.co.il/case/5600751</vt:lpwstr>
      </vt:variant>
      <vt:variant>
        <vt:lpwstr/>
      </vt:variant>
      <vt:variant>
        <vt:i4>3342462</vt:i4>
      </vt:variant>
      <vt:variant>
        <vt:i4>135</vt:i4>
      </vt:variant>
      <vt:variant>
        <vt:i4>0</vt:i4>
      </vt:variant>
      <vt:variant>
        <vt:i4>5</vt:i4>
      </vt:variant>
      <vt:variant>
        <vt:lpwstr>http://www.nevo.co.il/case/7012287</vt:lpwstr>
      </vt:variant>
      <vt:variant>
        <vt:lpwstr/>
      </vt:variant>
      <vt:variant>
        <vt:i4>3473535</vt:i4>
      </vt:variant>
      <vt:variant>
        <vt:i4>132</vt:i4>
      </vt:variant>
      <vt:variant>
        <vt:i4>0</vt:i4>
      </vt:variant>
      <vt:variant>
        <vt:i4>5</vt:i4>
      </vt:variant>
      <vt:variant>
        <vt:lpwstr>http://www.nevo.co.il/case/5605484</vt:lpwstr>
      </vt:variant>
      <vt:variant>
        <vt:lpwstr/>
      </vt:variant>
      <vt:variant>
        <vt:i4>3801214</vt:i4>
      </vt:variant>
      <vt:variant>
        <vt:i4>129</vt:i4>
      </vt:variant>
      <vt:variant>
        <vt:i4>0</vt:i4>
      </vt:variant>
      <vt:variant>
        <vt:i4>5</vt:i4>
      </vt:variant>
      <vt:variant>
        <vt:lpwstr>http://www.nevo.co.il/case/5805976</vt:lpwstr>
      </vt:variant>
      <vt:variant>
        <vt:lpwstr/>
      </vt:variant>
      <vt:variant>
        <vt:i4>3801215</vt:i4>
      </vt:variant>
      <vt:variant>
        <vt:i4>126</vt:i4>
      </vt:variant>
      <vt:variant>
        <vt:i4>0</vt:i4>
      </vt:variant>
      <vt:variant>
        <vt:i4>5</vt:i4>
      </vt:variant>
      <vt:variant>
        <vt:lpwstr>http://www.nevo.co.il/case/6093386</vt:lpwstr>
      </vt:variant>
      <vt:variant>
        <vt:lpwstr/>
      </vt:variant>
      <vt:variant>
        <vt:i4>3342448</vt:i4>
      </vt:variant>
      <vt:variant>
        <vt:i4>123</vt:i4>
      </vt:variant>
      <vt:variant>
        <vt:i4>0</vt:i4>
      </vt:variant>
      <vt:variant>
        <vt:i4>5</vt:i4>
      </vt:variant>
      <vt:variant>
        <vt:lpwstr>http://www.nevo.co.il/case/21644133</vt:lpwstr>
      </vt:variant>
      <vt:variant>
        <vt:lpwstr/>
      </vt:variant>
      <vt:variant>
        <vt:i4>3801210</vt:i4>
      </vt:variant>
      <vt:variant>
        <vt:i4>120</vt:i4>
      </vt:variant>
      <vt:variant>
        <vt:i4>0</vt:i4>
      </vt:variant>
      <vt:variant>
        <vt:i4>5</vt:i4>
      </vt:variant>
      <vt:variant>
        <vt:lpwstr>http://www.nevo.co.il/case/18739556</vt:lpwstr>
      </vt:variant>
      <vt:variant>
        <vt:lpwstr/>
      </vt:variant>
      <vt:variant>
        <vt:i4>3539061</vt:i4>
      </vt:variant>
      <vt:variant>
        <vt:i4>117</vt:i4>
      </vt:variant>
      <vt:variant>
        <vt:i4>0</vt:i4>
      </vt:variant>
      <vt:variant>
        <vt:i4>5</vt:i4>
      </vt:variant>
      <vt:variant>
        <vt:lpwstr>http://www.nevo.co.il/case/5988308</vt:lpwstr>
      </vt:variant>
      <vt:variant>
        <vt:lpwstr/>
      </vt:variant>
      <vt:variant>
        <vt:i4>3276916</vt:i4>
      </vt:variant>
      <vt:variant>
        <vt:i4>114</vt:i4>
      </vt:variant>
      <vt:variant>
        <vt:i4>0</vt:i4>
      </vt:variant>
      <vt:variant>
        <vt:i4>5</vt:i4>
      </vt:variant>
      <vt:variant>
        <vt:lpwstr>http://www.nevo.co.il/case/6241434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3539057</vt:i4>
      </vt:variant>
      <vt:variant>
        <vt:i4>105</vt:i4>
      </vt:variant>
      <vt:variant>
        <vt:i4>0</vt:i4>
      </vt:variant>
      <vt:variant>
        <vt:i4>5</vt:i4>
      </vt:variant>
      <vt:variant>
        <vt:lpwstr>http://www.nevo.co.il/case/7958246</vt:lpwstr>
      </vt:variant>
      <vt:variant>
        <vt:lpwstr/>
      </vt:variant>
      <vt:variant>
        <vt:i4>3932272</vt:i4>
      </vt:variant>
      <vt:variant>
        <vt:i4>102</vt:i4>
      </vt:variant>
      <vt:variant>
        <vt:i4>0</vt:i4>
      </vt:variant>
      <vt:variant>
        <vt:i4>5</vt:i4>
      </vt:variant>
      <vt:variant>
        <vt:lpwstr>http://www.nevo.co.il/case/20523680</vt:lpwstr>
      </vt:variant>
      <vt:variant>
        <vt:lpwstr/>
      </vt:variant>
      <vt:variant>
        <vt:i4>3276917</vt:i4>
      </vt:variant>
      <vt:variant>
        <vt:i4>99</vt:i4>
      </vt:variant>
      <vt:variant>
        <vt:i4>0</vt:i4>
      </vt:variant>
      <vt:variant>
        <vt:i4>5</vt:i4>
      </vt:variant>
      <vt:variant>
        <vt:lpwstr>http://www.nevo.co.il/case/13104267</vt:lpwstr>
      </vt:variant>
      <vt:variant>
        <vt:lpwstr/>
      </vt:variant>
      <vt:variant>
        <vt:i4>3145849</vt:i4>
      </vt:variant>
      <vt:variant>
        <vt:i4>96</vt:i4>
      </vt:variant>
      <vt:variant>
        <vt:i4>0</vt:i4>
      </vt:variant>
      <vt:variant>
        <vt:i4>5</vt:i4>
      </vt:variant>
      <vt:variant>
        <vt:lpwstr>http://www.nevo.co.il/case/13093721</vt:lpwstr>
      </vt:variant>
      <vt:variant>
        <vt:lpwstr/>
      </vt:variant>
      <vt:variant>
        <vt:i4>3211378</vt:i4>
      </vt:variant>
      <vt:variant>
        <vt:i4>93</vt:i4>
      </vt:variant>
      <vt:variant>
        <vt:i4>0</vt:i4>
      </vt:variant>
      <vt:variant>
        <vt:i4>5</vt:i4>
      </vt:variant>
      <vt:variant>
        <vt:lpwstr>http://www.nevo.co.il/case/21473042</vt:lpwstr>
      </vt:variant>
      <vt:variant>
        <vt:lpwstr/>
      </vt:variant>
      <vt:variant>
        <vt:i4>3473526</vt:i4>
      </vt:variant>
      <vt:variant>
        <vt:i4>90</vt:i4>
      </vt:variant>
      <vt:variant>
        <vt:i4>0</vt:i4>
      </vt:variant>
      <vt:variant>
        <vt:i4>5</vt:i4>
      </vt:variant>
      <vt:variant>
        <vt:lpwstr>http://www.nevo.co.il/case/17023776</vt:lpwstr>
      </vt:variant>
      <vt:variant>
        <vt:lpwstr/>
      </vt:variant>
      <vt:variant>
        <vt:i4>3145849</vt:i4>
      </vt:variant>
      <vt:variant>
        <vt:i4>87</vt:i4>
      </vt:variant>
      <vt:variant>
        <vt:i4>0</vt:i4>
      </vt:variant>
      <vt:variant>
        <vt:i4>5</vt:i4>
      </vt:variant>
      <vt:variant>
        <vt:lpwstr>http://www.nevo.co.il/case/13093721</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3997821</vt:i4>
      </vt:variant>
      <vt:variant>
        <vt:i4>81</vt:i4>
      </vt:variant>
      <vt:variant>
        <vt:i4>0</vt:i4>
      </vt:variant>
      <vt:variant>
        <vt:i4>5</vt:i4>
      </vt:variant>
      <vt:variant>
        <vt:lpwstr>http://www.nevo.co.il/law/4216/7.a.;7.c</vt:lpwstr>
      </vt:variant>
      <vt:variant>
        <vt:lpwstr/>
      </vt:variant>
      <vt:variant>
        <vt:i4>8257637</vt:i4>
      </vt:variant>
      <vt:variant>
        <vt:i4>78</vt:i4>
      </vt:variant>
      <vt:variant>
        <vt:i4>0</vt:i4>
      </vt:variant>
      <vt:variant>
        <vt:i4>5</vt:i4>
      </vt:variant>
      <vt:variant>
        <vt:lpwstr>http://www.nevo.co.il/law/4216</vt:lpwstr>
      </vt:variant>
      <vt:variant>
        <vt:lpwstr/>
      </vt:variant>
      <vt:variant>
        <vt:i4>2883686</vt:i4>
      </vt:variant>
      <vt:variant>
        <vt:i4>75</vt:i4>
      </vt:variant>
      <vt:variant>
        <vt:i4>0</vt:i4>
      </vt:variant>
      <vt:variant>
        <vt:i4>5</vt:i4>
      </vt:variant>
      <vt:variant>
        <vt:lpwstr>http://www.nevo.co.il/law/4216/13;19.a</vt:lpwstr>
      </vt:variant>
      <vt:variant>
        <vt:lpwstr/>
      </vt:variant>
      <vt:variant>
        <vt:i4>3801203</vt:i4>
      </vt:variant>
      <vt:variant>
        <vt:i4>72</vt:i4>
      </vt:variant>
      <vt:variant>
        <vt:i4>0</vt:i4>
      </vt:variant>
      <vt:variant>
        <vt:i4>5</vt:i4>
      </vt:variant>
      <vt:variant>
        <vt:lpwstr>http://www.nevo.co.il/case/23252188</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3342454</vt:i4>
      </vt:variant>
      <vt:variant>
        <vt:i4>63</vt:i4>
      </vt:variant>
      <vt:variant>
        <vt:i4>0</vt:i4>
      </vt:variant>
      <vt:variant>
        <vt:i4>5</vt:i4>
      </vt:variant>
      <vt:variant>
        <vt:lpwstr>http://www.nevo.co.il/case/22331336</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3473529</vt:i4>
      </vt:variant>
      <vt:variant>
        <vt:i4>54</vt:i4>
      </vt:variant>
      <vt:variant>
        <vt:i4>0</vt:i4>
      </vt:variant>
      <vt:variant>
        <vt:i4>5</vt:i4>
      </vt:variant>
      <vt:variant>
        <vt:lpwstr>http://www.nevo.co.il/case/21646872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3866746</vt:i4>
      </vt:variant>
      <vt:variant>
        <vt:i4>45</vt:i4>
      </vt:variant>
      <vt:variant>
        <vt:i4>0</vt:i4>
      </vt:variant>
      <vt:variant>
        <vt:i4>5</vt:i4>
      </vt:variant>
      <vt:variant>
        <vt:lpwstr>http://www.nevo.co.il/case/21981717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3604600</vt:i4>
      </vt:variant>
      <vt:variant>
        <vt:i4>36</vt:i4>
      </vt:variant>
      <vt:variant>
        <vt:i4>0</vt:i4>
      </vt:variant>
      <vt:variant>
        <vt:i4>5</vt:i4>
      </vt:variant>
      <vt:variant>
        <vt:lpwstr>http://www.nevo.co.il/case/18669292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4063354</vt:i4>
      </vt:variant>
      <vt:variant>
        <vt:i4>27</vt:i4>
      </vt:variant>
      <vt:variant>
        <vt:i4>0</vt:i4>
      </vt:variant>
      <vt:variant>
        <vt:i4>5</vt:i4>
      </vt:variant>
      <vt:variant>
        <vt:lpwstr>http://www.nevo.co.il/case/21981745</vt:lpwstr>
      </vt:variant>
      <vt:variant>
        <vt:lpwstr/>
      </vt:variant>
      <vt:variant>
        <vt:i4>6357107</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6553637</vt:i4>
      </vt:variant>
      <vt:variant>
        <vt:i4>9</vt:i4>
      </vt:variant>
      <vt:variant>
        <vt:i4>0</vt:i4>
      </vt:variant>
      <vt:variant>
        <vt:i4>5</vt:i4>
      </vt:variant>
      <vt:variant>
        <vt:lpwstr>http://www.nevo.co.il/law/70301/40jc.b</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7995492</vt:i4>
      </vt:variant>
      <vt:variant>
        <vt:i4>3</vt:i4>
      </vt:variant>
      <vt:variant>
        <vt:i4>0</vt:i4>
      </vt:variant>
      <vt:variant>
        <vt:i4>5</vt:i4>
      </vt:variant>
      <vt:variant>
        <vt:lpwstr>http://www.nevo.co.il/law/70301</vt:lpwstr>
      </vt:variant>
      <vt:variant>
        <vt:lpwstr/>
      </vt:variant>
      <vt:variant>
        <vt:i4>3801203</vt:i4>
      </vt:variant>
      <vt:variant>
        <vt:i4>0</vt:i4>
      </vt:variant>
      <vt:variant>
        <vt:i4>0</vt:i4>
      </vt:variant>
      <vt:variant>
        <vt:i4>5</vt:i4>
      </vt:variant>
      <vt:variant>
        <vt:lpwstr>http://www.nevo.co.il/case/23252188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תפ;תפ;תפ;תפ;תפ;תפ</vt:lpwstr>
  </property>
  <property fmtid="{D5CDD505-2E9C-101B-9397-08002B2CF9AE}" pid="5" name="NEWPARTA">
    <vt:lpwstr>6048;6032;53562;51521;34638;20654</vt:lpwstr>
  </property>
  <property fmtid="{D5CDD505-2E9C-101B-9397-08002B2CF9AE}" pid="6" name="NEWPARTB">
    <vt:lpwstr>01;01;08;10;03;11</vt:lpwstr>
  </property>
  <property fmtid="{D5CDD505-2E9C-101B-9397-08002B2CF9AE}" pid="7" name="NEWPARTC">
    <vt:lpwstr>17;17;16;14;17;17</vt:lpwstr>
  </property>
  <property fmtid="{D5CDD505-2E9C-101B-9397-08002B2CF9AE}" pid="8" name="APPELLANT">
    <vt:lpwstr>מדינת ישראל</vt:lpwstr>
  </property>
  <property fmtid="{D5CDD505-2E9C-101B-9397-08002B2CF9AE}" pid="9" name="APPELLEE">
    <vt:lpwstr>גרי יעקובוב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20180116</vt:lpwstr>
  </property>
  <property fmtid="{D5CDD505-2E9C-101B-9397-08002B2CF9AE}" pid="13" name="TYPE_N_DATE">
    <vt:lpwstr>38020180116</vt:lpwstr>
  </property>
  <property fmtid="{D5CDD505-2E9C-101B-9397-08002B2CF9AE}" pid="14" name="CASESLISTTMP1">
    <vt:lpwstr>23252188:3;21981745:2;18669292:2;21981717:2;21646872:2;22331336:2;13093721:2;17023776;21473042;13104267;20523680;7958246;6241434;5988308;18739556;21644133;6093386;5805976;5605484;7012287;5600751;5642705;16993522;17011278;11305696;6307347;8245018;3760115</vt:lpwstr>
  </property>
  <property fmtid="{D5CDD505-2E9C-101B-9397-08002B2CF9AE}" pid="15" name="CASESLISTTMP2">
    <vt:lpwstr>20567336;20402459:2;17954217;5073029;18764488:2</vt:lpwstr>
  </property>
  <property fmtid="{D5CDD505-2E9C-101B-9397-08002B2CF9AE}" pid="16" name="CASENOTES1">
    <vt:lpwstr>ProcID=179&amp;PartA=1&amp;PartC=17</vt:lpwstr>
  </property>
  <property fmtid="{D5CDD505-2E9C-101B-9397-08002B2CF9AE}" pid="17" name="WORDNUMPAGES">
    <vt:lpwstr>11</vt:lpwstr>
  </property>
  <property fmtid="{D5CDD505-2E9C-101B-9397-08002B2CF9AE}" pid="18" name="TYPE_ABS_DATE">
    <vt:lpwstr>380020180116</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70301/384:5;40jc.b</vt:lpwstr>
  </property>
  <property fmtid="{D5CDD505-2E9C-101B-9397-08002B2CF9AE}" pid="39" name="LAWLISTTMP2">
    <vt:lpwstr>4216/013;019.a;007.a;007.c</vt:lpwstr>
  </property>
</Properties>
</file>