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4727D" w:rsidRPr="00F0392C" w14:paraId="5A2B2A6C" w14:textId="77777777" w:rsidTr="00872AD8">
        <w:trPr>
          <w:trHeight w:hRule="exact" w:val="418"/>
          <w:jc w:val="center"/>
        </w:trPr>
        <w:tc>
          <w:tcPr>
            <w:tcW w:w="8721" w:type="dxa"/>
            <w:gridSpan w:val="2"/>
          </w:tcPr>
          <w:p w14:paraId="1D1F707D" w14:textId="77777777" w:rsidR="0054727D" w:rsidRPr="00F0392C" w:rsidRDefault="0054727D" w:rsidP="00AF33FD">
            <w:pPr>
              <w:pStyle w:val="a3"/>
              <w:jc w:val="center"/>
              <w:rPr>
                <w:rFonts w:ascii="Tahoma" w:hAnsi="Tahoma" w:cs="Tahoma"/>
                <w:color w:val="000080"/>
                <w:rtl/>
              </w:rPr>
            </w:pPr>
            <w:bookmarkStart w:id="0" w:name="FirstLawyer"/>
            <w:bookmarkStart w:id="1" w:name="LastJudge"/>
            <w:r w:rsidRPr="00F0392C">
              <w:rPr>
                <w:rFonts w:ascii="Tahoma" w:hAnsi="Tahoma" w:cs="Tahoma"/>
                <w:b/>
                <w:bCs/>
                <w:color w:val="000080"/>
                <w:rtl/>
              </w:rPr>
              <w:t>בית משפט השלום בירושלים</w:t>
            </w:r>
          </w:p>
        </w:tc>
      </w:tr>
      <w:tr w:rsidR="0054727D" w:rsidRPr="00F0392C" w14:paraId="299769D9" w14:textId="77777777" w:rsidTr="00872AD8">
        <w:trPr>
          <w:trHeight w:val="337"/>
          <w:jc w:val="center"/>
        </w:trPr>
        <w:tc>
          <w:tcPr>
            <w:tcW w:w="5054" w:type="dxa"/>
          </w:tcPr>
          <w:p w14:paraId="45076838" w14:textId="77777777" w:rsidR="0054727D" w:rsidRPr="00F0392C" w:rsidRDefault="0054727D" w:rsidP="00AF33FD">
            <w:pPr>
              <w:rPr>
                <w:rFonts w:cs="FrankRuehl"/>
                <w:sz w:val="28"/>
                <w:szCs w:val="28"/>
                <w:rtl/>
              </w:rPr>
            </w:pPr>
            <w:r w:rsidRPr="00F0392C">
              <w:rPr>
                <w:rFonts w:cs="FrankRuehl"/>
                <w:sz w:val="28"/>
                <w:szCs w:val="28"/>
                <w:rtl/>
              </w:rPr>
              <w:t>ת"פ</w:t>
            </w:r>
            <w:r w:rsidRPr="00F0392C">
              <w:rPr>
                <w:rFonts w:cs="FrankRuehl" w:hint="cs"/>
                <w:sz w:val="28"/>
                <w:szCs w:val="28"/>
                <w:rtl/>
              </w:rPr>
              <w:t xml:space="preserve"> </w:t>
            </w:r>
            <w:r w:rsidRPr="00F0392C">
              <w:rPr>
                <w:rFonts w:cs="FrankRuehl"/>
                <w:sz w:val="28"/>
                <w:szCs w:val="28"/>
                <w:rtl/>
              </w:rPr>
              <w:t>71706-01-17</w:t>
            </w:r>
            <w:r w:rsidRPr="00F0392C">
              <w:rPr>
                <w:rFonts w:cs="FrankRuehl" w:hint="cs"/>
                <w:sz w:val="28"/>
                <w:szCs w:val="28"/>
                <w:rtl/>
              </w:rPr>
              <w:t xml:space="preserve"> </w:t>
            </w:r>
            <w:r w:rsidRPr="00F0392C">
              <w:rPr>
                <w:rFonts w:cs="FrankRuehl"/>
                <w:sz w:val="28"/>
                <w:szCs w:val="28"/>
                <w:rtl/>
              </w:rPr>
              <w:t>מדינת ישראל נ' מירזייב</w:t>
            </w:r>
          </w:p>
          <w:p w14:paraId="48361744" w14:textId="77777777" w:rsidR="0054727D" w:rsidRPr="00F0392C" w:rsidRDefault="0054727D" w:rsidP="00AF33FD">
            <w:pPr>
              <w:pStyle w:val="a3"/>
              <w:rPr>
                <w:rFonts w:cs="FrankRuehl"/>
                <w:sz w:val="28"/>
                <w:szCs w:val="28"/>
                <w:rtl/>
              </w:rPr>
            </w:pPr>
          </w:p>
        </w:tc>
        <w:tc>
          <w:tcPr>
            <w:tcW w:w="3667" w:type="dxa"/>
          </w:tcPr>
          <w:p w14:paraId="5E276D42" w14:textId="77777777" w:rsidR="0054727D" w:rsidRPr="00F0392C" w:rsidRDefault="0054727D" w:rsidP="00AF33FD">
            <w:pPr>
              <w:pStyle w:val="a3"/>
              <w:jc w:val="right"/>
              <w:rPr>
                <w:rFonts w:cs="FrankRuehl"/>
                <w:sz w:val="28"/>
                <w:szCs w:val="28"/>
                <w:rtl/>
              </w:rPr>
            </w:pPr>
          </w:p>
        </w:tc>
      </w:tr>
    </w:tbl>
    <w:p w14:paraId="30C480C0" w14:textId="77777777" w:rsidR="0054727D" w:rsidRPr="00F0392C" w:rsidRDefault="0054727D" w:rsidP="0054727D">
      <w:pPr>
        <w:pStyle w:val="a3"/>
        <w:rPr>
          <w:rtl/>
        </w:rPr>
      </w:pPr>
      <w:r w:rsidRPr="00F0392C">
        <w:rPr>
          <w:rFonts w:hint="cs"/>
          <w:rtl/>
        </w:rPr>
        <w:t xml:space="preserve"> </w:t>
      </w:r>
    </w:p>
    <w:p w14:paraId="7D8C1432" w14:textId="77777777" w:rsidR="0054727D" w:rsidRPr="00F0392C" w:rsidRDefault="0054727D" w:rsidP="0054727D">
      <w:pPr>
        <w:rPr>
          <w:rtl/>
        </w:rPr>
      </w:pPr>
    </w:p>
    <w:p w14:paraId="01EFC930" w14:textId="77777777" w:rsidR="0054727D" w:rsidRPr="00F0392C" w:rsidRDefault="0054727D" w:rsidP="0054727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4727D" w:rsidRPr="00F0392C" w14:paraId="3D0061B0" w14:textId="77777777" w:rsidTr="0054727D">
        <w:trPr>
          <w:trHeight w:val="295"/>
          <w:jc w:val="center"/>
        </w:trPr>
        <w:tc>
          <w:tcPr>
            <w:tcW w:w="923" w:type="dxa"/>
            <w:tcBorders>
              <w:top w:val="nil"/>
              <w:left w:val="nil"/>
              <w:bottom w:val="nil"/>
              <w:right w:val="nil"/>
            </w:tcBorders>
            <w:shd w:val="clear" w:color="auto" w:fill="auto"/>
          </w:tcPr>
          <w:p w14:paraId="6705F633" w14:textId="77777777" w:rsidR="0054727D" w:rsidRPr="00F0392C" w:rsidRDefault="0054727D" w:rsidP="0054727D">
            <w:pPr>
              <w:jc w:val="both"/>
              <w:rPr>
                <w:rFonts w:ascii="Arial" w:hAnsi="Arial" w:cs="FrankRuehl"/>
                <w:sz w:val="28"/>
                <w:szCs w:val="28"/>
              </w:rPr>
            </w:pPr>
            <w:r w:rsidRPr="00F0392C">
              <w:rPr>
                <w:rFonts w:ascii="Arial" w:hAnsi="Arial" w:cs="FrankRuehl" w:hint="cs"/>
                <w:sz w:val="28"/>
                <w:szCs w:val="28"/>
                <w:rtl/>
              </w:rPr>
              <w:t>ב</w:t>
            </w:r>
            <w:r w:rsidRPr="00F0392C">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AC2F278" w14:textId="77777777" w:rsidR="0054727D" w:rsidRPr="00F0392C" w:rsidRDefault="0054727D" w:rsidP="00AF33FD">
            <w:pPr>
              <w:rPr>
                <w:rFonts w:ascii="Arial" w:hAnsi="Arial"/>
                <w:b/>
                <w:bCs/>
                <w:rtl/>
              </w:rPr>
            </w:pPr>
            <w:r w:rsidRPr="00F0392C">
              <w:rPr>
                <w:rFonts w:ascii="Arial" w:hAnsi="Arial" w:hint="cs"/>
                <w:b/>
                <w:bCs/>
                <w:rtl/>
              </w:rPr>
              <w:t>כבוד ה</w:t>
            </w:r>
            <w:r w:rsidRPr="00F0392C">
              <w:rPr>
                <w:rFonts w:ascii="Arial" w:hAnsi="Arial"/>
                <w:b/>
                <w:bCs/>
                <w:rtl/>
              </w:rPr>
              <w:t>שופטת בכירה</w:t>
            </w:r>
            <w:r w:rsidRPr="00F0392C">
              <w:rPr>
                <w:rFonts w:ascii="Arial" w:hAnsi="Arial" w:hint="cs"/>
                <w:b/>
                <w:bCs/>
                <w:rtl/>
              </w:rPr>
              <w:t xml:space="preserve">  </w:t>
            </w:r>
            <w:r w:rsidRPr="00F0392C">
              <w:rPr>
                <w:rFonts w:ascii="Arial" w:hAnsi="Arial"/>
                <w:b/>
                <w:bCs/>
                <w:rtl/>
              </w:rPr>
              <w:t>שרון לארי-בבלי</w:t>
            </w:r>
          </w:p>
          <w:p w14:paraId="53DCE4AC" w14:textId="77777777" w:rsidR="0054727D" w:rsidRPr="00F0392C" w:rsidRDefault="0054727D" w:rsidP="00AF33FD">
            <w:pPr>
              <w:rPr>
                <w:rtl/>
              </w:rPr>
            </w:pPr>
          </w:p>
          <w:p w14:paraId="5C3D76B8" w14:textId="77777777" w:rsidR="0054727D" w:rsidRPr="00F0392C" w:rsidRDefault="0054727D" w:rsidP="0054727D">
            <w:pPr>
              <w:jc w:val="both"/>
              <w:rPr>
                <w:rFonts w:ascii="Arial" w:hAnsi="Arial" w:cs="FrankRuehl"/>
                <w:sz w:val="28"/>
                <w:szCs w:val="28"/>
              </w:rPr>
            </w:pPr>
          </w:p>
        </w:tc>
      </w:tr>
      <w:tr w:rsidR="0054727D" w:rsidRPr="00F0392C" w14:paraId="13DFF6DB" w14:textId="77777777" w:rsidTr="0054727D">
        <w:trPr>
          <w:trHeight w:val="355"/>
          <w:jc w:val="center"/>
        </w:trPr>
        <w:tc>
          <w:tcPr>
            <w:tcW w:w="923" w:type="dxa"/>
            <w:tcBorders>
              <w:top w:val="nil"/>
              <w:left w:val="nil"/>
              <w:bottom w:val="nil"/>
              <w:right w:val="nil"/>
            </w:tcBorders>
            <w:shd w:val="clear" w:color="auto" w:fill="auto"/>
          </w:tcPr>
          <w:p w14:paraId="52B0658B" w14:textId="77777777" w:rsidR="0054727D" w:rsidRPr="00F0392C" w:rsidRDefault="0054727D" w:rsidP="0054727D">
            <w:pPr>
              <w:jc w:val="both"/>
              <w:rPr>
                <w:rFonts w:ascii="Arial" w:hAnsi="Arial" w:cs="FrankRuehl"/>
                <w:sz w:val="28"/>
                <w:szCs w:val="28"/>
              </w:rPr>
            </w:pPr>
            <w:bookmarkStart w:id="2" w:name="FirstAppellant"/>
            <w:r w:rsidRPr="00F0392C">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4345FB5" w14:textId="77777777" w:rsidR="0054727D" w:rsidRPr="00F0392C" w:rsidRDefault="0054727D" w:rsidP="00AF33FD">
            <w:r w:rsidRPr="00F0392C">
              <w:rPr>
                <w:rFonts w:ascii="Arial" w:hAnsi="Arial" w:cs="FrankRuehl"/>
                <w:sz w:val="28"/>
                <w:szCs w:val="28"/>
                <w:rtl/>
              </w:rPr>
              <w:t>מדינת ישראל</w:t>
            </w:r>
            <w:r w:rsidRPr="00F0392C">
              <w:rPr>
                <w:rFonts w:ascii="Arial" w:hAnsi="Arial" w:cs="FrankRuehl"/>
                <w:sz w:val="28"/>
                <w:szCs w:val="28"/>
                <w:rtl/>
              </w:rPr>
              <w:br/>
            </w:r>
            <w:r w:rsidRPr="00F0392C">
              <w:rPr>
                <w:rFonts w:hint="cs"/>
                <w:rtl/>
              </w:rPr>
              <w:t>באמצעות תביעות ירושלים</w:t>
            </w:r>
          </w:p>
        </w:tc>
        <w:tc>
          <w:tcPr>
            <w:tcW w:w="3771" w:type="dxa"/>
            <w:tcBorders>
              <w:top w:val="nil"/>
              <w:left w:val="nil"/>
              <w:bottom w:val="nil"/>
              <w:right w:val="nil"/>
            </w:tcBorders>
            <w:shd w:val="clear" w:color="auto" w:fill="auto"/>
          </w:tcPr>
          <w:p w14:paraId="78489744" w14:textId="77777777" w:rsidR="0054727D" w:rsidRPr="00F0392C" w:rsidRDefault="0054727D" w:rsidP="0054727D">
            <w:pPr>
              <w:jc w:val="both"/>
              <w:rPr>
                <w:rFonts w:ascii="Arial" w:hAnsi="Arial" w:cs="FrankRuehl"/>
                <w:sz w:val="28"/>
                <w:szCs w:val="28"/>
              </w:rPr>
            </w:pPr>
          </w:p>
        </w:tc>
      </w:tr>
      <w:bookmarkEnd w:id="2"/>
      <w:tr w:rsidR="0054727D" w:rsidRPr="00F0392C" w14:paraId="701498D2" w14:textId="77777777" w:rsidTr="0054727D">
        <w:trPr>
          <w:trHeight w:val="355"/>
          <w:jc w:val="center"/>
        </w:trPr>
        <w:tc>
          <w:tcPr>
            <w:tcW w:w="923" w:type="dxa"/>
            <w:tcBorders>
              <w:top w:val="nil"/>
              <w:left w:val="nil"/>
              <w:bottom w:val="nil"/>
              <w:right w:val="nil"/>
            </w:tcBorders>
            <w:shd w:val="clear" w:color="auto" w:fill="auto"/>
          </w:tcPr>
          <w:p w14:paraId="120DD972" w14:textId="77777777" w:rsidR="0054727D" w:rsidRPr="00F0392C" w:rsidRDefault="0054727D" w:rsidP="0054727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85BB27F" w14:textId="77777777" w:rsidR="0054727D" w:rsidRPr="00F0392C" w:rsidRDefault="0054727D" w:rsidP="0054727D">
            <w:pPr>
              <w:jc w:val="both"/>
              <w:rPr>
                <w:rtl/>
              </w:rPr>
            </w:pPr>
          </w:p>
        </w:tc>
        <w:tc>
          <w:tcPr>
            <w:tcW w:w="3771" w:type="dxa"/>
            <w:tcBorders>
              <w:top w:val="nil"/>
              <w:left w:val="nil"/>
              <w:bottom w:val="nil"/>
              <w:right w:val="nil"/>
            </w:tcBorders>
            <w:shd w:val="clear" w:color="auto" w:fill="auto"/>
          </w:tcPr>
          <w:p w14:paraId="30DB81F0" w14:textId="77777777" w:rsidR="0054727D" w:rsidRPr="00F0392C" w:rsidRDefault="0054727D" w:rsidP="0054727D">
            <w:pPr>
              <w:jc w:val="right"/>
              <w:rPr>
                <w:rFonts w:ascii="Arial" w:hAnsi="Arial" w:cs="FrankRuehl"/>
                <w:sz w:val="28"/>
                <w:szCs w:val="28"/>
                <w:rtl/>
              </w:rPr>
            </w:pPr>
            <w:r w:rsidRPr="00F0392C">
              <w:rPr>
                <w:rFonts w:ascii="Arial" w:hAnsi="Arial" w:cs="FrankRuehl" w:hint="cs"/>
                <w:sz w:val="28"/>
                <w:szCs w:val="28"/>
                <w:rtl/>
              </w:rPr>
              <w:t>ה</w:t>
            </w:r>
            <w:r w:rsidRPr="00F0392C">
              <w:rPr>
                <w:rFonts w:ascii="Arial" w:hAnsi="Arial" w:cs="FrankRuehl"/>
                <w:sz w:val="28"/>
                <w:szCs w:val="28"/>
                <w:rtl/>
              </w:rPr>
              <w:t>מאשימה</w:t>
            </w:r>
          </w:p>
        </w:tc>
      </w:tr>
      <w:tr w:rsidR="0054727D" w:rsidRPr="00F0392C" w14:paraId="5A508F2A" w14:textId="77777777" w:rsidTr="0054727D">
        <w:trPr>
          <w:trHeight w:val="355"/>
          <w:jc w:val="center"/>
        </w:trPr>
        <w:tc>
          <w:tcPr>
            <w:tcW w:w="923" w:type="dxa"/>
            <w:tcBorders>
              <w:top w:val="nil"/>
              <w:left w:val="nil"/>
              <w:bottom w:val="nil"/>
              <w:right w:val="nil"/>
            </w:tcBorders>
            <w:shd w:val="clear" w:color="auto" w:fill="auto"/>
          </w:tcPr>
          <w:p w14:paraId="613798D0" w14:textId="77777777" w:rsidR="0054727D" w:rsidRPr="00F0392C" w:rsidRDefault="0054727D" w:rsidP="0054727D">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CEE4C63" w14:textId="77777777" w:rsidR="0054727D" w:rsidRPr="00F0392C" w:rsidRDefault="0054727D" w:rsidP="0054727D">
            <w:pPr>
              <w:jc w:val="center"/>
              <w:rPr>
                <w:rFonts w:ascii="Arial" w:hAnsi="Arial" w:cs="FrankRuehl"/>
                <w:b/>
                <w:bCs/>
                <w:sz w:val="28"/>
                <w:szCs w:val="28"/>
                <w:rtl/>
              </w:rPr>
            </w:pPr>
          </w:p>
          <w:p w14:paraId="4CF55039" w14:textId="77777777" w:rsidR="0054727D" w:rsidRPr="00F0392C" w:rsidRDefault="0054727D" w:rsidP="0054727D">
            <w:pPr>
              <w:jc w:val="center"/>
              <w:rPr>
                <w:rFonts w:ascii="Arial" w:hAnsi="Arial" w:cs="FrankRuehl"/>
                <w:b/>
                <w:bCs/>
                <w:sz w:val="28"/>
                <w:szCs w:val="28"/>
                <w:rtl/>
              </w:rPr>
            </w:pPr>
            <w:r w:rsidRPr="00F0392C">
              <w:rPr>
                <w:rFonts w:ascii="Arial" w:hAnsi="Arial" w:cs="FrankRuehl"/>
                <w:b/>
                <w:bCs/>
                <w:sz w:val="28"/>
                <w:szCs w:val="28"/>
                <w:rtl/>
              </w:rPr>
              <w:t>נגד</w:t>
            </w:r>
          </w:p>
          <w:p w14:paraId="7A1387E0" w14:textId="77777777" w:rsidR="0054727D" w:rsidRPr="00F0392C" w:rsidRDefault="0054727D" w:rsidP="0054727D">
            <w:pPr>
              <w:jc w:val="both"/>
              <w:rPr>
                <w:rFonts w:ascii="Arial" w:hAnsi="Arial" w:cs="FrankRuehl"/>
                <w:sz w:val="28"/>
                <w:szCs w:val="28"/>
              </w:rPr>
            </w:pPr>
          </w:p>
        </w:tc>
      </w:tr>
      <w:tr w:rsidR="0054727D" w:rsidRPr="00F0392C" w14:paraId="652D1879" w14:textId="77777777" w:rsidTr="0054727D">
        <w:trPr>
          <w:trHeight w:val="355"/>
          <w:jc w:val="center"/>
        </w:trPr>
        <w:tc>
          <w:tcPr>
            <w:tcW w:w="923" w:type="dxa"/>
            <w:tcBorders>
              <w:top w:val="nil"/>
              <w:left w:val="nil"/>
              <w:bottom w:val="nil"/>
              <w:right w:val="nil"/>
            </w:tcBorders>
            <w:shd w:val="clear" w:color="auto" w:fill="auto"/>
          </w:tcPr>
          <w:p w14:paraId="5F912296" w14:textId="77777777" w:rsidR="0054727D" w:rsidRPr="00F0392C" w:rsidRDefault="0054727D" w:rsidP="00AF33FD">
            <w:pPr>
              <w:rPr>
                <w:rFonts w:ascii="Arial" w:hAnsi="Arial" w:cs="FrankRuehl"/>
                <w:sz w:val="28"/>
                <w:szCs w:val="28"/>
                <w:rtl/>
              </w:rPr>
            </w:pPr>
          </w:p>
        </w:tc>
        <w:tc>
          <w:tcPr>
            <w:tcW w:w="4126" w:type="dxa"/>
            <w:tcBorders>
              <w:top w:val="nil"/>
              <w:left w:val="nil"/>
              <w:bottom w:val="nil"/>
              <w:right w:val="nil"/>
            </w:tcBorders>
            <w:shd w:val="clear" w:color="auto" w:fill="auto"/>
          </w:tcPr>
          <w:p w14:paraId="5DE8B6A6" w14:textId="77777777" w:rsidR="0054727D" w:rsidRPr="00F0392C" w:rsidRDefault="0054727D" w:rsidP="00AF33FD">
            <w:pPr>
              <w:rPr>
                <w:rtl/>
              </w:rPr>
            </w:pPr>
            <w:r w:rsidRPr="00F0392C">
              <w:rPr>
                <w:rFonts w:ascii="Arial" w:hAnsi="Arial" w:cs="FrankRuehl"/>
                <w:sz w:val="28"/>
                <w:szCs w:val="28"/>
                <w:rtl/>
              </w:rPr>
              <w:t>שלמה שלומי מירזייב</w:t>
            </w:r>
            <w:r w:rsidRPr="00F0392C">
              <w:rPr>
                <w:rFonts w:ascii="Arial" w:hAnsi="Arial" w:cs="FrankRuehl"/>
                <w:sz w:val="28"/>
                <w:szCs w:val="28"/>
                <w:rtl/>
              </w:rPr>
              <w:br/>
            </w:r>
            <w:r w:rsidRPr="00F0392C">
              <w:rPr>
                <w:rFonts w:hint="cs"/>
                <w:rtl/>
              </w:rPr>
              <w:t>באמצעות ב"כ עו"ד חגית רוזנברג</w:t>
            </w:r>
          </w:p>
        </w:tc>
        <w:tc>
          <w:tcPr>
            <w:tcW w:w="3771" w:type="dxa"/>
            <w:tcBorders>
              <w:top w:val="nil"/>
              <w:left w:val="nil"/>
              <w:bottom w:val="nil"/>
              <w:right w:val="nil"/>
            </w:tcBorders>
            <w:shd w:val="clear" w:color="auto" w:fill="auto"/>
          </w:tcPr>
          <w:p w14:paraId="43B3D632" w14:textId="77777777" w:rsidR="0054727D" w:rsidRPr="00F0392C" w:rsidRDefault="0054727D" w:rsidP="0054727D">
            <w:pPr>
              <w:jc w:val="right"/>
              <w:rPr>
                <w:rFonts w:ascii="Arial" w:hAnsi="Arial" w:cs="FrankRuehl"/>
                <w:sz w:val="28"/>
                <w:szCs w:val="28"/>
              </w:rPr>
            </w:pPr>
          </w:p>
        </w:tc>
      </w:tr>
      <w:tr w:rsidR="0054727D" w:rsidRPr="00F0392C" w14:paraId="11596FB2" w14:textId="77777777" w:rsidTr="0054727D">
        <w:trPr>
          <w:trHeight w:val="355"/>
          <w:jc w:val="center"/>
        </w:trPr>
        <w:tc>
          <w:tcPr>
            <w:tcW w:w="923" w:type="dxa"/>
            <w:tcBorders>
              <w:top w:val="nil"/>
              <w:left w:val="nil"/>
              <w:bottom w:val="nil"/>
              <w:right w:val="nil"/>
            </w:tcBorders>
            <w:shd w:val="clear" w:color="auto" w:fill="auto"/>
          </w:tcPr>
          <w:p w14:paraId="0E10D1C5" w14:textId="77777777" w:rsidR="0054727D" w:rsidRPr="00F0392C" w:rsidRDefault="0054727D" w:rsidP="0054727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64C370D" w14:textId="77777777" w:rsidR="0054727D" w:rsidRPr="00F0392C" w:rsidRDefault="0054727D" w:rsidP="0054727D">
            <w:pPr>
              <w:jc w:val="both"/>
              <w:rPr>
                <w:rtl/>
              </w:rPr>
            </w:pPr>
          </w:p>
        </w:tc>
        <w:tc>
          <w:tcPr>
            <w:tcW w:w="3771" w:type="dxa"/>
            <w:tcBorders>
              <w:top w:val="nil"/>
              <w:left w:val="nil"/>
              <w:bottom w:val="nil"/>
              <w:right w:val="nil"/>
            </w:tcBorders>
            <w:shd w:val="clear" w:color="auto" w:fill="auto"/>
          </w:tcPr>
          <w:p w14:paraId="24E8C850" w14:textId="77777777" w:rsidR="0054727D" w:rsidRPr="00F0392C" w:rsidRDefault="0054727D" w:rsidP="0054727D">
            <w:pPr>
              <w:jc w:val="right"/>
              <w:rPr>
                <w:rFonts w:ascii="Arial" w:hAnsi="Arial" w:cs="FrankRuehl"/>
                <w:sz w:val="28"/>
                <w:szCs w:val="28"/>
              </w:rPr>
            </w:pPr>
            <w:r w:rsidRPr="00F0392C">
              <w:rPr>
                <w:rFonts w:ascii="Arial" w:hAnsi="Arial" w:cs="FrankRuehl" w:hint="cs"/>
                <w:sz w:val="28"/>
                <w:szCs w:val="28"/>
                <w:rtl/>
              </w:rPr>
              <w:t>ה</w:t>
            </w:r>
            <w:r w:rsidRPr="00F0392C">
              <w:rPr>
                <w:rFonts w:ascii="Arial" w:hAnsi="Arial" w:cs="FrankRuehl"/>
                <w:sz w:val="28"/>
                <w:szCs w:val="28"/>
                <w:rtl/>
              </w:rPr>
              <w:t>נאשם</w:t>
            </w:r>
          </w:p>
        </w:tc>
      </w:tr>
    </w:tbl>
    <w:p w14:paraId="2F1EAFD8" w14:textId="77777777" w:rsidR="00872AD8" w:rsidRDefault="00872AD8" w:rsidP="00F0392C">
      <w:pPr>
        <w:rPr>
          <w:rtl/>
        </w:rPr>
      </w:pPr>
    </w:p>
    <w:p w14:paraId="474CC371" w14:textId="77777777" w:rsidR="00872AD8" w:rsidRPr="00872AD8" w:rsidRDefault="00872AD8" w:rsidP="00872AD8">
      <w:pPr>
        <w:spacing w:after="120" w:line="240" w:lineRule="exact"/>
        <w:ind w:left="283" w:hanging="283"/>
        <w:jc w:val="both"/>
        <w:rPr>
          <w:rFonts w:ascii="FrankRuehl" w:hAnsi="FrankRuehl" w:cs="FrankRuehl"/>
          <w:rtl/>
        </w:rPr>
      </w:pPr>
    </w:p>
    <w:p w14:paraId="66F294F3" w14:textId="77777777" w:rsidR="00CD59DD" w:rsidRDefault="00CD59DD" w:rsidP="00CD59DD">
      <w:pPr>
        <w:rPr>
          <w:rtl/>
        </w:rPr>
      </w:pPr>
      <w:bookmarkStart w:id="3" w:name="LawTable"/>
      <w:bookmarkEnd w:id="3"/>
    </w:p>
    <w:p w14:paraId="03491263" w14:textId="77777777" w:rsidR="00CD59DD" w:rsidRPr="00CD59DD" w:rsidRDefault="00CD59DD" w:rsidP="00CD59DD">
      <w:pPr>
        <w:spacing w:before="120" w:after="120" w:line="240" w:lineRule="exact"/>
        <w:ind w:left="283" w:hanging="283"/>
        <w:jc w:val="both"/>
        <w:rPr>
          <w:rFonts w:ascii="FrankRuehl" w:hAnsi="FrankRuehl" w:cs="FrankRuehl"/>
          <w:rtl/>
        </w:rPr>
      </w:pPr>
    </w:p>
    <w:p w14:paraId="255306DB" w14:textId="77777777" w:rsidR="00CD59DD" w:rsidRPr="00CD59DD" w:rsidRDefault="00CD59DD" w:rsidP="00CD59DD">
      <w:pPr>
        <w:spacing w:before="120" w:after="120" w:line="240" w:lineRule="exact"/>
        <w:ind w:left="283" w:hanging="283"/>
        <w:jc w:val="both"/>
        <w:rPr>
          <w:rFonts w:ascii="FrankRuehl" w:hAnsi="FrankRuehl" w:cs="FrankRuehl"/>
          <w:rtl/>
        </w:rPr>
      </w:pPr>
    </w:p>
    <w:p w14:paraId="7D3ABD73" w14:textId="77777777" w:rsidR="00CD59DD" w:rsidRPr="00CD59DD" w:rsidRDefault="00CD59DD" w:rsidP="00CD59DD">
      <w:pPr>
        <w:spacing w:before="120" w:after="120" w:line="240" w:lineRule="exact"/>
        <w:ind w:left="283" w:hanging="283"/>
        <w:jc w:val="both"/>
        <w:rPr>
          <w:rFonts w:ascii="FrankRuehl" w:hAnsi="FrankRuehl" w:cs="FrankRuehl"/>
          <w:rtl/>
        </w:rPr>
      </w:pPr>
      <w:r w:rsidRPr="00CD59DD">
        <w:rPr>
          <w:rFonts w:ascii="FrankRuehl" w:hAnsi="FrankRuehl" w:cs="FrankRuehl"/>
          <w:rtl/>
        </w:rPr>
        <w:t xml:space="preserve">חקיקה שאוזכרה: </w:t>
      </w:r>
    </w:p>
    <w:p w14:paraId="5182D6F8" w14:textId="77777777" w:rsidR="00CD59DD" w:rsidRPr="00CD59DD" w:rsidRDefault="00CD59DD" w:rsidP="00CD59DD">
      <w:pPr>
        <w:spacing w:before="120" w:after="120" w:line="240" w:lineRule="exact"/>
        <w:ind w:left="283" w:hanging="283"/>
        <w:jc w:val="both"/>
        <w:rPr>
          <w:rFonts w:ascii="FrankRuehl" w:hAnsi="FrankRuehl" w:cs="FrankRuehl"/>
          <w:rtl/>
        </w:rPr>
      </w:pPr>
      <w:hyperlink r:id="rId7" w:history="1">
        <w:r w:rsidRPr="00CD59DD">
          <w:rPr>
            <w:rFonts w:ascii="FrankRuehl" w:hAnsi="FrankRuehl" w:cs="FrankRuehl"/>
            <w:color w:val="0000FF"/>
            <w:rtl/>
          </w:rPr>
          <w:t>פקודת הסמים המסוכנים [נוסח חדש], תשל"ג-1973</w:t>
        </w:r>
      </w:hyperlink>
      <w:r w:rsidRPr="00CD59DD">
        <w:rPr>
          <w:rFonts w:ascii="FrankRuehl" w:hAnsi="FrankRuehl" w:cs="FrankRuehl"/>
          <w:rtl/>
        </w:rPr>
        <w:t xml:space="preserve">: סע'  </w:t>
      </w:r>
      <w:hyperlink r:id="rId8" w:history="1">
        <w:r w:rsidRPr="00CD59DD">
          <w:rPr>
            <w:rFonts w:ascii="FrankRuehl" w:hAnsi="FrankRuehl" w:cs="FrankRuehl"/>
            <w:color w:val="0000FF"/>
            <w:rtl/>
          </w:rPr>
          <w:t>7.א.</w:t>
        </w:r>
      </w:hyperlink>
      <w:r w:rsidRPr="00CD59DD">
        <w:rPr>
          <w:rFonts w:ascii="FrankRuehl" w:hAnsi="FrankRuehl" w:cs="FrankRuehl"/>
          <w:rtl/>
        </w:rPr>
        <w:t xml:space="preserve">, </w:t>
      </w:r>
      <w:hyperlink r:id="rId9" w:history="1">
        <w:r w:rsidRPr="00CD59DD">
          <w:rPr>
            <w:rFonts w:ascii="FrankRuehl" w:hAnsi="FrankRuehl" w:cs="FrankRuehl"/>
            <w:color w:val="0000FF"/>
            <w:rtl/>
          </w:rPr>
          <w:t>7.ג</w:t>
        </w:r>
      </w:hyperlink>
    </w:p>
    <w:p w14:paraId="237DBB0B" w14:textId="77777777" w:rsidR="00CD59DD" w:rsidRPr="00CD59DD" w:rsidRDefault="00CD59DD" w:rsidP="00CD59DD">
      <w:pPr>
        <w:rPr>
          <w:rtl/>
        </w:rPr>
      </w:pPr>
      <w:bookmarkStart w:id="4" w:name="LawTable_End"/>
      <w:bookmarkEnd w:id="4"/>
    </w:p>
    <w:p w14:paraId="297D4B65" w14:textId="77777777" w:rsidR="0054727D" w:rsidRPr="00F0392C" w:rsidRDefault="0054727D" w:rsidP="0054727D"/>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4727D" w14:paraId="6E9965DE" w14:textId="77777777" w:rsidTr="0054727D">
        <w:trPr>
          <w:trHeight w:val="355"/>
          <w:jc w:val="center"/>
        </w:trPr>
        <w:tc>
          <w:tcPr>
            <w:tcW w:w="8820" w:type="dxa"/>
            <w:tcBorders>
              <w:top w:val="nil"/>
              <w:left w:val="nil"/>
              <w:bottom w:val="nil"/>
              <w:right w:val="nil"/>
            </w:tcBorders>
            <w:shd w:val="clear" w:color="auto" w:fill="auto"/>
          </w:tcPr>
          <w:p w14:paraId="46C23696" w14:textId="77777777" w:rsidR="00F0392C" w:rsidRPr="00F0392C" w:rsidRDefault="00F0392C" w:rsidP="00F0392C">
            <w:pPr>
              <w:jc w:val="center"/>
              <w:rPr>
                <w:rFonts w:ascii="Arial" w:hAnsi="Arial" w:cs="FrankRuehl"/>
                <w:b/>
                <w:bCs/>
                <w:sz w:val="32"/>
                <w:szCs w:val="32"/>
                <w:u w:val="single"/>
                <w:rtl/>
              </w:rPr>
            </w:pPr>
            <w:bookmarkStart w:id="5" w:name="PsakDin" w:colFirst="0" w:colLast="0"/>
            <w:bookmarkEnd w:id="0"/>
            <w:bookmarkEnd w:id="1"/>
            <w:r w:rsidRPr="00F0392C">
              <w:rPr>
                <w:rFonts w:ascii="Arial" w:hAnsi="Arial" w:cs="FrankRuehl"/>
                <w:b/>
                <w:bCs/>
                <w:sz w:val="32"/>
                <w:szCs w:val="32"/>
                <w:u w:val="single"/>
                <w:rtl/>
              </w:rPr>
              <w:t>גזר דין</w:t>
            </w:r>
          </w:p>
          <w:p w14:paraId="23B4EA9E" w14:textId="77777777" w:rsidR="0054727D" w:rsidRPr="00F0392C" w:rsidRDefault="0054727D" w:rsidP="00F0392C">
            <w:pPr>
              <w:jc w:val="center"/>
              <w:rPr>
                <w:rFonts w:ascii="Arial" w:hAnsi="Arial" w:cs="FrankRuehl"/>
                <w:bCs/>
                <w:sz w:val="32"/>
                <w:szCs w:val="32"/>
                <w:u w:val="single"/>
                <w:rtl/>
              </w:rPr>
            </w:pPr>
          </w:p>
        </w:tc>
      </w:tr>
      <w:bookmarkEnd w:id="5"/>
    </w:tbl>
    <w:p w14:paraId="0DE5F7E1" w14:textId="77777777" w:rsidR="0054727D" w:rsidRDefault="0054727D" w:rsidP="0054727D">
      <w:pPr>
        <w:rPr>
          <w:rFonts w:ascii="Arial" w:hAnsi="Arial"/>
          <w:rtl/>
        </w:rPr>
      </w:pPr>
    </w:p>
    <w:p w14:paraId="4A631A86" w14:textId="77777777" w:rsidR="0054727D" w:rsidRDefault="0054727D" w:rsidP="0054727D">
      <w:pPr>
        <w:rPr>
          <w:b/>
          <w:bCs/>
          <w:u w:val="single"/>
        </w:rPr>
      </w:pPr>
    </w:p>
    <w:p w14:paraId="56FD71D3" w14:textId="77777777" w:rsidR="0054727D" w:rsidRDefault="0054727D" w:rsidP="0054727D">
      <w:pPr>
        <w:spacing w:line="360" w:lineRule="auto"/>
        <w:jc w:val="both"/>
        <w:rPr>
          <w:u w:val="single"/>
          <w:rtl/>
        </w:rPr>
      </w:pPr>
      <w:r>
        <w:rPr>
          <w:u w:val="single"/>
          <w:rtl/>
        </w:rPr>
        <w:t>רקע</w:t>
      </w:r>
    </w:p>
    <w:p w14:paraId="5404A21D" w14:textId="77777777" w:rsidR="0054727D" w:rsidRDefault="0054727D" w:rsidP="0054727D">
      <w:pPr>
        <w:spacing w:line="360" w:lineRule="auto"/>
        <w:jc w:val="both"/>
        <w:rPr>
          <w:u w:val="single"/>
          <w:rtl/>
        </w:rPr>
      </w:pPr>
    </w:p>
    <w:p w14:paraId="50CC130B" w14:textId="77777777" w:rsidR="0054727D" w:rsidRDefault="0054727D" w:rsidP="0054727D">
      <w:pPr>
        <w:pStyle w:val="a9"/>
        <w:numPr>
          <w:ilvl w:val="0"/>
          <w:numId w:val="1"/>
        </w:numPr>
        <w:spacing w:line="360" w:lineRule="auto"/>
        <w:ind w:left="360"/>
        <w:jc w:val="both"/>
        <w:rPr>
          <w:rFonts w:cs="David"/>
          <w:sz w:val="24"/>
          <w:szCs w:val="24"/>
          <w:rtl/>
        </w:rPr>
      </w:pPr>
      <w:bookmarkStart w:id="6" w:name="ABSTRACT_START"/>
      <w:bookmarkEnd w:id="6"/>
      <w:r>
        <w:rPr>
          <w:rFonts w:cs="David"/>
          <w:sz w:val="24"/>
          <w:szCs w:val="24"/>
          <w:rtl/>
        </w:rPr>
        <w:t xml:space="preserve">הנאשם הורשע לאחר שמיעת ראיות בביצוע עבירת החזקה/שימוש בסמים שלא לצריכה עצמית, לפי סעיף </w:t>
      </w:r>
      <w:hyperlink r:id="rId10" w:history="1">
        <w:r w:rsidR="00872AD8" w:rsidRPr="00872AD8">
          <w:rPr>
            <w:rStyle w:val="Hyperlink"/>
            <w:rFonts w:cs="David"/>
            <w:sz w:val="24"/>
            <w:szCs w:val="24"/>
            <w:rtl/>
          </w:rPr>
          <w:t>7(</w:t>
        </w:r>
        <w:r w:rsidR="00872AD8" w:rsidRPr="00872AD8">
          <w:rPr>
            <w:rStyle w:val="Hyperlink"/>
            <w:rFonts w:cs="David" w:hint="cs"/>
            <w:sz w:val="24"/>
            <w:szCs w:val="24"/>
            <w:rtl/>
          </w:rPr>
          <w:t>א</w:t>
        </w:r>
        <w:r w:rsidR="00872AD8" w:rsidRPr="00872AD8">
          <w:rPr>
            <w:rStyle w:val="Hyperlink"/>
            <w:rFonts w:cs="David"/>
            <w:sz w:val="24"/>
            <w:szCs w:val="24"/>
            <w:rtl/>
          </w:rPr>
          <w:t>) + 7(</w:t>
        </w:r>
        <w:r w:rsidR="00872AD8" w:rsidRPr="00872AD8">
          <w:rPr>
            <w:rStyle w:val="Hyperlink"/>
            <w:rFonts w:cs="David" w:hint="cs"/>
            <w:sz w:val="24"/>
            <w:szCs w:val="24"/>
            <w:rtl/>
          </w:rPr>
          <w:t>ג</w:t>
        </w:r>
        <w:r w:rsidR="00872AD8" w:rsidRPr="00872AD8">
          <w:rPr>
            <w:rStyle w:val="Hyperlink"/>
            <w:rFonts w:cs="David"/>
            <w:sz w:val="24"/>
            <w:szCs w:val="24"/>
            <w:rtl/>
          </w:rPr>
          <w:t xml:space="preserve">) </w:t>
        </w:r>
      </w:hyperlink>
      <w:r>
        <w:rPr>
          <w:rFonts w:cs="David"/>
          <w:sz w:val="24"/>
          <w:szCs w:val="24"/>
          <w:rtl/>
        </w:rPr>
        <w:t xml:space="preserve">  ל</w:t>
      </w:r>
      <w:hyperlink r:id="rId11" w:history="1">
        <w:r w:rsidR="00F0392C" w:rsidRPr="00F0392C">
          <w:rPr>
            <w:rFonts w:cs="David" w:hint="cs"/>
            <w:color w:val="0000FF"/>
            <w:sz w:val="24"/>
            <w:szCs w:val="24"/>
            <w:u w:val="single"/>
            <w:rtl/>
          </w:rPr>
          <w:t>פקודת</w:t>
        </w:r>
        <w:r w:rsidR="00F0392C" w:rsidRPr="00F0392C">
          <w:rPr>
            <w:rFonts w:cs="David"/>
            <w:color w:val="0000FF"/>
            <w:sz w:val="24"/>
            <w:szCs w:val="24"/>
            <w:u w:val="single"/>
            <w:rtl/>
          </w:rPr>
          <w:t xml:space="preserve"> </w:t>
        </w:r>
        <w:r w:rsidR="00F0392C" w:rsidRPr="00F0392C">
          <w:rPr>
            <w:rFonts w:cs="David" w:hint="cs"/>
            <w:color w:val="0000FF"/>
            <w:sz w:val="24"/>
            <w:szCs w:val="24"/>
            <w:u w:val="single"/>
            <w:rtl/>
          </w:rPr>
          <w:t>הסמים</w:t>
        </w:r>
        <w:r w:rsidR="00F0392C" w:rsidRPr="00F0392C">
          <w:rPr>
            <w:rFonts w:cs="David"/>
            <w:color w:val="0000FF"/>
            <w:sz w:val="24"/>
            <w:szCs w:val="24"/>
            <w:u w:val="single"/>
            <w:rtl/>
          </w:rPr>
          <w:t xml:space="preserve"> </w:t>
        </w:r>
        <w:r w:rsidR="00F0392C" w:rsidRPr="00F0392C">
          <w:rPr>
            <w:rFonts w:cs="David" w:hint="cs"/>
            <w:color w:val="0000FF"/>
            <w:sz w:val="24"/>
            <w:szCs w:val="24"/>
            <w:u w:val="single"/>
            <w:rtl/>
          </w:rPr>
          <w:t>המסוכנים</w:t>
        </w:r>
      </w:hyperlink>
      <w:r>
        <w:rPr>
          <w:rFonts w:cs="David"/>
          <w:sz w:val="24"/>
          <w:szCs w:val="24"/>
          <w:rtl/>
        </w:rPr>
        <w:t xml:space="preserve"> (נוסח חדש), התשל"ג-1973 (להלן- </w:t>
      </w:r>
      <w:r>
        <w:rPr>
          <w:rFonts w:cs="David"/>
          <w:b/>
          <w:bCs/>
          <w:sz w:val="24"/>
          <w:szCs w:val="24"/>
          <w:rtl/>
        </w:rPr>
        <w:t>פקודת הסמים</w:t>
      </w:r>
      <w:r>
        <w:rPr>
          <w:rFonts w:cs="David"/>
          <w:sz w:val="24"/>
          <w:szCs w:val="24"/>
          <w:rtl/>
        </w:rPr>
        <w:t>).</w:t>
      </w:r>
    </w:p>
    <w:p w14:paraId="4003650A" w14:textId="77777777" w:rsidR="0054727D" w:rsidRDefault="0054727D" w:rsidP="0054727D">
      <w:pPr>
        <w:pStyle w:val="a9"/>
        <w:spacing w:line="360" w:lineRule="auto"/>
        <w:ind w:left="360"/>
        <w:jc w:val="both"/>
        <w:rPr>
          <w:rFonts w:cs="David"/>
          <w:sz w:val="24"/>
          <w:szCs w:val="24"/>
        </w:rPr>
      </w:pPr>
    </w:p>
    <w:p w14:paraId="5D47F484" w14:textId="77777777" w:rsidR="0054727D" w:rsidRDefault="0054727D" w:rsidP="0054727D">
      <w:pPr>
        <w:pStyle w:val="a9"/>
        <w:numPr>
          <w:ilvl w:val="0"/>
          <w:numId w:val="1"/>
        </w:numPr>
        <w:spacing w:line="360" w:lineRule="auto"/>
        <w:ind w:left="360"/>
        <w:jc w:val="both"/>
        <w:rPr>
          <w:rFonts w:cs="David"/>
          <w:sz w:val="24"/>
          <w:szCs w:val="24"/>
          <w:rtl/>
        </w:rPr>
      </w:pPr>
      <w:bookmarkStart w:id="7" w:name="ABSTRACT_END"/>
      <w:bookmarkEnd w:id="7"/>
      <w:r>
        <w:rPr>
          <w:rFonts w:cs="David"/>
          <w:sz w:val="24"/>
          <w:szCs w:val="24"/>
          <w:rtl/>
        </w:rPr>
        <w:t>בכתב האישום נטען כי ביום 22.03.16 בשעה 20:30 לערך, נסע הנאשם בקטנוע ל.ז 33-902-68 מרחוב שטרן ועד לצומת הכניסה לשדרות בגין בירושלים. הנאשם נעצר על ידי שוטרים, שמצאו כי החזיק בכיס מעילו סם מסוכן מסוג חשיש במשקל כולל של 93 גרם שלא לצריכתו העצמית.</w:t>
      </w:r>
    </w:p>
    <w:p w14:paraId="2C7C5B86" w14:textId="77777777" w:rsidR="0054727D" w:rsidRDefault="0054727D" w:rsidP="0054727D">
      <w:pPr>
        <w:pStyle w:val="a9"/>
        <w:rPr>
          <w:rFonts w:cs="David"/>
          <w:sz w:val="24"/>
          <w:szCs w:val="24"/>
        </w:rPr>
      </w:pPr>
    </w:p>
    <w:p w14:paraId="39CFE8EA" w14:textId="77777777" w:rsidR="0054727D" w:rsidRDefault="0054727D" w:rsidP="0054727D">
      <w:pPr>
        <w:pStyle w:val="a9"/>
        <w:numPr>
          <w:ilvl w:val="0"/>
          <w:numId w:val="1"/>
        </w:numPr>
        <w:spacing w:line="360" w:lineRule="auto"/>
        <w:ind w:left="360"/>
        <w:jc w:val="both"/>
        <w:rPr>
          <w:rFonts w:cs="David"/>
          <w:sz w:val="24"/>
          <w:szCs w:val="24"/>
          <w:rtl/>
        </w:rPr>
      </w:pPr>
      <w:r>
        <w:rPr>
          <w:rFonts w:cs="David"/>
          <w:sz w:val="24"/>
          <w:szCs w:val="24"/>
          <w:rtl/>
        </w:rPr>
        <w:t xml:space="preserve">ביום 30.4.19 ניתנה הכרעת הדין בעניינו של הנאשם, בגדרה הורשע במיוחס לו בכתב האישום. נקבע שם, בין היתר, כי חרף ספק שהועלה בדבר חוקיות החיפוש שנערך לנאשם, אין בו כדי להוביל- בנסיבות המקרה דנא- לפסילת הסמים מלשמש כראיה קבילה. </w:t>
      </w:r>
    </w:p>
    <w:p w14:paraId="78272C8D" w14:textId="77777777" w:rsidR="0054727D" w:rsidRDefault="0054727D" w:rsidP="0054727D">
      <w:pPr>
        <w:spacing w:line="360" w:lineRule="auto"/>
        <w:jc w:val="both"/>
        <w:rPr>
          <w:u w:val="single"/>
          <w:rtl/>
        </w:rPr>
      </w:pPr>
      <w:r>
        <w:rPr>
          <w:u w:val="single"/>
          <w:rtl/>
        </w:rPr>
        <w:t>תסקירי שירות המבחן</w:t>
      </w:r>
    </w:p>
    <w:p w14:paraId="11E50B5F" w14:textId="77777777" w:rsidR="0054727D" w:rsidRDefault="0054727D" w:rsidP="0054727D">
      <w:pPr>
        <w:spacing w:line="360" w:lineRule="auto"/>
        <w:jc w:val="both"/>
        <w:rPr>
          <w:u w:val="single"/>
          <w:rtl/>
        </w:rPr>
      </w:pPr>
    </w:p>
    <w:p w14:paraId="1AF1EF97" w14:textId="77777777" w:rsidR="0054727D" w:rsidRDefault="0054727D" w:rsidP="0054727D">
      <w:pPr>
        <w:pStyle w:val="a9"/>
        <w:numPr>
          <w:ilvl w:val="0"/>
          <w:numId w:val="1"/>
        </w:numPr>
        <w:spacing w:line="360" w:lineRule="auto"/>
        <w:ind w:left="360"/>
        <w:jc w:val="both"/>
        <w:rPr>
          <w:rFonts w:cs="David"/>
          <w:sz w:val="24"/>
          <w:szCs w:val="24"/>
        </w:rPr>
      </w:pPr>
      <w:r>
        <w:rPr>
          <w:rFonts w:cs="David"/>
          <w:sz w:val="24"/>
          <w:szCs w:val="24"/>
          <w:rtl/>
        </w:rPr>
        <w:t>מתסקיר שירות המבחן שהתקבל ביום 18.9.19 עולה כי הנאשם בן 28, נשוי ואב לילד. קורות חייו פורטו בהרחבה בתסקיר, ובפרט יחסיו מול אביו ז"ל ואמו. שירות המבחן התייחס לשימוש שעושה הנאשם באלכוהול, תוך שצוין כי הנאשם מרגיש חוסר שליטה לאור צריכת אלכוהול מצדו; כי צריכה זו פוגעת בתפקודו התעסוקתי; וכן תיאר תלות בצריכת האלכוהול, אשר מהווה דרך לפורקן רגשי. הנאשם הביע בשלב זה נכונות להשתלב בהליך טיפולי ביחידה לטיפול בהתמכרויות.</w:t>
      </w:r>
    </w:p>
    <w:p w14:paraId="4E81308C" w14:textId="77777777" w:rsidR="0054727D" w:rsidRDefault="0054727D" w:rsidP="0054727D">
      <w:pPr>
        <w:pStyle w:val="a9"/>
        <w:spacing w:line="360" w:lineRule="auto"/>
        <w:ind w:left="360"/>
        <w:jc w:val="both"/>
        <w:rPr>
          <w:rFonts w:cs="David"/>
          <w:sz w:val="24"/>
          <w:szCs w:val="24"/>
        </w:rPr>
      </w:pPr>
    </w:p>
    <w:p w14:paraId="4D3049A5" w14:textId="77777777" w:rsidR="0054727D" w:rsidRDefault="0054727D" w:rsidP="0054727D">
      <w:pPr>
        <w:pStyle w:val="a9"/>
        <w:spacing w:line="360" w:lineRule="auto"/>
        <w:ind w:left="360"/>
        <w:jc w:val="both"/>
        <w:rPr>
          <w:rFonts w:cs="David"/>
          <w:sz w:val="24"/>
          <w:szCs w:val="24"/>
          <w:rtl/>
        </w:rPr>
      </w:pPr>
      <w:r>
        <w:rPr>
          <w:rFonts w:cs="David"/>
          <w:sz w:val="24"/>
          <w:szCs w:val="24"/>
          <w:rtl/>
        </w:rPr>
        <w:t xml:space="preserve">מתסקיר שירות המבחן שהתקבל ביום 3.2.20 עולה כי במהלך תקופת הדחייה נערכו ניסיונות לשלב את הנאשם בהליך טיפולי, אולם ניסיונות אלה לא צלחו, עקב סיבות טכניות שאיננן קשורות להתנהלות הנאשם. נתבקשה דחייה נוספת להמשך שילובו של הנאשם במסגרת טיפולית. </w:t>
      </w:r>
    </w:p>
    <w:p w14:paraId="5086102A" w14:textId="77777777" w:rsidR="0054727D" w:rsidRDefault="0054727D" w:rsidP="0054727D">
      <w:pPr>
        <w:pStyle w:val="a9"/>
        <w:spacing w:line="360" w:lineRule="auto"/>
        <w:ind w:left="360"/>
        <w:jc w:val="both"/>
        <w:rPr>
          <w:rFonts w:cs="David"/>
          <w:sz w:val="24"/>
          <w:szCs w:val="24"/>
          <w:rtl/>
        </w:rPr>
      </w:pPr>
    </w:p>
    <w:p w14:paraId="4226F133" w14:textId="77777777" w:rsidR="0054727D" w:rsidRDefault="0054727D" w:rsidP="0054727D">
      <w:pPr>
        <w:pStyle w:val="a9"/>
        <w:spacing w:line="360" w:lineRule="auto"/>
        <w:ind w:left="360"/>
        <w:jc w:val="both"/>
        <w:rPr>
          <w:rFonts w:cs="David"/>
          <w:sz w:val="24"/>
          <w:szCs w:val="24"/>
          <w:rtl/>
        </w:rPr>
      </w:pPr>
      <w:r>
        <w:rPr>
          <w:rFonts w:cs="David"/>
          <w:sz w:val="24"/>
          <w:szCs w:val="24"/>
          <w:rtl/>
        </w:rPr>
        <w:t>מתסקיר שירות המבחן שהתקבל ביום 22.4.20 עולה כי במהלך תקופת הדחייה [הנוספת] בוצעו ניסיונות לשלב את הנאשם בהליך הטיפולי, אולם האחרון לא הגיע לפגישות שנקבעו ותלה זאת בשינוים ועומס בחייו. חרף האמור, המליץ שירות המבחן לאפשר דחייה נוספת שבה יפעל השירות לשלב את הנאשם בהליך טיפולי, וזאת נוכח נכונות שהביע.</w:t>
      </w:r>
    </w:p>
    <w:p w14:paraId="6B00187A" w14:textId="77777777" w:rsidR="0054727D" w:rsidRDefault="0054727D" w:rsidP="0054727D">
      <w:pPr>
        <w:pStyle w:val="a9"/>
        <w:spacing w:line="360" w:lineRule="auto"/>
        <w:ind w:left="360"/>
        <w:jc w:val="both"/>
        <w:rPr>
          <w:rFonts w:cs="David"/>
          <w:sz w:val="24"/>
          <w:szCs w:val="24"/>
          <w:rtl/>
        </w:rPr>
      </w:pPr>
    </w:p>
    <w:p w14:paraId="7DB7F02F" w14:textId="77777777" w:rsidR="0054727D" w:rsidRDefault="0054727D" w:rsidP="0054727D">
      <w:pPr>
        <w:pStyle w:val="a9"/>
        <w:spacing w:line="360" w:lineRule="auto"/>
        <w:ind w:left="360"/>
        <w:jc w:val="both"/>
        <w:rPr>
          <w:rFonts w:cs="David"/>
          <w:sz w:val="24"/>
          <w:szCs w:val="24"/>
          <w:rtl/>
        </w:rPr>
      </w:pPr>
      <w:r>
        <w:rPr>
          <w:rFonts w:cs="David"/>
          <w:sz w:val="24"/>
          <w:szCs w:val="24"/>
          <w:rtl/>
        </w:rPr>
        <w:t>מתסקיר שירות המבחן שהתקבל ביום 1.7.20 שב השירות על התרשמותו לפיה הנאשם מביע נכונות להשתלב בהליך טיפולי מחד, אך מביע קושי להתחייב להליך כאמור, מאידך. השירות מצא כי בשלב זה הנאשם נעדר כוחות להשתלב בהליך טיפולי וכי מוצו הליכי השילוב. שירות המבחן שקל אף להמליץ לביהמ"ש להשית על הנאשם ענישה חינוכית בדמות של"צ, חרף סירובו לטיפול, אולם הנאשם לא התייצב גם לפגישה שנועדה לבחון אפשרות זו. משכך, המליץ שירות המבחן להשית עונש מאסר קצר שירוצה בעבודות שירות.</w:t>
      </w:r>
    </w:p>
    <w:p w14:paraId="1486429F" w14:textId="77777777" w:rsidR="0054727D" w:rsidRDefault="0054727D" w:rsidP="0054727D">
      <w:pPr>
        <w:spacing w:line="360" w:lineRule="auto"/>
        <w:jc w:val="both"/>
        <w:rPr>
          <w:u w:val="single"/>
          <w:rtl/>
        </w:rPr>
      </w:pPr>
      <w:r>
        <w:rPr>
          <w:u w:val="single"/>
          <w:rtl/>
        </w:rPr>
        <w:t>תמצית טיעוני הצדדים</w:t>
      </w:r>
    </w:p>
    <w:p w14:paraId="7DB697DD" w14:textId="77777777" w:rsidR="0054727D" w:rsidRDefault="0054727D" w:rsidP="0054727D">
      <w:pPr>
        <w:spacing w:line="360" w:lineRule="auto"/>
        <w:jc w:val="both"/>
        <w:rPr>
          <w:u w:val="single"/>
        </w:rPr>
      </w:pPr>
    </w:p>
    <w:p w14:paraId="60ECEBC6" w14:textId="77777777" w:rsidR="0054727D" w:rsidRDefault="0054727D" w:rsidP="0054727D">
      <w:pPr>
        <w:pStyle w:val="a9"/>
        <w:numPr>
          <w:ilvl w:val="0"/>
          <w:numId w:val="1"/>
        </w:numPr>
        <w:spacing w:line="360" w:lineRule="auto"/>
        <w:ind w:left="360"/>
        <w:jc w:val="both"/>
        <w:rPr>
          <w:rFonts w:cs="David"/>
          <w:sz w:val="24"/>
          <w:szCs w:val="24"/>
        </w:rPr>
      </w:pPr>
      <w:r>
        <w:rPr>
          <w:rFonts w:cs="David"/>
          <w:sz w:val="24"/>
          <w:szCs w:val="24"/>
          <w:rtl/>
        </w:rPr>
        <w:t xml:space="preserve">ב"כ המאשימה עמדה על נסיבות ביצוע העבירה ועל הפגיעה בערכים המוגנים שבבסיסה. לשיטתה, מתחם העונש ההולם נע בין 6 חודשי מאסר שירוצו בעבודות שירות ל-12 חודשי </w:t>
      </w:r>
      <w:r>
        <w:rPr>
          <w:rFonts w:cs="David"/>
          <w:sz w:val="24"/>
          <w:szCs w:val="24"/>
          <w:rtl/>
        </w:rPr>
        <w:lastRenderedPageBreak/>
        <w:t>מאסר בפועל. בשים לב לכך שהנאשם נעדר עבר פלילי, עתרה למקמו בתחתית מתחם העונש ההולם ולהשית עליו 6 חודשי מאסר שירוצו בעבודות שירות, לצד ענישה נלווית.</w:t>
      </w:r>
    </w:p>
    <w:p w14:paraId="7C1DF9BF" w14:textId="77777777" w:rsidR="0054727D" w:rsidRDefault="0054727D" w:rsidP="0054727D">
      <w:pPr>
        <w:pStyle w:val="a9"/>
        <w:spacing w:line="360" w:lineRule="auto"/>
        <w:ind w:left="360"/>
        <w:jc w:val="both"/>
        <w:rPr>
          <w:rFonts w:cs="David"/>
          <w:sz w:val="24"/>
          <w:szCs w:val="24"/>
        </w:rPr>
      </w:pPr>
    </w:p>
    <w:p w14:paraId="25030707" w14:textId="77777777" w:rsidR="0054727D" w:rsidRDefault="0054727D" w:rsidP="0054727D">
      <w:pPr>
        <w:pStyle w:val="a9"/>
        <w:numPr>
          <w:ilvl w:val="0"/>
          <w:numId w:val="1"/>
        </w:numPr>
        <w:spacing w:line="360" w:lineRule="auto"/>
        <w:ind w:left="360"/>
        <w:jc w:val="both"/>
        <w:rPr>
          <w:rFonts w:cs="David"/>
          <w:sz w:val="24"/>
          <w:szCs w:val="24"/>
        </w:rPr>
      </w:pPr>
      <w:r>
        <w:rPr>
          <w:rFonts w:cs="David"/>
          <w:sz w:val="24"/>
          <w:szCs w:val="24"/>
          <w:rtl/>
        </w:rPr>
        <w:t>ההגנה עמדה גם כן על נסיבות ביצוע העבירה, אשר לשיטתה מלמדות על פגיעה מינימלית בערכים המוגנים, וזאת בשים לב לסוג הסם שאיננו מן החמורים, כמו גם לאור התמורות שחלו ביחס אליו במרוצת השנים. לשיטתה, מתחם העונש ההולם נע בין מאסר מותנה לבין מספר חודשי מאסר בפועל. באשר לעונש המתאים, נטען כי יש להתחשב בכך שהנאשם נעדר עבר פלילי; בחלוף הזמן מיום ביצוע המעשה; ובנסיבותיו האישיות ומצבו הכלכלי הירוד. בהינתן אלה, עתרה ההגנה להשית עליו ענישה צופה פני עתיד לצד קנס לשיקול דעת בית המשפט.</w:t>
      </w:r>
    </w:p>
    <w:p w14:paraId="00316E17" w14:textId="77777777" w:rsidR="0054727D" w:rsidRDefault="0054727D" w:rsidP="0054727D">
      <w:pPr>
        <w:spacing w:line="360" w:lineRule="auto"/>
        <w:jc w:val="both"/>
        <w:rPr>
          <w:u w:val="single"/>
          <w:rtl/>
        </w:rPr>
      </w:pPr>
      <w:r>
        <w:rPr>
          <w:u w:val="single"/>
          <w:rtl/>
        </w:rPr>
        <w:t>דיון והכרעה</w:t>
      </w:r>
    </w:p>
    <w:p w14:paraId="035913F8" w14:textId="77777777" w:rsidR="0054727D" w:rsidRDefault="0054727D" w:rsidP="0054727D">
      <w:pPr>
        <w:spacing w:line="360" w:lineRule="auto"/>
        <w:jc w:val="both"/>
        <w:rPr>
          <w:u w:val="single"/>
          <w:rtl/>
        </w:rPr>
      </w:pPr>
    </w:p>
    <w:p w14:paraId="0B5FB9A3" w14:textId="77777777" w:rsidR="0054727D" w:rsidRDefault="0054727D" w:rsidP="0054727D">
      <w:pPr>
        <w:pStyle w:val="a9"/>
        <w:numPr>
          <w:ilvl w:val="0"/>
          <w:numId w:val="1"/>
        </w:numPr>
        <w:spacing w:line="360" w:lineRule="auto"/>
        <w:ind w:left="360"/>
        <w:jc w:val="both"/>
        <w:rPr>
          <w:rFonts w:cs="David"/>
          <w:sz w:val="24"/>
          <w:szCs w:val="24"/>
          <w:rtl/>
        </w:rPr>
      </w:pPr>
      <w:r>
        <w:rPr>
          <w:rFonts w:cs="David"/>
          <w:sz w:val="24"/>
          <w:szCs w:val="24"/>
          <w:rtl/>
        </w:rPr>
        <w:t xml:space="preserve">הערך החברתי שנפגע מביצוע העבירה בה הורשע הנאשם הינו שמירה על שלום הציבור ובריאותו. רבות נכתב על חומרתן של עבירות הסמים, ועל ההשפעה הקשה שיש לאלה על החברה כולה, כמו גם על הצורך בענישה מחמירה לסוחרי ומפיצי הסמים (ראו לדוגמה: </w:t>
      </w:r>
      <w:hyperlink r:id="rId12" w:history="1">
        <w:r w:rsidR="00F0392C" w:rsidRPr="00F0392C">
          <w:rPr>
            <w:rFonts w:ascii="David" w:hAnsi="David" w:cs="David"/>
            <w:color w:val="0000FF"/>
            <w:sz w:val="24"/>
            <w:szCs w:val="24"/>
            <w:u w:val="single"/>
            <w:rtl/>
          </w:rPr>
          <w:t>ע"פ 4522/18</w:t>
        </w:r>
      </w:hyperlink>
      <w:r>
        <w:rPr>
          <w:rFonts w:ascii="David" w:hAnsi="David" w:cs="David"/>
          <w:sz w:val="24"/>
          <w:szCs w:val="24"/>
          <w:rtl/>
        </w:rPr>
        <w:t xml:space="preserve"> </w:t>
      </w:r>
      <w:r>
        <w:rPr>
          <w:rFonts w:ascii="David" w:hAnsi="David" w:cs="David"/>
          <w:b/>
          <w:bCs/>
          <w:sz w:val="24"/>
          <w:szCs w:val="24"/>
          <w:rtl/>
        </w:rPr>
        <w:t>בנימין אסאבן נ' מדינת ישראל</w:t>
      </w:r>
      <w:r>
        <w:rPr>
          <w:rFonts w:ascii="David" w:hAnsi="David" w:cs="David"/>
          <w:sz w:val="24"/>
          <w:szCs w:val="24"/>
          <w:rtl/>
        </w:rPr>
        <w:t xml:space="preserve"> (פורסם בנבו, 11.11.18))</w:t>
      </w:r>
      <w:r w:rsidRPr="0054727D">
        <w:rPr>
          <w:rFonts w:ascii="Times New Roman" w:hAnsi="Times New Roman" w:cs="Times New Roman"/>
          <w:sz w:val="24"/>
          <w:szCs w:val="24"/>
          <w:rtl/>
        </w:rPr>
        <w:t xml:space="preserve">. </w:t>
      </w:r>
      <w:r>
        <w:rPr>
          <w:rFonts w:cs="David"/>
          <w:sz w:val="24"/>
          <w:szCs w:val="24"/>
          <w:rtl/>
        </w:rPr>
        <w:t>שוב ושוב חוזרת ההלכה הפסוקה על הצורך בענישה מרתיעה, אולם נדמה לעיתים כי הלחימה בנגע הסמים עוד בחיתוליה, וכי יש לרכז מאמץ למיגור תופעה פסולה זו:</w:t>
      </w:r>
    </w:p>
    <w:p w14:paraId="726147F6" w14:textId="77777777" w:rsidR="0054727D" w:rsidRDefault="0054727D" w:rsidP="0054727D">
      <w:pPr>
        <w:spacing w:line="360" w:lineRule="auto"/>
        <w:ind w:left="1701" w:right="1701"/>
        <w:jc w:val="both"/>
        <w:rPr>
          <w:rFonts w:ascii="David" w:hAnsi="David"/>
          <w:rtl/>
        </w:rPr>
      </w:pPr>
      <w:r>
        <w:rPr>
          <w:rFonts w:ascii="David" w:hAnsi="David"/>
          <w:rtl/>
        </w:rPr>
        <w:t>"</w:t>
      </w:r>
      <w:r w:rsidRPr="0054727D">
        <w:rPr>
          <w:rFonts w:cs="Times New Roman"/>
          <w:rtl/>
        </w:rPr>
        <w:t>בית משפט זה שב והדגיש כי על מדיניות הענישה בגין סחר והפצה של סמים מסוכנים, ובכללן סמים הנחשבים ל"סמים קלים", להיות מרתיעה ומשמעותית, וכי יש לראות בחומרה ניסיונות לעשיית רווח כספי באמצעות סחר בסמים אלה [...] קל וחומר כי כאשר עסקינן בסמים סינתטיים שפגיעתם חמורה יותר, על הענישה להיות מרתיעה ומשמעותית</w:t>
      </w:r>
      <w:r>
        <w:rPr>
          <w:rFonts w:ascii="David" w:hAnsi="David"/>
          <w:rtl/>
        </w:rPr>
        <w:t>" (</w:t>
      </w:r>
      <w:hyperlink r:id="rId13" w:history="1">
        <w:r w:rsidR="00F0392C" w:rsidRPr="00F0392C">
          <w:rPr>
            <w:rFonts w:ascii="David" w:hAnsi="David"/>
            <w:color w:val="0000FF"/>
            <w:u w:val="single"/>
            <w:rtl/>
          </w:rPr>
          <w:t>רע"פ 2361/20</w:t>
        </w:r>
      </w:hyperlink>
      <w:r>
        <w:rPr>
          <w:rFonts w:ascii="David" w:hAnsi="David"/>
          <w:rtl/>
        </w:rPr>
        <w:t xml:space="preserve"> </w:t>
      </w:r>
      <w:r>
        <w:rPr>
          <w:rFonts w:ascii="David" w:hAnsi="David"/>
          <w:b/>
          <w:bCs/>
          <w:rtl/>
        </w:rPr>
        <w:t>משה בן אדרת נ' מדינת ישראל</w:t>
      </w:r>
      <w:r>
        <w:rPr>
          <w:rFonts w:ascii="David" w:hAnsi="David"/>
          <w:rtl/>
        </w:rPr>
        <w:t xml:space="preserve"> (פורסם בנבו, 06.04.2020), פס' 8).</w:t>
      </w:r>
    </w:p>
    <w:p w14:paraId="1912A6A9" w14:textId="77777777" w:rsidR="0054727D" w:rsidRDefault="0054727D" w:rsidP="0054727D">
      <w:pPr>
        <w:spacing w:line="360" w:lineRule="auto"/>
        <w:ind w:left="1701" w:right="1701"/>
        <w:jc w:val="both"/>
        <w:rPr>
          <w:rFonts w:ascii="David" w:hAnsi="David"/>
        </w:rPr>
      </w:pPr>
    </w:p>
    <w:p w14:paraId="7B906E0B" w14:textId="77777777" w:rsidR="0054727D" w:rsidRDefault="0054727D" w:rsidP="0054727D">
      <w:pPr>
        <w:pStyle w:val="a9"/>
        <w:numPr>
          <w:ilvl w:val="0"/>
          <w:numId w:val="1"/>
        </w:numPr>
        <w:spacing w:line="360" w:lineRule="auto"/>
        <w:ind w:left="360"/>
        <w:jc w:val="both"/>
        <w:rPr>
          <w:rFonts w:ascii="David" w:hAnsi="David" w:cs="David"/>
          <w:sz w:val="24"/>
          <w:szCs w:val="24"/>
          <w:rtl/>
        </w:rPr>
      </w:pPr>
      <w:r>
        <w:rPr>
          <w:rFonts w:ascii="David" w:hAnsi="David" w:cs="David"/>
          <w:sz w:val="24"/>
          <w:szCs w:val="24"/>
          <w:rtl/>
        </w:rPr>
        <w:t xml:space="preserve">לצד האמור לעיל, ברור כי לא ניתן להעלים עין מהתמורות החלות בשנים האחרונות סביב היחס החברתי והמשפטי כלפי הסם נשוא הליך זה. אכן, אין בקביעה זו משום חידוש. הלכה היא כי בבחינת חומרת נסיבות ביצוע עבירות סמים ישנה חשיבות לבחינת סוג הסם וכמותו (ראו למשל: </w:t>
      </w:r>
      <w:hyperlink r:id="rId14" w:history="1">
        <w:r w:rsidR="00F0392C" w:rsidRPr="00F0392C">
          <w:rPr>
            <w:rFonts w:ascii="David" w:hAnsi="David" w:cs="David"/>
            <w:color w:val="0000FF"/>
            <w:sz w:val="24"/>
            <w:szCs w:val="24"/>
            <w:u w:val="single"/>
            <w:rtl/>
          </w:rPr>
          <w:t>ע"פ 1654/16</w:t>
        </w:r>
      </w:hyperlink>
      <w:r>
        <w:rPr>
          <w:rFonts w:ascii="David" w:hAnsi="David" w:cs="David"/>
          <w:sz w:val="24"/>
          <w:szCs w:val="24"/>
          <w:rtl/>
        </w:rPr>
        <w:t xml:space="preserve"> </w:t>
      </w:r>
      <w:r>
        <w:rPr>
          <w:rFonts w:ascii="David" w:hAnsi="David" w:cs="David"/>
          <w:b/>
          <w:bCs/>
          <w:sz w:val="24"/>
          <w:szCs w:val="24"/>
          <w:rtl/>
        </w:rPr>
        <w:t>גל שרר נ' מדינת ישראל</w:t>
      </w:r>
      <w:r>
        <w:rPr>
          <w:rFonts w:ascii="David" w:hAnsi="David" w:cs="David"/>
          <w:sz w:val="24"/>
          <w:szCs w:val="24"/>
          <w:rtl/>
        </w:rPr>
        <w:t xml:space="preserve"> (פורסם בנבו, 27.02.17)). בראי הלכה זו, נהגו בתי המשפט זה מכבר לראות בסם הקנאביס/חשיש ככזה המצוי ברף חומרה נמוך מיתר הסמים ב</w:t>
      </w:r>
      <w:hyperlink r:id="rId15" w:history="1">
        <w:r w:rsidR="00F0392C" w:rsidRPr="00F0392C">
          <w:rPr>
            <w:rFonts w:ascii="David" w:hAnsi="David" w:cs="David"/>
            <w:color w:val="0000FF"/>
            <w:sz w:val="24"/>
            <w:szCs w:val="24"/>
            <w:u w:val="single"/>
            <w:rtl/>
          </w:rPr>
          <w:t>פקודת הסמים המסוכנים</w:t>
        </w:r>
      </w:hyperlink>
      <w:r>
        <w:rPr>
          <w:rFonts w:ascii="David" w:hAnsi="David" w:cs="David"/>
          <w:sz w:val="24"/>
          <w:szCs w:val="24"/>
          <w:rtl/>
        </w:rPr>
        <w:t>. ואולם, לנוכח השינויים שחלו ביחס לסם זה בשנים האחרונות, מן הראוי כי יינתנו להם משקל משמעותי בקביעת מתחם העונש ההולם בעבירות מן הסוג שבפניי.</w:t>
      </w:r>
    </w:p>
    <w:p w14:paraId="6EDA953A" w14:textId="77777777" w:rsidR="0054727D" w:rsidRDefault="0054727D" w:rsidP="0054727D">
      <w:pPr>
        <w:pStyle w:val="a9"/>
        <w:spacing w:line="360" w:lineRule="auto"/>
        <w:ind w:left="360"/>
        <w:jc w:val="both"/>
        <w:rPr>
          <w:rFonts w:ascii="David" w:hAnsi="David" w:cs="David"/>
          <w:sz w:val="24"/>
          <w:szCs w:val="24"/>
        </w:rPr>
      </w:pPr>
    </w:p>
    <w:p w14:paraId="529BCE60" w14:textId="77777777" w:rsidR="0054727D" w:rsidRDefault="0054727D" w:rsidP="0054727D">
      <w:pPr>
        <w:pStyle w:val="a9"/>
        <w:numPr>
          <w:ilvl w:val="0"/>
          <w:numId w:val="1"/>
        </w:numPr>
        <w:spacing w:line="360" w:lineRule="auto"/>
        <w:ind w:left="360"/>
        <w:jc w:val="both"/>
        <w:rPr>
          <w:rFonts w:ascii="David" w:hAnsi="David" w:cs="David"/>
          <w:sz w:val="24"/>
          <w:szCs w:val="24"/>
          <w:rtl/>
        </w:rPr>
      </w:pPr>
      <w:r>
        <w:rPr>
          <w:rFonts w:ascii="David" w:hAnsi="David" w:cs="David"/>
          <w:sz w:val="24"/>
          <w:szCs w:val="24"/>
          <w:rtl/>
        </w:rPr>
        <w:t>הכרה בתמורות החלות ביחס לסם זה אף הובאה בפסיקת בית המשפט העליון. כך למשל, נפסק כי "</w:t>
      </w:r>
      <w:r w:rsidRPr="0054727D">
        <w:rPr>
          <w:rFonts w:ascii="Times New Roman" w:hAnsi="Times New Roman" w:cs="Times New Roman"/>
          <w:sz w:val="24"/>
          <w:szCs w:val="24"/>
          <w:rtl/>
        </w:rPr>
        <w:t>הגם שכמצוות המחוקק קנאביס מוגדר עדיין כסם מסוכן, על כל המשתמע מכך, לא ניתן להתעלם מכך שהיחס החברתי והמשפטי לשימוש בקנאביס, ואף לייצורו, מצוי בתהליכי שינוי. האפשרות לבטל את ההפללה של השימוש בקנאביס מצויה מזה זמן על שולחן הממשלה והכנסת, ויש לה תמיכה ציבורית ופוליטית לא מבוטלת</w:t>
      </w:r>
      <w:r>
        <w:rPr>
          <w:rFonts w:ascii="David" w:hAnsi="David" w:cs="David"/>
          <w:sz w:val="24"/>
          <w:szCs w:val="24"/>
          <w:rtl/>
        </w:rPr>
        <w:t>" (</w:t>
      </w:r>
      <w:hyperlink r:id="rId16" w:history="1">
        <w:r w:rsidR="00F0392C" w:rsidRPr="00F0392C">
          <w:rPr>
            <w:rFonts w:ascii="David" w:hAnsi="David" w:cs="David"/>
            <w:color w:val="0000FF"/>
            <w:sz w:val="24"/>
            <w:szCs w:val="24"/>
            <w:u w:val="single"/>
            <w:rtl/>
          </w:rPr>
          <w:t>בש"פ 8640/20</w:t>
        </w:r>
      </w:hyperlink>
      <w:r>
        <w:rPr>
          <w:rFonts w:ascii="David" w:hAnsi="David" w:cs="David"/>
          <w:sz w:val="24"/>
          <w:szCs w:val="24"/>
          <w:rtl/>
        </w:rPr>
        <w:t xml:space="preserve"> </w:t>
      </w:r>
      <w:r>
        <w:rPr>
          <w:rFonts w:ascii="David" w:hAnsi="David" w:cs="David"/>
          <w:b/>
          <w:bCs/>
          <w:sz w:val="24"/>
          <w:szCs w:val="24"/>
          <w:rtl/>
        </w:rPr>
        <w:t>אבו קרינאת נ' מדינת ישראל</w:t>
      </w:r>
      <w:r>
        <w:rPr>
          <w:rFonts w:ascii="David" w:hAnsi="David" w:cs="David"/>
          <w:sz w:val="24"/>
          <w:szCs w:val="24"/>
          <w:rtl/>
        </w:rPr>
        <w:t xml:space="preserve"> (פורסם בנבו, 23.12.20), פס' 10). הדברים שצוטטו לעיל הובאו בהקשר אחר, במסגרת שאלת מעצרו של נאשם עד תום ההליכים. נקודה זו על ציר הזמן שונה מנסיבות המקרה שבפניי, כאשר הנאשם כבר הורשע במיוחס לו וחזקת החפות כבר איננה עומדת לו. ברם, ההכרה כי עבירות של שימוש, גידול והפקה של קנאביס אינן מהוות "רעה חולה" באותה העוצמה המיוחסת ליתר הסמים המפורטים ב</w:t>
      </w:r>
      <w:hyperlink r:id="rId17" w:history="1">
        <w:r w:rsidR="00F0392C" w:rsidRPr="00F0392C">
          <w:rPr>
            <w:rFonts w:ascii="David" w:hAnsi="David" w:cs="David"/>
            <w:color w:val="0000FF"/>
            <w:sz w:val="24"/>
            <w:szCs w:val="24"/>
            <w:u w:val="single"/>
            <w:rtl/>
          </w:rPr>
          <w:t>פקודת הסמים המסוכנים</w:t>
        </w:r>
      </w:hyperlink>
      <w:r>
        <w:rPr>
          <w:rFonts w:ascii="David" w:hAnsi="David" w:cs="David"/>
          <w:sz w:val="24"/>
          <w:szCs w:val="24"/>
          <w:rtl/>
        </w:rPr>
        <w:t xml:space="preserve">, יש בה כדי להשליך על שלב גזירת העונש וקביעת מתחם העונש ההולם. </w:t>
      </w:r>
    </w:p>
    <w:p w14:paraId="3E491FE7" w14:textId="77777777" w:rsidR="0054727D" w:rsidRDefault="0054727D" w:rsidP="0054727D">
      <w:pPr>
        <w:pStyle w:val="a9"/>
        <w:spacing w:line="360" w:lineRule="auto"/>
        <w:ind w:left="360"/>
        <w:jc w:val="both"/>
        <w:rPr>
          <w:rFonts w:ascii="David" w:hAnsi="David" w:cs="David"/>
          <w:sz w:val="24"/>
          <w:szCs w:val="24"/>
        </w:rPr>
      </w:pPr>
    </w:p>
    <w:p w14:paraId="1659B165" w14:textId="77777777" w:rsidR="0054727D" w:rsidRDefault="0054727D" w:rsidP="0054727D">
      <w:pPr>
        <w:pStyle w:val="a9"/>
        <w:numPr>
          <w:ilvl w:val="0"/>
          <w:numId w:val="1"/>
        </w:numPr>
        <w:spacing w:line="360" w:lineRule="auto"/>
        <w:ind w:left="360"/>
        <w:jc w:val="both"/>
        <w:rPr>
          <w:rFonts w:ascii="David" w:hAnsi="David" w:cs="David"/>
          <w:sz w:val="24"/>
          <w:szCs w:val="24"/>
          <w:rtl/>
        </w:rPr>
      </w:pPr>
      <w:r>
        <w:rPr>
          <w:rFonts w:ascii="David" w:hAnsi="David" w:cs="David"/>
          <w:sz w:val="24"/>
          <w:szCs w:val="24"/>
          <w:rtl/>
        </w:rPr>
        <w:t xml:space="preserve">ודוק; משמעות הדברים שהובאו לעיל אינה משנה מן העובדה הבסיסית והיא כי החזקה ושימוש של סם מסוג חשיש היא עבירה פלילית. הדברים אף הובאו במסגרת הכרעת הדין, שם קבעתי כי חרף ספק העומד בחוקיות החיפוש שנערך לנאשם, אין בו כדי להוביל לפסילת הסמים, ואגב כך לזיכויו של הנאשם. עם זאת, דומה כי במסגרת פרשת העונש יש מקום להתחשב בנתונים אלה בדבר מעמדו של הסם, כמו גם בפגמים שהועלו במסגרת החיפוש שנערך לנאשם (ראו והשוו: </w:t>
      </w:r>
      <w:hyperlink r:id="rId18" w:history="1">
        <w:r w:rsidR="00F0392C" w:rsidRPr="00F0392C">
          <w:rPr>
            <w:rFonts w:ascii="David" w:hAnsi="David" w:cs="David"/>
            <w:color w:val="0000FF"/>
            <w:sz w:val="24"/>
            <w:szCs w:val="24"/>
            <w:u w:val="single"/>
            <w:rtl/>
          </w:rPr>
          <w:t>ע"פ 482/20</w:t>
        </w:r>
      </w:hyperlink>
      <w:r>
        <w:rPr>
          <w:rFonts w:ascii="David" w:hAnsi="David" w:cs="David"/>
          <w:sz w:val="24"/>
          <w:szCs w:val="24"/>
          <w:rtl/>
        </w:rPr>
        <w:t xml:space="preserve"> </w:t>
      </w:r>
      <w:r>
        <w:rPr>
          <w:rFonts w:ascii="David" w:hAnsi="David" w:cs="David"/>
          <w:b/>
          <w:bCs/>
          <w:sz w:val="24"/>
          <w:szCs w:val="24"/>
          <w:rtl/>
        </w:rPr>
        <w:t>מטר נ' מדינת ישראל</w:t>
      </w:r>
      <w:r>
        <w:rPr>
          <w:rFonts w:ascii="David" w:hAnsi="David" w:cs="David"/>
          <w:sz w:val="24"/>
          <w:szCs w:val="24"/>
          <w:rtl/>
        </w:rPr>
        <w:t xml:space="preserve"> (פורסם בנבו, 4.6.20), פס' 13).</w:t>
      </w:r>
    </w:p>
    <w:p w14:paraId="09F72651" w14:textId="77777777" w:rsidR="0054727D" w:rsidRDefault="0054727D" w:rsidP="0054727D">
      <w:pPr>
        <w:pStyle w:val="a9"/>
        <w:spacing w:line="360" w:lineRule="auto"/>
        <w:ind w:left="360"/>
        <w:jc w:val="both"/>
        <w:rPr>
          <w:rFonts w:ascii="David" w:hAnsi="David" w:cs="David"/>
          <w:sz w:val="24"/>
          <w:szCs w:val="24"/>
        </w:rPr>
      </w:pPr>
    </w:p>
    <w:p w14:paraId="6985B4DC" w14:textId="77777777" w:rsidR="0054727D" w:rsidRDefault="0054727D" w:rsidP="0054727D">
      <w:pPr>
        <w:pStyle w:val="a9"/>
        <w:numPr>
          <w:ilvl w:val="0"/>
          <w:numId w:val="1"/>
        </w:numPr>
        <w:spacing w:line="360" w:lineRule="auto"/>
        <w:ind w:left="360"/>
        <w:jc w:val="both"/>
        <w:rPr>
          <w:rFonts w:ascii="David" w:hAnsi="David" w:cs="David"/>
          <w:sz w:val="24"/>
          <w:szCs w:val="24"/>
        </w:rPr>
      </w:pPr>
      <w:r>
        <w:rPr>
          <w:rFonts w:ascii="David" w:hAnsi="David" w:cs="David"/>
          <w:sz w:val="24"/>
          <w:szCs w:val="24"/>
          <w:rtl/>
        </w:rPr>
        <w:t>בחינת נסיבות ביצוע העבירה מובילה למסקנה כי הפגיעה בערכים המוגנים הינה ברף הנמוך;</w:t>
      </w:r>
    </w:p>
    <w:p w14:paraId="4978480B" w14:textId="77777777" w:rsidR="0054727D" w:rsidRDefault="0054727D" w:rsidP="0054727D">
      <w:pPr>
        <w:pStyle w:val="a9"/>
        <w:rPr>
          <w:rFonts w:ascii="David" w:hAnsi="David" w:cs="David"/>
          <w:sz w:val="24"/>
          <w:szCs w:val="24"/>
        </w:rPr>
      </w:pPr>
    </w:p>
    <w:p w14:paraId="2670ABF5" w14:textId="77777777" w:rsidR="0054727D" w:rsidRDefault="0054727D" w:rsidP="0054727D">
      <w:pPr>
        <w:pStyle w:val="a9"/>
        <w:spacing w:line="360" w:lineRule="auto"/>
        <w:ind w:left="360"/>
        <w:jc w:val="both"/>
        <w:rPr>
          <w:rFonts w:ascii="David" w:hAnsi="David" w:cs="David"/>
          <w:sz w:val="24"/>
          <w:szCs w:val="24"/>
          <w:rtl/>
        </w:rPr>
      </w:pPr>
      <w:r>
        <w:rPr>
          <w:rFonts w:ascii="David" w:hAnsi="David" w:cs="David"/>
          <w:sz w:val="24"/>
          <w:szCs w:val="24"/>
          <w:rtl/>
        </w:rPr>
        <w:t>בנסיבות המקרה דנא, עולה כי במסגרת חיפוש שנערך לנאשם, נמצא כי החזיק 99 גרם של סם מסוג חשיש. בפריזמת הדברים שהובאו לעיל ביחס לסם מסוג קנאביס, הרי שיש לראות בנסיבות אלה כבעלות חומרה נמוכה, יחסית. בנוסף, יש לזכור ולהדגיש שהנאשם שבפניי הורשע אך בביצוע עבירה בודדת של החזקה שלא לצריכה עצמית, וללא עבירות נלוות, ואף במובן זה חומרת המעשים היא פחותה מביצוע עבירות סחר של ממש, המלמדות על הוצאה לפועל של הפצת הסם בציבור.</w:t>
      </w:r>
    </w:p>
    <w:p w14:paraId="4B81A74D" w14:textId="77777777" w:rsidR="0054727D" w:rsidRDefault="0054727D" w:rsidP="0054727D">
      <w:pPr>
        <w:pStyle w:val="a9"/>
        <w:spacing w:line="360" w:lineRule="auto"/>
        <w:ind w:left="360"/>
        <w:jc w:val="both"/>
        <w:rPr>
          <w:rFonts w:ascii="David" w:hAnsi="David" w:cs="David"/>
          <w:sz w:val="24"/>
          <w:szCs w:val="24"/>
          <w:rtl/>
        </w:rPr>
      </w:pPr>
    </w:p>
    <w:p w14:paraId="47FC11E2" w14:textId="77777777" w:rsidR="0054727D" w:rsidRDefault="0054727D" w:rsidP="0054727D">
      <w:pPr>
        <w:pStyle w:val="a9"/>
        <w:spacing w:line="360" w:lineRule="auto"/>
        <w:ind w:left="360"/>
        <w:jc w:val="both"/>
        <w:rPr>
          <w:rFonts w:ascii="David" w:hAnsi="David" w:cs="David"/>
          <w:sz w:val="24"/>
          <w:szCs w:val="24"/>
          <w:rtl/>
        </w:rPr>
      </w:pPr>
      <w:r>
        <w:rPr>
          <w:rFonts w:ascii="David" w:hAnsi="David" w:cs="David"/>
          <w:sz w:val="24"/>
          <w:szCs w:val="24"/>
          <w:rtl/>
        </w:rPr>
        <w:t>במסגרת הכרעת הדין קבעתי כי עולה ספק מסוים בדבר חוקיותו של החיפוש שנערך לנאשם. בתוך כך, נקבע כי לא הובררה ההסכמה שהעניק הנאשם לביצוע החיפוש, כמו גם הועלתה השאלה מיהו הגורם המוסמך שהורה על ביצוע החיפוש. עם זאת, ובהתבסס על הקריטריונים שהותוו בפסיקה, לא מצאתי כי יש בפגמים האמורים כדי להוביל לפסילת תוצרי החיפוש- החשיש- שנמצא בחזקתו של הנאשם. מכל מקום, וכמובא לעיל, נסיבות אלה הנוגעות לחיפוש שנערך לנאשם יהוו נתון לקולא בקביעת מתחם העונש ההולם.</w:t>
      </w:r>
    </w:p>
    <w:p w14:paraId="2C46EDEF" w14:textId="77777777" w:rsidR="0054727D" w:rsidRDefault="0054727D" w:rsidP="0054727D">
      <w:pPr>
        <w:pStyle w:val="a9"/>
        <w:spacing w:line="360" w:lineRule="auto"/>
        <w:ind w:left="360"/>
        <w:jc w:val="both"/>
        <w:rPr>
          <w:rFonts w:ascii="David" w:hAnsi="David" w:cs="David"/>
          <w:sz w:val="24"/>
          <w:szCs w:val="24"/>
          <w:rtl/>
        </w:rPr>
      </w:pPr>
    </w:p>
    <w:p w14:paraId="3822B3B4" w14:textId="77777777" w:rsidR="0054727D" w:rsidRDefault="0054727D" w:rsidP="0054727D">
      <w:pPr>
        <w:pStyle w:val="a9"/>
        <w:numPr>
          <w:ilvl w:val="0"/>
          <w:numId w:val="1"/>
        </w:numPr>
        <w:spacing w:line="360" w:lineRule="auto"/>
        <w:ind w:left="360"/>
        <w:jc w:val="both"/>
        <w:rPr>
          <w:rFonts w:ascii="David" w:hAnsi="David" w:cs="David"/>
          <w:sz w:val="24"/>
          <w:szCs w:val="24"/>
          <w:rtl/>
        </w:rPr>
      </w:pPr>
      <w:r>
        <w:rPr>
          <w:rFonts w:cs="David"/>
          <w:sz w:val="24"/>
          <w:szCs w:val="24"/>
          <w:rtl/>
        </w:rPr>
        <w:t xml:space="preserve">בחינת מדיניות הענישה הנוהגת מעלה כי בגין העבירה בה הורשע הנאשם, משיתים בתי המשפט מנעד רחב של עונשים, אולם ברור כי הדבר מושפע מסוג הסם, כמותו, נסיבות ביצוע המעשה והעושה. ראו בשינויים המחייבים, ענישה ומתחמי עונש הולם: </w:t>
      </w:r>
      <w:hyperlink r:id="rId19" w:history="1">
        <w:r w:rsidR="00F0392C" w:rsidRPr="00F0392C">
          <w:rPr>
            <w:rFonts w:ascii="David" w:hAnsi="David" w:cs="David"/>
            <w:color w:val="0000FF"/>
            <w:sz w:val="24"/>
            <w:szCs w:val="24"/>
            <w:u w:val="single"/>
            <w:rtl/>
          </w:rPr>
          <w:t>רע"פ 1281/19</w:t>
        </w:r>
      </w:hyperlink>
      <w:r>
        <w:rPr>
          <w:rFonts w:ascii="David" w:hAnsi="David" w:cs="David"/>
          <w:sz w:val="24"/>
          <w:szCs w:val="24"/>
          <w:rtl/>
        </w:rPr>
        <w:t xml:space="preserve"> </w:t>
      </w:r>
      <w:r>
        <w:rPr>
          <w:rFonts w:ascii="David" w:hAnsi="David" w:cs="David"/>
          <w:b/>
          <w:bCs/>
          <w:sz w:val="24"/>
          <w:szCs w:val="24"/>
          <w:rtl/>
        </w:rPr>
        <w:t>אוחנה מישאל נ' מדינת ישראל</w:t>
      </w:r>
      <w:r>
        <w:rPr>
          <w:rFonts w:ascii="David" w:hAnsi="David" w:cs="David"/>
          <w:sz w:val="24"/>
          <w:szCs w:val="24"/>
          <w:rtl/>
        </w:rPr>
        <w:t xml:space="preserve"> (פורסם בנבו, 4.4.19); </w:t>
      </w:r>
      <w:hyperlink r:id="rId20" w:history="1">
        <w:r w:rsidR="00F0392C" w:rsidRPr="00F0392C">
          <w:rPr>
            <w:rFonts w:ascii="David" w:hAnsi="David" w:cs="David"/>
            <w:color w:val="0000FF"/>
            <w:sz w:val="24"/>
            <w:szCs w:val="24"/>
            <w:u w:val="single"/>
            <w:rtl/>
          </w:rPr>
          <w:t>רע"פ 3807/18</w:t>
        </w:r>
      </w:hyperlink>
      <w:r>
        <w:rPr>
          <w:rFonts w:ascii="David" w:hAnsi="David" w:cs="David"/>
          <w:sz w:val="24"/>
          <w:szCs w:val="24"/>
          <w:rtl/>
        </w:rPr>
        <w:t xml:space="preserve"> </w:t>
      </w:r>
      <w:r>
        <w:rPr>
          <w:rFonts w:ascii="David" w:hAnsi="David" w:cs="David"/>
          <w:b/>
          <w:bCs/>
          <w:sz w:val="24"/>
          <w:szCs w:val="24"/>
          <w:rtl/>
        </w:rPr>
        <w:t>דמיטרי טרטיאקוב נ' מדינת ישראל</w:t>
      </w:r>
      <w:r>
        <w:rPr>
          <w:rFonts w:ascii="David" w:hAnsi="David" w:cs="David"/>
          <w:sz w:val="24"/>
          <w:szCs w:val="24"/>
          <w:rtl/>
        </w:rPr>
        <w:t xml:space="preserve"> (פורסם בנבו, 12.8.18); </w:t>
      </w:r>
      <w:hyperlink r:id="rId21" w:history="1">
        <w:r w:rsidR="00F0392C" w:rsidRPr="00F0392C">
          <w:rPr>
            <w:rFonts w:ascii="David" w:hAnsi="David" w:cs="David"/>
            <w:color w:val="0000FF"/>
            <w:sz w:val="24"/>
            <w:szCs w:val="24"/>
            <w:u w:val="single"/>
            <w:rtl/>
          </w:rPr>
          <w:t>רע"פ 4512/15</w:t>
        </w:r>
      </w:hyperlink>
      <w:r>
        <w:rPr>
          <w:rFonts w:ascii="David" w:hAnsi="David" w:cs="David"/>
          <w:sz w:val="24"/>
          <w:szCs w:val="24"/>
          <w:rtl/>
        </w:rPr>
        <w:t xml:space="preserve"> </w:t>
      </w:r>
      <w:r>
        <w:rPr>
          <w:rFonts w:ascii="David" w:hAnsi="David" w:cs="David"/>
          <w:b/>
          <w:bCs/>
          <w:sz w:val="24"/>
          <w:szCs w:val="24"/>
          <w:rtl/>
        </w:rPr>
        <w:t>אברהם הרוש נ' מדינת ישראל</w:t>
      </w:r>
      <w:r>
        <w:rPr>
          <w:rFonts w:ascii="David" w:hAnsi="David" w:cs="David"/>
          <w:sz w:val="24"/>
          <w:szCs w:val="24"/>
          <w:rtl/>
        </w:rPr>
        <w:t xml:space="preserve"> (פורסם בנבו, 06.07.15); </w:t>
      </w:r>
      <w:hyperlink r:id="rId22" w:history="1">
        <w:r w:rsidR="00F0392C" w:rsidRPr="00F0392C">
          <w:rPr>
            <w:rFonts w:ascii="David" w:hAnsi="David" w:cs="David"/>
            <w:color w:val="0000FF"/>
            <w:sz w:val="24"/>
            <w:szCs w:val="24"/>
            <w:u w:val="single"/>
            <w:rtl/>
          </w:rPr>
          <w:t>ת"פ (ת"א) 3781-11-11</w:t>
        </w:r>
      </w:hyperlink>
      <w:r>
        <w:rPr>
          <w:rFonts w:ascii="David" w:hAnsi="David" w:cs="David"/>
          <w:sz w:val="24"/>
          <w:szCs w:val="24"/>
          <w:rtl/>
        </w:rPr>
        <w:t xml:space="preserve"> </w:t>
      </w:r>
      <w:r>
        <w:rPr>
          <w:rFonts w:ascii="David" w:hAnsi="David" w:cs="David"/>
          <w:b/>
          <w:bCs/>
          <w:sz w:val="24"/>
          <w:szCs w:val="24"/>
          <w:rtl/>
        </w:rPr>
        <w:t>מדינת ישראל נ' אברהם ציוני</w:t>
      </w:r>
      <w:r>
        <w:rPr>
          <w:rFonts w:ascii="David" w:hAnsi="David" w:cs="David"/>
          <w:sz w:val="24"/>
          <w:szCs w:val="24"/>
          <w:rtl/>
        </w:rPr>
        <w:t xml:space="preserve"> (פורסם בנבו, 06.03.16).</w:t>
      </w:r>
    </w:p>
    <w:p w14:paraId="2654DDFA" w14:textId="77777777" w:rsidR="0054727D" w:rsidRDefault="0054727D" w:rsidP="0054727D">
      <w:pPr>
        <w:pStyle w:val="a9"/>
        <w:spacing w:line="360" w:lineRule="auto"/>
        <w:ind w:left="360"/>
        <w:jc w:val="both"/>
        <w:rPr>
          <w:rFonts w:cs="David"/>
          <w:sz w:val="24"/>
          <w:szCs w:val="24"/>
        </w:rPr>
      </w:pPr>
    </w:p>
    <w:p w14:paraId="20D494A4" w14:textId="77777777" w:rsidR="0054727D" w:rsidRDefault="0054727D" w:rsidP="0054727D">
      <w:pPr>
        <w:pStyle w:val="a9"/>
        <w:numPr>
          <w:ilvl w:val="0"/>
          <w:numId w:val="1"/>
        </w:numPr>
        <w:spacing w:line="360" w:lineRule="auto"/>
        <w:ind w:left="360"/>
        <w:jc w:val="both"/>
        <w:rPr>
          <w:rFonts w:cs="David"/>
          <w:sz w:val="24"/>
          <w:szCs w:val="24"/>
        </w:rPr>
      </w:pPr>
      <w:r>
        <w:rPr>
          <w:rFonts w:cs="David"/>
          <w:sz w:val="24"/>
          <w:szCs w:val="24"/>
          <w:rtl/>
        </w:rPr>
        <w:t>בנסיבות האמורות, בשים לב לסוג הסם שנתפס, כמותו ולאור השאלות שהועלו בעקבות בירור הליך החיפוש שנערך לנאשם במסגרת שמיעת הראיות, אשר ראוי להעניק להן ביטוי בשלב גזירת הדין, אני סבורה כי על מתחם העונש ההולם לנוע בין מאסר מותנה לצד צו של"צ לבין מספר חודשי מאסר בפועל.</w:t>
      </w:r>
    </w:p>
    <w:p w14:paraId="165722BC" w14:textId="77777777" w:rsidR="0054727D" w:rsidRDefault="0054727D" w:rsidP="0054727D">
      <w:pPr>
        <w:spacing w:line="360" w:lineRule="auto"/>
        <w:jc w:val="both"/>
        <w:rPr>
          <w:u w:val="single"/>
          <w:rtl/>
        </w:rPr>
      </w:pPr>
      <w:r>
        <w:rPr>
          <w:u w:val="single"/>
          <w:rtl/>
        </w:rPr>
        <w:t>העונש המתאים</w:t>
      </w:r>
    </w:p>
    <w:p w14:paraId="27DC40E5" w14:textId="77777777" w:rsidR="0054727D" w:rsidRDefault="0054727D" w:rsidP="0054727D">
      <w:pPr>
        <w:spacing w:line="360" w:lineRule="auto"/>
        <w:jc w:val="both"/>
        <w:rPr>
          <w:u w:val="single"/>
        </w:rPr>
      </w:pPr>
    </w:p>
    <w:p w14:paraId="47B24651" w14:textId="77777777" w:rsidR="0054727D" w:rsidRDefault="0054727D" w:rsidP="0054727D">
      <w:pPr>
        <w:pStyle w:val="a9"/>
        <w:numPr>
          <w:ilvl w:val="0"/>
          <w:numId w:val="1"/>
        </w:numPr>
        <w:spacing w:line="360" w:lineRule="auto"/>
        <w:ind w:left="360"/>
        <w:jc w:val="both"/>
        <w:rPr>
          <w:rFonts w:cs="David"/>
          <w:sz w:val="24"/>
          <w:szCs w:val="24"/>
          <w:rtl/>
        </w:rPr>
      </w:pPr>
      <w:r>
        <w:rPr>
          <w:rFonts w:cs="David"/>
          <w:sz w:val="24"/>
          <w:szCs w:val="24"/>
          <w:rtl/>
        </w:rPr>
        <w:t>הנאשם נעדר עבר פלילי וזוהי לו הסתבכות ראשונה בפלילים. יתר על כן, בזמן שחלף מיום ביצוע העבירה (מרץ 2016) לא נפתחו נגדו תיקים נוספים. נתונים אלה מלמדים כי מדובר במעידה חד פעמית, אשר איננה מאפיינת את דרכיו של הנאשם. עוד הם מלמדים כי אין מקום לתת משקל לשיקולי הרתעתו של הנאשם.</w:t>
      </w:r>
    </w:p>
    <w:p w14:paraId="1D4062F3" w14:textId="77777777" w:rsidR="0054727D" w:rsidRDefault="0054727D" w:rsidP="0054727D">
      <w:pPr>
        <w:pStyle w:val="a9"/>
        <w:spacing w:line="360" w:lineRule="auto"/>
        <w:ind w:left="360"/>
        <w:jc w:val="both"/>
        <w:rPr>
          <w:rFonts w:cs="David"/>
          <w:sz w:val="24"/>
          <w:szCs w:val="24"/>
        </w:rPr>
      </w:pPr>
    </w:p>
    <w:p w14:paraId="4A20CFBB" w14:textId="77777777" w:rsidR="0054727D" w:rsidRDefault="0054727D" w:rsidP="0054727D">
      <w:pPr>
        <w:pStyle w:val="a9"/>
        <w:numPr>
          <w:ilvl w:val="0"/>
          <w:numId w:val="1"/>
        </w:numPr>
        <w:spacing w:line="360" w:lineRule="auto"/>
        <w:ind w:left="360"/>
        <w:jc w:val="both"/>
        <w:rPr>
          <w:rFonts w:cs="David"/>
          <w:sz w:val="24"/>
          <w:szCs w:val="24"/>
          <w:rtl/>
        </w:rPr>
      </w:pPr>
      <w:r>
        <w:rPr>
          <w:rFonts w:cs="David"/>
          <w:sz w:val="24"/>
          <w:szCs w:val="24"/>
          <w:rtl/>
        </w:rPr>
        <w:t>הנאשם כפר במיוחס לו, ניהל הוכחות וסירב ליטול אחריות למעשיו. זוהי כמובן זכותו היסודית, וממילא לא מצאתי בכך כדי להוות נסיבה להחמרה בעונשו. עם זאת, ולאור נכונות שהביע בפני שירות המבחן, נבחנה האפשרות לשלבו בהליך טיפולי ביחידה להתמכרויות נוכח צריכת אלכוהול מוגברת שתוארה מצדו. ברם, ניסיונות שילוב אלה לא צלחו, באשר הנאשם לא התייצב לפגישות שנקבעו, והלכה למעשה דחה אפשרות זו חרף מספר הזדמנויות שניתנו לו (כמפורט בסעיף 4 לגזר הדין). שירות המבחן התרשם כי הנאשם אמנם הביע רצון לקחת חלק בהליך כאמור, אולם הוא נעדר כוחות להניע הליך שינוי וטיפול.</w:t>
      </w:r>
    </w:p>
    <w:p w14:paraId="67CE0F66" w14:textId="77777777" w:rsidR="0054727D" w:rsidRDefault="0054727D" w:rsidP="0054727D">
      <w:pPr>
        <w:pStyle w:val="a9"/>
        <w:rPr>
          <w:rFonts w:cs="David"/>
          <w:sz w:val="24"/>
          <w:szCs w:val="24"/>
        </w:rPr>
      </w:pPr>
    </w:p>
    <w:p w14:paraId="6731AD6B" w14:textId="77777777" w:rsidR="0054727D" w:rsidRDefault="0054727D" w:rsidP="0054727D">
      <w:pPr>
        <w:pStyle w:val="a9"/>
        <w:numPr>
          <w:ilvl w:val="0"/>
          <w:numId w:val="1"/>
        </w:numPr>
        <w:spacing w:line="360" w:lineRule="auto"/>
        <w:ind w:left="360"/>
        <w:jc w:val="both"/>
        <w:rPr>
          <w:rFonts w:cs="David"/>
          <w:sz w:val="24"/>
          <w:szCs w:val="24"/>
          <w:rtl/>
        </w:rPr>
      </w:pPr>
      <w:r>
        <w:rPr>
          <w:rFonts w:cs="David"/>
          <w:sz w:val="24"/>
          <w:szCs w:val="24"/>
          <w:rtl/>
        </w:rPr>
        <w:t>שירות המבחן שקל אף המלצה על ענישה חינוכית בדמות צו של"צ. אף אני סברתי כי זהו העונש המתאים בשים לב לכלל נסיבות המקרה, ובפרט בשים לב לנסיבותיו האישית של הנאשם כפי שפורטו בתסקיר. דא עקא, שהנאשם לא טרח להתייצב גם לפגישה בשירות המבחן שנועדה לבחון אפשרות זו, ובכך נסתם הגולל להשתת ענישה מן הסוג האמור. הדברים אף הובאו מפיו של הנאשם בדיון מיום 8.7.20 שם נמסר על ידו כי "</w:t>
      </w:r>
      <w:r w:rsidRPr="0054727D">
        <w:rPr>
          <w:rFonts w:ascii="Times New Roman" w:hAnsi="Times New Roman" w:cs="Times New Roman"/>
          <w:sz w:val="24"/>
          <w:szCs w:val="24"/>
          <w:rtl/>
        </w:rPr>
        <w:t>לא הסתדר לי ללכת לשירות המבחן, לא היה לי אוטו. לא הסתדר, אין מה לעשות שיהיה עבודות שירות</w:t>
      </w:r>
      <w:r>
        <w:rPr>
          <w:rFonts w:cs="David"/>
          <w:sz w:val="24"/>
          <w:szCs w:val="24"/>
          <w:rtl/>
        </w:rPr>
        <w:t>". דומה אפוא כי הגורמים המעורבים בהליך הפלילי שננקט נגד הנאשם, לרבות בית המשפט ושירות המבחן, צעדו כברת דרך משמעותית לעברו, אולם הוא בחר שלא להיעתר להזדמנויות שניתנו לו, ומשכך אין לו להלין אלא על עצמו.</w:t>
      </w:r>
    </w:p>
    <w:p w14:paraId="77D6DB40" w14:textId="77777777" w:rsidR="0054727D" w:rsidRDefault="0054727D" w:rsidP="0054727D">
      <w:pPr>
        <w:pStyle w:val="a9"/>
        <w:rPr>
          <w:rFonts w:cs="David"/>
          <w:sz w:val="24"/>
          <w:szCs w:val="24"/>
        </w:rPr>
      </w:pPr>
    </w:p>
    <w:p w14:paraId="08A63059" w14:textId="77777777" w:rsidR="0054727D" w:rsidRDefault="0054727D" w:rsidP="0054727D">
      <w:pPr>
        <w:pStyle w:val="a9"/>
        <w:numPr>
          <w:ilvl w:val="0"/>
          <w:numId w:val="1"/>
        </w:numPr>
        <w:spacing w:line="360" w:lineRule="auto"/>
        <w:ind w:left="360"/>
        <w:jc w:val="both"/>
        <w:rPr>
          <w:rFonts w:cs="David"/>
          <w:sz w:val="24"/>
          <w:szCs w:val="24"/>
          <w:rtl/>
        </w:rPr>
      </w:pPr>
      <w:r>
        <w:rPr>
          <w:rFonts w:cs="David"/>
          <w:sz w:val="24"/>
          <w:szCs w:val="24"/>
          <w:rtl/>
        </w:rPr>
        <w:t xml:space="preserve">באיזון בין כלל השיקולים שהובאו לעיל סברתי, כאמור, כי יש למקם את הנאשם בתחתית מתחם העונש ההולם. עם זאת, ולאור התנהלותו של הנאשם, אין מנוס מהשתת עונש מאסר קצר שירוצה בעבודות שירות. </w:t>
      </w:r>
    </w:p>
    <w:p w14:paraId="6A9970D0" w14:textId="77777777" w:rsidR="0054727D" w:rsidRDefault="0054727D" w:rsidP="0054727D">
      <w:pPr>
        <w:pStyle w:val="a9"/>
        <w:rPr>
          <w:rFonts w:cs="David"/>
          <w:sz w:val="24"/>
          <w:szCs w:val="24"/>
          <w:u w:val="single"/>
        </w:rPr>
      </w:pPr>
    </w:p>
    <w:p w14:paraId="1B89DB65" w14:textId="77777777" w:rsidR="0054727D" w:rsidRPr="00BE3FB2" w:rsidRDefault="0054727D" w:rsidP="0054727D">
      <w:pPr>
        <w:pStyle w:val="a9"/>
        <w:numPr>
          <w:ilvl w:val="0"/>
          <w:numId w:val="1"/>
        </w:numPr>
        <w:spacing w:line="360" w:lineRule="auto"/>
        <w:ind w:left="360"/>
        <w:jc w:val="both"/>
        <w:rPr>
          <w:rFonts w:cs="David"/>
          <w:sz w:val="24"/>
          <w:szCs w:val="24"/>
          <w:rtl/>
        </w:rPr>
      </w:pPr>
      <w:r>
        <w:rPr>
          <w:rFonts w:cs="David"/>
          <w:sz w:val="24"/>
          <w:szCs w:val="24"/>
          <w:u w:val="single"/>
          <w:rtl/>
        </w:rPr>
        <w:t>אני משיתה על הנאשם את העונשים הבאים</w:t>
      </w:r>
      <w:r>
        <w:rPr>
          <w:rFonts w:cs="David"/>
          <w:sz w:val="24"/>
          <w:szCs w:val="24"/>
          <w:rtl/>
        </w:rPr>
        <w:t>:</w:t>
      </w:r>
    </w:p>
    <w:p w14:paraId="12B26086" w14:textId="77777777" w:rsidR="0054727D" w:rsidRDefault="0054727D" w:rsidP="0054727D">
      <w:pPr>
        <w:pStyle w:val="a9"/>
        <w:numPr>
          <w:ilvl w:val="0"/>
          <w:numId w:val="2"/>
        </w:numPr>
        <w:spacing w:line="360" w:lineRule="auto"/>
        <w:jc w:val="both"/>
        <w:rPr>
          <w:rFonts w:cs="David"/>
          <w:sz w:val="24"/>
          <w:szCs w:val="24"/>
          <w:rtl/>
        </w:rPr>
      </w:pPr>
      <w:r>
        <w:rPr>
          <w:rFonts w:cs="David"/>
          <w:sz w:val="24"/>
          <w:szCs w:val="24"/>
          <w:rtl/>
        </w:rPr>
        <w:t xml:space="preserve">מאסר למשך 2 חודשים. המאסר ירוצה בעבודות שירות. הנאשם יתייצב לתחילת ריצוי </w:t>
      </w:r>
      <w:r>
        <w:rPr>
          <w:rFonts w:cs="David" w:hint="cs"/>
          <w:sz w:val="24"/>
          <w:szCs w:val="24"/>
          <w:rtl/>
        </w:rPr>
        <w:t xml:space="preserve">בתאום עם הממונה על </w:t>
      </w:r>
      <w:r>
        <w:rPr>
          <w:rFonts w:cs="David"/>
          <w:sz w:val="24"/>
          <w:szCs w:val="24"/>
          <w:rtl/>
        </w:rPr>
        <w:t>עבודות שירות בבאר שבע</w:t>
      </w:r>
      <w:r>
        <w:rPr>
          <w:rFonts w:cs="David" w:hint="cs"/>
          <w:sz w:val="24"/>
          <w:szCs w:val="24"/>
          <w:rtl/>
        </w:rPr>
        <w:t xml:space="preserve"> ולא לפני חלוף 45 ימים מהיום</w:t>
      </w:r>
      <w:r>
        <w:rPr>
          <w:rFonts w:cs="David"/>
          <w:sz w:val="24"/>
          <w:szCs w:val="24"/>
          <w:rtl/>
        </w:rPr>
        <w:t>.</w:t>
      </w:r>
    </w:p>
    <w:p w14:paraId="602DBC4F" w14:textId="77777777" w:rsidR="0054727D" w:rsidRDefault="0054727D" w:rsidP="0054727D">
      <w:pPr>
        <w:pStyle w:val="a9"/>
        <w:numPr>
          <w:ilvl w:val="0"/>
          <w:numId w:val="2"/>
        </w:numPr>
        <w:spacing w:line="360" w:lineRule="auto"/>
        <w:jc w:val="both"/>
        <w:rPr>
          <w:rFonts w:cs="David"/>
          <w:sz w:val="24"/>
          <w:szCs w:val="24"/>
        </w:rPr>
      </w:pPr>
      <w:r>
        <w:rPr>
          <w:rFonts w:cs="David"/>
          <w:sz w:val="24"/>
          <w:szCs w:val="24"/>
          <w:rtl/>
        </w:rPr>
        <w:t xml:space="preserve">מאסר למשך 5 חודשים וזאת על תנאי למשך שלוש שנים, והתנאי שלא יעבור הנאשם עבירת סמים מסוג פשע. </w:t>
      </w:r>
    </w:p>
    <w:p w14:paraId="559E156A" w14:textId="77777777" w:rsidR="0054727D" w:rsidRDefault="0054727D" w:rsidP="0054727D">
      <w:pPr>
        <w:pStyle w:val="a9"/>
        <w:numPr>
          <w:ilvl w:val="0"/>
          <w:numId w:val="2"/>
        </w:numPr>
        <w:spacing w:line="360" w:lineRule="auto"/>
        <w:jc w:val="both"/>
        <w:rPr>
          <w:rFonts w:cs="David"/>
          <w:sz w:val="24"/>
          <w:szCs w:val="24"/>
          <w:rtl/>
        </w:rPr>
      </w:pPr>
      <w:r>
        <w:rPr>
          <w:rFonts w:cs="David"/>
          <w:sz w:val="24"/>
          <w:szCs w:val="24"/>
          <w:rtl/>
        </w:rPr>
        <w:t xml:space="preserve">מאסר למשך חודשיים וזאת על תנאי למשך שנתיים, והתנאי שלא יעבור הנאשם עבירת סמים מסוג עוון. </w:t>
      </w:r>
    </w:p>
    <w:p w14:paraId="2CA860DF" w14:textId="77777777" w:rsidR="0054727D" w:rsidRDefault="0054727D" w:rsidP="0054727D">
      <w:pPr>
        <w:pStyle w:val="a9"/>
        <w:numPr>
          <w:ilvl w:val="0"/>
          <w:numId w:val="2"/>
        </w:numPr>
        <w:spacing w:line="360" w:lineRule="auto"/>
        <w:jc w:val="both"/>
        <w:rPr>
          <w:rFonts w:cs="David"/>
          <w:sz w:val="24"/>
          <w:szCs w:val="24"/>
          <w:rtl/>
        </w:rPr>
      </w:pPr>
      <w:r>
        <w:rPr>
          <w:rFonts w:cs="David"/>
          <w:sz w:val="24"/>
          <w:szCs w:val="24"/>
          <w:rtl/>
        </w:rPr>
        <w:t>קנס בסך 1,000 ₪ אשר יסולק בשני תשלומים שווים ורצופים החל מיום 01.</w:t>
      </w:r>
      <w:r>
        <w:rPr>
          <w:rFonts w:cs="David" w:hint="cs"/>
          <w:sz w:val="24"/>
          <w:szCs w:val="24"/>
          <w:rtl/>
        </w:rPr>
        <w:t>04</w:t>
      </w:r>
      <w:r>
        <w:rPr>
          <w:rFonts w:cs="David"/>
          <w:sz w:val="24"/>
          <w:szCs w:val="24"/>
          <w:rtl/>
        </w:rPr>
        <w:t>.21.</w:t>
      </w:r>
    </w:p>
    <w:p w14:paraId="52990AED" w14:textId="77777777" w:rsidR="0054727D" w:rsidRDefault="0054727D" w:rsidP="0054727D">
      <w:pPr>
        <w:pStyle w:val="a9"/>
        <w:numPr>
          <w:ilvl w:val="0"/>
          <w:numId w:val="2"/>
        </w:numPr>
        <w:spacing w:line="360" w:lineRule="auto"/>
        <w:jc w:val="both"/>
        <w:rPr>
          <w:rFonts w:cs="David"/>
          <w:b/>
          <w:bCs/>
          <w:sz w:val="24"/>
          <w:szCs w:val="24"/>
        </w:rPr>
      </w:pPr>
      <w:r>
        <w:rPr>
          <w:rFonts w:cs="David"/>
          <w:sz w:val="24"/>
          <w:szCs w:val="24"/>
          <w:rtl/>
        </w:rPr>
        <w:t>פסילת רישיון נהיגה למשך 3 חודשים וזאת על תנאי למשך שלוש שנים, ואל התנאים הקבועים בתוספת יתווסף תנאי של נהיגה תחת השפעת סמים.</w:t>
      </w:r>
    </w:p>
    <w:p w14:paraId="5444FD9D" w14:textId="77777777" w:rsidR="0054727D" w:rsidRDefault="0054727D" w:rsidP="0054727D">
      <w:pPr>
        <w:spacing w:line="360" w:lineRule="auto"/>
        <w:jc w:val="both"/>
        <w:rPr>
          <w:b/>
          <w:bCs/>
          <w:rtl/>
        </w:rPr>
      </w:pPr>
      <w:r>
        <w:rPr>
          <w:b/>
          <w:bCs/>
          <w:rtl/>
        </w:rPr>
        <w:t xml:space="preserve">מורה על השמדת המוצגים בתיק. </w:t>
      </w:r>
    </w:p>
    <w:p w14:paraId="75C24FDE" w14:textId="77777777" w:rsidR="0054727D" w:rsidRDefault="0054727D" w:rsidP="0054727D">
      <w:pPr>
        <w:spacing w:line="360" w:lineRule="auto"/>
        <w:jc w:val="both"/>
        <w:rPr>
          <w:b/>
          <w:bCs/>
          <w:rtl/>
        </w:rPr>
      </w:pPr>
      <w:r>
        <w:rPr>
          <w:b/>
          <w:bCs/>
          <w:rtl/>
        </w:rPr>
        <w:t xml:space="preserve">מזכירות תשלח גזר הדין לממונה על עבודות שירות. </w:t>
      </w:r>
    </w:p>
    <w:p w14:paraId="3A7EDDB4" w14:textId="77777777" w:rsidR="0054727D" w:rsidRDefault="0054727D" w:rsidP="0054727D">
      <w:pPr>
        <w:spacing w:line="360" w:lineRule="auto"/>
        <w:jc w:val="both"/>
      </w:pPr>
      <w:r>
        <w:rPr>
          <w:rtl/>
        </w:rPr>
        <w:t>זכות ערעור לבית המשפט המחוזי תוך 45 ימים</w:t>
      </w:r>
    </w:p>
    <w:p w14:paraId="300C0527" w14:textId="77777777" w:rsidR="0054727D" w:rsidRPr="00F0392C" w:rsidRDefault="00F0392C" w:rsidP="0054727D">
      <w:pPr>
        <w:spacing w:line="360" w:lineRule="auto"/>
        <w:jc w:val="both"/>
        <w:rPr>
          <w:b/>
          <w:bCs/>
          <w:color w:val="FFFFFF"/>
          <w:sz w:val="2"/>
          <w:szCs w:val="2"/>
          <w:u w:val="single"/>
        </w:rPr>
      </w:pPr>
      <w:r w:rsidRPr="00F0392C">
        <w:rPr>
          <w:b/>
          <w:bCs/>
          <w:color w:val="FFFFFF"/>
          <w:sz w:val="2"/>
          <w:szCs w:val="2"/>
          <w:u w:val="single"/>
          <w:rtl/>
        </w:rPr>
        <w:t>5129371</w:t>
      </w:r>
    </w:p>
    <w:p w14:paraId="582E7CF0" w14:textId="77777777" w:rsidR="0054727D" w:rsidRDefault="00F0392C" w:rsidP="0054727D">
      <w:pPr>
        <w:rPr>
          <w:rFonts w:cs="FrankRuehl"/>
          <w:sz w:val="28"/>
          <w:szCs w:val="28"/>
          <w:rtl/>
        </w:rPr>
      </w:pPr>
      <w:bookmarkStart w:id="8" w:name="Nitan"/>
      <w:r w:rsidRPr="00F0392C">
        <w:rPr>
          <w:rFonts w:ascii="Arial" w:hAnsi="Arial"/>
          <w:color w:val="FFFFFF"/>
          <w:sz w:val="2"/>
          <w:szCs w:val="2"/>
          <w:rtl/>
        </w:rPr>
        <w:t>54678313</w:t>
      </w:r>
      <w:r>
        <w:rPr>
          <w:rFonts w:ascii="Arial" w:hAnsi="Arial"/>
          <w:rtl/>
        </w:rPr>
        <w:t xml:space="preserve">ניתן היום,  כ"ה שבט תשפ"א, 07 פברואר 2021, בהעדר הצדדים. </w:t>
      </w:r>
      <w:bookmarkEnd w:id="8"/>
    </w:p>
    <w:p w14:paraId="0A7BDFE1" w14:textId="77777777" w:rsidR="0054727D" w:rsidRDefault="0054727D" w:rsidP="00F0392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D48624D" w14:textId="77777777" w:rsidR="0054727D" w:rsidRDefault="0054727D" w:rsidP="0054727D">
      <w:pPr>
        <w:jc w:val="center"/>
        <w:rPr>
          <w:rFonts w:ascii="Arial" w:hAnsi="Arial" w:cs="FrankRuehl"/>
          <w:sz w:val="28"/>
          <w:szCs w:val="28"/>
          <w:rtl/>
        </w:rPr>
      </w:pPr>
    </w:p>
    <w:p w14:paraId="6CEFFA36" w14:textId="77777777" w:rsidR="00F0392C" w:rsidRDefault="00F0392C" w:rsidP="00F0392C">
      <w:pPr>
        <w:rPr>
          <w:rtl/>
        </w:rPr>
      </w:pPr>
    </w:p>
    <w:p w14:paraId="4D5EEC71" w14:textId="77777777" w:rsidR="00F0392C" w:rsidRDefault="00F0392C" w:rsidP="00F0392C">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4DA18A95" w14:textId="77777777" w:rsidR="00872AD8" w:rsidRPr="00872AD8" w:rsidRDefault="00872AD8" w:rsidP="00872AD8">
      <w:pPr>
        <w:keepNext/>
        <w:rPr>
          <w:rFonts w:ascii="David" w:hAnsi="David"/>
          <w:color w:val="000000"/>
          <w:sz w:val="22"/>
          <w:szCs w:val="22"/>
          <w:rtl/>
        </w:rPr>
      </w:pPr>
    </w:p>
    <w:p w14:paraId="494E66AC" w14:textId="77777777" w:rsidR="00872AD8" w:rsidRPr="00872AD8" w:rsidRDefault="00872AD8" w:rsidP="00872AD8">
      <w:pPr>
        <w:keepNext/>
        <w:rPr>
          <w:rFonts w:ascii="David" w:hAnsi="David"/>
          <w:color w:val="000000"/>
          <w:sz w:val="22"/>
          <w:szCs w:val="22"/>
          <w:rtl/>
        </w:rPr>
      </w:pPr>
      <w:r w:rsidRPr="00872AD8">
        <w:rPr>
          <w:rFonts w:ascii="David" w:hAnsi="David"/>
          <w:color w:val="000000"/>
          <w:sz w:val="22"/>
          <w:szCs w:val="22"/>
          <w:rtl/>
        </w:rPr>
        <w:t>שרון לארי בבלי 54678313-/</w:t>
      </w:r>
    </w:p>
    <w:p w14:paraId="5FC5A794" w14:textId="77777777" w:rsidR="00F0392C" w:rsidRPr="00F0392C" w:rsidRDefault="00872AD8" w:rsidP="00872AD8">
      <w:pPr>
        <w:rPr>
          <w:rFonts w:hint="cs"/>
          <w:color w:val="0000FF"/>
          <w:u w:val="single"/>
        </w:rPr>
      </w:pPr>
      <w:r w:rsidRPr="00872AD8">
        <w:rPr>
          <w:color w:val="000000"/>
          <w:u w:val="single"/>
          <w:rtl/>
        </w:rPr>
        <w:t>נוסח מסמך זה כפוף לשינויי ניסוח ועריכה</w:t>
      </w:r>
      <w:r w:rsidR="00A10F88">
        <w:rPr>
          <w:rFonts w:hint="cs"/>
          <w:color w:val="0000FF"/>
          <w:u w:val="single"/>
          <w:rtl/>
        </w:rPr>
        <w:t xml:space="preserve"> </w:t>
      </w:r>
    </w:p>
    <w:sectPr w:rsidR="00F0392C" w:rsidRPr="00F0392C" w:rsidSect="00872AD8">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97F074" w14:textId="77777777" w:rsidR="003E0E54" w:rsidRDefault="003E0E54" w:rsidP="00B817B2">
      <w:r>
        <w:separator/>
      </w:r>
    </w:p>
  </w:endnote>
  <w:endnote w:type="continuationSeparator" w:id="0">
    <w:p w14:paraId="0BA5A4D3" w14:textId="77777777" w:rsidR="003E0E54" w:rsidRDefault="003E0E54" w:rsidP="00B81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1B9E0" w14:textId="77777777" w:rsidR="00872AD8" w:rsidRDefault="00872AD8" w:rsidP="00872AD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A04CC92" w14:textId="77777777" w:rsidR="00AF33FD" w:rsidRPr="00872AD8" w:rsidRDefault="00872AD8" w:rsidP="00872AD8">
    <w:pPr>
      <w:pStyle w:val="a5"/>
      <w:pBdr>
        <w:top w:val="single" w:sz="4" w:space="1" w:color="auto"/>
        <w:between w:val="single" w:sz="4" w:space="0" w:color="auto"/>
      </w:pBdr>
      <w:spacing w:after="60"/>
      <w:jc w:val="center"/>
      <w:rPr>
        <w:rFonts w:ascii="FrankRuehl" w:hAnsi="FrankRuehl" w:cs="FrankRuehl"/>
        <w:color w:val="000000"/>
      </w:rPr>
    </w:pPr>
    <w:r w:rsidRPr="00872AD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FB234" w14:textId="77777777" w:rsidR="00872AD8" w:rsidRDefault="00872AD8" w:rsidP="00872AD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E1C43">
      <w:rPr>
        <w:rFonts w:ascii="FrankRuehl" w:hAnsi="FrankRuehl" w:cs="FrankRuehl"/>
        <w:noProof/>
        <w:rtl/>
      </w:rPr>
      <w:t>1</w:t>
    </w:r>
    <w:r>
      <w:rPr>
        <w:rFonts w:ascii="FrankRuehl" w:hAnsi="FrankRuehl" w:cs="FrankRuehl"/>
        <w:rtl/>
      </w:rPr>
      <w:fldChar w:fldCharType="end"/>
    </w:r>
  </w:p>
  <w:p w14:paraId="3584369B" w14:textId="77777777" w:rsidR="00AF33FD" w:rsidRPr="00872AD8" w:rsidRDefault="00872AD8" w:rsidP="00872AD8">
    <w:pPr>
      <w:pStyle w:val="a5"/>
      <w:pBdr>
        <w:top w:val="single" w:sz="4" w:space="1" w:color="auto"/>
        <w:between w:val="single" w:sz="4" w:space="0" w:color="auto"/>
      </w:pBdr>
      <w:spacing w:after="60"/>
      <w:jc w:val="center"/>
      <w:rPr>
        <w:rFonts w:ascii="FrankRuehl" w:hAnsi="FrankRuehl" w:cs="FrankRuehl"/>
        <w:color w:val="000000"/>
      </w:rPr>
    </w:pPr>
    <w:r w:rsidRPr="00872AD8">
      <w:rPr>
        <w:rFonts w:ascii="FrankRuehl" w:hAnsi="FrankRuehl" w:cs="FrankRuehl"/>
        <w:color w:val="000000"/>
      </w:rPr>
      <w:pict w14:anchorId="4168FB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E978E1" w14:textId="77777777" w:rsidR="003E0E54" w:rsidRDefault="003E0E54" w:rsidP="00B817B2">
      <w:r>
        <w:separator/>
      </w:r>
    </w:p>
  </w:footnote>
  <w:footnote w:type="continuationSeparator" w:id="0">
    <w:p w14:paraId="412F4E40" w14:textId="77777777" w:rsidR="003E0E54" w:rsidRDefault="003E0E54" w:rsidP="00B817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B4953" w14:textId="77777777" w:rsidR="00F0392C" w:rsidRPr="00872AD8" w:rsidRDefault="00872AD8" w:rsidP="00872AD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71706-01-17</w:t>
    </w:r>
    <w:r>
      <w:rPr>
        <w:rFonts w:ascii="David" w:hAnsi="David"/>
        <w:color w:val="000000"/>
        <w:sz w:val="22"/>
        <w:szCs w:val="22"/>
        <w:rtl/>
      </w:rPr>
      <w:tab/>
      <w:t xml:space="preserve"> מדינת ישראל  נ' שלמה שלומי מירזייב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40D03" w14:textId="77777777" w:rsidR="00F0392C" w:rsidRPr="00872AD8" w:rsidRDefault="00872AD8" w:rsidP="00872AD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71706-01-17</w:t>
    </w:r>
    <w:r>
      <w:rPr>
        <w:rFonts w:ascii="David" w:hAnsi="David"/>
        <w:color w:val="000000"/>
        <w:sz w:val="22"/>
        <w:szCs w:val="22"/>
        <w:rtl/>
      </w:rPr>
      <w:tab/>
      <w:t xml:space="preserve"> מדינת ישראל  נ' שלמה שלומי מירזייב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366A9"/>
    <w:multiLevelType w:val="hybridMultilevel"/>
    <w:tmpl w:val="CFFCA4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8295CA4"/>
    <w:multiLevelType w:val="hybridMultilevel"/>
    <w:tmpl w:val="EDF449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921022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474141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4727D"/>
    <w:rsid w:val="002B7330"/>
    <w:rsid w:val="002C1B87"/>
    <w:rsid w:val="003A33AF"/>
    <w:rsid w:val="003E0E54"/>
    <w:rsid w:val="0054727D"/>
    <w:rsid w:val="00574A4C"/>
    <w:rsid w:val="00704D54"/>
    <w:rsid w:val="00872AD8"/>
    <w:rsid w:val="008E1C43"/>
    <w:rsid w:val="00A10F88"/>
    <w:rsid w:val="00A73466"/>
    <w:rsid w:val="00AF33FD"/>
    <w:rsid w:val="00B817B2"/>
    <w:rsid w:val="00C80E3B"/>
    <w:rsid w:val="00CD59DD"/>
    <w:rsid w:val="00F0392C"/>
    <w:rsid w:val="00FD25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240442"/>
  <w15:chartTrackingRefBased/>
  <w15:docId w15:val="{7BFCDA00-9C8D-4FE9-8ADE-02B8A376F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4727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4727D"/>
    <w:pPr>
      <w:tabs>
        <w:tab w:val="center" w:pos="4153"/>
        <w:tab w:val="right" w:pos="8306"/>
      </w:tabs>
    </w:pPr>
  </w:style>
  <w:style w:type="character" w:customStyle="1" w:styleId="a4">
    <w:name w:val="כותרת עליונה תו"/>
    <w:link w:val="a3"/>
    <w:rsid w:val="0054727D"/>
    <w:rPr>
      <w:rFonts w:ascii="Times New Roman" w:eastAsia="Times New Roman" w:hAnsi="Times New Roman" w:cs="David"/>
      <w:sz w:val="24"/>
      <w:szCs w:val="24"/>
    </w:rPr>
  </w:style>
  <w:style w:type="paragraph" w:styleId="a5">
    <w:name w:val="footer"/>
    <w:basedOn w:val="a"/>
    <w:link w:val="a6"/>
    <w:rsid w:val="0054727D"/>
    <w:pPr>
      <w:tabs>
        <w:tab w:val="center" w:pos="4153"/>
        <w:tab w:val="right" w:pos="8306"/>
      </w:tabs>
    </w:pPr>
  </w:style>
  <w:style w:type="character" w:customStyle="1" w:styleId="a6">
    <w:name w:val="כותרת תחתונה תו"/>
    <w:link w:val="a5"/>
    <w:rsid w:val="0054727D"/>
    <w:rPr>
      <w:rFonts w:ascii="Times New Roman" w:eastAsia="Times New Roman" w:hAnsi="Times New Roman" w:cs="David"/>
      <w:sz w:val="24"/>
      <w:szCs w:val="24"/>
    </w:rPr>
  </w:style>
  <w:style w:type="table" w:styleId="a7">
    <w:name w:val="Table Grid"/>
    <w:basedOn w:val="a1"/>
    <w:rsid w:val="0054727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4727D"/>
  </w:style>
  <w:style w:type="paragraph" w:styleId="a9">
    <w:name w:val="List Paragraph"/>
    <w:basedOn w:val="a"/>
    <w:qFormat/>
    <w:rsid w:val="0054727D"/>
    <w:pPr>
      <w:spacing w:after="200" w:line="276" w:lineRule="auto"/>
      <w:ind w:left="720"/>
      <w:contextualSpacing/>
    </w:pPr>
    <w:rPr>
      <w:rFonts w:ascii="Calibri" w:eastAsia="Calibri" w:hAnsi="Calibri" w:cs="Arial"/>
      <w:sz w:val="22"/>
      <w:szCs w:val="22"/>
    </w:rPr>
  </w:style>
  <w:style w:type="character" w:styleId="Hyperlink">
    <w:name w:val="Hyperlink"/>
    <w:rsid w:val="00F039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26574841" TargetMode="External"/><Relationship Id="rId18" Type="http://schemas.openxmlformats.org/officeDocument/2006/relationships/hyperlink" Target="http://www.nevo.co.il/case/26375569"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case/20402486" TargetMode="External"/><Relationship Id="rId7" Type="http://schemas.openxmlformats.org/officeDocument/2006/relationships/hyperlink" Target="http://www.nevo.co.il/law/4216" TargetMode="External"/><Relationship Id="rId12" Type="http://schemas.openxmlformats.org/officeDocument/2006/relationships/hyperlink" Target="http://www.nevo.co.il/case/24287803" TargetMode="External"/><Relationship Id="rId17" Type="http://schemas.openxmlformats.org/officeDocument/2006/relationships/hyperlink" Target="http://www.nevo.co.il/law/4216"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7229615" TargetMode="External"/><Relationship Id="rId20" Type="http://schemas.openxmlformats.org/officeDocument/2006/relationships/hyperlink" Target="http://www.nevo.co.il/case/24263098"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4216/7.a.;7.c" TargetMode="External"/><Relationship Id="rId19" Type="http://schemas.openxmlformats.org/officeDocument/2006/relationships/hyperlink" Target="http://www.nevo.co.il/case/25463674"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1015131" TargetMode="External"/><Relationship Id="rId22" Type="http://schemas.openxmlformats.org/officeDocument/2006/relationships/hyperlink" Target="http://www.nevo.co.il/case/2887374"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1831</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10967</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3997820</vt:i4>
      </vt:variant>
      <vt:variant>
        <vt:i4>45</vt:i4>
      </vt:variant>
      <vt:variant>
        <vt:i4>0</vt:i4>
      </vt:variant>
      <vt:variant>
        <vt:i4>5</vt:i4>
      </vt:variant>
      <vt:variant>
        <vt:lpwstr>http://www.nevo.co.il/case/2887374</vt:lpwstr>
      </vt:variant>
      <vt:variant>
        <vt:lpwstr/>
      </vt:variant>
      <vt:variant>
        <vt:i4>3932272</vt:i4>
      </vt:variant>
      <vt:variant>
        <vt:i4>42</vt:i4>
      </vt:variant>
      <vt:variant>
        <vt:i4>0</vt:i4>
      </vt:variant>
      <vt:variant>
        <vt:i4>5</vt:i4>
      </vt:variant>
      <vt:variant>
        <vt:lpwstr>http://www.nevo.co.il/case/20402486</vt:lpwstr>
      </vt:variant>
      <vt:variant>
        <vt:lpwstr/>
      </vt:variant>
      <vt:variant>
        <vt:i4>3801206</vt:i4>
      </vt:variant>
      <vt:variant>
        <vt:i4>39</vt:i4>
      </vt:variant>
      <vt:variant>
        <vt:i4>0</vt:i4>
      </vt:variant>
      <vt:variant>
        <vt:i4>5</vt:i4>
      </vt:variant>
      <vt:variant>
        <vt:lpwstr>http://www.nevo.co.il/case/24263098</vt:lpwstr>
      </vt:variant>
      <vt:variant>
        <vt:lpwstr/>
      </vt:variant>
      <vt:variant>
        <vt:i4>3276913</vt:i4>
      </vt:variant>
      <vt:variant>
        <vt:i4>36</vt:i4>
      </vt:variant>
      <vt:variant>
        <vt:i4>0</vt:i4>
      </vt:variant>
      <vt:variant>
        <vt:i4>5</vt:i4>
      </vt:variant>
      <vt:variant>
        <vt:lpwstr>http://www.nevo.co.il/case/25463674</vt:lpwstr>
      </vt:variant>
      <vt:variant>
        <vt:lpwstr/>
      </vt:variant>
      <vt:variant>
        <vt:i4>3276912</vt:i4>
      </vt:variant>
      <vt:variant>
        <vt:i4>33</vt:i4>
      </vt:variant>
      <vt:variant>
        <vt:i4>0</vt:i4>
      </vt:variant>
      <vt:variant>
        <vt:i4>5</vt:i4>
      </vt:variant>
      <vt:variant>
        <vt:lpwstr>http://www.nevo.co.il/case/26375569</vt:lpwstr>
      </vt:variant>
      <vt:variant>
        <vt:lpwstr/>
      </vt:variant>
      <vt:variant>
        <vt:i4>8257637</vt:i4>
      </vt:variant>
      <vt:variant>
        <vt:i4>30</vt:i4>
      </vt:variant>
      <vt:variant>
        <vt:i4>0</vt:i4>
      </vt:variant>
      <vt:variant>
        <vt:i4>5</vt:i4>
      </vt:variant>
      <vt:variant>
        <vt:lpwstr>http://www.nevo.co.il/law/4216</vt:lpwstr>
      </vt:variant>
      <vt:variant>
        <vt:lpwstr/>
      </vt:variant>
      <vt:variant>
        <vt:i4>3670135</vt:i4>
      </vt:variant>
      <vt:variant>
        <vt:i4>27</vt:i4>
      </vt:variant>
      <vt:variant>
        <vt:i4>0</vt:i4>
      </vt:variant>
      <vt:variant>
        <vt:i4>5</vt:i4>
      </vt:variant>
      <vt:variant>
        <vt:lpwstr>http://www.nevo.co.il/case/27229615</vt:lpwstr>
      </vt:variant>
      <vt:variant>
        <vt:lpwstr/>
      </vt:variant>
      <vt:variant>
        <vt:i4>8257637</vt:i4>
      </vt:variant>
      <vt:variant>
        <vt:i4>24</vt:i4>
      </vt:variant>
      <vt:variant>
        <vt:i4>0</vt:i4>
      </vt:variant>
      <vt:variant>
        <vt:i4>5</vt:i4>
      </vt:variant>
      <vt:variant>
        <vt:lpwstr>http://www.nevo.co.il/law/4216</vt:lpwstr>
      </vt:variant>
      <vt:variant>
        <vt:lpwstr/>
      </vt:variant>
      <vt:variant>
        <vt:i4>3407989</vt:i4>
      </vt:variant>
      <vt:variant>
        <vt:i4>21</vt:i4>
      </vt:variant>
      <vt:variant>
        <vt:i4>0</vt:i4>
      </vt:variant>
      <vt:variant>
        <vt:i4>5</vt:i4>
      </vt:variant>
      <vt:variant>
        <vt:lpwstr>http://www.nevo.co.il/case/21015131</vt:lpwstr>
      </vt:variant>
      <vt:variant>
        <vt:lpwstr/>
      </vt:variant>
      <vt:variant>
        <vt:i4>3604605</vt:i4>
      </vt:variant>
      <vt:variant>
        <vt:i4>18</vt:i4>
      </vt:variant>
      <vt:variant>
        <vt:i4>0</vt:i4>
      </vt:variant>
      <vt:variant>
        <vt:i4>5</vt:i4>
      </vt:variant>
      <vt:variant>
        <vt:lpwstr>http://www.nevo.co.il/case/26574841</vt:lpwstr>
      </vt:variant>
      <vt:variant>
        <vt:lpwstr/>
      </vt:variant>
      <vt:variant>
        <vt:i4>3604592</vt:i4>
      </vt:variant>
      <vt:variant>
        <vt:i4>15</vt:i4>
      </vt:variant>
      <vt:variant>
        <vt:i4>0</vt:i4>
      </vt:variant>
      <vt:variant>
        <vt:i4>5</vt:i4>
      </vt:variant>
      <vt:variant>
        <vt:lpwstr>http://www.nevo.co.il/case/24287803</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2025-04-22T23:18:00Z</dcterms:created>
  <dcterms:modified xsi:type="dcterms:W3CDTF">2025-04-22T23:18:00Z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71706</vt:lpwstr>
  </property>
  <property fmtid="{D5CDD505-2E9C-101B-9397-08002B2CF9AE}" pid="6" name="NEWPARTB">
    <vt:lpwstr>01</vt:lpwstr>
  </property>
  <property fmtid="{D5CDD505-2E9C-101B-9397-08002B2CF9AE}" pid="7" name="NEWPARTC">
    <vt:lpwstr>17</vt:lpwstr>
  </property>
  <property fmtid="{D5CDD505-2E9C-101B-9397-08002B2CF9AE}" pid="8" name="APPELLANT">
    <vt:lpwstr>מדינת ישראל </vt:lpwstr>
  </property>
  <property fmtid="{D5CDD505-2E9C-101B-9397-08002B2CF9AE}" pid="9" name="APPELLEE">
    <vt:lpwstr>שלמה שלומי מירזייב</vt:lpwstr>
  </property>
  <property fmtid="{D5CDD505-2E9C-101B-9397-08002B2CF9AE}" pid="10" name="LAWYER">
    <vt:lpwstr>חגית רוזנברג</vt:lpwstr>
  </property>
  <property fmtid="{D5CDD505-2E9C-101B-9397-08002B2CF9AE}" pid="11" name="JUDGE">
    <vt:lpwstr>שרון לארי בבלי</vt:lpwstr>
  </property>
  <property fmtid="{D5CDD505-2E9C-101B-9397-08002B2CF9AE}" pid="12" name="CITY">
    <vt:lpwstr>י-ם</vt:lpwstr>
  </property>
  <property fmtid="{D5CDD505-2E9C-101B-9397-08002B2CF9AE}" pid="13" name="DATE">
    <vt:lpwstr>20210207</vt:lpwstr>
  </property>
  <property fmtid="{D5CDD505-2E9C-101B-9397-08002B2CF9AE}" pid="14" name="TYPE_N_DATE">
    <vt:lpwstr>38020210207</vt:lpwstr>
  </property>
  <property fmtid="{D5CDD505-2E9C-101B-9397-08002B2CF9AE}" pid="15" name="WORDNUMPAGES">
    <vt:lpwstr>6</vt:lpwstr>
  </property>
  <property fmtid="{D5CDD505-2E9C-101B-9397-08002B2CF9AE}" pid="16" name="TYPE_ABS_DATE">
    <vt:lpwstr>380020210207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24287803;26574841;21015131;27229615;26375569;25463674;24263098;20402486;2887374</vt:lpwstr>
  </property>
  <property fmtid="{D5CDD505-2E9C-101B-9397-08002B2CF9AE}" pid="36" name="LAWLISTTMP1">
    <vt:lpwstr>4216/007.a;007.c</vt:lpwstr>
  </property>
</Properties>
</file>