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51"/>
        <w:gridCol w:w="3572"/>
      </w:tblGrid>
      <w:tr w:rsidR="0047016D" w:rsidRPr="007B5535" w14:paraId="589D25E4" w14:textId="77777777" w:rsidTr="005B6679">
        <w:trPr>
          <w:trHeight w:hRule="exact" w:val="418"/>
          <w:jc w:val="center"/>
        </w:trPr>
        <w:tc>
          <w:tcPr>
            <w:tcW w:w="8523" w:type="dxa"/>
            <w:gridSpan w:val="2"/>
          </w:tcPr>
          <w:p w14:paraId="4F99C165" w14:textId="77777777" w:rsidR="0047016D" w:rsidRPr="007B5535" w:rsidRDefault="0047016D" w:rsidP="003B3C17">
            <w:pPr>
              <w:pStyle w:val="a3"/>
              <w:jc w:val="center"/>
              <w:rPr>
                <w:rFonts w:ascii="Tahoma" w:hAnsi="Tahoma"/>
                <w:color w:val="000080"/>
                <w:sz w:val="32"/>
                <w:szCs w:val="32"/>
                <w:rtl/>
              </w:rPr>
            </w:pPr>
            <w:bookmarkStart w:id="0" w:name="LastJudge"/>
            <w:r w:rsidRPr="007B5535">
              <w:rPr>
                <w:rFonts w:ascii="Tahoma" w:hAnsi="Tahoma"/>
                <w:b/>
                <w:bCs/>
                <w:color w:val="000080"/>
                <w:sz w:val="32"/>
                <w:szCs w:val="32"/>
                <w:rtl/>
              </w:rPr>
              <w:t>בית משפט השלום בתל אביב - יפו</w:t>
            </w:r>
          </w:p>
        </w:tc>
      </w:tr>
      <w:tr w:rsidR="0047016D" w:rsidRPr="007B5535" w14:paraId="5878ACB6" w14:textId="77777777" w:rsidTr="005B6679">
        <w:trPr>
          <w:trHeight w:val="337"/>
          <w:jc w:val="center"/>
        </w:trPr>
        <w:tc>
          <w:tcPr>
            <w:tcW w:w="4951" w:type="dxa"/>
          </w:tcPr>
          <w:p w14:paraId="1FC392BE" w14:textId="77777777" w:rsidR="0047016D" w:rsidRPr="007B5535" w:rsidRDefault="0047016D" w:rsidP="003B3C17">
            <w:pPr>
              <w:rPr>
                <w:sz w:val="26"/>
                <w:szCs w:val="26"/>
                <w:rtl/>
              </w:rPr>
            </w:pPr>
            <w:r w:rsidRPr="007B5535">
              <w:rPr>
                <w:sz w:val="26"/>
                <w:szCs w:val="26"/>
                <w:rtl/>
              </w:rPr>
              <w:t>תפ"ק</w:t>
            </w:r>
            <w:r w:rsidRPr="007B5535">
              <w:rPr>
                <w:rFonts w:hint="cs"/>
                <w:sz w:val="26"/>
                <w:szCs w:val="26"/>
                <w:rtl/>
              </w:rPr>
              <w:t xml:space="preserve"> </w:t>
            </w:r>
            <w:r w:rsidRPr="007B5535">
              <w:rPr>
                <w:sz w:val="26"/>
                <w:szCs w:val="26"/>
                <w:rtl/>
              </w:rPr>
              <w:t>8975-01-17</w:t>
            </w:r>
            <w:r w:rsidRPr="007B5535">
              <w:rPr>
                <w:rFonts w:hint="cs"/>
                <w:sz w:val="26"/>
                <w:szCs w:val="26"/>
                <w:rtl/>
              </w:rPr>
              <w:t xml:space="preserve"> </w:t>
            </w:r>
            <w:r w:rsidRPr="007B5535">
              <w:rPr>
                <w:sz w:val="26"/>
                <w:szCs w:val="26"/>
                <w:rtl/>
              </w:rPr>
              <w:t>ישראל נ' יוסבשוילי</w:t>
            </w:r>
          </w:p>
        </w:tc>
        <w:tc>
          <w:tcPr>
            <w:tcW w:w="3572" w:type="dxa"/>
          </w:tcPr>
          <w:p w14:paraId="2CE1409E" w14:textId="77777777" w:rsidR="0047016D" w:rsidRPr="007B5535" w:rsidRDefault="0047016D" w:rsidP="003B3C17">
            <w:pPr>
              <w:pStyle w:val="a3"/>
              <w:jc w:val="right"/>
              <w:rPr>
                <w:rFonts w:cs="FrankRuehl"/>
                <w:sz w:val="28"/>
                <w:szCs w:val="28"/>
                <w:rtl/>
              </w:rPr>
            </w:pPr>
          </w:p>
        </w:tc>
      </w:tr>
    </w:tbl>
    <w:p w14:paraId="2886AE9D" w14:textId="77777777" w:rsidR="0047016D" w:rsidRPr="007B5535" w:rsidRDefault="0047016D" w:rsidP="0047016D">
      <w:pPr>
        <w:pStyle w:val="a3"/>
        <w:rPr>
          <w:rtl/>
        </w:rPr>
      </w:pPr>
      <w:r w:rsidRPr="007B5535">
        <w:rPr>
          <w:rFonts w:hint="cs"/>
          <w:rtl/>
        </w:rPr>
        <w:t xml:space="preserve"> </w:t>
      </w:r>
    </w:p>
    <w:p w14:paraId="51E59779" w14:textId="77777777" w:rsidR="0047016D" w:rsidRPr="007B5535" w:rsidRDefault="0047016D" w:rsidP="0047016D">
      <w:pPr>
        <w:rPr>
          <w:rtl/>
        </w:rPr>
      </w:pPr>
    </w:p>
    <w:p w14:paraId="6FF0E002" w14:textId="77777777" w:rsidR="0047016D" w:rsidRPr="007B5535" w:rsidRDefault="0047016D" w:rsidP="0047016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31"/>
        <w:gridCol w:w="3394"/>
      </w:tblGrid>
      <w:tr w:rsidR="0047016D" w:rsidRPr="007B5535" w14:paraId="428AAFAC" w14:textId="77777777" w:rsidTr="0047016D">
        <w:trPr>
          <w:trHeight w:val="295"/>
          <w:jc w:val="center"/>
        </w:trPr>
        <w:tc>
          <w:tcPr>
            <w:tcW w:w="8820" w:type="dxa"/>
            <w:gridSpan w:val="3"/>
            <w:tcBorders>
              <w:top w:val="nil"/>
              <w:left w:val="nil"/>
              <w:bottom w:val="nil"/>
              <w:right w:val="nil"/>
            </w:tcBorders>
            <w:shd w:val="clear" w:color="auto" w:fill="auto"/>
          </w:tcPr>
          <w:p w14:paraId="06CEB1E1" w14:textId="77777777" w:rsidR="0047016D" w:rsidRPr="007B5535" w:rsidRDefault="0047016D" w:rsidP="0047016D">
            <w:pPr>
              <w:jc w:val="both"/>
              <w:rPr>
                <w:rFonts w:ascii="Arial" w:hAnsi="Arial"/>
                <w:b/>
                <w:bCs/>
                <w:sz w:val="26"/>
                <w:szCs w:val="26"/>
              </w:rPr>
            </w:pPr>
            <w:r w:rsidRPr="007B5535">
              <w:rPr>
                <w:rFonts w:ascii="Arial" w:hAnsi="Arial" w:hint="cs"/>
                <w:b/>
                <w:bCs/>
                <w:sz w:val="26"/>
                <w:szCs w:val="26"/>
                <w:rtl/>
              </w:rPr>
              <w:t>ל</w:t>
            </w:r>
            <w:r w:rsidRPr="007B5535">
              <w:rPr>
                <w:rFonts w:ascii="Arial" w:hAnsi="Arial"/>
                <w:b/>
                <w:bCs/>
                <w:sz w:val="26"/>
                <w:szCs w:val="26"/>
                <w:rtl/>
              </w:rPr>
              <w:t xml:space="preserve">פני </w:t>
            </w:r>
            <w:r w:rsidRPr="007B5535">
              <w:rPr>
                <w:rFonts w:ascii="Arial" w:hAnsi="Arial" w:hint="cs"/>
                <w:b/>
                <w:bCs/>
                <w:sz w:val="26"/>
                <w:szCs w:val="26"/>
                <w:rtl/>
              </w:rPr>
              <w:t>כבוד ה</w:t>
            </w:r>
            <w:r w:rsidRPr="007B5535">
              <w:rPr>
                <w:rFonts w:ascii="Arial" w:hAnsi="Arial"/>
                <w:b/>
                <w:bCs/>
                <w:sz w:val="26"/>
                <w:szCs w:val="26"/>
                <w:rtl/>
              </w:rPr>
              <w:t>שופטת בכירה</w:t>
            </w:r>
            <w:r w:rsidRPr="007B5535">
              <w:rPr>
                <w:rFonts w:ascii="Arial" w:hAnsi="Arial" w:hint="cs"/>
                <w:b/>
                <w:bCs/>
                <w:sz w:val="26"/>
                <w:szCs w:val="26"/>
                <w:rtl/>
              </w:rPr>
              <w:t xml:space="preserve">  </w:t>
            </w:r>
            <w:r w:rsidRPr="007B5535">
              <w:rPr>
                <w:rFonts w:ascii="Arial" w:hAnsi="Arial"/>
                <w:b/>
                <w:bCs/>
                <w:sz w:val="26"/>
                <w:szCs w:val="26"/>
                <w:rtl/>
              </w:rPr>
              <w:t>אבירה אשקלוני</w:t>
            </w:r>
          </w:p>
        </w:tc>
      </w:tr>
      <w:tr w:rsidR="0047016D" w:rsidRPr="007B5535" w14:paraId="45E918AA" w14:textId="77777777" w:rsidTr="0047016D">
        <w:trPr>
          <w:trHeight w:val="355"/>
          <w:jc w:val="center"/>
        </w:trPr>
        <w:tc>
          <w:tcPr>
            <w:tcW w:w="885" w:type="dxa"/>
            <w:tcBorders>
              <w:top w:val="nil"/>
              <w:left w:val="nil"/>
              <w:bottom w:val="nil"/>
              <w:right w:val="nil"/>
            </w:tcBorders>
            <w:shd w:val="clear" w:color="auto" w:fill="auto"/>
          </w:tcPr>
          <w:p w14:paraId="5D823665" w14:textId="77777777" w:rsidR="0047016D" w:rsidRPr="007B5535" w:rsidRDefault="0047016D" w:rsidP="0047016D">
            <w:pPr>
              <w:jc w:val="both"/>
              <w:rPr>
                <w:rFonts w:ascii="Arial" w:hAnsi="Arial"/>
                <w:b/>
                <w:bCs/>
                <w:sz w:val="26"/>
                <w:szCs w:val="26"/>
              </w:rPr>
            </w:pPr>
            <w:bookmarkStart w:id="1" w:name="FirstAppellant"/>
            <w:bookmarkStart w:id="2" w:name="FirstLawyer"/>
            <w:r w:rsidRPr="007B5535">
              <w:rPr>
                <w:rFonts w:ascii="Arial" w:hAnsi="Arial" w:hint="cs"/>
                <w:sz w:val="26"/>
                <w:szCs w:val="26"/>
                <w:rtl/>
              </w:rPr>
              <w:t>ה</w:t>
            </w:r>
            <w:r w:rsidRPr="007B5535">
              <w:rPr>
                <w:rFonts w:ascii="Arial" w:hAnsi="Arial"/>
                <w:sz w:val="26"/>
                <w:szCs w:val="26"/>
                <w:rtl/>
              </w:rPr>
              <w:t>מאשימה</w:t>
            </w:r>
          </w:p>
        </w:tc>
        <w:tc>
          <w:tcPr>
            <w:tcW w:w="4384" w:type="dxa"/>
            <w:tcBorders>
              <w:top w:val="nil"/>
              <w:left w:val="nil"/>
              <w:bottom w:val="nil"/>
              <w:right w:val="nil"/>
            </w:tcBorders>
            <w:shd w:val="clear" w:color="auto" w:fill="auto"/>
          </w:tcPr>
          <w:p w14:paraId="676DA385" w14:textId="77777777" w:rsidR="0047016D" w:rsidRPr="007B5535" w:rsidRDefault="0047016D" w:rsidP="003B3C17">
            <w:pPr>
              <w:rPr>
                <w:sz w:val="26"/>
                <w:szCs w:val="26"/>
                <w:rtl/>
              </w:rPr>
            </w:pPr>
            <w:r w:rsidRPr="007B5535">
              <w:rPr>
                <w:rFonts w:ascii="Arial" w:hAnsi="Arial"/>
                <w:sz w:val="26"/>
                <w:szCs w:val="26"/>
                <w:rtl/>
              </w:rPr>
              <w:t>מדינת ישראל</w:t>
            </w:r>
          </w:p>
          <w:p w14:paraId="7427158E" w14:textId="77777777" w:rsidR="0047016D" w:rsidRPr="007B5535" w:rsidRDefault="0047016D" w:rsidP="003B3C17">
            <w:pPr>
              <w:rPr>
                <w:sz w:val="26"/>
                <w:szCs w:val="26"/>
              </w:rPr>
            </w:pPr>
            <w:r w:rsidRPr="007B5535">
              <w:rPr>
                <w:rFonts w:hint="cs"/>
                <w:sz w:val="26"/>
                <w:szCs w:val="26"/>
                <w:rtl/>
              </w:rPr>
              <w:t>ע"י ב"כ עו"ד אילנית נחום</w:t>
            </w:r>
          </w:p>
        </w:tc>
        <w:tc>
          <w:tcPr>
            <w:tcW w:w="3551" w:type="dxa"/>
            <w:tcBorders>
              <w:top w:val="nil"/>
              <w:left w:val="nil"/>
              <w:bottom w:val="nil"/>
              <w:right w:val="nil"/>
            </w:tcBorders>
            <w:shd w:val="clear" w:color="auto" w:fill="auto"/>
          </w:tcPr>
          <w:p w14:paraId="1A72EC8A" w14:textId="77777777" w:rsidR="0047016D" w:rsidRPr="007B5535" w:rsidRDefault="0047016D" w:rsidP="0047016D">
            <w:pPr>
              <w:jc w:val="both"/>
              <w:rPr>
                <w:rFonts w:ascii="Arial" w:hAnsi="Arial"/>
                <w:sz w:val="26"/>
                <w:szCs w:val="26"/>
              </w:rPr>
            </w:pPr>
          </w:p>
        </w:tc>
      </w:tr>
      <w:bookmarkEnd w:id="1"/>
      <w:bookmarkEnd w:id="2"/>
      <w:tr w:rsidR="0047016D" w:rsidRPr="007B5535" w14:paraId="5995AE9A" w14:textId="77777777" w:rsidTr="0047016D">
        <w:trPr>
          <w:trHeight w:val="373"/>
          <w:jc w:val="center"/>
        </w:trPr>
        <w:tc>
          <w:tcPr>
            <w:tcW w:w="885" w:type="dxa"/>
            <w:tcBorders>
              <w:top w:val="nil"/>
              <w:left w:val="nil"/>
              <w:bottom w:val="nil"/>
              <w:right w:val="nil"/>
            </w:tcBorders>
            <w:shd w:val="clear" w:color="auto" w:fill="auto"/>
          </w:tcPr>
          <w:p w14:paraId="1A6403E2" w14:textId="77777777" w:rsidR="0047016D" w:rsidRPr="007B5535" w:rsidRDefault="0047016D" w:rsidP="0047016D">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09F5AB94" w14:textId="77777777" w:rsidR="0047016D" w:rsidRPr="007B5535" w:rsidRDefault="0047016D" w:rsidP="0047016D">
            <w:pPr>
              <w:jc w:val="center"/>
              <w:rPr>
                <w:rFonts w:ascii="Arial" w:hAnsi="Arial"/>
                <w:b/>
                <w:bCs/>
                <w:sz w:val="26"/>
                <w:szCs w:val="26"/>
                <w:rtl/>
              </w:rPr>
            </w:pPr>
          </w:p>
          <w:p w14:paraId="30C40244" w14:textId="77777777" w:rsidR="0047016D" w:rsidRPr="007B5535" w:rsidRDefault="0047016D" w:rsidP="0047016D">
            <w:pPr>
              <w:jc w:val="center"/>
              <w:rPr>
                <w:rFonts w:ascii="Arial" w:hAnsi="Arial"/>
                <w:b/>
                <w:bCs/>
                <w:sz w:val="26"/>
                <w:szCs w:val="26"/>
                <w:rtl/>
              </w:rPr>
            </w:pPr>
            <w:r w:rsidRPr="007B5535">
              <w:rPr>
                <w:rFonts w:ascii="Arial" w:hAnsi="Arial"/>
                <w:b/>
                <w:bCs/>
                <w:sz w:val="26"/>
                <w:szCs w:val="26"/>
                <w:rtl/>
              </w:rPr>
              <w:t>נגד</w:t>
            </w:r>
          </w:p>
          <w:p w14:paraId="6A97B8B4" w14:textId="77777777" w:rsidR="0047016D" w:rsidRPr="007B5535" w:rsidRDefault="0047016D" w:rsidP="0047016D">
            <w:pPr>
              <w:jc w:val="both"/>
              <w:rPr>
                <w:rFonts w:ascii="Arial" w:hAnsi="Arial"/>
                <w:sz w:val="26"/>
                <w:szCs w:val="26"/>
              </w:rPr>
            </w:pPr>
          </w:p>
        </w:tc>
      </w:tr>
      <w:tr w:rsidR="0047016D" w:rsidRPr="007B5535" w14:paraId="4DC1715C" w14:textId="77777777" w:rsidTr="0047016D">
        <w:trPr>
          <w:trHeight w:val="355"/>
          <w:jc w:val="center"/>
        </w:trPr>
        <w:tc>
          <w:tcPr>
            <w:tcW w:w="885" w:type="dxa"/>
            <w:tcBorders>
              <w:top w:val="nil"/>
              <w:left w:val="nil"/>
              <w:bottom w:val="nil"/>
              <w:right w:val="nil"/>
            </w:tcBorders>
            <w:shd w:val="clear" w:color="auto" w:fill="auto"/>
          </w:tcPr>
          <w:p w14:paraId="5E582249" w14:textId="77777777" w:rsidR="0047016D" w:rsidRPr="007B5535" w:rsidRDefault="0047016D" w:rsidP="003B3C17">
            <w:pPr>
              <w:rPr>
                <w:rFonts w:ascii="Arial" w:hAnsi="Arial"/>
                <w:sz w:val="26"/>
                <w:szCs w:val="26"/>
                <w:rtl/>
              </w:rPr>
            </w:pPr>
            <w:r w:rsidRPr="007B5535">
              <w:rPr>
                <w:rFonts w:ascii="Arial" w:hAnsi="Arial" w:hint="cs"/>
                <w:sz w:val="26"/>
                <w:szCs w:val="26"/>
                <w:rtl/>
              </w:rPr>
              <w:t>ה</w:t>
            </w:r>
            <w:r w:rsidRPr="007B5535">
              <w:rPr>
                <w:rFonts w:ascii="Arial" w:hAnsi="Arial"/>
                <w:sz w:val="26"/>
                <w:szCs w:val="26"/>
                <w:rtl/>
              </w:rPr>
              <w:t>נאשמים</w:t>
            </w:r>
          </w:p>
        </w:tc>
        <w:tc>
          <w:tcPr>
            <w:tcW w:w="4384" w:type="dxa"/>
            <w:tcBorders>
              <w:top w:val="nil"/>
              <w:left w:val="nil"/>
              <w:bottom w:val="nil"/>
              <w:right w:val="nil"/>
            </w:tcBorders>
            <w:shd w:val="clear" w:color="auto" w:fill="auto"/>
          </w:tcPr>
          <w:p w14:paraId="76282A46" w14:textId="77777777" w:rsidR="0047016D" w:rsidRPr="007B5535" w:rsidRDefault="0047016D" w:rsidP="003B3C17">
            <w:pPr>
              <w:rPr>
                <w:sz w:val="26"/>
                <w:szCs w:val="26"/>
                <w:rtl/>
              </w:rPr>
            </w:pPr>
            <w:r w:rsidRPr="007B5535">
              <w:rPr>
                <w:rFonts w:ascii="Arial" w:hAnsi="Arial"/>
                <w:sz w:val="26"/>
                <w:szCs w:val="26"/>
                <w:rtl/>
              </w:rPr>
              <w:t>גיא יוסבשוילי</w:t>
            </w:r>
          </w:p>
          <w:p w14:paraId="7DEAC4E0" w14:textId="77777777" w:rsidR="0047016D" w:rsidRPr="007B5535" w:rsidRDefault="0047016D" w:rsidP="003B3C17">
            <w:pPr>
              <w:rPr>
                <w:sz w:val="26"/>
                <w:szCs w:val="26"/>
                <w:rtl/>
              </w:rPr>
            </w:pPr>
            <w:r w:rsidRPr="007B5535">
              <w:rPr>
                <w:rFonts w:hint="cs"/>
                <w:sz w:val="26"/>
                <w:szCs w:val="26"/>
                <w:rtl/>
              </w:rPr>
              <w:t>ע"י ב"כ עו"ד ירון דניאל</w:t>
            </w:r>
          </w:p>
        </w:tc>
        <w:tc>
          <w:tcPr>
            <w:tcW w:w="3551" w:type="dxa"/>
            <w:tcBorders>
              <w:top w:val="nil"/>
              <w:left w:val="nil"/>
              <w:bottom w:val="nil"/>
              <w:right w:val="nil"/>
            </w:tcBorders>
            <w:shd w:val="clear" w:color="auto" w:fill="auto"/>
          </w:tcPr>
          <w:p w14:paraId="328FB28C" w14:textId="77777777" w:rsidR="0047016D" w:rsidRPr="007B5535" w:rsidRDefault="0047016D" w:rsidP="0047016D">
            <w:pPr>
              <w:jc w:val="right"/>
              <w:rPr>
                <w:rFonts w:ascii="Arial" w:hAnsi="Arial"/>
                <w:sz w:val="26"/>
                <w:szCs w:val="26"/>
              </w:rPr>
            </w:pPr>
          </w:p>
        </w:tc>
      </w:tr>
    </w:tbl>
    <w:p w14:paraId="1126C1B9" w14:textId="77777777" w:rsidR="005B6679" w:rsidRDefault="005B6679" w:rsidP="007B5535">
      <w:pPr>
        <w:rPr>
          <w:rtl/>
        </w:rPr>
      </w:pPr>
    </w:p>
    <w:p w14:paraId="16E28DE2" w14:textId="77777777" w:rsidR="005B6679" w:rsidRPr="005B6679" w:rsidRDefault="005B6679" w:rsidP="005B6679">
      <w:pPr>
        <w:spacing w:after="120" w:line="240" w:lineRule="exact"/>
        <w:ind w:left="283" w:hanging="283"/>
        <w:jc w:val="both"/>
        <w:rPr>
          <w:rFonts w:ascii="FrankRuehl" w:hAnsi="FrankRuehl" w:cs="FrankRuehl"/>
          <w:rtl/>
        </w:rPr>
      </w:pPr>
    </w:p>
    <w:p w14:paraId="0C69C902" w14:textId="77777777" w:rsidR="00CD26A2" w:rsidRDefault="00CD26A2" w:rsidP="00CD26A2">
      <w:pPr>
        <w:rPr>
          <w:rtl/>
        </w:rPr>
      </w:pPr>
      <w:bookmarkStart w:id="3" w:name="LawTable"/>
      <w:bookmarkEnd w:id="3"/>
    </w:p>
    <w:p w14:paraId="51510427" w14:textId="77777777" w:rsidR="00CD26A2" w:rsidRPr="00CD26A2" w:rsidRDefault="00CD26A2" w:rsidP="00CD26A2">
      <w:pPr>
        <w:spacing w:before="120" w:after="120" w:line="240" w:lineRule="exact"/>
        <w:ind w:left="283" w:hanging="283"/>
        <w:jc w:val="both"/>
        <w:rPr>
          <w:rFonts w:ascii="FrankRuehl" w:hAnsi="FrankRuehl" w:cs="FrankRuehl"/>
          <w:rtl/>
        </w:rPr>
      </w:pPr>
    </w:p>
    <w:p w14:paraId="2C192F60" w14:textId="77777777" w:rsidR="00CD26A2" w:rsidRPr="00CD26A2" w:rsidRDefault="00CD26A2" w:rsidP="00CD26A2">
      <w:pPr>
        <w:spacing w:before="120" w:after="120" w:line="240" w:lineRule="exact"/>
        <w:ind w:left="283" w:hanging="283"/>
        <w:jc w:val="both"/>
        <w:rPr>
          <w:rFonts w:ascii="FrankRuehl" w:hAnsi="FrankRuehl" w:cs="FrankRuehl"/>
          <w:rtl/>
        </w:rPr>
      </w:pPr>
    </w:p>
    <w:p w14:paraId="5D3B3C3B" w14:textId="77777777" w:rsidR="00CD26A2" w:rsidRPr="00CD26A2" w:rsidRDefault="00CD26A2" w:rsidP="00CD26A2">
      <w:pPr>
        <w:spacing w:before="120" w:after="120" w:line="240" w:lineRule="exact"/>
        <w:ind w:left="283" w:hanging="283"/>
        <w:jc w:val="both"/>
        <w:rPr>
          <w:rFonts w:ascii="FrankRuehl" w:hAnsi="FrankRuehl" w:cs="FrankRuehl"/>
          <w:rtl/>
        </w:rPr>
      </w:pPr>
      <w:r w:rsidRPr="00CD26A2">
        <w:rPr>
          <w:rFonts w:ascii="FrankRuehl" w:hAnsi="FrankRuehl" w:cs="FrankRuehl"/>
          <w:rtl/>
        </w:rPr>
        <w:t xml:space="preserve">חקיקה שאוזכרה: </w:t>
      </w:r>
    </w:p>
    <w:p w14:paraId="448292C7" w14:textId="77777777" w:rsidR="00CD26A2" w:rsidRPr="00CD26A2" w:rsidRDefault="00CD26A2" w:rsidP="00CD26A2">
      <w:pPr>
        <w:spacing w:before="120" w:after="120" w:line="240" w:lineRule="exact"/>
        <w:ind w:left="283" w:hanging="283"/>
        <w:jc w:val="both"/>
        <w:rPr>
          <w:rFonts w:ascii="FrankRuehl" w:hAnsi="FrankRuehl" w:cs="FrankRuehl"/>
          <w:rtl/>
        </w:rPr>
      </w:pPr>
      <w:hyperlink r:id="rId7" w:history="1">
        <w:r w:rsidRPr="00CD26A2">
          <w:rPr>
            <w:rFonts w:ascii="FrankRuehl" w:hAnsi="FrankRuehl" w:cs="FrankRuehl"/>
            <w:color w:val="0000FF"/>
            <w:rtl/>
          </w:rPr>
          <w:t>פקודת הסמים המסוכנים [נוסח חדש], תשל"ג-1973</w:t>
        </w:r>
      </w:hyperlink>
      <w:r w:rsidRPr="00CD26A2">
        <w:rPr>
          <w:rFonts w:ascii="FrankRuehl" w:hAnsi="FrankRuehl" w:cs="FrankRuehl"/>
          <w:rtl/>
        </w:rPr>
        <w:t xml:space="preserve">: סע'  </w:t>
      </w:r>
      <w:hyperlink r:id="rId8" w:history="1">
        <w:r w:rsidRPr="00CD26A2">
          <w:rPr>
            <w:rFonts w:ascii="FrankRuehl" w:hAnsi="FrankRuehl" w:cs="FrankRuehl"/>
            <w:color w:val="0000FF"/>
            <w:rtl/>
          </w:rPr>
          <w:t>7.א.</w:t>
        </w:r>
      </w:hyperlink>
      <w:r w:rsidRPr="00CD26A2">
        <w:rPr>
          <w:rFonts w:ascii="FrankRuehl" w:hAnsi="FrankRuehl" w:cs="FrankRuehl"/>
          <w:rtl/>
        </w:rPr>
        <w:t xml:space="preserve">, </w:t>
      </w:r>
      <w:hyperlink r:id="rId9" w:history="1">
        <w:r w:rsidRPr="00CD26A2">
          <w:rPr>
            <w:rFonts w:ascii="FrankRuehl" w:hAnsi="FrankRuehl" w:cs="FrankRuehl"/>
            <w:color w:val="0000FF"/>
            <w:rtl/>
          </w:rPr>
          <w:t>7.ג</w:t>
        </w:r>
      </w:hyperlink>
    </w:p>
    <w:p w14:paraId="6045B2FC" w14:textId="77777777" w:rsidR="00CD26A2" w:rsidRPr="00CD26A2" w:rsidRDefault="00CD26A2" w:rsidP="00CD26A2">
      <w:pPr>
        <w:rPr>
          <w:rtl/>
        </w:rPr>
      </w:pPr>
      <w:bookmarkStart w:id="4" w:name="LawTable_End"/>
      <w:bookmarkEnd w:id="4"/>
    </w:p>
    <w:p w14:paraId="6CF04D74" w14:textId="77777777" w:rsidR="0047016D" w:rsidRPr="007B5535" w:rsidRDefault="0047016D" w:rsidP="0047016D"/>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7016D" w14:paraId="346538D4" w14:textId="77777777" w:rsidTr="0047016D">
        <w:trPr>
          <w:trHeight w:val="355"/>
          <w:jc w:val="center"/>
        </w:trPr>
        <w:tc>
          <w:tcPr>
            <w:tcW w:w="8820" w:type="dxa"/>
            <w:tcBorders>
              <w:top w:val="nil"/>
              <w:left w:val="nil"/>
              <w:bottom w:val="nil"/>
              <w:right w:val="nil"/>
            </w:tcBorders>
            <w:shd w:val="clear" w:color="auto" w:fill="auto"/>
          </w:tcPr>
          <w:p w14:paraId="59D84829" w14:textId="77777777" w:rsidR="007B5535" w:rsidRPr="007B5535" w:rsidRDefault="007B5535" w:rsidP="007B5535">
            <w:pPr>
              <w:jc w:val="center"/>
              <w:rPr>
                <w:rFonts w:ascii="Arial" w:hAnsi="Arial"/>
                <w:b/>
                <w:bCs/>
                <w:sz w:val="28"/>
                <w:szCs w:val="28"/>
                <w:u w:val="single"/>
                <w:rtl/>
              </w:rPr>
            </w:pPr>
            <w:bookmarkStart w:id="5" w:name="PsakDin" w:colFirst="0" w:colLast="0"/>
            <w:bookmarkEnd w:id="0"/>
            <w:r w:rsidRPr="007B5535">
              <w:rPr>
                <w:rFonts w:ascii="Arial" w:hAnsi="Arial"/>
                <w:b/>
                <w:bCs/>
                <w:sz w:val="28"/>
                <w:szCs w:val="28"/>
                <w:u w:val="single"/>
                <w:rtl/>
              </w:rPr>
              <w:t>גזר דין</w:t>
            </w:r>
          </w:p>
          <w:p w14:paraId="595531D2" w14:textId="77777777" w:rsidR="0047016D" w:rsidRPr="007B5535" w:rsidRDefault="0047016D" w:rsidP="007B5535">
            <w:pPr>
              <w:jc w:val="center"/>
              <w:rPr>
                <w:rFonts w:ascii="Arial" w:hAnsi="Arial"/>
                <w:bCs/>
                <w:sz w:val="28"/>
                <w:szCs w:val="28"/>
                <w:u w:val="single"/>
                <w:rtl/>
              </w:rPr>
            </w:pPr>
          </w:p>
        </w:tc>
      </w:tr>
      <w:bookmarkEnd w:id="5"/>
    </w:tbl>
    <w:p w14:paraId="2A41FA4E" w14:textId="77777777" w:rsidR="0047016D" w:rsidRPr="00B05847" w:rsidRDefault="0047016D" w:rsidP="0047016D">
      <w:pPr>
        <w:rPr>
          <w:rFonts w:ascii="Arial" w:hAnsi="Arial"/>
          <w:rtl/>
        </w:rPr>
      </w:pPr>
    </w:p>
    <w:p w14:paraId="402C3B48" w14:textId="77777777" w:rsidR="0047016D" w:rsidRPr="00B05847" w:rsidRDefault="0047016D" w:rsidP="0047016D">
      <w:pPr>
        <w:spacing w:line="360" w:lineRule="auto"/>
        <w:rPr>
          <w:rFonts w:ascii="Arial" w:hAnsi="Arial"/>
          <w:rtl/>
        </w:rPr>
      </w:pPr>
    </w:p>
    <w:p w14:paraId="7BEB14CA" w14:textId="77777777" w:rsidR="0047016D" w:rsidRPr="005A6411" w:rsidRDefault="0047016D" w:rsidP="0047016D">
      <w:pPr>
        <w:spacing w:after="160" w:line="360" w:lineRule="auto"/>
        <w:jc w:val="both"/>
        <w:rPr>
          <w:rFonts w:ascii="David" w:eastAsia="Calibri" w:hAnsi="David"/>
          <w:b/>
          <w:bCs/>
          <w:u w:val="single"/>
          <w:rtl/>
        </w:rPr>
      </w:pPr>
      <w:r w:rsidRPr="005A6411">
        <w:rPr>
          <w:rFonts w:ascii="David" w:eastAsia="Calibri" w:hAnsi="David"/>
          <w:b/>
          <w:bCs/>
          <w:u w:val="single"/>
          <w:rtl/>
        </w:rPr>
        <w:t>האישום וההרשעה</w:t>
      </w:r>
    </w:p>
    <w:p w14:paraId="04898F35" w14:textId="77777777" w:rsidR="0047016D" w:rsidRPr="005A6411" w:rsidRDefault="0047016D" w:rsidP="0047016D">
      <w:pPr>
        <w:numPr>
          <w:ilvl w:val="0"/>
          <w:numId w:val="1"/>
        </w:numPr>
        <w:spacing w:after="160" w:line="360" w:lineRule="auto"/>
        <w:contextualSpacing/>
        <w:jc w:val="both"/>
        <w:rPr>
          <w:rFonts w:ascii="David" w:eastAsia="Calibri" w:hAnsi="David"/>
          <w:rtl/>
        </w:rPr>
      </w:pPr>
      <w:bookmarkStart w:id="6" w:name="ABSTRACT_START"/>
      <w:bookmarkEnd w:id="6"/>
      <w:r w:rsidRPr="005A6411">
        <w:rPr>
          <w:rFonts w:ascii="David" w:eastAsia="Calibri" w:hAnsi="David"/>
          <w:rtl/>
        </w:rPr>
        <w:t xml:space="preserve">הנאשם הורשע על יסוד הודאתו בכתב האישום בהליך שבכותרת בעבירה של החזקה/ שימוש שלא לצריכה עצמית לפי סעיף </w:t>
      </w:r>
      <w:hyperlink r:id="rId10" w:history="1">
        <w:r w:rsidR="005B6679" w:rsidRPr="005B6679">
          <w:rPr>
            <w:rFonts w:ascii="David" w:eastAsia="Calibri" w:hAnsi="David"/>
            <w:color w:val="0000FF"/>
            <w:u w:val="single"/>
            <w:rtl/>
          </w:rPr>
          <w:t>7(א) + 7(ג)</w:t>
        </w:r>
      </w:hyperlink>
      <w:r w:rsidRPr="005A6411">
        <w:rPr>
          <w:rFonts w:ascii="David" w:eastAsia="Calibri" w:hAnsi="David"/>
          <w:rtl/>
        </w:rPr>
        <w:t xml:space="preserve"> רישא ל</w:t>
      </w:r>
      <w:hyperlink r:id="rId11" w:history="1">
        <w:r w:rsidR="007B5535" w:rsidRPr="007B5535">
          <w:rPr>
            <w:rFonts w:ascii="David" w:eastAsia="Calibri" w:hAnsi="David"/>
            <w:color w:val="0000FF"/>
            <w:u w:val="single"/>
            <w:rtl/>
          </w:rPr>
          <w:t>פקודת הסמים המסוכנים</w:t>
        </w:r>
      </w:hyperlink>
      <w:r w:rsidRPr="005A6411">
        <w:rPr>
          <w:rFonts w:ascii="David" w:eastAsia="Calibri" w:hAnsi="David"/>
          <w:rtl/>
        </w:rPr>
        <w:t xml:space="preserve"> (נוסח חדש) תשל"ג- 1973 (להלן: "</w:t>
      </w:r>
      <w:r w:rsidRPr="005A6411">
        <w:rPr>
          <w:rFonts w:ascii="David" w:eastAsia="Calibri" w:hAnsi="David"/>
          <w:b/>
          <w:bCs/>
          <w:rtl/>
        </w:rPr>
        <w:t>פקודת הסמים</w:t>
      </w:r>
      <w:r w:rsidRPr="005A6411">
        <w:rPr>
          <w:rFonts w:ascii="David" w:eastAsia="Calibri" w:hAnsi="David"/>
          <w:rtl/>
        </w:rPr>
        <w:t>"). על פי עובדות כתב האישום, ביום 25.4.15 ברחוב החרש 8 תל אביב החזיק הנאשם בסם מסוכן מסוג הרואין במשקל נטו של 9.3096 גרם ובסם מסוכן מסוג קוקאין במשקל נטו של 2.5716 גרם שלא לצריכתו העצמית וללא אישור או היתר מהמנהל.</w:t>
      </w:r>
    </w:p>
    <w:p w14:paraId="2C47A79E" w14:textId="77777777" w:rsidR="0047016D" w:rsidRPr="005A6411" w:rsidRDefault="0047016D" w:rsidP="0047016D">
      <w:pPr>
        <w:spacing w:after="160" w:line="360" w:lineRule="auto"/>
        <w:jc w:val="both"/>
        <w:rPr>
          <w:rFonts w:ascii="David" w:eastAsia="Calibri" w:hAnsi="David"/>
          <w:b/>
          <w:bCs/>
          <w:u w:val="single"/>
          <w:rtl/>
        </w:rPr>
      </w:pPr>
      <w:bookmarkStart w:id="7" w:name="ABSTRACT_END"/>
      <w:bookmarkEnd w:id="7"/>
    </w:p>
    <w:p w14:paraId="53F61730" w14:textId="77777777" w:rsidR="0047016D" w:rsidRPr="005A6411" w:rsidRDefault="0047016D" w:rsidP="0047016D">
      <w:pPr>
        <w:spacing w:after="160" w:line="360" w:lineRule="auto"/>
        <w:jc w:val="both"/>
        <w:rPr>
          <w:rFonts w:ascii="David" w:eastAsia="Calibri" w:hAnsi="David"/>
          <w:b/>
          <w:bCs/>
          <w:u w:val="single"/>
          <w:rtl/>
        </w:rPr>
      </w:pPr>
      <w:r w:rsidRPr="005A6411">
        <w:rPr>
          <w:rFonts w:ascii="David" w:eastAsia="Calibri" w:hAnsi="David"/>
          <w:b/>
          <w:bCs/>
          <w:u w:val="single"/>
          <w:rtl/>
        </w:rPr>
        <w:t>הסדר הטיעון</w:t>
      </w:r>
    </w:p>
    <w:p w14:paraId="22E46E85" w14:textId="77777777" w:rsidR="0047016D" w:rsidRPr="005A6411" w:rsidRDefault="0047016D" w:rsidP="0047016D">
      <w:pPr>
        <w:numPr>
          <w:ilvl w:val="0"/>
          <w:numId w:val="1"/>
        </w:numPr>
        <w:spacing w:after="160" w:line="360" w:lineRule="auto"/>
        <w:contextualSpacing/>
        <w:jc w:val="both"/>
        <w:rPr>
          <w:rFonts w:ascii="David" w:eastAsia="Calibri" w:hAnsi="David"/>
          <w:b/>
          <w:bCs/>
          <w:u w:val="single"/>
          <w:rtl/>
        </w:rPr>
      </w:pPr>
      <w:r w:rsidRPr="005A6411">
        <w:rPr>
          <w:rFonts w:ascii="David" w:eastAsia="Calibri" w:hAnsi="David"/>
          <w:rtl/>
        </w:rPr>
        <w:t xml:space="preserve">בדיון שהתקיים ביום 6.7.20 הגיעו הצדדים להסדר טיעון לפיו הנאשם יודה בכתב האישום בהליך שבכותרת ויורשע בו. הוסכם כי בכפוף להצלחה בהליך בבית המשפט הקהילתי, הצדדים יעתרו במשותף להטלת מאסר מותנה שיחול על כל עבירה לפי פקודת הסמים, של"צ והתחייבות, והמאשימה תעתור גם לקנס. כמו כן, בכפוף להצלחה בהליך, סך של 2,250 ₪ שנתפסו בהודעת החילוט יושבו לנאשם במקרה שיסיים בהצלחה. </w:t>
      </w:r>
    </w:p>
    <w:p w14:paraId="3070B53E" w14:textId="77777777" w:rsidR="0047016D" w:rsidRPr="005A6411" w:rsidRDefault="0047016D" w:rsidP="0047016D">
      <w:pPr>
        <w:spacing w:after="160" w:line="360" w:lineRule="auto"/>
        <w:ind w:left="360"/>
        <w:jc w:val="both"/>
        <w:rPr>
          <w:rFonts w:ascii="David" w:eastAsia="Calibri" w:hAnsi="David"/>
          <w:b/>
          <w:bCs/>
          <w:u w:val="single"/>
        </w:rPr>
      </w:pPr>
    </w:p>
    <w:p w14:paraId="6EE5C597" w14:textId="77777777" w:rsidR="0047016D" w:rsidRPr="005A6411" w:rsidRDefault="0047016D" w:rsidP="0047016D">
      <w:pPr>
        <w:spacing w:after="160" w:line="360" w:lineRule="auto"/>
        <w:ind w:left="360"/>
        <w:jc w:val="both"/>
        <w:rPr>
          <w:rFonts w:ascii="David" w:eastAsia="Calibri" w:hAnsi="David"/>
          <w:b/>
          <w:bCs/>
          <w:u w:val="single"/>
          <w:rtl/>
        </w:rPr>
      </w:pPr>
      <w:r w:rsidRPr="005A6411">
        <w:rPr>
          <w:rFonts w:ascii="David" w:eastAsia="Calibri" w:hAnsi="David"/>
          <w:b/>
          <w:bCs/>
          <w:u w:val="single"/>
          <w:rtl/>
        </w:rPr>
        <w:lastRenderedPageBreak/>
        <w:t>תסקירי שירות המבחן</w:t>
      </w:r>
    </w:p>
    <w:p w14:paraId="7FDA294A" w14:textId="77777777" w:rsidR="0047016D" w:rsidRPr="005A6411" w:rsidRDefault="0047016D" w:rsidP="0047016D">
      <w:pPr>
        <w:numPr>
          <w:ilvl w:val="0"/>
          <w:numId w:val="1"/>
        </w:numPr>
        <w:spacing w:after="160" w:line="360" w:lineRule="auto"/>
        <w:contextualSpacing/>
        <w:jc w:val="both"/>
        <w:rPr>
          <w:rFonts w:ascii="David" w:eastAsia="Calibri" w:hAnsi="David"/>
          <w:rtl/>
        </w:rPr>
      </w:pPr>
      <w:r w:rsidRPr="005A6411">
        <w:rPr>
          <w:rFonts w:ascii="David" w:eastAsia="Calibri" w:hAnsi="David"/>
          <w:rtl/>
        </w:rPr>
        <w:t xml:space="preserve">שירות המבחן הגיש מספר תסקירים בעניינו של הנאשם. </w:t>
      </w:r>
    </w:p>
    <w:p w14:paraId="6F6EEA66" w14:textId="77777777" w:rsidR="0047016D" w:rsidRPr="005A6411" w:rsidRDefault="0047016D" w:rsidP="0047016D">
      <w:pPr>
        <w:spacing w:after="160" w:line="360" w:lineRule="auto"/>
        <w:ind w:left="720"/>
        <w:contextualSpacing/>
        <w:jc w:val="both"/>
        <w:rPr>
          <w:rFonts w:ascii="David" w:eastAsia="Calibri" w:hAnsi="David"/>
        </w:rPr>
      </w:pPr>
    </w:p>
    <w:p w14:paraId="0D234843" w14:textId="77777777" w:rsidR="0047016D" w:rsidRPr="005A6411" w:rsidRDefault="0047016D" w:rsidP="0047016D">
      <w:pPr>
        <w:numPr>
          <w:ilvl w:val="0"/>
          <w:numId w:val="1"/>
        </w:numPr>
        <w:spacing w:after="160" w:line="360" w:lineRule="auto"/>
        <w:contextualSpacing/>
        <w:jc w:val="both"/>
        <w:rPr>
          <w:rFonts w:ascii="David" w:eastAsia="Calibri" w:hAnsi="David"/>
        </w:rPr>
      </w:pPr>
      <w:r w:rsidRPr="005A6411">
        <w:rPr>
          <w:rFonts w:ascii="David" w:eastAsia="Calibri" w:hAnsi="David"/>
          <w:rtl/>
        </w:rPr>
        <w:t>בתסקיר העומק</w:t>
      </w:r>
      <w:r w:rsidRPr="005A6411">
        <w:rPr>
          <w:rFonts w:ascii="David" w:eastAsia="Calibri" w:hAnsi="David"/>
          <w:sz w:val="28"/>
          <w:szCs w:val="28"/>
          <w:rtl/>
        </w:rPr>
        <w:t xml:space="preserve"> </w:t>
      </w:r>
      <w:r w:rsidRPr="005A6411">
        <w:rPr>
          <w:rFonts w:ascii="David" w:eastAsia="Calibri" w:hAnsi="David"/>
          <w:rtl/>
        </w:rPr>
        <w:t>מיום 30.12.19 נסקרו קורות חייו והרקע המשפחתי של הנאשם</w:t>
      </w:r>
      <w:r w:rsidRPr="005A6411">
        <w:rPr>
          <w:rFonts w:ascii="Calibri" w:eastAsia="Calibri" w:hAnsi="Calibri" w:cs="Arial"/>
          <w:rtl/>
        </w:rPr>
        <w:t xml:space="preserve"> </w:t>
      </w:r>
      <w:r w:rsidRPr="005A6411">
        <w:rPr>
          <w:rFonts w:ascii="David" w:eastAsia="Calibri" w:hAnsi="David"/>
          <w:rtl/>
        </w:rPr>
        <w:t xml:space="preserve">שלא יפורטו מעבר לנדרש מטעמי צנעת הפרט. שירות המבחן התרשם כי מדובר באדם אשר גדל במשפחה בה היה חשוף לאלימות ובגיל צעיר חווה אובדן. בעקבות כך מצא עצמו מתמודד עם תפקידים בלתי מותאמים לגילו וליכולותיו, ללא מערכת משפחתית תומכת. על רקע קשיים אלו ואי עיבוד מצוקותיו הרגשיות החל להשתמש בסמים וניהל אורח חיים שולי כשהוא מבצע עבירות. להערכת שירות המבחן, הבעיה המרכזית הינה התמכרותו של הנאשם לסמים והשימוש בהם לאורך השנים, הנובעות בין היתר מחוויית רגשיות שלא עובדו. על כן, תכנית השיקום שגובשה בעניינו של הנאשם כללה טיפול בהתמכרות, ביסוס מצבו הכלכלי והסדרת חובותיו, השתלבותו בתעסוקה יציבה והרחבת מעגליו וקשריו החברתיים. </w:t>
      </w:r>
    </w:p>
    <w:p w14:paraId="1D97F9E6" w14:textId="77777777" w:rsidR="0047016D" w:rsidRPr="005A6411" w:rsidRDefault="0047016D" w:rsidP="0047016D">
      <w:pPr>
        <w:spacing w:after="160" w:line="360" w:lineRule="auto"/>
        <w:ind w:left="720"/>
        <w:contextualSpacing/>
        <w:jc w:val="both"/>
        <w:rPr>
          <w:rFonts w:ascii="David" w:eastAsia="Calibri" w:hAnsi="David"/>
        </w:rPr>
      </w:pPr>
    </w:p>
    <w:p w14:paraId="6A5AB1F0" w14:textId="77777777" w:rsidR="0047016D" w:rsidRPr="005A6411" w:rsidRDefault="0047016D" w:rsidP="0047016D">
      <w:pPr>
        <w:numPr>
          <w:ilvl w:val="0"/>
          <w:numId w:val="1"/>
        </w:numPr>
        <w:spacing w:after="160" w:line="360" w:lineRule="auto"/>
        <w:contextualSpacing/>
        <w:jc w:val="both"/>
        <w:rPr>
          <w:rFonts w:ascii="David" w:eastAsia="Calibri" w:hAnsi="David"/>
        </w:rPr>
      </w:pPr>
      <w:r w:rsidRPr="005A6411">
        <w:rPr>
          <w:rFonts w:ascii="David" w:eastAsia="Calibri" w:hAnsi="David"/>
          <w:rtl/>
        </w:rPr>
        <w:t xml:space="preserve">בתסקיר סיכום ההליך מיום 17.1.21 סקר שירות המבחן את הקשיים המרכזיים עמם התמודד הנאשם כפי שעלו מתסקיר העומק בעניינו, וציין את השינויים והתהליכים אשר התרחשו במהלך השתתפותו של הנאשם בתוכנית בית המשפט הקהילתי לצד המטרות שהושגו. </w:t>
      </w:r>
    </w:p>
    <w:p w14:paraId="346925AC" w14:textId="77777777" w:rsidR="0047016D" w:rsidRPr="005A6411" w:rsidRDefault="0047016D" w:rsidP="0047016D">
      <w:pPr>
        <w:spacing w:after="160" w:line="256" w:lineRule="auto"/>
        <w:ind w:left="720"/>
        <w:contextualSpacing/>
        <w:rPr>
          <w:rFonts w:ascii="David" w:eastAsia="Calibri" w:hAnsi="David"/>
        </w:rPr>
      </w:pPr>
    </w:p>
    <w:p w14:paraId="40D6F706" w14:textId="77777777" w:rsidR="0047016D" w:rsidRPr="005A6411" w:rsidRDefault="0047016D" w:rsidP="0047016D">
      <w:pPr>
        <w:spacing w:after="160" w:line="360" w:lineRule="auto"/>
        <w:ind w:left="720"/>
        <w:contextualSpacing/>
        <w:jc w:val="both"/>
        <w:rPr>
          <w:rFonts w:ascii="David" w:eastAsia="Calibri" w:hAnsi="David"/>
          <w:rtl/>
        </w:rPr>
      </w:pPr>
      <w:r w:rsidRPr="005A6411">
        <w:rPr>
          <w:rFonts w:ascii="David" w:eastAsia="Calibri" w:hAnsi="David"/>
          <w:u w:val="single"/>
          <w:rtl/>
        </w:rPr>
        <w:t xml:space="preserve">טיפול בהתמכרויות: </w:t>
      </w:r>
      <w:r w:rsidRPr="005A6411">
        <w:rPr>
          <w:rFonts w:ascii="David" w:eastAsia="Calibri" w:hAnsi="David"/>
          <w:rtl/>
        </w:rPr>
        <w:t>על רקע שימושו בסמים, הנאשם טופל במשך כשנה ביחידה לנפגעי סמים בבת –ים. במסגרת היחידה הנאשם השתלב בטיפול פרטני וקבוצתי תוך מתן בדיקות שתן נקיות. לאור סיום העו"ס המטפל את תפקידו ועל דעת גורמי הטיפול, הוחלט כי הנאשם אינו זקוק להמשך ליווי אינטנסיבי ביחידה והמשך הטיפול יהיה בהגעתו לשירות המבחן. הנאשם הגיע בסדירות לפגישות בשירות המבחן ומסר בדיקות שתן נקיות. בשיחות עימו, מעלה תכנים משמעותיים וניכר כי מצליח לתת אמון ולשתף בכנות בחייו ולהיעזר בשיחות לקידום מצבו.</w:t>
      </w:r>
    </w:p>
    <w:p w14:paraId="11CF7C39" w14:textId="77777777" w:rsidR="0047016D" w:rsidRPr="005A6411" w:rsidRDefault="0047016D" w:rsidP="0047016D">
      <w:pPr>
        <w:spacing w:after="160" w:line="360" w:lineRule="auto"/>
        <w:ind w:left="720"/>
        <w:contextualSpacing/>
        <w:jc w:val="both"/>
        <w:rPr>
          <w:rFonts w:ascii="David" w:eastAsia="Calibri" w:hAnsi="David"/>
          <w:rtl/>
        </w:rPr>
      </w:pPr>
      <w:r w:rsidRPr="005A6411">
        <w:rPr>
          <w:rFonts w:ascii="David" w:eastAsia="Calibri" w:hAnsi="David"/>
          <w:u w:val="single"/>
          <w:rtl/>
        </w:rPr>
        <w:t>חובות:</w:t>
      </w:r>
      <w:r w:rsidRPr="005A6411">
        <w:rPr>
          <w:rFonts w:ascii="David" w:eastAsia="Calibri" w:hAnsi="David"/>
          <w:rtl/>
        </w:rPr>
        <w:t xml:space="preserve"> מונה לנאשם עו"ד מטעם הסיוע המשפטי שמסייע לו בהסדרת חובותיו. לאחרונה התקבלה החלטה על תהליך של חדלות פירעון, כאשר שירות המבחן ילווה את הנאשם בתהליך זה במסגרת צו המבחן.</w:t>
      </w:r>
    </w:p>
    <w:p w14:paraId="5FDD3E6B" w14:textId="77777777" w:rsidR="0047016D" w:rsidRPr="005A6411" w:rsidRDefault="0047016D" w:rsidP="0047016D">
      <w:pPr>
        <w:spacing w:after="160" w:line="360" w:lineRule="auto"/>
        <w:ind w:left="720"/>
        <w:contextualSpacing/>
        <w:jc w:val="both"/>
        <w:rPr>
          <w:rFonts w:ascii="David" w:eastAsia="Calibri" w:hAnsi="David"/>
          <w:rtl/>
        </w:rPr>
      </w:pPr>
      <w:r w:rsidRPr="005A6411">
        <w:rPr>
          <w:rFonts w:ascii="David" w:eastAsia="Calibri" w:hAnsi="David"/>
          <w:u w:val="single"/>
          <w:rtl/>
        </w:rPr>
        <w:t>תעסוקה:</w:t>
      </w:r>
      <w:r w:rsidRPr="005A6411">
        <w:rPr>
          <w:rFonts w:ascii="David" w:eastAsia="Calibri" w:hAnsi="David"/>
          <w:rtl/>
        </w:rPr>
        <w:t xml:space="preserve"> הנאשם עובד מזה כשנ</w:t>
      </w:r>
      <w:r>
        <w:rPr>
          <w:rFonts w:ascii="David" w:eastAsia="Calibri" w:hAnsi="David" w:hint="cs"/>
          <w:rtl/>
        </w:rPr>
        <w:t>ה</w:t>
      </w:r>
      <w:r w:rsidRPr="005A6411">
        <w:rPr>
          <w:rFonts w:ascii="David" w:eastAsia="Calibri" w:hAnsi="David"/>
          <w:rtl/>
        </w:rPr>
        <w:t xml:space="preserve"> בסופר בראשון לציון במחלקת דגים, מביע שביעות רצון גבוהה בעבודתו ואף זכה בתואר "עובד מצטיין" לפני מספר חודשים. </w:t>
      </w:r>
    </w:p>
    <w:p w14:paraId="45B0730D" w14:textId="77777777" w:rsidR="0047016D" w:rsidRPr="005A6411" w:rsidRDefault="0047016D" w:rsidP="0047016D">
      <w:pPr>
        <w:spacing w:after="160" w:line="360" w:lineRule="auto"/>
        <w:ind w:left="720"/>
        <w:contextualSpacing/>
        <w:jc w:val="both"/>
        <w:rPr>
          <w:rFonts w:ascii="David" w:eastAsia="Calibri" w:hAnsi="David"/>
          <w:rtl/>
        </w:rPr>
      </w:pPr>
    </w:p>
    <w:p w14:paraId="1D3A8DF2" w14:textId="77777777" w:rsidR="0047016D" w:rsidRPr="005A6411" w:rsidRDefault="0047016D" w:rsidP="0047016D">
      <w:pPr>
        <w:spacing w:after="160" w:line="360" w:lineRule="auto"/>
        <w:ind w:left="720"/>
        <w:contextualSpacing/>
        <w:jc w:val="both"/>
        <w:rPr>
          <w:rFonts w:ascii="David" w:eastAsia="Calibri" w:hAnsi="David"/>
          <w:rtl/>
        </w:rPr>
      </w:pPr>
      <w:r w:rsidRPr="005A6411">
        <w:rPr>
          <w:rFonts w:ascii="David" w:eastAsia="Calibri" w:hAnsi="David"/>
          <w:rtl/>
        </w:rPr>
        <w:t>להתרשמות שירות המבחן, במהלך השתתפותו בתכנית, הנאשם קידם את חייו בהתאם לתכנית שנבנתה עימו, שיתף פעולה עם גורמי הטיפול וערך מאמצים לשיקום חייו. בנוסף, הביע רצון ומוטיבציה להשתלב בקבוצת הפעילים של בוגרי בית המשפט הקהילתי.</w:t>
      </w:r>
    </w:p>
    <w:p w14:paraId="6A6436AE" w14:textId="77777777" w:rsidR="0047016D" w:rsidRPr="005A6411" w:rsidRDefault="0047016D" w:rsidP="0047016D">
      <w:pPr>
        <w:spacing w:after="160" w:line="360" w:lineRule="auto"/>
        <w:ind w:left="720"/>
        <w:contextualSpacing/>
        <w:jc w:val="both"/>
        <w:rPr>
          <w:rFonts w:ascii="David" w:eastAsia="Calibri" w:hAnsi="David"/>
          <w:rtl/>
        </w:rPr>
      </w:pPr>
    </w:p>
    <w:p w14:paraId="2192B324" w14:textId="77777777" w:rsidR="0047016D" w:rsidRPr="005A6411" w:rsidRDefault="0047016D" w:rsidP="0047016D">
      <w:pPr>
        <w:spacing w:after="160" w:line="360" w:lineRule="auto"/>
        <w:ind w:left="720"/>
        <w:contextualSpacing/>
        <w:jc w:val="both"/>
        <w:rPr>
          <w:rFonts w:ascii="David" w:eastAsia="Calibri" w:hAnsi="David"/>
          <w:rtl/>
        </w:rPr>
      </w:pPr>
      <w:r w:rsidRPr="005A6411">
        <w:rPr>
          <w:rFonts w:ascii="David" w:eastAsia="Calibri" w:hAnsi="David"/>
          <w:rtl/>
        </w:rPr>
        <w:lastRenderedPageBreak/>
        <w:t>בבחינת גורמי הסיכון, שירות המבחן הביא בחשבון את נטיית הנאשם לבחירות אימפולסיביות, התמכרותו ארוכת השנים וקשייו ליצור יציבות בחייו. בבחינת גורמי הסיכוי לשיקום, שירות המבחן הביא בחשבון את המאמצים וההתקדמות של הנאשם הן במסגרת היחידה להתמכרויות והן במסגרת הפגישות הפרטניות עימם. כמו כן, הביא בחשבון את תעסוקתו היציבה, השיפור בכוחותיו הנפשיים, הורדת הלחץ בחייו בכל הנוגע להסדרת חובותיו, ושיתוף הפעולה שלו בתכנית. בנוסף, נלקחה בחשבון העובדה שבמהלך תקופת השתתפותו בתכנית לא נפתחו כנגדו תיקים פליליים נוספים.</w:t>
      </w:r>
    </w:p>
    <w:p w14:paraId="13EF1E35" w14:textId="77777777" w:rsidR="0047016D" w:rsidRPr="005A6411" w:rsidRDefault="0047016D" w:rsidP="0047016D">
      <w:pPr>
        <w:spacing w:after="160" w:line="360" w:lineRule="auto"/>
        <w:ind w:left="720"/>
        <w:contextualSpacing/>
        <w:jc w:val="both"/>
        <w:rPr>
          <w:rFonts w:ascii="David" w:eastAsia="Calibri" w:hAnsi="David"/>
          <w:rtl/>
        </w:rPr>
      </w:pPr>
    </w:p>
    <w:p w14:paraId="57669E96" w14:textId="77777777" w:rsidR="0047016D" w:rsidRPr="005A6411" w:rsidRDefault="0047016D" w:rsidP="0047016D">
      <w:pPr>
        <w:spacing w:after="160" w:line="360" w:lineRule="auto"/>
        <w:ind w:left="720"/>
        <w:contextualSpacing/>
        <w:jc w:val="both"/>
        <w:rPr>
          <w:rFonts w:ascii="David" w:eastAsia="Calibri" w:hAnsi="David"/>
          <w:color w:val="FF0000"/>
          <w:rtl/>
        </w:rPr>
      </w:pPr>
      <w:r w:rsidRPr="005A6411">
        <w:rPr>
          <w:rFonts w:ascii="Calibri" w:eastAsia="Calibri" w:hAnsi="Calibri"/>
          <w:rtl/>
        </w:rPr>
        <w:t xml:space="preserve">נוכח האמור, המליץ שירות המבחן על סיום ההליך בבית המשפט הקהילתי בהצלחה. </w:t>
      </w:r>
      <w:r w:rsidRPr="005A6411">
        <w:rPr>
          <w:rFonts w:ascii="David" w:eastAsia="Calibri" w:hAnsi="David"/>
          <w:rtl/>
        </w:rPr>
        <w:t xml:space="preserve">לעניין העונש, שירות המבחן המליץ להעמידו בצו מבחן בשירותם למשך חצי שנה. במהלך תקופה זו הנאשם ישולב בקבוצת הפעילים של בוגרי בית המשפט הקהילתי וימשיך בטיפול הפרטני. כמו כן, יתבצע מעקב אחר סיום הליך ההגעה להסדר והתשלום בנוגע לחובותיו. בנוסף, שירות המבחן המליץ על 60 שעות של"צ בעמותת "ברכת הכהן" בבת- ים בתפקיד תחזוקה וחלוקת מזון. </w:t>
      </w:r>
    </w:p>
    <w:p w14:paraId="16DEB756" w14:textId="77777777" w:rsidR="0047016D" w:rsidRPr="005A6411" w:rsidRDefault="0047016D" w:rsidP="0047016D">
      <w:pPr>
        <w:spacing w:after="160" w:line="360" w:lineRule="auto"/>
        <w:jc w:val="both"/>
        <w:rPr>
          <w:rFonts w:ascii="David" w:eastAsia="Calibri" w:hAnsi="David"/>
          <w:b/>
          <w:bCs/>
          <w:u w:val="single"/>
          <w:rtl/>
        </w:rPr>
      </w:pPr>
    </w:p>
    <w:p w14:paraId="792C25B8" w14:textId="77777777" w:rsidR="0047016D" w:rsidRPr="005A6411" w:rsidRDefault="0047016D" w:rsidP="0047016D">
      <w:pPr>
        <w:spacing w:after="160" w:line="360" w:lineRule="auto"/>
        <w:jc w:val="both"/>
        <w:rPr>
          <w:rFonts w:ascii="David" w:eastAsia="Calibri" w:hAnsi="David"/>
          <w:b/>
          <w:bCs/>
          <w:u w:val="single"/>
          <w:rtl/>
        </w:rPr>
      </w:pPr>
      <w:r w:rsidRPr="005A6411">
        <w:rPr>
          <w:rFonts w:ascii="David" w:eastAsia="Calibri" w:hAnsi="David"/>
          <w:b/>
          <w:bCs/>
          <w:u w:val="single"/>
          <w:rtl/>
        </w:rPr>
        <w:t>תמצית טיעוני הצדדים</w:t>
      </w:r>
    </w:p>
    <w:p w14:paraId="2DB00EFD" w14:textId="77777777" w:rsidR="0047016D" w:rsidRPr="005A6411" w:rsidRDefault="0047016D" w:rsidP="0047016D">
      <w:pPr>
        <w:numPr>
          <w:ilvl w:val="0"/>
          <w:numId w:val="1"/>
        </w:numPr>
        <w:spacing w:after="160" w:line="360" w:lineRule="auto"/>
        <w:contextualSpacing/>
        <w:jc w:val="both"/>
        <w:rPr>
          <w:rFonts w:ascii="David" w:eastAsia="Calibri" w:hAnsi="David"/>
          <w:rtl/>
        </w:rPr>
      </w:pPr>
      <w:r w:rsidRPr="005A6411">
        <w:rPr>
          <w:rFonts w:ascii="David" w:eastAsia="Calibri" w:hAnsi="David"/>
          <w:rtl/>
        </w:rPr>
        <w:t>ב"כ המאשימה הגישה תדפיס רישום פלילי (מ/1).</w:t>
      </w:r>
    </w:p>
    <w:p w14:paraId="563BBF39" w14:textId="77777777" w:rsidR="0047016D" w:rsidRPr="005A6411" w:rsidRDefault="0047016D" w:rsidP="0047016D">
      <w:pPr>
        <w:spacing w:after="160" w:line="360" w:lineRule="auto"/>
        <w:ind w:left="720"/>
        <w:contextualSpacing/>
        <w:jc w:val="both"/>
        <w:rPr>
          <w:rFonts w:ascii="David" w:eastAsia="Calibri" w:hAnsi="David"/>
        </w:rPr>
      </w:pPr>
    </w:p>
    <w:p w14:paraId="4D23DA34" w14:textId="77777777" w:rsidR="0047016D" w:rsidRPr="005A6411" w:rsidRDefault="0047016D" w:rsidP="0047016D">
      <w:pPr>
        <w:spacing w:after="160" w:line="360" w:lineRule="auto"/>
        <w:ind w:left="720"/>
        <w:contextualSpacing/>
        <w:jc w:val="both"/>
        <w:rPr>
          <w:rFonts w:ascii="David" w:eastAsia="Calibri" w:hAnsi="David"/>
          <w:rtl/>
        </w:rPr>
      </w:pPr>
      <w:r w:rsidRPr="005A6411">
        <w:rPr>
          <w:rFonts w:ascii="David" w:eastAsia="Calibri" w:hAnsi="David"/>
          <w:rtl/>
        </w:rPr>
        <w:t xml:space="preserve">במסגרת טיעוניה, סקרה ב"כ המאשימה את כתב האישום בעניינו של הנאשם והעבירה בה הודה. בנוסף, ציינה ב"כ המאשימה את הערך החברתי שנפגע מביצוע העבירות שביצע הנאשם. ב"כ המאשימה התייחסה לעברו הפלילי של הנאשם ולעובדה שריצה בעברו עונשי מאסר. במסגרת טיעוניה, סקרה ב"כ המאשימה את עיקרי תסקיר הסיכום והעולה ממנו. נמצא כי הנאשם שמר על ניקיון מסמים, פעל אקטיבית להסדרת חובותיו, מצוי במסגרת תעסוקתית יציבה ואף זכה בתואר "עובד מצטיין. להתרשמות שירות המבחן, הנאשם ערך מאמצים רבים, שיתף פעולה והשיג את מטרות התכנית השיקומית. לאור העובדה שהנאשם עומד בתנאים המצדיקים חריגה ממתחמי הענישה מטעמי שיקום, ב"כ המאשימה ביקשה לאמץ את הסדר הטיעון ולהטיל על הנאשם עונש מאסר מותנה שיחול על כל עבירה על פי פקודת הסמים, של"צ, קנס בגובה 1,000 ₪ וכתב התחייבות. </w:t>
      </w:r>
    </w:p>
    <w:p w14:paraId="7376D754" w14:textId="77777777" w:rsidR="0047016D" w:rsidRPr="005A6411" w:rsidRDefault="0047016D" w:rsidP="0047016D">
      <w:pPr>
        <w:spacing w:after="160" w:line="360" w:lineRule="auto"/>
        <w:ind w:left="720"/>
        <w:contextualSpacing/>
        <w:jc w:val="both"/>
        <w:rPr>
          <w:rFonts w:ascii="David" w:eastAsia="Calibri" w:hAnsi="David"/>
        </w:rPr>
      </w:pPr>
    </w:p>
    <w:p w14:paraId="312F9492" w14:textId="77777777" w:rsidR="0047016D" w:rsidRPr="005A6411" w:rsidRDefault="0047016D" w:rsidP="0047016D">
      <w:pPr>
        <w:numPr>
          <w:ilvl w:val="0"/>
          <w:numId w:val="1"/>
        </w:numPr>
        <w:spacing w:after="160" w:line="360" w:lineRule="auto"/>
        <w:contextualSpacing/>
        <w:jc w:val="both"/>
        <w:rPr>
          <w:rFonts w:ascii="David" w:eastAsia="Calibri" w:hAnsi="David"/>
          <w:rtl/>
        </w:rPr>
      </w:pPr>
      <w:r w:rsidRPr="005A6411">
        <w:rPr>
          <w:rFonts w:ascii="David" w:eastAsia="Calibri" w:hAnsi="David"/>
          <w:rtl/>
        </w:rPr>
        <w:t xml:space="preserve">במסגרת טיעוניו, טען ב"כ הנאשם כי הנאשם הודה באישום, נטל אחריות ושיתף פעולה באופן מלא עם שירות המבחן. הסניגור ציין את הרקע ממנו הגיע הנאשם ואת השימוש בסמים מגיל צעיר, כאשר במהלך השתלבותו בתכנית ערך מספר שינויים בחייו. כך, מצא תעסוקה יציבה ואף זכה בתואר "עובד מצטיין", הסדיר את חובותיו ומסר בדיקות שתן נקיות. שירות המבחן התרשם מהמאמצים של הנאשם בטיפול, הירתמותו והתקדמותו בתכנית, כאשר במסגרת צו המבחן שירות המבחן ימשיך ללוות אותו. בנסיבות אלה, עתר הסניגור אף הוא לאמץ את הסדר הטיעון. לעניין רכיב הקנס, ביקש הסניגור בהסכמת ב"כ המאשימה כי ישולם ב-4 תשלומים החל מאפריל 2021. כמו כן, בשים לב לפרוטוקול בית המשפט מתאריך 27.7.20 –  במסגרתו ניתנה החלטה להורות על שחרור הכספים בגובה 2,250 ₪ שנתפסו במסגרת התפ"ק שבכותרת –  ביקש שבית המשפט יתן החלטה נוספת על כך על מנת שלא יהיה עוררין לעניין קבלת התשלום. בסיום דבריו, הסניגור הודה לצוות בית המשפט הקהילתי ואיחל לנאשם הצלחה רבה. </w:t>
      </w:r>
    </w:p>
    <w:p w14:paraId="096383FA" w14:textId="77777777" w:rsidR="0047016D" w:rsidRPr="005A6411" w:rsidRDefault="0047016D" w:rsidP="0047016D">
      <w:pPr>
        <w:spacing w:after="160" w:line="360" w:lineRule="auto"/>
        <w:ind w:left="720"/>
        <w:contextualSpacing/>
        <w:jc w:val="both"/>
        <w:rPr>
          <w:rFonts w:ascii="David" w:eastAsia="Calibri" w:hAnsi="David"/>
        </w:rPr>
      </w:pPr>
    </w:p>
    <w:p w14:paraId="49CAC69E" w14:textId="77777777" w:rsidR="0047016D" w:rsidRPr="005A6411" w:rsidRDefault="0047016D" w:rsidP="0047016D">
      <w:pPr>
        <w:numPr>
          <w:ilvl w:val="0"/>
          <w:numId w:val="1"/>
        </w:numPr>
        <w:spacing w:after="160" w:line="360" w:lineRule="auto"/>
        <w:contextualSpacing/>
        <w:jc w:val="both"/>
        <w:rPr>
          <w:rFonts w:ascii="David" w:eastAsia="Calibri" w:hAnsi="David"/>
          <w:rtl/>
        </w:rPr>
      </w:pPr>
      <w:r w:rsidRPr="005A6411">
        <w:rPr>
          <w:rFonts w:ascii="David" w:eastAsia="Calibri" w:hAnsi="David"/>
          <w:rtl/>
        </w:rPr>
        <w:t xml:space="preserve">לדברי קצינת המבחן, במהלך השתתפותו בתכנית, הנאשם עבר עליות ומורדות, בין היתר התמודדות עם טיפול בחובות ועם מות אימו. מעבר לקשיים, הנאשם הצליח להתרומם בצורה משמעותית ומרשימה, לעבור טיפול מעמיק ביחידה להתמכרויות, לשמור על ניקיון מסמים, הגעה למפגשים בשירות המבחן ומציאת מקור תעסוקה יציב. קצינת המבחן מסרה לנאשם כי היא גאה בו על הדרך שעבר ועל היותו דבק במטרה ואיחלה לו הצלחה רבה.  </w:t>
      </w:r>
    </w:p>
    <w:p w14:paraId="0332691A" w14:textId="77777777" w:rsidR="0047016D" w:rsidRPr="005A6411" w:rsidRDefault="0047016D" w:rsidP="0047016D">
      <w:pPr>
        <w:spacing w:after="160" w:line="256" w:lineRule="auto"/>
        <w:ind w:left="720"/>
        <w:contextualSpacing/>
        <w:rPr>
          <w:rFonts w:ascii="David" w:eastAsia="Calibri" w:hAnsi="David"/>
        </w:rPr>
      </w:pPr>
    </w:p>
    <w:p w14:paraId="3FF6CBC8" w14:textId="77777777" w:rsidR="0047016D" w:rsidRPr="005A6411" w:rsidRDefault="0047016D" w:rsidP="0047016D">
      <w:pPr>
        <w:numPr>
          <w:ilvl w:val="0"/>
          <w:numId w:val="1"/>
        </w:numPr>
        <w:spacing w:after="160" w:line="360" w:lineRule="auto"/>
        <w:contextualSpacing/>
        <w:jc w:val="both"/>
        <w:rPr>
          <w:rFonts w:ascii="David" w:eastAsia="Calibri" w:hAnsi="David"/>
        </w:rPr>
      </w:pPr>
      <w:r w:rsidRPr="005A6411">
        <w:rPr>
          <w:rFonts w:ascii="David" w:eastAsia="Calibri" w:hAnsi="David"/>
          <w:rtl/>
        </w:rPr>
        <w:t xml:space="preserve">הנאשם מסר כי על אף החששות שחש בעת כניסתו לתכנית, הצליח לערוך שינוי גדול בחייו. מאז השתתפותו בתכנית, מצא מסגרת תעסוקה יציבה, טיפל בחובותיו, חי חיי משפחה. הנאשם שיתף כי רואה בבית המשפט הקהילתי כהזדמנות של פעם בחיים. בסיום דבריו, הודה לצוות בית המשפט הקהילתי על עבודת הקודש שעושים. </w:t>
      </w:r>
    </w:p>
    <w:p w14:paraId="79F4A07B" w14:textId="77777777" w:rsidR="0047016D" w:rsidRPr="005A6411" w:rsidRDefault="0047016D" w:rsidP="0047016D">
      <w:pPr>
        <w:spacing w:after="160" w:line="256" w:lineRule="auto"/>
        <w:ind w:left="720"/>
        <w:contextualSpacing/>
        <w:rPr>
          <w:rFonts w:ascii="David" w:eastAsia="Calibri" w:hAnsi="David"/>
        </w:rPr>
      </w:pPr>
    </w:p>
    <w:p w14:paraId="38BD83F2" w14:textId="77777777" w:rsidR="0047016D" w:rsidRPr="005A6411" w:rsidRDefault="0047016D" w:rsidP="0047016D">
      <w:pPr>
        <w:numPr>
          <w:ilvl w:val="0"/>
          <w:numId w:val="1"/>
        </w:numPr>
        <w:spacing w:after="160" w:line="360" w:lineRule="auto"/>
        <w:contextualSpacing/>
        <w:jc w:val="both"/>
        <w:rPr>
          <w:rFonts w:ascii="David" w:eastAsia="Calibri" w:hAnsi="David"/>
          <w:rtl/>
        </w:rPr>
      </w:pPr>
      <w:r w:rsidRPr="005A6411">
        <w:rPr>
          <w:rFonts w:ascii="David" w:eastAsia="Calibri" w:hAnsi="David"/>
          <w:rtl/>
        </w:rPr>
        <w:t xml:space="preserve">בהתאם לבקשת הסניגור בדיון הטיעונים לעונש, ולמען הסר ספק, הורתי כפי החלטתי מיום 27.7.20, כי הכספים שנתפסו ביום מעצרו של הנאשם בגובה 2,250 ₪ יושבו על ידי היחידה החוקרת לחשבון הבנק של הנאשם. לחילופין, ניתן יהיה להשיב את הכספים לחשבונה של בת הזוג, הגברת קרן עמר. </w:t>
      </w:r>
    </w:p>
    <w:p w14:paraId="597BBF18" w14:textId="77777777" w:rsidR="0047016D" w:rsidRPr="005A6411" w:rsidRDefault="0047016D" w:rsidP="0047016D">
      <w:pPr>
        <w:spacing w:after="160" w:line="360" w:lineRule="auto"/>
        <w:ind w:left="720"/>
        <w:contextualSpacing/>
        <w:jc w:val="both"/>
        <w:rPr>
          <w:rFonts w:ascii="David" w:eastAsia="Calibri" w:hAnsi="David"/>
          <w:color w:val="FF0000"/>
          <w:rtl/>
        </w:rPr>
      </w:pPr>
    </w:p>
    <w:p w14:paraId="7B5ECFEF" w14:textId="77777777" w:rsidR="0047016D" w:rsidRPr="005A6411" w:rsidRDefault="0047016D" w:rsidP="0047016D">
      <w:pPr>
        <w:spacing w:after="160" w:line="360" w:lineRule="auto"/>
        <w:jc w:val="both"/>
        <w:rPr>
          <w:rFonts w:ascii="David" w:eastAsia="Calibri" w:hAnsi="David"/>
          <w:b/>
          <w:bCs/>
          <w:u w:val="single"/>
        </w:rPr>
      </w:pPr>
      <w:r w:rsidRPr="005A6411">
        <w:rPr>
          <w:rFonts w:ascii="David" w:eastAsia="Calibri" w:hAnsi="David"/>
          <w:b/>
          <w:bCs/>
          <w:u w:val="single"/>
          <w:rtl/>
        </w:rPr>
        <w:t>דיון ומסקנות</w:t>
      </w:r>
    </w:p>
    <w:p w14:paraId="7F5C0A51" w14:textId="77777777" w:rsidR="0047016D" w:rsidRPr="005A6411" w:rsidRDefault="0047016D" w:rsidP="0047016D">
      <w:pPr>
        <w:spacing w:after="160" w:line="360" w:lineRule="auto"/>
        <w:jc w:val="both"/>
        <w:rPr>
          <w:rFonts w:ascii="David" w:eastAsia="Calibri" w:hAnsi="David"/>
          <w:color w:val="FF0000"/>
          <w:rtl/>
        </w:rPr>
      </w:pPr>
    </w:p>
    <w:p w14:paraId="0904C76E" w14:textId="77777777" w:rsidR="0047016D" w:rsidRPr="005A6411" w:rsidRDefault="0047016D" w:rsidP="0047016D">
      <w:pPr>
        <w:numPr>
          <w:ilvl w:val="0"/>
          <w:numId w:val="1"/>
        </w:numPr>
        <w:spacing w:after="160" w:line="360" w:lineRule="auto"/>
        <w:contextualSpacing/>
        <w:jc w:val="both"/>
        <w:rPr>
          <w:rFonts w:ascii="David" w:eastAsia="Calibri" w:hAnsi="David"/>
        </w:rPr>
      </w:pPr>
      <w:r w:rsidRPr="005A6411">
        <w:rPr>
          <w:rFonts w:ascii="David" w:eastAsia="Calibri" w:hAnsi="David"/>
          <w:rtl/>
        </w:rPr>
        <w:t>לאחר ששקלתי את טיעוני הצדדים והתרשמתי מהדיווח החיובי של שירות המבחן, מצאתי לנכון לאמץ את הסדר הטיעון, שהינו סביר והולם בנסיבות העניין, זאת מבלי להתעלם מחומרת העבירה, הערכים החברתיים שנפגעו ומדיניות הענישה הנוהגת בגין העבירה בה הורשע הנאשם. מעיון בפסיקה שניתנה בגין עבירה של שימוש בסמים שלא לצריכה עצמית, עולה מנעד ענישה רחב של מאסר מותנה לבין מספר חודשי מאסר בפועל שיכול וירוצו בעבודות שירות, בהתאם לנסיבות המקרה. בענייננו, מדובר בכמויות גרם של סמים שאינן כמויות גדולות, ובנסיבות אלו יש למקם את הנאשם בתחתית המתחם (</w:t>
      </w:r>
      <w:hyperlink r:id="rId12" w:history="1">
        <w:r w:rsidR="007B5535" w:rsidRPr="007B5535">
          <w:rPr>
            <w:rFonts w:ascii="David" w:hAnsi="David"/>
            <w:color w:val="0000FF"/>
            <w:u w:val="single"/>
            <w:rtl/>
          </w:rPr>
          <w:t>רע"פ 5712/16</w:t>
        </w:r>
      </w:hyperlink>
      <w:r w:rsidRPr="005A6411">
        <w:rPr>
          <w:rFonts w:ascii="David" w:hAnsi="David"/>
          <w:u w:val="single"/>
          <w:rtl/>
        </w:rPr>
        <w:t xml:space="preserve"> </w:t>
      </w:r>
      <w:r w:rsidRPr="005A6411">
        <w:rPr>
          <w:rFonts w:ascii="David" w:hAnsi="David" w:hint="cs"/>
          <w:b/>
          <w:bCs/>
          <w:rtl/>
        </w:rPr>
        <w:t>אייזנבאך נ' מדינת ישראל</w:t>
      </w:r>
      <w:r w:rsidRPr="005A6411">
        <w:rPr>
          <w:rFonts w:ascii="David" w:hAnsi="David" w:hint="cs"/>
          <w:rtl/>
        </w:rPr>
        <w:t xml:space="preserve"> (פורסם בנבו, 17.8.16); </w:t>
      </w:r>
      <w:hyperlink r:id="rId13" w:history="1">
        <w:r w:rsidR="007B5535" w:rsidRPr="007B5535">
          <w:rPr>
            <w:rFonts w:ascii="David" w:hAnsi="David"/>
            <w:color w:val="0000FF"/>
            <w:u w:val="single"/>
            <w:rtl/>
          </w:rPr>
          <w:t>ת"פ (י-ם) 13939-07-18</w:t>
        </w:r>
      </w:hyperlink>
      <w:r w:rsidRPr="005A6411">
        <w:rPr>
          <w:rFonts w:ascii="David" w:hAnsi="David" w:hint="cs"/>
          <w:rtl/>
        </w:rPr>
        <w:t xml:space="preserve"> </w:t>
      </w:r>
      <w:r w:rsidRPr="005A6411">
        <w:rPr>
          <w:rFonts w:ascii="David" w:hAnsi="David" w:hint="cs"/>
          <w:b/>
          <w:bCs/>
          <w:rtl/>
        </w:rPr>
        <w:t>מדינת ישראל נ' דורון פורת</w:t>
      </w:r>
      <w:r w:rsidRPr="005A6411">
        <w:rPr>
          <w:rFonts w:ascii="David" w:hAnsi="David" w:hint="cs"/>
          <w:rtl/>
        </w:rPr>
        <w:t xml:space="preserve"> (פורסם בנבו, 27.10.19); </w:t>
      </w:r>
      <w:hyperlink r:id="rId14" w:history="1">
        <w:r w:rsidR="007B5535" w:rsidRPr="007B5535">
          <w:rPr>
            <w:rFonts w:ascii="David" w:eastAsia="David" w:hAnsi="David"/>
            <w:color w:val="0000FF"/>
            <w:u w:val="single"/>
            <w:rtl/>
          </w:rPr>
          <w:t>ת"פ (רמ') 33848-05-14</w:t>
        </w:r>
      </w:hyperlink>
      <w:r w:rsidR="007B5535">
        <w:rPr>
          <w:rFonts w:ascii="David" w:eastAsia="David" w:hAnsi="David"/>
          <w:rtl/>
        </w:rPr>
        <w:t xml:space="preserve"> </w:t>
      </w:r>
      <w:r w:rsidRPr="005A6411">
        <w:rPr>
          <w:rFonts w:ascii="David" w:eastAsia="David" w:hAnsi="David"/>
          <w:b/>
          <w:bCs/>
          <w:rtl/>
        </w:rPr>
        <w:t>פרקליטות מחוז מרכז</w:t>
      </w:r>
      <w:r w:rsidR="007B5535">
        <w:rPr>
          <w:rFonts w:ascii="David" w:eastAsia="David" w:hAnsi="David"/>
          <w:rtl/>
        </w:rPr>
        <w:t xml:space="preserve"> </w:t>
      </w:r>
      <w:r w:rsidRPr="005A6411">
        <w:rPr>
          <w:rFonts w:ascii="David" w:eastAsia="David" w:hAnsi="David"/>
          <w:rtl/>
        </w:rPr>
        <w:t xml:space="preserve">נ' </w:t>
      </w:r>
      <w:r w:rsidRPr="005A6411">
        <w:rPr>
          <w:rFonts w:ascii="David" w:eastAsia="David" w:hAnsi="David"/>
          <w:b/>
          <w:bCs/>
          <w:rtl/>
        </w:rPr>
        <w:t>מוחמד עאמר</w:t>
      </w:r>
      <w:r w:rsidRPr="005A6411">
        <w:rPr>
          <w:rFonts w:ascii="David" w:eastAsia="David" w:hAnsi="David"/>
          <w:rtl/>
        </w:rPr>
        <w:t xml:space="preserve"> (פורסם בנבו, 24.2.16); </w:t>
      </w:r>
      <w:hyperlink r:id="rId15" w:history="1">
        <w:r w:rsidR="007B5535" w:rsidRPr="007B5535">
          <w:rPr>
            <w:rFonts w:ascii="David" w:eastAsia="David" w:hAnsi="David"/>
            <w:color w:val="0000FF"/>
            <w:u w:val="single"/>
            <w:rtl/>
          </w:rPr>
          <w:t>עפ"ג (מחוזי באר שבע) 18589-02-12</w:t>
        </w:r>
      </w:hyperlink>
      <w:r w:rsidRPr="005A6411">
        <w:rPr>
          <w:rFonts w:ascii="David" w:eastAsia="David" w:hAnsi="David"/>
          <w:b/>
          <w:bCs/>
          <w:rtl/>
        </w:rPr>
        <w:t xml:space="preserve"> ללמייב נ' מדינת ישראל </w:t>
      </w:r>
      <w:r w:rsidRPr="005A6411">
        <w:rPr>
          <w:rFonts w:ascii="David" w:eastAsia="David" w:hAnsi="David"/>
          <w:rtl/>
        </w:rPr>
        <w:t xml:space="preserve"> (פורסם בנבו, 6.9.12);</w:t>
      </w:r>
      <w:r w:rsidRPr="005A6411">
        <w:rPr>
          <w:rFonts w:ascii="David" w:eastAsia="David" w:hAnsi="David"/>
          <w:b/>
          <w:bCs/>
          <w:rtl/>
        </w:rPr>
        <w:t xml:space="preserve"> </w:t>
      </w:r>
      <w:hyperlink r:id="rId16" w:history="1">
        <w:r w:rsidR="007B5535" w:rsidRPr="007B5535">
          <w:rPr>
            <w:rFonts w:ascii="David" w:eastAsia="David" w:hAnsi="David"/>
            <w:color w:val="0000FF"/>
            <w:u w:val="single"/>
            <w:rtl/>
          </w:rPr>
          <w:t>ת"פ (שלום קרית גת) 3752-07-14</w:t>
        </w:r>
      </w:hyperlink>
      <w:r w:rsidRPr="005A6411">
        <w:rPr>
          <w:rFonts w:ascii="David" w:eastAsia="David" w:hAnsi="David"/>
          <w:rtl/>
        </w:rPr>
        <w:t xml:space="preserve"> </w:t>
      </w:r>
      <w:r w:rsidRPr="005A6411">
        <w:rPr>
          <w:rFonts w:ascii="David" w:eastAsia="David" w:hAnsi="David" w:hint="cs"/>
          <w:b/>
          <w:bCs/>
          <w:rtl/>
        </w:rPr>
        <w:t>מדינת ישראל נ' ביטון</w:t>
      </w:r>
      <w:r w:rsidRPr="005A6411">
        <w:rPr>
          <w:rFonts w:ascii="David" w:eastAsia="David" w:hAnsi="David" w:hint="cs"/>
          <w:rtl/>
        </w:rPr>
        <w:t xml:space="preserve"> (19.3.15); </w:t>
      </w:r>
      <w:hyperlink r:id="rId17" w:history="1">
        <w:r w:rsidR="007B5535" w:rsidRPr="007B5535">
          <w:rPr>
            <w:rFonts w:ascii="David" w:eastAsia="David" w:hAnsi="David"/>
            <w:color w:val="0000FF"/>
            <w:u w:val="single"/>
            <w:rtl/>
          </w:rPr>
          <w:t>רע"פ 10423/09</w:t>
        </w:r>
      </w:hyperlink>
      <w:r w:rsidRPr="005A6411">
        <w:rPr>
          <w:rFonts w:ascii="David" w:eastAsia="David" w:hAnsi="David"/>
          <w:b/>
          <w:bCs/>
          <w:rtl/>
        </w:rPr>
        <w:t xml:space="preserve"> שורר נ' מדינת ישראל</w:t>
      </w:r>
      <w:r w:rsidRPr="005A6411">
        <w:rPr>
          <w:rFonts w:ascii="David" w:eastAsia="David" w:hAnsi="David"/>
          <w:rtl/>
        </w:rPr>
        <w:t xml:space="preserve"> (פורסם בנבו, 26.4.20). </w:t>
      </w:r>
    </w:p>
    <w:p w14:paraId="17638022" w14:textId="77777777" w:rsidR="0047016D" w:rsidRPr="005A6411" w:rsidRDefault="0047016D" w:rsidP="0047016D">
      <w:pPr>
        <w:spacing w:after="160" w:line="360" w:lineRule="auto"/>
        <w:ind w:left="720"/>
        <w:contextualSpacing/>
        <w:jc w:val="both"/>
        <w:rPr>
          <w:rFonts w:ascii="David" w:eastAsia="Calibri" w:hAnsi="David"/>
        </w:rPr>
      </w:pPr>
    </w:p>
    <w:p w14:paraId="5F376287" w14:textId="77777777" w:rsidR="0047016D" w:rsidRPr="005A6411" w:rsidRDefault="0047016D" w:rsidP="0047016D">
      <w:pPr>
        <w:numPr>
          <w:ilvl w:val="0"/>
          <w:numId w:val="1"/>
        </w:numPr>
        <w:spacing w:after="160" w:line="360" w:lineRule="auto"/>
        <w:contextualSpacing/>
        <w:jc w:val="both"/>
        <w:rPr>
          <w:rFonts w:ascii="David" w:eastAsia="Calibri" w:hAnsi="David"/>
        </w:rPr>
      </w:pPr>
      <w:r w:rsidRPr="005A6411">
        <w:rPr>
          <w:rFonts w:ascii="David" w:eastAsia="Calibri" w:hAnsi="David"/>
          <w:rtl/>
        </w:rPr>
        <w:t xml:space="preserve">בנוסף, מצאתי כי נכון וראוי לאמץ את המלצת שירות המבחן להטלת צו מבחן למשך חצי שנה, במסגרתה הנאשם ישולב בקבוצת הפעילים של בוגרי בית המשפט הקהילתי וימשיך בטיפול הפרטני.  המלצה זו עולה בקנה אחד עם מטרות השיקום של הנאשם. </w:t>
      </w:r>
    </w:p>
    <w:p w14:paraId="6ACBCE80" w14:textId="77777777" w:rsidR="0047016D" w:rsidRPr="005A6411" w:rsidRDefault="0047016D" w:rsidP="0047016D">
      <w:pPr>
        <w:spacing w:after="160" w:line="360" w:lineRule="auto"/>
        <w:ind w:left="720"/>
        <w:contextualSpacing/>
        <w:jc w:val="both"/>
        <w:rPr>
          <w:rFonts w:ascii="David" w:eastAsia="Calibri" w:hAnsi="David"/>
          <w:rtl/>
        </w:rPr>
      </w:pPr>
    </w:p>
    <w:p w14:paraId="27BDEF33" w14:textId="77777777" w:rsidR="0047016D" w:rsidRPr="005A6411" w:rsidRDefault="0047016D" w:rsidP="0047016D">
      <w:pPr>
        <w:numPr>
          <w:ilvl w:val="0"/>
          <w:numId w:val="1"/>
        </w:numPr>
        <w:spacing w:after="160" w:line="360" w:lineRule="auto"/>
        <w:contextualSpacing/>
        <w:jc w:val="both"/>
        <w:rPr>
          <w:rFonts w:ascii="David" w:eastAsia="Calibri" w:hAnsi="David"/>
        </w:rPr>
      </w:pPr>
      <w:r w:rsidRPr="005A6411">
        <w:rPr>
          <w:rFonts w:ascii="David" w:eastAsia="Calibri" w:hAnsi="David"/>
          <w:rtl/>
        </w:rPr>
        <w:t xml:space="preserve">בהחלטתי נתתי משקל לתיקון כתב האישום, להודאת הנאשם ולקיחת אחריות בגין העבירות שיוחסו לו, לעובדה שלא הוגשו כתבי אישום נוספים מאז השתלבות הנאשם בבית המשפט הקהילתי ולתהליך השיקום המשמעותי שעבר.  </w:t>
      </w:r>
    </w:p>
    <w:p w14:paraId="3C8E442E" w14:textId="77777777" w:rsidR="0047016D" w:rsidRPr="005A6411" w:rsidRDefault="0047016D" w:rsidP="0047016D">
      <w:pPr>
        <w:spacing w:after="160" w:line="360" w:lineRule="auto"/>
        <w:ind w:left="720"/>
        <w:contextualSpacing/>
        <w:jc w:val="both"/>
        <w:rPr>
          <w:rFonts w:ascii="David" w:eastAsia="Calibri" w:hAnsi="David"/>
        </w:rPr>
      </w:pPr>
    </w:p>
    <w:p w14:paraId="38DA6B95" w14:textId="77777777" w:rsidR="0047016D" w:rsidRPr="005A6411" w:rsidRDefault="0047016D" w:rsidP="0047016D">
      <w:pPr>
        <w:numPr>
          <w:ilvl w:val="0"/>
          <w:numId w:val="1"/>
        </w:numPr>
        <w:spacing w:after="160" w:line="360" w:lineRule="auto"/>
        <w:contextualSpacing/>
        <w:jc w:val="both"/>
        <w:rPr>
          <w:rFonts w:ascii="David" w:eastAsia="Calibri" w:hAnsi="David"/>
        </w:rPr>
      </w:pPr>
      <w:r w:rsidRPr="005A6411">
        <w:rPr>
          <w:rFonts w:ascii="David" w:eastAsia="Calibri" w:hAnsi="David"/>
          <w:rtl/>
        </w:rPr>
        <w:t>בנסיבות הנאשם שלפניי, באתי לכדי מסקנה כי איזון כלל השיקולים מחייבים ענישה שיהיה בה שילוב של רכיבי גמול לנאשם אשר ישקפו את הסלידה שחשה החברה נוכח מעשיו ואת הוקעתם הנדרשת, לצד האפשרות ליתן לנאשם הזדמנות להמשיך לשקם אורחות חייו ולחזור למוטב.</w:t>
      </w:r>
    </w:p>
    <w:p w14:paraId="2E5E08EC" w14:textId="77777777" w:rsidR="0047016D" w:rsidRPr="005A6411" w:rsidRDefault="0047016D" w:rsidP="0047016D">
      <w:pPr>
        <w:spacing w:after="160" w:line="256" w:lineRule="auto"/>
        <w:ind w:left="720"/>
        <w:contextualSpacing/>
        <w:rPr>
          <w:rFonts w:ascii="David" w:eastAsia="Calibri" w:hAnsi="David"/>
        </w:rPr>
      </w:pPr>
    </w:p>
    <w:p w14:paraId="68891EBF" w14:textId="77777777" w:rsidR="0047016D" w:rsidRPr="005A6411" w:rsidRDefault="0047016D" w:rsidP="0047016D">
      <w:pPr>
        <w:numPr>
          <w:ilvl w:val="0"/>
          <w:numId w:val="1"/>
        </w:numPr>
        <w:spacing w:after="160" w:line="360" w:lineRule="auto"/>
        <w:contextualSpacing/>
        <w:jc w:val="both"/>
        <w:rPr>
          <w:rFonts w:ascii="David" w:eastAsia="Calibri" w:hAnsi="David"/>
          <w:rtl/>
        </w:rPr>
      </w:pPr>
      <w:r w:rsidRPr="005A6411">
        <w:rPr>
          <w:rFonts w:ascii="David" w:eastAsia="Calibri" w:hAnsi="David"/>
          <w:rtl/>
        </w:rPr>
        <w:t xml:space="preserve">ברצוני לחזק את ידי הנאשם שחרף כל הקשיים שעבר לא ויתר,  למד להיעזר בגורמי הטיפול ,עבר שיקום משמעותי בתחומי חייו, עמד בכל היעדים שהוצבו לו והפיק את המיטב מתכנית בית המשפט הקהילתי. סבורני כי העונש שיוטל על הנאשם יהווה עבורו תמריץ חיובי להתמיד בדרך חיים נורמטיבית ולהמשיך לצעוד בדרך המיטיבה בה בחר עבורו. </w:t>
      </w:r>
    </w:p>
    <w:p w14:paraId="6F6D7D7F" w14:textId="77777777" w:rsidR="0047016D" w:rsidRPr="005A6411" w:rsidRDefault="0047016D" w:rsidP="0047016D">
      <w:pPr>
        <w:spacing w:after="160" w:line="360" w:lineRule="auto"/>
        <w:ind w:left="720"/>
        <w:contextualSpacing/>
        <w:jc w:val="both"/>
        <w:rPr>
          <w:rFonts w:ascii="David" w:eastAsia="Calibri" w:hAnsi="David"/>
          <w:color w:val="FF0000"/>
          <w:rtl/>
        </w:rPr>
      </w:pPr>
    </w:p>
    <w:p w14:paraId="5674517E" w14:textId="77777777" w:rsidR="0047016D" w:rsidRPr="005A6411" w:rsidRDefault="0047016D" w:rsidP="0047016D">
      <w:pPr>
        <w:spacing w:after="160" w:line="360" w:lineRule="auto"/>
        <w:jc w:val="both"/>
        <w:rPr>
          <w:rFonts w:ascii="David" w:eastAsia="Calibri" w:hAnsi="David"/>
          <w:b/>
          <w:bCs/>
          <w:u w:val="single"/>
          <w:rtl/>
        </w:rPr>
      </w:pPr>
      <w:r w:rsidRPr="005A6411">
        <w:rPr>
          <w:rFonts w:ascii="David" w:eastAsia="Calibri" w:hAnsi="David"/>
          <w:b/>
          <w:bCs/>
          <w:u w:val="single"/>
          <w:rtl/>
        </w:rPr>
        <w:t>סוף דבר</w:t>
      </w:r>
    </w:p>
    <w:p w14:paraId="47673F64" w14:textId="77777777" w:rsidR="0047016D" w:rsidRPr="005A6411" w:rsidRDefault="0047016D" w:rsidP="0047016D">
      <w:pPr>
        <w:numPr>
          <w:ilvl w:val="0"/>
          <w:numId w:val="1"/>
        </w:numPr>
        <w:spacing w:after="160" w:line="360" w:lineRule="auto"/>
        <w:contextualSpacing/>
        <w:jc w:val="both"/>
        <w:rPr>
          <w:rFonts w:ascii="David" w:eastAsia="Calibri" w:hAnsi="David"/>
          <w:color w:val="FF0000"/>
          <w:rtl/>
        </w:rPr>
      </w:pPr>
      <w:r w:rsidRPr="005A6411">
        <w:rPr>
          <w:rFonts w:ascii="David" w:eastAsia="Calibri" w:hAnsi="David"/>
          <w:rtl/>
        </w:rPr>
        <w:t xml:space="preserve">מכל הנתונים והשיקולים שפירטתי לעיל, מצאתי להשית על הנאשם את העונשים הבאים: </w:t>
      </w:r>
    </w:p>
    <w:p w14:paraId="5EF7B964" w14:textId="77777777" w:rsidR="0047016D" w:rsidRPr="005A6411" w:rsidRDefault="0047016D" w:rsidP="0047016D">
      <w:pPr>
        <w:numPr>
          <w:ilvl w:val="0"/>
          <w:numId w:val="2"/>
        </w:numPr>
        <w:spacing w:after="160" w:line="360" w:lineRule="auto"/>
        <w:contextualSpacing/>
        <w:jc w:val="both"/>
        <w:rPr>
          <w:rFonts w:ascii="David" w:eastAsia="Calibri" w:hAnsi="David"/>
        </w:rPr>
      </w:pPr>
      <w:r w:rsidRPr="005A6411">
        <w:rPr>
          <w:rFonts w:ascii="David" w:eastAsia="Calibri" w:hAnsi="David"/>
          <w:u w:val="single"/>
          <w:rtl/>
        </w:rPr>
        <w:t>צו שירות לתועלת הציבור בהיקף של  60  שעות</w:t>
      </w:r>
      <w:r w:rsidRPr="005A6411">
        <w:rPr>
          <w:rFonts w:ascii="David" w:eastAsia="Calibri" w:hAnsi="David"/>
          <w:rtl/>
        </w:rPr>
        <w:t>, אותו יבצע הנאשם בעמותת "ברכת הכהן" בבת- ים בתפקיד תחזוקה וחלוקת מזון. התכנית תבוצע בפיקוח שירות המבחן. אם יתעורר צורך בשינוי מקום ההשמה, שירות המבחן יעשה כן וידווח לבית המשפט. הנאשם מוזהר, כי אי התייצבות לעבודות השל"צ, או אי שיתוף פעולה בנוגע לריצוין עלול להביא להפקעת צו השל"צ ולדיון מחדש בשאלת העונש.</w:t>
      </w:r>
    </w:p>
    <w:p w14:paraId="609017E7" w14:textId="77777777" w:rsidR="0047016D" w:rsidRPr="005A6411" w:rsidRDefault="0047016D" w:rsidP="0047016D">
      <w:pPr>
        <w:numPr>
          <w:ilvl w:val="0"/>
          <w:numId w:val="2"/>
        </w:numPr>
        <w:spacing w:after="160" w:line="360" w:lineRule="auto"/>
        <w:contextualSpacing/>
        <w:jc w:val="both"/>
        <w:rPr>
          <w:rFonts w:ascii="David" w:eastAsia="Calibri" w:hAnsi="David"/>
        </w:rPr>
      </w:pPr>
      <w:r w:rsidRPr="005A6411">
        <w:rPr>
          <w:rFonts w:ascii="David" w:eastAsia="Calibri" w:hAnsi="David"/>
          <w:u w:val="single"/>
          <w:rtl/>
        </w:rPr>
        <w:t>3 חודשי מאסר על תנאי</w:t>
      </w:r>
      <w:r w:rsidRPr="005A6411">
        <w:rPr>
          <w:rFonts w:ascii="David" w:eastAsia="Calibri" w:hAnsi="David"/>
          <w:rtl/>
        </w:rPr>
        <w:t xml:space="preserve">. הנאשם יישא בעונש זה אם בתקופה של שלוש שנים מהיום יבצע כל עבירה לפי פקודת הסמים. </w:t>
      </w:r>
    </w:p>
    <w:p w14:paraId="12F1EC50" w14:textId="77777777" w:rsidR="0047016D" w:rsidRPr="005A6411" w:rsidRDefault="0047016D" w:rsidP="0047016D">
      <w:pPr>
        <w:numPr>
          <w:ilvl w:val="0"/>
          <w:numId w:val="2"/>
        </w:numPr>
        <w:spacing w:after="160" w:line="360" w:lineRule="auto"/>
        <w:contextualSpacing/>
        <w:jc w:val="both"/>
        <w:rPr>
          <w:rFonts w:ascii="David" w:eastAsia="Calibri" w:hAnsi="David"/>
          <w:rtl/>
        </w:rPr>
      </w:pPr>
      <w:r w:rsidRPr="005A6411">
        <w:rPr>
          <w:rFonts w:ascii="David" w:eastAsia="Calibri" w:hAnsi="David"/>
          <w:u w:val="single"/>
          <w:rtl/>
        </w:rPr>
        <w:t>התחייבות להימנע מביצוע העבירה.</w:t>
      </w:r>
      <w:r w:rsidRPr="005A6411">
        <w:rPr>
          <w:rFonts w:ascii="David" w:eastAsia="Calibri" w:hAnsi="David"/>
          <w:rtl/>
        </w:rPr>
        <w:t xml:space="preserve"> הנאשם יצהיר על התחייבות כספית בסכום  של 2,000</w:t>
      </w:r>
      <w:r w:rsidRPr="005A6411">
        <w:rPr>
          <w:rFonts w:ascii="David" w:eastAsia="Calibri" w:hAnsi="David"/>
        </w:rPr>
        <w:t xml:space="preserve"> </w:t>
      </w:r>
      <w:r w:rsidRPr="005A6411">
        <w:rPr>
          <w:rFonts w:ascii="David" w:eastAsia="Calibri" w:hAnsi="David"/>
          <w:rtl/>
        </w:rPr>
        <w:t xml:space="preserve">₪  לבל יעבור כל עבירה לפי פקודת הסמים. זאת למשך 3 שנים מהיום. בהתאם לתקנות העונשין (התחייבות להימנע מעבירה), התש"פ-2019, ייתן הנאשם התחייבות כאמור, בעל-פה, במעמד מתן גזר הדין, ומתן ההתחייבות יצוין בפרוטוקול הדיון. </w:t>
      </w:r>
    </w:p>
    <w:p w14:paraId="6603620C" w14:textId="77777777" w:rsidR="0047016D" w:rsidRPr="005A6411" w:rsidRDefault="0047016D" w:rsidP="0047016D">
      <w:pPr>
        <w:numPr>
          <w:ilvl w:val="0"/>
          <w:numId w:val="2"/>
        </w:numPr>
        <w:spacing w:after="160" w:line="360" w:lineRule="auto"/>
        <w:contextualSpacing/>
        <w:jc w:val="both"/>
        <w:rPr>
          <w:rFonts w:ascii="David" w:eastAsia="Calibri" w:hAnsi="David"/>
        </w:rPr>
      </w:pPr>
      <w:r w:rsidRPr="005A6411">
        <w:rPr>
          <w:rFonts w:ascii="David" w:eastAsia="Calibri" w:hAnsi="David"/>
          <w:u w:val="single"/>
          <w:rtl/>
        </w:rPr>
        <w:t>קנס על סך 1,000 ש"ח</w:t>
      </w:r>
      <w:r w:rsidRPr="005A6411">
        <w:rPr>
          <w:rFonts w:ascii="David" w:eastAsia="Calibri" w:hAnsi="David"/>
          <w:rtl/>
        </w:rPr>
        <w:t xml:space="preserve">. הקנס ישולם ב-4 תשלומים חודשיים שווים </w:t>
      </w:r>
      <w:r>
        <w:rPr>
          <w:rFonts w:ascii="David" w:eastAsia="Calibri" w:hAnsi="David"/>
          <w:rtl/>
        </w:rPr>
        <w:t>ורצופים שהראשון בהם ביום 1</w:t>
      </w:r>
      <w:r>
        <w:rPr>
          <w:rFonts w:ascii="David" w:eastAsia="Calibri" w:hAnsi="David" w:hint="cs"/>
          <w:rtl/>
        </w:rPr>
        <w:t xml:space="preserve">5.04.21 </w:t>
      </w:r>
      <w:r>
        <w:rPr>
          <w:rFonts w:ascii="David" w:eastAsia="Calibri" w:hAnsi="David"/>
          <w:rtl/>
        </w:rPr>
        <w:t xml:space="preserve">ובכל </w:t>
      </w:r>
      <w:r>
        <w:rPr>
          <w:rFonts w:ascii="David" w:eastAsia="Calibri" w:hAnsi="David" w:hint="cs"/>
          <w:rtl/>
        </w:rPr>
        <w:t xml:space="preserve">15 </w:t>
      </w:r>
      <w:r w:rsidRPr="005A6411">
        <w:rPr>
          <w:rFonts w:ascii="David" w:eastAsia="Calibri" w:hAnsi="David"/>
          <w:rtl/>
        </w:rPr>
        <w:t>לחודש לאחר מכן. אם לא ישולם אחד התשלומים במועד – תעמוד היתרה לפירעון מידי ויתווספו תוספות פיגור כחוק.</w:t>
      </w:r>
    </w:p>
    <w:p w14:paraId="2AD54DE9" w14:textId="77777777" w:rsidR="0047016D" w:rsidRPr="005A6411" w:rsidRDefault="0047016D" w:rsidP="0047016D">
      <w:pPr>
        <w:numPr>
          <w:ilvl w:val="0"/>
          <w:numId w:val="2"/>
        </w:numPr>
        <w:spacing w:after="160" w:line="360" w:lineRule="auto"/>
        <w:contextualSpacing/>
        <w:jc w:val="both"/>
        <w:rPr>
          <w:rFonts w:ascii="David" w:eastAsia="Calibri" w:hAnsi="David"/>
        </w:rPr>
      </w:pPr>
      <w:r w:rsidRPr="005A6411">
        <w:rPr>
          <w:rFonts w:ascii="David" w:eastAsia="Calibri" w:hAnsi="David"/>
          <w:u w:val="single"/>
          <w:rtl/>
        </w:rPr>
        <w:t>צו מבחן לתקופה של 6 חודשים</w:t>
      </w:r>
      <w:r w:rsidRPr="005A6411">
        <w:rPr>
          <w:rFonts w:ascii="David" w:eastAsia="Calibri" w:hAnsi="David"/>
          <w:rtl/>
        </w:rPr>
        <w:t>. הנני מחייבת את הנאשם לשתף פעולה עם שירות המבחן ולפעול על פי הנחיותיו. מובהר בזאת לנאשם כי אם לא יקיים צו זה, ניתן יהיה לחזור ולדון מחדש בשאלת העונש.</w:t>
      </w:r>
    </w:p>
    <w:p w14:paraId="541ABE88" w14:textId="77777777" w:rsidR="0047016D" w:rsidRPr="005A6411" w:rsidRDefault="0047016D" w:rsidP="0047016D">
      <w:pPr>
        <w:spacing w:after="160" w:line="360" w:lineRule="auto"/>
        <w:ind w:left="1080"/>
        <w:contextualSpacing/>
        <w:jc w:val="both"/>
        <w:rPr>
          <w:rFonts w:ascii="David" w:eastAsia="Calibri" w:hAnsi="David"/>
          <w:color w:val="FF0000"/>
          <w:rtl/>
        </w:rPr>
      </w:pPr>
      <w:r w:rsidRPr="005A6411">
        <w:rPr>
          <w:rFonts w:ascii="David" w:eastAsia="Calibri" w:hAnsi="David"/>
          <w:color w:val="FF0000"/>
        </w:rPr>
        <w:t xml:space="preserve"> </w:t>
      </w:r>
    </w:p>
    <w:p w14:paraId="210C4DE9" w14:textId="77777777" w:rsidR="0047016D" w:rsidRPr="005A6411" w:rsidRDefault="0047016D" w:rsidP="0047016D">
      <w:pPr>
        <w:numPr>
          <w:ilvl w:val="0"/>
          <w:numId w:val="1"/>
        </w:numPr>
        <w:spacing w:after="160" w:line="360" w:lineRule="auto"/>
        <w:contextualSpacing/>
        <w:jc w:val="both"/>
        <w:rPr>
          <w:rFonts w:ascii="David" w:eastAsia="Calibri" w:hAnsi="David"/>
        </w:rPr>
      </w:pPr>
      <w:r w:rsidRPr="005A6411">
        <w:rPr>
          <w:rFonts w:ascii="David" w:eastAsia="Calibri" w:hAnsi="David"/>
          <w:rtl/>
        </w:rPr>
        <w:t>ניתן בזאת צו להשמדה/חילוט/השבה של מוצגים, לפי שיקול דעת המאשימה.</w:t>
      </w:r>
    </w:p>
    <w:p w14:paraId="7015A9B3" w14:textId="77777777" w:rsidR="0047016D" w:rsidRPr="005A6411" w:rsidRDefault="0047016D" w:rsidP="0047016D">
      <w:pPr>
        <w:spacing w:after="160" w:line="360" w:lineRule="auto"/>
        <w:ind w:left="720"/>
        <w:contextualSpacing/>
        <w:jc w:val="both"/>
        <w:rPr>
          <w:rFonts w:ascii="David" w:eastAsia="Calibri" w:hAnsi="David"/>
        </w:rPr>
      </w:pPr>
    </w:p>
    <w:p w14:paraId="0A1C31DD" w14:textId="77777777" w:rsidR="0047016D" w:rsidRPr="005A6411" w:rsidRDefault="0047016D" w:rsidP="0047016D">
      <w:pPr>
        <w:numPr>
          <w:ilvl w:val="0"/>
          <w:numId w:val="1"/>
        </w:numPr>
        <w:spacing w:after="160" w:line="360" w:lineRule="auto"/>
        <w:contextualSpacing/>
        <w:jc w:val="both"/>
        <w:rPr>
          <w:rFonts w:ascii="David" w:eastAsia="Calibri" w:hAnsi="David"/>
        </w:rPr>
      </w:pPr>
      <w:r w:rsidRPr="005A6411">
        <w:rPr>
          <w:rFonts w:ascii="David" w:eastAsia="Calibri" w:hAnsi="David"/>
          <w:rtl/>
        </w:rPr>
        <w:t xml:space="preserve">זכות ערעור לבית המשפט המחוזי בתוך 45 יום מהיום. </w:t>
      </w:r>
    </w:p>
    <w:p w14:paraId="76B1AC3F" w14:textId="77777777" w:rsidR="0047016D" w:rsidRPr="00B05847" w:rsidRDefault="0047016D" w:rsidP="0047016D">
      <w:pPr>
        <w:rPr>
          <w:rtl/>
        </w:rPr>
      </w:pPr>
    </w:p>
    <w:p w14:paraId="1929D93C" w14:textId="77777777" w:rsidR="0047016D" w:rsidRPr="00B05847" w:rsidRDefault="0047016D" w:rsidP="0047016D">
      <w:pPr>
        <w:rPr>
          <w:rtl/>
        </w:rPr>
      </w:pPr>
    </w:p>
    <w:p w14:paraId="757F9F72" w14:textId="77777777" w:rsidR="0047016D" w:rsidRPr="00250B83" w:rsidRDefault="007B5535" w:rsidP="0047016D">
      <w:pPr>
        <w:rPr>
          <w:rtl/>
        </w:rPr>
      </w:pPr>
      <w:bookmarkStart w:id="8" w:name="Nitan"/>
      <w:r>
        <w:rPr>
          <w:rFonts w:ascii="Arial" w:hAnsi="Arial"/>
          <w:rtl/>
        </w:rPr>
        <w:t xml:space="preserve">ניתן היום,  י"ד שבט תשפ"א, 27 ינואר 2021, בהעדר הצדדים. </w:t>
      </w:r>
      <w:bookmarkEnd w:id="8"/>
    </w:p>
    <w:p w14:paraId="3C14D1A6" w14:textId="77777777" w:rsidR="0047016D" w:rsidRPr="00250B83" w:rsidRDefault="0047016D" w:rsidP="007B5535">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05BBA340" w14:textId="77777777" w:rsidR="0047016D" w:rsidRPr="007B5535" w:rsidRDefault="007B5535" w:rsidP="0047016D">
      <w:pPr>
        <w:jc w:val="center"/>
        <w:rPr>
          <w:rFonts w:ascii="Arial" w:hAnsi="Arial"/>
          <w:color w:val="FFFFFF"/>
          <w:sz w:val="2"/>
          <w:szCs w:val="2"/>
          <w:rtl/>
        </w:rPr>
      </w:pPr>
      <w:r w:rsidRPr="007B5535">
        <w:rPr>
          <w:rFonts w:ascii="Arial" w:hAnsi="Arial"/>
          <w:color w:val="FFFFFF"/>
          <w:sz w:val="2"/>
          <w:szCs w:val="2"/>
          <w:rtl/>
        </w:rPr>
        <w:t>5129371</w:t>
      </w:r>
    </w:p>
    <w:p w14:paraId="0A728ED7" w14:textId="77777777" w:rsidR="0047016D" w:rsidRPr="007B5535" w:rsidRDefault="007B5535" w:rsidP="0047016D">
      <w:pPr>
        <w:rPr>
          <w:color w:val="FFFFFF"/>
          <w:sz w:val="2"/>
          <w:szCs w:val="2"/>
          <w:rtl/>
        </w:rPr>
      </w:pPr>
      <w:r w:rsidRPr="007B5535">
        <w:rPr>
          <w:color w:val="FFFFFF"/>
          <w:sz w:val="2"/>
          <w:szCs w:val="2"/>
          <w:rtl/>
        </w:rPr>
        <w:t>54678313</w:t>
      </w:r>
    </w:p>
    <w:p w14:paraId="67DE979C" w14:textId="77777777" w:rsidR="0047016D" w:rsidRDefault="0047016D" w:rsidP="0047016D">
      <w:pPr>
        <w:pStyle w:val="a3"/>
        <w:jc w:val="center"/>
        <w:rPr>
          <w:rtl/>
        </w:rPr>
      </w:pPr>
    </w:p>
    <w:p w14:paraId="616B1CC7" w14:textId="77777777" w:rsidR="0047016D" w:rsidRDefault="0047016D" w:rsidP="0047016D">
      <w:pPr>
        <w:pStyle w:val="a3"/>
        <w:spacing w:line="360" w:lineRule="auto"/>
        <w:jc w:val="both"/>
        <w:rPr>
          <w:rtl/>
        </w:rPr>
      </w:pPr>
      <w:r w:rsidRPr="00B82C38">
        <w:rPr>
          <w:rFonts w:hint="cs"/>
          <w:b/>
          <w:bCs/>
          <w:u w:val="single"/>
          <w:rtl/>
        </w:rPr>
        <w:t>הנאשם</w:t>
      </w:r>
      <w:r>
        <w:rPr>
          <w:rFonts w:hint="cs"/>
          <w:rtl/>
        </w:rPr>
        <w:t>:</w:t>
      </w:r>
    </w:p>
    <w:p w14:paraId="653BE7B7" w14:textId="77777777" w:rsidR="00B971E9" w:rsidRPr="007B5535" w:rsidRDefault="0047016D" w:rsidP="007B5535">
      <w:pPr>
        <w:keepNext/>
        <w:rPr>
          <w:rFonts w:ascii="David" w:hAnsi="David"/>
          <w:color w:val="000000"/>
          <w:sz w:val="22"/>
          <w:szCs w:val="22"/>
        </w:rPr>
      </w:pPr>
      <w:r>
        <w:rPr>
          <w:rFonts w:hint="cs"/>
          <w:rtl/>
        </w:rPr>
        <w:t xml:space="preserve">אני מצהיר על התחייבות כספית בסום של 2,000 ₪ שלא יעבור כל עבירה על פי פקודת הסמים </w:t>
      </w:r>
      <w:r w:rsidR="007B5535">
        <w:rPr>
          <w:rtl/>
        </w:rPr>
        <w:t xml:space="preserve">וזאת למשך 3 שנים מהיום. </w:t>
      </w:r>
    </w:p>
    <w:p w14:paraId="46354720" w14:textId="77777777" w:rsidR="007B5535" w:rsidRPr="007B5535" w:rsidRDefault="007B5535" w:rsidP="007B5535">
      <w:pPr>
        <w:keepNext/>
        <w:rPr>
          <w:rFonts w:ascii="David" w:hAnsi="David"/>
          <w:color w:val="000000"/>
          <w:sz w:val="22"/>
          <w:szCs w:val="22"/>
          <w:rtl/>
        </w:rPr>
      </w:pPr>
      <w:r w:rsidRPr="007B5535">
        <w:rPr>
          <w:rFonts w:ascii="David" w:hAnsi="David"/>
          <w:color w:val="000000"/>
          <w:sz w:val="22"/>
          <w:szCs w:val="22"/>
          <w:rtl/>
        </w:rPr>
        <w:t>אבירה אשקלוני 54678313</w:t>
      </w:r>
    </w:p>
    <w:p w14:paraId="04F662D5" w14:textId="77777777" w:rsidR="007B5535" w:rsidRDefault="007B5535" w:rsidP="007B5535">
      <w:r w:rsidRPr="007B5535">
        <w:rPr>
          <w:color w:val="000000"/>
          <w:rtl/>
        </w:rPr>
        <w:t>נוסח מסמך זה כפוף לשינויי ניסוח ועריכה</w:t>
      </w:r>
    </w:p>
    <w:p w14:paraId="7B3A2E70" w14:textId="77777777" w:rsidR="007B5535" w:rsidRDefault="007B5535" w:rsidP="007B5535">
      <w:pPr>
        <w:rPr>
          <w:rtl/>
        </w:rPr>
      </w:pPr>
    </w:p>
    <w:p w14:paraId="02146D36" w14:textId="77777777" w:rsidR="007B5535" w:rsidRDefault="007B5535" w:rsidP="007B5535">
      <w:pPr>
        <w:jc w:val="center"/>
        <w:rPr>
          <w:rFonts w:hint="cs"/>
          <w:color w:val="0000FF"/>
          <w:u w:val="single"/>
        </w:rPr>
      </w:pPr>
      <w:hyperlink r:id="rId18" w:history="1">
        <w:r>
          <w:rPr>
            <w:color w:val="0000FF"/>
            <w:u w:val="single"/>
            <w:rtl/>
          </w:rPr>
          <w:t>בעניין עריכה ושינויים במסמכי פסיקה, חקיקה ועוד באתר נבו – הקש כאן</w:t>
        </w:r>
      </w:hyperlink>
      <w:r w:rsidR="00D44C3F">
        <w:rPr>
          <w:rFonts w:hint="cs"/>
          <w:color w:val="0000FF"/>
          <w:u w:val="single"/>
          <w:rtl/>
        </w:rPr>
        <w:t xml:space="preserve"> </w:t>
      </w:r>
    </w:p>
    <w:p w14:paraId="64AE6118" w14:textId="77777777" w:rsidR="007B5535" w:rsidRPr="007B5535" w:rsidRDefault="007B5535" w:rsidP="007B5535">
      <w:pPr>
        <w:jc w:val="center"/>
        <w:rPr>
          <w:color w:val="0000FF"/>
          <w:u w:val="single"/>
        </w:rPr>
      </w:pPr>
    </w:p>
    <w:sectPr w:rsidR="007B5535" w:rsidRPr="007B5535" w:rsidSect="007B5535">
      <w:headerReference w:type="even" r:id="rId19"/>
      <w:headerReference w:type="default" r:id="rId20"/>
      <w:footerReference w:type="even" r:id="rId21"/>
      <w:footerReference w:type="default" r:id="rId22"/>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4A8EB3" w14:textId="77777777" w:rsidR="00455528" w:rsidRDefault="00455528" w:rsidP="00C300C2">
      <w:r>
        <w:separator/>
      </w:r>
    </w:p>
  </w:endnote>
  <w:endnote w:type="continuationSeparator" w:id="0">
    <w:p w14:paraId="659A4B3C" w14:textId="77777777" w:rsidR="00455528" w:rsidRDefault="00455528" w:rsidP="00C30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7D9EE0" w14:textId="77777777" w:rsidR="007B5535" w:rsidRDefault="007B5535" w:rsidP="007B553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B44ED89" w14:textId="77777777" w:rsidR="003B3C17" w:rsidRPr="007B5535" w:rsidRDefault="007B5535" w:rsidP="007B553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6A6AC" w14:textId="77777777" w:rsidR="007B5535" w:rsidRDefault="007B5535" w:rsidP="007B553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90731">
      <w:rPr>
        <w:rFonts w:ascii="FrankRuehl" w:hAnsi="FrankRuehl" w:cs="FrankRuehl"/>
        <w:noProof/>
        <w:rtl/>
      </w:rPr>
      <w:t>1</w:t>
    </w:r>
    <w:r>
      <w:rPr>
        <w:rFonts w:ascii="FrankRuehl" w:hAnsi="FrankRuehl" w:cs="FrankRuehl"/>
        <w:rtl/>
      </w:rPr>
      <w:fldChar w:fldCharType="end"/>
    </w:r>
  </w:p>
  <w:p w14:paraId="53450015" w14:textId="77777777" w:rsidR="003B3C17" w:rsidRPr="007B5535" w:rsidRDefault="007B5535" w:rsidP="007B553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0C5FB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8E6719" w14:textId="77777777" w:rsidR="00455528" w:rsidRDefault="00455528" w:rsidP="00C300C2">
      <w:r>
        <w:separator/>
      </w:r>
    </w:p>
  </w:footnote>
  <w:footnote w:type="continuationSeparator" w:id="0">
    <w:p w14:paraId="014903F8" w14:textId="77777777" w:rsidR="00455528" w:rsidRDefault="00455528" w:rsidP="00C300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6ABB64" w14:textId="77777777" w:rsidR="007B5535" w:rsidRPr="007B5535" w:rsidRDefault="007B5535" w:rsidP="007B553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תפק (ת"א) 8975-01-17</w:t>
    </w:r>
    <w:r>
      <w:rPr>
        <w:rFonts w:ascii="David" w:hAnsi="David"/>
        <w:color w:val="000000"/>
        <w:sz w:val="22"/>
        <w:szCs w:val="22"/>
        <w:rtl/>
      </w:rPr>
      <w:tab/>
      <w:t xml:space="preserve"> מדינת ישראל נ' גיא יוסבשוילי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7092D" w14:textId="77777777" w:rsidR="007B5535" w:rsidRPr="007B5535" w:rsidRDefault="007B5535" w:rsidP="007B553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תפק (ת"א) 8975-01-17</w:t>
    </w:r>
    <w:r>
      <w:rPr>
        <w:rFonts w:ascii="David" w:hAnsi="David"/>
        <w:color w:val="000000"/>
        <w:sz w:val="22"/>
        <w:szCs w:val="22"/>
        <w:rtl/>
      </w:rPr>
      <w:tab/>
      <w:t xml:space="preserve"> מדינת ישראל נ' גיא יוסבשוילי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E4D5A"/>
    <w:multiLevelType w:val="hybridMultilevel"/>
    <w:tmpl w:val="240E8344"/>
    <w:lvl w:ilvl="0" w:tplc="54468C3A">
      <w:start w:val="1"/>
      <w:numFmt w:val="hebrew1"/>
      <w:lvlText w:val="%1."/>
      <w:lvlJc w:val="left"/>
      <w:pPr>
        <w:ind w:left="1080" w:hanging="360"/>
      </w:pPr>
      <w:rPr>
        <w:u w:val="singl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ED03E9D"/>
    <w:multiLevelType w:val="hybridMultilevel"/>
    <w:tmpl w:val="1C507D10"/>
    <w:lvl w:ilvl="0" w:tplc="51F6B9A8">
      <w:start w:val="1"/>
      <w:numFmt w:val="decimal"/>
      <w:lvlText w:val="%1."/>
      <w:lvlJc w:val="left"/>
      <w:pPr>
        <w:ind w:left="720" w:hanging="360"/>
      </w:pPr>
      <w:rPr>
        <w:b w:val="0"/>
        <w:bCs w:val="0"/>
        <w:color w:val="auto"/>
        <w:sz w:val="24"/>
        <w:szCs w:val="24"/>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366169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781000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7016D"/>
    <w:rsid w:val="003A33AF"/>
    <w:rsid w:val="003B3C17"/>
    <w:rsid w:val="00455528"/>
    <w:rsid w:val="0047016D"/>
    <w:rsid w:val="004762FD"/>
    <w:rsid w:val="005B6679"/>
    <w:rsid w:val="007B5535"/>
    <w:rsid w:val="0091173A"/>
    <w:rsid w:val="00B971E9"/>
    <w:rsid w:val="00C300C2"/>
    <w:rsid w:val="00CD26A2"/>
    <w:rsid w:val="00D44C3F"/>
    <w:rsid w:val="00D5563D"/>
    <w:rsid w:val="00D86C68"/>
    <w:rsid w:val="00E90731"/>
    <w:rsid w:val="00F85717"/>
    <w:rsid w:val="00FB78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9477CAC"/>
  <w15:chartTrackingRefBased/>
  <w15:docId w15:val="{A55C93A2-2639-4AA0-8C2A-35A6B4EF2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016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7016D"/>
    <w:pPr>
      <w:tabs>
        <w:tab w:val="center" w:pos="4153"/>
        <w:tab w:val="right" w:pos="8306"/>
      </w:tabs>
    </w:pPr>
  </w:style>
  <w:style w:type="character" w:customStyle="1" w:styleId="a4">
    <w:name w:val="כותרת עליונה תו"/>
    <w:link w:val="a3"/>
    <w:rsid w:val="0047016D"/>
    <w:rPr>
      <w:rFonts w:ascii="Times New Roman" w:eastAsia="Times New Roman" w:hAnsi="Times New Roman" w:cs="David"/>
      <w:sz w:val="24"/>
      <w:szCs w:val="24"/>
    </w:rPr>
  </w:style>
  <w:style w:type="paragraph" w:styleId="a5">
    <w:name w:val="footer"/>
    <w:basedOn w:val="a"/>
    <w:link w:val="a6"/>
    <w:rsid w:val="0047016D"/>
    <w:pPr>
      <w:tabs>
        <w:tab w:val="center" w:pos="4153"/>
        <w:tab w:val="right" w:pos="8306"/>
      </w:tabs>
    </w:pPr>
  </w:style>
  <w:style w:type="character" w:customStyle="1" w:styleId="a6">
    <w:name w:val="כותרת תחתונה תו"/>
    <w:link w:val="a5"/>
    <w:rsid w:val="0047016D"/>
    <w:rPr>
      <w:rFonts w:ascii="Times New Roman" w:eastAsia="Times New Roman" w:hAnsi="Times New Roman" w:cs="David"/>
      <w:sz w:val="24"/>
      <w:szCs w:val="24"/>
    </w:rPr>
  </w:style>
  <w:style w:type="table" w:styleId="a7">
    <w:name w:val="Table Grid"/>
    <w:basedOn w:val="a1"/>
    <w:rsid w:val="0047016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7016D"/>
  </w:style>
  <w:style w:type="character" w:styleId="Hyperlink">
    <w:name w:val="Hyperlink"/>
    <w:rsid w:val="007B55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24361908"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case/21477472" TargetMode="External"/><Relationship Id="rId17" Type="http://schemas.openxmlformats.org/officeDocument/2006/relationships/hyperlink" Target="http://www.nevo.co.il/case/6169989" TargetMode="External"/><Relationship Id="rId2" Type="http://schemas.openxmlformats.org/officeDocument/2006/relationships/styles" Target="styles.xml"/><Relationship Id="rId16" Type="http://schemas.openxmlformats.org/officeDocument/2006/relationships/hyperlink" Target="http://www.nevo.co.il/case/17021623"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438229" TargetMode="External"/><Relationship Id="rId23" Type="http://schemas.openxmlformats.org/officeDocument/2006/relationships/fontTable" Target="fontTable.xml"/><Relationship Id="rId10" Type="http://schemas.openxmlformats.org/officeDocument/2006/relationships/hyperlink" Target="http://www.nevo.co.il/law/4216/7.a.;7.c"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16941717"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1788</Words>
  <Characters>8943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10710</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3145844</vt:i4>
      </vt:variant>
      <vt:variant>
        <vt:i4>30</vt:i4>
      </vt:variant>
      <vt:variant>
        <vt:i4>0</vt:i4>
      </vt:variant>
      <vt:variant>
        <vt:i4>5</vt:i4>
      </vt:variant>
      <vt:variant>
        <vt:lpwstr>http://www.nevo.co.il/case/6169989</vt:lpwstr>
      </vt:variant>
      <vt:variant>
        <vt:lpwstr/>
      </vt:variant>
      <vt:variant>
        <vt:i4>3276919</vt:i4>
      </vt:variant>
      <vt:variant>
        <vt:i4>27</vt:i4>
      </vt:variant>
      <vt:variant>
        <vt:i4>0</vt:i4>
      </vt:variant>
      <vt:variant>
        <vt:i4>5</vt:i4>
      </vt:variant>
      <vt:variant>
        <vt:lpwstr>http://www.nevo.co.il/case/17021623</vt:lpwstr>
      </vt:variant>
      <vt:variant>
        <vt:lpwstr/>
      </vt:variant>
      <vt:variant>
        <vt:i4>3801210</vt:i4>
      </vt:variant>
      <vt:variant>
        <vt:i4>24</vt:i4>
      </vt:variant>
      <vt:variant>
        <vt:i4>0</vt:i4>
      </vt:variant>
      <vt:variant>
        <vt:i4>5</vt:i4>
      </vt:variant>
      <vt:variant>
        <vt:lpwstr>http://www.nevo.co.il/case/2438229</vt:lpwstr>
      </vt:variant>
      <vt:variant>
        <vt:lpwstr/>
      </vt:variant>
      <vt:variant>
        <vt:i4>3670129</vt:i4>
      </vt:variant>
      <vt:variant>
        <vt:i4>21</vt:i4>
      </vt:variant>
      <vt:variant>
        <vt:i4>0</vt:i4>
      </vt:variant>
      <vt:variant>
        <vt:i4>5</vt:i4>
      </vt:variant>
      <vt:variant>
        <vt:lpwstr>http://www.nevo.co.il/case/16941717</vt:lpwstr>
      </vt:variant>
      <vt:variant>
        <vt:lpwstr/>
      </vt:variant>
      <vt:variant>
        <vt:i4>3145855</vt:i4>
      </vt:variant>
      <vt:variant>
        <vt:i4>18</vt:i4>
      </vt:variant>
      <vt:variant>
        <vt:i4>0</vt:i4>
      </vt:variant>
      <vt:variant>
        <vt:i4>5</vt:i4>
      </vt:variant>
      <vt:variant>
        <vt:lpwstr>http://www.nevo.co.il/case/24361908</vt:lpwstr>
      </vt:variant>
      <vt:variant>
        <vt:lpwstr/>
      </vt:variant>
      <vt:variant>
        <vt:i4>3539062</vt:i4>
      </vt:variant>
      <vt:variant>
        <vt:i4>15</vt:i4>
      </vt:variant>
      <vt:variant>
        <vt:i4>0</vt:i4>
      </vt:variant>
      <vt:variant>
        <vt:i4>5</vt:i4>
      </vt:variant>
      <vt:variant>
        <vt:lpwstr>http://www.nevo.co.il/case/21477472</vt:lpwstr>
      </vt:variant>
      <vt:variant>
        <vt:lpwstr/>
      </vt:variant>
      <vt:variant>
        <vt:i4>8257637</vt:i4>
      </vt:variant>
      <vt:variant>
        <vt:i4>12</vt:i4>
      </vt:variant>
      <vt:variant>
        <vt:i4>0</vt:i4>
      </vt:variant>
      <vt:variant>
        <vt:i4>5</vt:i4>
      </vt:variant>
      <vt:variant>
        <vt:lpwstr>http://www.nevo.co.il/law/4216</vt:lpwstr>
      </vt:variant>
      <vt:variant>
        <vt:lpwstr/>
      </vt:variant>
      <vt:variant>
        <vt:i4>3997821</vt:i4>
      </vt:variant>
      <vt:variant>
        <vt:i4>9</vt:i4>
      </vt:variant>
      <vt:variant>
        <vt:i4>0</vt:i4>
      </vt:variant>
      <vt:variant>
        <vt:i4>5</vt:i4>
      </vt:variant>
      <vt:variant>
        <vt:lpwstr>http://www.nevo.co.il/law/4216/7.a.;7.c</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2025-04-22T23:18:00Z</dcterms:created>
  <dcterms:modified xsi:type="dcterms:W3CDTF">2025-04-22T23:18:00Z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תפק</vt:lpwstr>
  </property>
  <property fmtid="{D5CDD505-2E9C-101B-9397-08002B2CF9AE}" pid="5" name="NEWPARTA">
    <vt:lpwstr>8975</vt:lpwstr>
  </property>
  <property fmtid="{D5CDD505-2E9C-101B-9397-08002B2CF9AE}" pid="6" name="NEWPARTB">
    <vt:lpwstr>01</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גיא יוסבשוילי</vt:lpwstr>
  </property>
  <property fmtid="{D5CDD505-2E9C-101B-9397-08002B2CF9AE}" pid="10" name="LAWYER">
    <vt:lpwstr>אילנית נחום;ירון דניאל</vt:lpwstr>
  </property>
  <property fmtid="{D5CDD505-2E9C-101B-9397-08002B2CF9AE}" pid="11" name="JUDGE">
    <vt:lpwstr>אבירה אשקלוני</vt:lpwstr>
  </property>
  <property fmtid="{D5CDD505-2E9C-101B-9397-08002B2CF9AE}" pid="12" name="CITY">
    <vt:lpwstr>ת"א</vt:lpwstr>
  </property>
  <property fmtid="{D5CDD505-2E9C-101B-9397-08002B2CF9AE}" pid="13" name="DATE">
    <vt:lpwstr>20210127</vt:lpwstr>
  </property>
  <property fmtid="{D5CDD505-2E9C-101B-9397-08002B2CF9AE}" pid="14" name="TYPE_N_DATE">
    <vt:lpwstr>38020210127</vt:lpwstr>
  </property>
  <property fmtid="{D5CDD505-2E9C-101B-9397-08002B2CF9AE}" pid="15" name="WORDNUMPAGES">
    <vt:lpwstr>6</vt:lpwstr>
  </property>
  <property fmtid="{D5CDD505-2E9C-101B-9397-08002B2CF9AE}" pid="16" name="TYPE_ABS_DATE">
    <vt:lpwstr>380020210127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21477472;24361908;16941717;2438229;17021623;6169989</vt:lpwstr>
  </property>
  <property fmtid="{D5CDD505-2E9C-101B-9397-08002B2CF9AE}" pid="36" name="LAWLISTTMP1">
    <vt:lpwstr>4216/007.a;007.c</vt:lpwstr>
  </property>
</Properties>
</file>