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25C35" w:rsidRPr="00D369E9" w14:paraId="04AC9BBE" w14:textId="77777777" w:rsidTr="00586F61">
        <w:trPr>
          <w:trHeight w:hRule="exact" w:val="418"/>
          <w:jc w:val="center"/>
        </w:trPr>
        <w:tc>
          <w:tcPr>
            <w:tcW w:w="8721" w:type="dxa"/>
            <w:gridSpan w:val="2"/>
          </w:tcPr>
          <w:p w14:paraId="0B70E277" w14:textId="77777777" w:rsidR="00F25C35" w:rsidRPr="00D369E9" w:rsidRDefault="00F25C35" w:rsidP="00586F61">
            <w:pPr>
              <w:pStyle w:val="a3"/>
              <w:jc w:val="center"/>
              <w:rPr>
                <w:rFonts w:ascii="Tahoma" w:hAnsi="Tahoma" w:cs="Tahoma"/>
                <w:noProof w:val="0"/>
                <w:color w:val="000080"/>
                <w:rtl/>
              </w:rPr>
            </w:pPr>
            <w:bookmarkStart w:id="0" w:name="LastJudge"/>
            <w:r w:rsidRPr="00D369E9">
              <w:rPr>
                <w:rFonts w:ascii="Tahoma" w:hAnsi="Tahoma" w:cs="Tahoma"/>
                <w:b/>
                <w:bCs/>
                <w:noProof w:val="0"/>
                <w:color w:val="000080"/>
                <w:rtl/>
              </w:rPr>
              <w:t>בית משפט השלום בקריית גת</w:t>
            </w:r>
          </w:p>
        </w:tc>
      </w:tr>
      <w:tr w:rsidR="00F25C35" w:rsidRPr="00D369E9" w14:paraId="311FAE47" w14:textId="77777777" w:rsidTr="00586F61">
        <w:trPr>
          <w:trHeight w:val="337"/>
          <w:jc w:val="center"/>
        </w:trPr>
        <w:tc>
          <w:tcPr>
            <w:tcW w:w="5047" w:type="dxa"/>
          </w:tcPr>
          <w:p w14:paraId="6CDF7773" w14:textId="77777777" w:rsidR="00F25C35" w:rsidRPr="00D369E9" w:rsidRDefault="00F25C35" w:rsidP="00586F61">
            <w:pPr>
              <w:rPr>
                <w:b/>
                <w:bCs/>
                <w:noProof w:val="0"/>
                <w:sz w:val="26"/>
                <w:szCs w:val="26"/>
                <w:rtl/>
              </w:rPr>
            </w:pPr>
          </w:p>
        </w:tc>
        <w:tc>
          <w:tcPr>
            <w:tcW w:w="3674" w:type="dxa"/>
          </w:tcPr>
          <w:p w14:paraId="53F67628" w14:textId="77777777" w:rsidR="00F25C35" w:rsidRPr="00D369E9" w:rsidRDefault="00F25C35" w:rsidP="00586F61">
            <w:pPr>
              <w:pStyle w:val="a3"/>
              <w:jc w:val="right"/>
              <w:rPr>
                <w:b/>
                <w:bCs/>
                <w:noProof w:val="0"/>
                <w:sz w:val="26"/>
                <w:szCs w:val="26"/>
                <w:rtl/>
              </w:rPr>
            </w:pPr>
            <w:r w:rsidRPr="00D369E9">
              <w:rPr>
                <w:b/>
                <w:bCs/>
                <w:noProof w:val="0"/>
                <w:sz w:val="26"/>
                <w:szCs w:val="26"/>
                <w:rtl/>
              </w:rPr>
              <w:t>21 פברואר 2018</w:t>
            </w:r>
          </w:p>
        </w:tc>
      </w:tr>
      <w:tr w:rsidR="00F25C35" w:rsidRPr="00D369E9" w14:paraId="72612D8E" w14:textId="77777777" w:rsidTr="00586F61">
        <w:trPr>
          <w:trHeight w:val="337"/>
          <w:jc w:val="center"/>
        </w:trPr>
        <w:tc>
          <w:tcPr>
            <w:tcW w:w="8721" w:type="dxa"/>
            <w:gridSpan w:val="2"/>
          </w:tcPr>
          <w:p w14:paraId="276DBA27" w14:textId="77777777" w:rsidR="00F25C35" w:rsidRPr="00D369E9" w:rsidRDefault="00F25C35" w:rsidP="00586F61">
            <w:pPr>
              <w:rPr>
                <w:b/>
                <w:bCs/>
                <w:noProof w:val="0"/>
                <w:sz w:val="26"/>
                <w:szCs w:val="26"/>
                <w:rtl/>
              </w:rPr>
            </w:pPr>
            <w:r w:rsidRPr="00D369E9">
              <w:rPr>
                <w:b/>
                <w:bCs/>
                <w:noProof w:val="0"/>
                <w:sz w:val="26"/>
                <w:szCs w:val="26"/>
                <w:rtl/>
              </w:rPr>
              <w:t>ת"פ 1969-02-17 מדינת ישראל נ' אלישייב</w:t>
            </w:r>
          </w:p>
          <w:p w14:paraId="378B3446" w14:textId="77777777" w:rsidR="00F25C35" w:rsidRPr="00D369E9" w:rsidRDefault="00F25C35" w:rsidP="00586F61">
            <w:pPr>
              <w:rPr>
                <w:rtl/>
              </w:rPr>
            </w:pPr>
          </w:p>
        </w:tc>
      </w:tr>
    </w:tbl>
    <w:p w14:paraId="151D8F68" w14:textId="77777777" w:rsidR="00F25C35" w:rsidRPr="00D369E9" w:rsidRDefault="00F25C35" w:rsidP="00F25C35"/>
    <w:tbl>
      <w:tblPr>
        <w:bidiVisual/>
        <w:tblW w:w="0" w:type="auto"/>
        <w:jc w:val="center"/>
        <w:tblLook w:val="0000" w:firstRow="0" w:lastRow="0" w:firstColumn="0" w:lastColumn="0" w:noHBand="0" w:noVBand="0"/>
      </w:tblPr>
      <w:tblGrid>
        <w:gridCol w:w="873"/>
        <w:gridCol w:w="7848"/>
      </w:tblGrid>
      <w:tr w:rsidR="00F25C35" w:rsidRPr="00D369E9" w14:paraId="38FEFC35" w14:textId="77777777" w:rsidTr="00586F61">
        <w:trPr>
          <w:trHeight w:val="337"/>
          <w:jc w:val="center"/>
        </w:trPr>
        <w:tc>
          <w:tcPr>
            <w:tcW w:w="873" w:type="dxa"/>
          </w:tcPr>
          <w:p w14:paraId="2A135523" w14:textId="77777777" w:rsidR="00F25C35" w:rsidRPr="00D369E9" w:rsidRDefault="00F25C35" w:rsidP="00586F61">
            <w:pPr>
              <w:tabs>
                <w:tab w:val="left" w:pos="1710"/>
              </w:tabs>
              <w:rPr>
                <w:b/>
                <w:bCs/>
                <w:sz w:val="28"/>
                <w:szCs w:val="28"/>
                <w:rtl/>
              </w:rPr>
            </w:pPr>
            <w:r w:rsidRPr="00D369E9">
              <w:rPr>
                <w:rFonts w:hint="cs"/>
                <w:b/>
                <w:bCs/>
                <w:sz w:val="28"/>
                <w:szCs w:val="28"/>
                <w:rtl/>
              </w:rPr>
              <w:t>לפני</w:t>
            </w:r>
          </w:p>
        </w:tc>
        <w:tc>
          <w:tcPr>
            <w:tcW w:w="7848" w:type="dxa"/>
          </w:tcPr>
          <w:p w14:paraId="42B5D6B6" w14:textId="77777777" w:rsidR="00F25C35" w:rsidRPr="00D369E9" w:rsidRDefault="00F25C35" w:rsidP="00586F61">
            <w:pPr>
              <w:rPr>
                <w:rFonts w:ascii="Arial" w:hAnsi="Arial"/>
                <w:b/>
                <w:bCs/>
                <w:sz w:val="28"/>
                <w:szCs w:val="28"/>
                <w:rtl/>
              </w:rPr>
            </w:pPr>
            <w:r w:rsidRPr="00D369E9">
              <w:rPr>
                <w:rFonts w:ascii="Arial" w:hAnsi="Arial" w:hint="cs"/>
                <w:b/>
                <w:bCs/>
                <w:sz w:val="28"/>
                <w:szCs w:val="28"/>
                <w:rtl/>
              </w:rPr>
              <w:t>כב' ה</w:t>
            </w:r>
            <w:r w:rsidRPr="00D369E9">
              <w:rPr>
                <w:rFonts w:ascii="Arial" w:hAnsi="Arial"/>
                <w:b/>
                <w:bCs/>
                <w:sz w:val="28"/>
                <w:szCs w:val="28"/>
                <w:rtl/>
              </w:rPr>
              <w:t>סגנית נשיאה</w:t>
            </w:r>
            <w:r w:rsidRPr="00D369E9">
              <w:rPr>
                <w:rFonts w:ascii="Arial" w:hAnsi="Arial" w:hint="cs"/>
                <w:b/>
                <w:bCs/>
                <w:sz w:val="28"/>
                <w:szCs w:val="28"/>
                <w:rtl/>
              </w:rPr>
              <w:t xml:space="preserve">  </w:t>
            </w:r>
            <w:r w:rsidRPr="00D369E9">
              <w:rPr>
                <w:rFonts w:ascii="Arial" w:hAnsi="Arial"/>
                <w:b/>
                <w:bCs/>
                <w:sz w:val="28"/>
                <w:szCs w:val="28"/>
                <w:rtl/>
              </w:rPr>
              <w:t>נגה שמואלי-מאייר</w:t>
            </w:r>
          </w:p>
          <w:p w14:paraId="54FAEA65" w14:textId="77777777" w:rsidR="00F25C35" w:rsidRPr="00D369E9" w:rsidRDefault="00F25C35" w:rsidP="00586F61">
            <w:pPr>
              <w:tabs>
                <w:tab w:val="left" w:pos="1710"/>
              </w:tabs>
              <w:rPr>
                <w:rtl/>
              </w:rPr>
            </w:pPr>
          </w:p>
        </w:tc>
      </w:tr>
    </w:tbl>
    <w:p w14:paraId="291E5D17" w14:textId="77777777" w:rsidR="00F25C35" w:rsidRPr="00D369E9" w:rsidRDefault="00F25C35" w:rsidP="00F25C35">
      <w:pPr>
        <w:pStyle w:val="a3"/>
        <w:rPr>
          <w:noProof w:val="0"/>
          <w:rtl/>
        </w:rPr>
      </w:pPr>
      <w:r w:rsidRPr="00D369E9">
        <w:rPr>
          <w:noProof w:val="0"/>
          <w:rtl/>
        </w:rPr>
        <w:t xml:space="preserve"> </w:t>
      </w:r>
    </w:p>
    <w:p w14:paraId="0CE5FB0C" w14:textId="77777777" w:rsidR="00F25C35" w:rsidRPr="00D369E9" w:rsidRDefault="00F25C35" w:rsidP="00F25C35">
      <w:pPr>
        <w:spacing w:line="360" w:lineRule="auto"/>
        <w:rPr>
          <w:sz w:val="26"/>
          <w:szCs w:val="26"/>
          <w:rtl/>
        </w:rPr>
      </w:pPr>
    </w:p>
    <w:tbl>
      <w:tblPr>
        <w:bidiVisual/>
        <w:tblW w:w="8820" w:type="dxa"/>
        <w:jc w:val="center"/>
        <w:tblLook w:val="01E0" w:firstRow="1" w:lastRow="1" w:firstColumn="1" w:lastColumn="1" w:noHBand="0" w:noVBand="0"/>
      </w:tblPr>
      <w:tblGrid>
        <w:gridCol w:w="5603"/>
        <w:gridCol w:w="3217"/>
      </w:tblGrid>
      <w:tr w:rsidR="00F25C35" w:rsidRPr="00D369E9" w14:paraId="2C8115F3" w14:textId="77777777" w:rsidTr="00F25C35">
        <w:trPr>
          <w:jc w:val="center"/>
        </w:trPr>
        <w:tc>
          <w:tcPr>
            <w:tcW w:w="5603" w:type="dxa"/>
            <w:shd w:val="clear" w:color="auto" w:fill="auto"/>
          </w:tcPr>
          <w:p w14:paraId="6DDCBDF8" w14:textId="77777777" w:rsidR="00F25C35" w:rsidRPr="00D369E9" w:rsidRDefault="00F25C35" w:rsidP="00F25C35">
            <w:pPr>
              <w:spacing w:line="360" w:lineRule="auto"/>
              <w:rPr>
                <w:b/>
                <w:bCs/>
                <w:noProof w:val="0"/>
                <w:sz w:val="26"/>
                <w:szCs w:val="26"/>
                <w:rtl/>
              </w:rPr>
            </w:pPr>
            <w:bookmarkStart w:id="1" w:name="FirstAppellant"/>
            <w:bookmarkStart w:id="2" w:name="FirstLawyer"/>
            <w:r w:rsidRPr="00D369E9">
              <w:rPr>
                <w:rFonts w:ascii="Arial" w:hAnsi="Arial" w:hint="cs"/>
                <w:b/>
                <w:bCs/>
                <w:noProof w:val="0"/>
                <w:sz w:val="26"/>
                <w:szCs w:val="26"/>
                <w:rtl/>
              </w:rPr>
              <w:t>מדינת ישראל</w:t>
            </w:r>
          </w:p>
          <w:p w14:paraId="4870BF4A" w14:textId="77777777" w:rsidR="00F25C35" w:rsidRPr="00D369E9" w:rsidRDefault="00F25C35" w:rsidP="00F25C35">
            <w:pPr>
              <w:spacing w:line="360" w:lineRule="auto"/>
              <w:rPr>
                <w:b/>
                <w:bCs/>
                <w:sz w:val="26"/>
                <w:szCs w:val="26"/>
                <w:rtl/>
              </w:rPr>
            </w:pPr>
            <w:r w:rsidRPr="00D369E9">
              <w:rPr>
                <w:rFonts w:hint="cs"/>
                <w:b/>
                <w:bCs/>
                <w:sz w:val="26"/>
                <w:szCs w:val="26"/>
                <w:rtl/>
              </w:rPr>
              <w:t xml:space="preserve">ע"י ב"כ עו"ד לירן פרג' </w:t>
            </w:r>
            <w:r w:rsidRPr="00D369E9">
              <w:rPr>
                <w:b/>
                <w:bCs/>
                <w:sz w:val="26"/>
                <w:szCs w:val="26"/>
                <w:rtl/>
              </w:rPr>
              <w:t>–</w:t>
            </w:r>
            <w:r w:rsidRPr="00D369E9">
              <w:rPr>
                <w:rFonts w:hint="cs"/>
                <w:b/>
                <w:bCs/>
                <w:sz w:val="26"/>
                <w:szCs w:val="26"/>
                <w:rtl/>
              </w:rPr>
              <w:t xml:space="preserve"> נוכחת</w:t>
            </w:r>
          </w:p>
        </w:tc>
        <w:tc>
          <w:tcPr>
            <w:tcW w:w="3217" w:type="dxa"/>
            <w:shd w:val="clear" w:color="auto" w:fill="auto"/>
          </w:tcPr>
          <w:p w14:paraId="28675ED0" w14:textId="77777777" w:rsidR="00F25C35" w:rsidRPr="00D369E9" w:rsidRDefault="00F25C35" w:rsidP="00F25C35">
            <w:pPr>
              <w:bidi w:val="0"/>
              <w:spacing w:line="360" w:lineRule="auto"/>
              <w:jc w:val="right"/>
              <w:rPr>
                <w:rFonts w:ascii="Arial" w:hAnsi="Arial"/>
                <w:b/>
                <w:bCs/>
                <w:noProof w:val="0"/>
                <w:sz w:val="26"/>
                <w:szCs w:val="26"/>
                <w:rtl/>
              </w:rPr>
            </w:pPr>
            <w:r w:rsidRPr="00D369E9">
              <w:rPr>
                <w:rFonts w:ascii="Arial" w:hAnsi="Arial" w:hint="cs"/>
                <w:b/>
                <w:bCs/>
                <w:noProof w:val="0"/>
                <w:sz w:val="26"/>
                <w:szCs w:val="26"/>
                <w:rtl/>
              </w:rPr>
              <w:t>ה</w:t>
            </w:r>
            <w:r w:rsidRPr="00D369E9">
              <w:rPr>
                <w:rFonts w:ascii="Arial" w:hAnsi="Arial"/>
                <w:b/>
                <w:bCs/>
                <w:noProof w:val="0"/>
                <w:sz w:val="26"/>
                <w:szCs w:val="26"/>
                <w:rtl/>
              </w:rPr>
              <w:t>מאשימה</w:t>
            </w:r>
          </w:p>
          <w:p w14:paraId="20AD1EBE" w14:textId="77777777" w:rsidR="00F25C35" w:rsidRPr="00D369E9" w:rsidRDefault="00F25C35" w:rsidP="00F25C35">
            <w:pPr>
              <w:spacing w:line="360" w:lineRule="auto"/>
              <w:rPr>
                <w:b/>
                <w:bCs/>
                <w:noProof w:val="0"/>
                <w:sz w:val="26"/>
                <w:szCs w:val="26"/>
                <w:rtl/>
              </w:rPr>
            </w:pPr>
          </w:p>
        </w:tc>
      </w:tr>
      <w:bookmarkEnd w:id="1"/>
      <w:bookmarkEnd w:id="2"/>
      <w:tr w:rsidR="00F25C35" w:rsidRPr="00D369E9" w14:paraId="2FFB9A58" w14:textId="77777777" w:rsidTr="00F25C35">
        <w:trPr>
          <w:jc w:val="center"/>
        </w:trPr>
        <w:tc>
          <w:tcPr>
            <w:tcW w:w="8820" w:type="dxa"/>
            <w:gridSpan w:val="2"/>
            <w:shd w:val="clear" w:color="auto" w:fill="auto"/>
          </w:tcPr>
          <w:p w14:paraId="6F33C438" w14:textId="77777777" w:rsidR="00F25C35" w:rsidRPr="00D369E9" w:rsidRDefault="00F25C35" w:rsidP="00F25C35">
            <w:pPr>
              <w:spacing w:line="360" w:lineRule="auto"/>
              <w:jc w:val="center"/>
              <w:rPr>
                <w:rFonts w:ascii="Arial" w:hAnsi="Arial"/>
                <w:b/>
                <w:bCs/>
                <w:noProof w:val="0"/>
                <w:sz w:val="26"/>
                <w:szCs w:val="26"/>
              </w:rPr>
            </w:pPr>
            <w:r w:rsidRPr="00D369E9">
              <w:rPr>
                <w:rFonts w:ascii="Arial" w:hAnsi="Arial"/>
                <w:b/>
                <w:bCs/>
                <w:noProof w:val="0"/>
                <w:sz w:val="26"/>
                <w:szCs w:val="26"/>
                <w:rtl/>
              </w:rPr>
              <w:t>נ</w:t>
            </w:r>
            <w:r w:rsidRPr="00D369E9">
              <w:rPr>
                <w:rFonts w:ascii="Arial" w:hAnsi="Arial" w:hint="cs"/>
                <w:b/>
                <w:bCs/>
                <w:noProof w:val="0"/>
                <w:sz w:val="26"/>
                <w:szCs w:val="26"/>
                <w:rtl/>
              </w:rPr>
              <w:t xml:space="preserve"> </w:t>
            </w:r>
            <w:r w:rsidRPr="00D369E9">
              <w:rPr>
                <w:rFonts w:ascii="Arial" w:hAnsi="Arial"/>
                <w:b/>
                <w:bCs/>
                <w:noProof w:val="0"/>
                <w:sz w:val="26"/>
                <w:szCs w:val="26"/>
                <w:rtl/>
              </w:rPr>
              <w:t>ג</w:t>
            </w:r>
            <w:r w:rsidRPr="00D369E9">
              <w:rPr>
                <w:rFonts w:ascii="Arial" w:hAnsi="Arial" w:hint="cs"/>
                <w:b/>
                <w:bCs/>
                <w:noProof w:val="0"/>
                <w:sz w:val="26"/>
                <w:szCs w:val="26"/>
                <w:rtl/>
              </w:rPr>
              <w:t xml:space="preserve"> </w:t>
            </w:r>
            <w:r w:rsidRPr="00D369E9">
              <w:rPr>
                <w:rFonts w:ascii="Arial" w:hAnsi="Arial"/>
                <w:b/>
                <w:bCs/>
                <w:noProof w:val="0"/>
                <w:sz w:val="26"/>
                <w:szCs w:val="26"/>
                <w:rtl/>
              </w:rPr>
              <w:t>ד</w:t>
            </w:r>
          </w:p>
        </w:tc>
      </w:tr>
      <w:tr w:rsidR="00F25C35" w:rsidRPr="00D369E9" w14:paraId="20FCAE0E" w14:textId="77777777" w:rsidTr="00F25C35">
        <w:trPr>
          <w:jc w:val="center"/>
        </w:trPr>
        <w:tc>
          <w:tcPr>
            <w:tcW w:w="5603" w:type="dxa"/>
            <w:shd w:val="clear" w:color="auto" w:fill="auto"/>
          </w:tcPr>
          <w:p w14:paraId="625D0180" w14:textId="77777777" w:rsidR="00F25C35" w:rsidRPr="00D369E9" w:rsidRDefault="00F25C35" w:rsidP="00F25C35">
            <w:pPr>
              <w:spacing w:line="360" w:lineRule="auto"/>
              <w:rPr>
                <w:b/>
                <w:bCs/>
                <w:sz w:val="26"/>
                <w:szCs w:val="26"/>
              </w:rPr>
            </w:pPr>
            <w:r w:rsidRPr="00D369E9">
              <w:rPr>
                <w:rFonts w:ascii="Arial" w:hAnsi="Arial" w:hint="cs"/>
                <w:b/>
                <w:bCs/>
                <w:noProof w:val="0"/>
                <w:sz w:val="26"/>
                <w:szCs w:val="26"/>
                <w:rtl/>
              </w:rPr>
              <w:t>מרקיאל אלישייב</w:t>
            </w:r>
            <w:r w:rsidRPr="00D369E9">
              <w:rPr>
                <w:rFonts w:hint="cs"/>
                <w:sz w:val="26"/>
                <w:szCs w:val="26"/>
                <w:rtl/>
              </w:rPr>
              <w:t xml:space="preserve"> - </w:t>
            </w:r>
            <w:r w:rsidRPr="00D369E9">
              <w:rPr>
                <w:rFonts w:hint="cs"/>
                <w:b/>
                <w:bCs/>
                <w:sz w:val="26"/>
                <w:szCs w:val="26"/>
                <w:rtl/>
              </w:rPr>
              <w:t>נוכח</w:t>
            </w:r>
          </w:p>
          <w:p w14:paraId="250F7C0B" w14:textId="77777777" w:rsidR="00F25C35" w:rsidRPr="00D369E9" w:rsidRDefault="00F25C35" w:rsidP="00F25C35">
            <w:pPr>
              <w:spacing w:line="360" w:lineRule="auto"/>
              <w:rPr>
                <w:b/>
                <w:bCs/>
                <w:noProof w:val="0"/>
                <w:sz w:val="26"/>
                <w:szCs w:val="26"/>
                <w:rtl/>
              </w:rPr>
            </w:pPr>
            <w:r w:rsidRPr="00D369E9">
              <w:rPr>
                <w:rFonts w:hint="cs"/>
                <w:b/>
                <w:bCs/>
                <w:sz w:val="26"/>
                <w:szCs w:val="26"/>
                <w:rtl/>
              </w:rPr>
              <w:t xml:space="preserve">ע"י ב"כ עו"ד חיים שטיינברגר </w:t>
            </w:r>
            <w:r w:rsidRPr="00D369E9">
              <w:rPr>
                <w:b/>
                <w:bCs/>
                <w:sz w:val="26"/>
                <w:szCs w:val="26"/>
                <w:rtl/>
              </w:rPr>
              <w:t>–</w:t>
            </w:r>
            <w:r w:rsidRPr="00D369E9">
              <w:rPr>
                <w:rFonts w:hint="cs"/>
                <w:b/>
                <w:bCs/>
                <w:sz w:val="26"/>
                <w:szCs w:val="26"/>
                <w:rtl/>
              </w:rPr>
              <w:t xml:space="preserve"> נוכח</w:t>
            </w:r>
          </w:p>
        </w:tc>
        <w:tc>
          <w:tcPr>
            <w:tcW w:w="3217" w:type="dxa"/>
            <w:shd w:val="clear" w:color="auto" w:fill="auto"/>
          </w:tcPr>
          <w:p w14:paraId="5E168517" w14:textId="77777777" w:rsidR="00F25C35" w:rsidRPr="00D369E9" w:rsidRDefault="00F25C35" w:rsidP="00F25C35">
            <w:pPr>
              <w:spacing w:line="360" w:lineRule="auto"/>
              <w:rPr>
                <w:b/>
                <w:bCs/>
                <w:noProof w:val="0"/>
                <w:sz w:val="26"/>
                <w:szCs w:val="26"/>
                <w:rtl/>
              </w:rPr>
            </w:pPr>
            <w:r w:rsidRPr="00D369E9">
              <w:rPr>
                <w:rFonts w:ascii="Arial" w:hAnsi="Arial" w:hint="cs"/>
                <w:b/>
                <w:bCs/>
                <w:noProof w:val="0"/>
                <w:sz w:val="26"/>
                <w:szCs w:val="26"/>
                <w:rtl/>
              </w:rPr>
              <w:t>ה</w:t>
            </w:r>
            <w:r w:rsidRPr="00D369E9">
              <w:rPr>
                <w:rFonts w:ascii="Arial" w:hAnsi="Arial"/>
                <w:b/>
                <w:bCs/>
                <w:noProof w:val="0"/>
                <w:sz w:val="26"/>
                <w:szCs w:val="26"/>
                <w:rtl/>
              </w:rPr>
              <w:t>נאשם</w:t>
            </w:r>
          </w:p>
        </w:tc>
      </w:tr>
    </w:tbl>
    <w:p w14:paraId="18AE1BBE" w14:textId="77777777" w:rsidR="00F25C35" w:rsidRPr="00D369E9" w:rsidRDefault="00F25C35" w:rsidP="00F25C35">
      <w:pPr>
        <w:spacing w:line="360" w:lineRule="auto"/>
        <w:rPr>
          <w:sz w:val="26"/>
          <w:szCs w:val="26"/>
          <w:rtl/>
        </w:rPr>
      </w:pPr>
    </w:p>
    <w:p w14:paraId="6A6AF487" w14:textId="77777777" w:rsidR="00E87BA8" w:rsidRDefault="00F25C35" w:rsidP="00F25C35">
      <w:pPr>
        <w:spacing w:line="360" w:lineRule="auto"/>
      </w:pPr>
      <w:r w:rsidRPr="00D369E9">
        <w:rPr>
          <w:rFonts w:hint="cs"/>
          <w:b/>
          <w:bCs/>
          <w:rtl/>
        </w:rPr>
        <w:t>הנאשם</w:t>
      </w:r>
      <w:r w:rsidRPr="00D369E9">
        <w:rPr>
          <w:rFonts w:hint="cs"/>
          <w:rtl/>
        </w:rPr>
        <w:t xml:space="preserve">: אני מוכן שתיערכנה לי בדיקות לגילוי שרידי סם, היה וביהמ"ש יגזור עלי עבודות שירות. </w:t>
      </w:r>
      <w:bookmarkStart w:id="3" w:name="LawTable"/>
      <w:bookmarkEnd w:id="3"/>
    </w:p>
    <w:p w14:paraId="2433DB33" w14:textId="77777777" w:rsidR="00E87BA8" w:rsidRPr="00E87BA8" w:rsidRDefault="00E87BA8" w:rsidP="00E87BA8">
      <w:pPr>
        <w:spacing w:after="120" w:line="240" w:lineRule="exact"/>
        <w:ind w:left="283" w:hanging="283"/>
        <w:jc w:val="both"/>
        <w:rPr>
          <w:rFonts w:ascii="FrankRuehl" w:hAnsi="FrankRuehl" w:cs="FrankRuehl"/>
        </w:rPr>
      </w:pPr>
    </w:p>
    <w:p w14:paraId="746D0C8A" w14:textId="77777777" w:rsidR="00E87BA8" w:rsidRPr="00E87BA8" w:rsidRDefault="00E87BA8" w:rsidP="00E87BA8">
      <w:pPr>
        <w:spacing w:after="120" w:line="240" w:lineRule="exact"/>
        <w:ind w:left="283" w:hanging="283"/>
        <w:jc w:val="both"/>
        <w:rPr>
          <w:rFonts w:ascii="FrankRuehl" w:hAnsi="FrankRuehl" w:cs="FrankRuehl"/>
        </w:rPr>
      </w:pPr>
      <w:r w:rsidRPr="00E87BA8">
        <w:rPr>
          <w:rFonts w:ascii="FrankRuehl" w:hAnsi="FrankRuehl" w:cs="FrankRuehl"/>
          <w:rtl/>
        </w:rPr>
        <w:t xml:space="preserve">חקיקה שאוזכרה: </w:t>
      </w:r>
    </w:p>
    <w:p w14:paraId="1687023F" w14:textId="77777777" w:rsidR="00E87BA8" w:rsidRPr="00E87BA8" w:rsidRDefault="00E87BA8" w:rsidP="00E87BA8">
      <w:pPr>
        <w:spacing w:after="120" w:line="240" w:lineRule="exact"/>
        <w:ind w:left="283" w:hanging="283"/>
        <w:jc w:val="both"/>
        <w:rPr>
          <w:rFonts w:ascii="FrankRuehl" w:hAnsi="FrankRuehl" w:cs="FrankRuehl"/>
        </w:rPr>
      </w:pPr>
      <w:hyperlink r:id="rId7" w:history="1">
        <w:r w:rsidRPr="00E87BA8">
          <w:rPr>
            <w:rFonts w:ascii="FrankRuehl" w:hAnsi="FrankRuehl" w:cs="FrankRuehl"/>
            <w:color w:val="0000FF"/>
            <w:u w:val="single"/>
            <w:rtl/>
          </w:rPr>
          <w:t>פקודת הסמים המסוכנים [נוסח חדש], תשל"ג-1973</w:t>
        </w:r>
      </w:hyperlink>
      <w:r w:rsidRPr="00E87BA8">
        <w:rPr>
          <w:rFonts w:ascii="FrankRuehl" w:hAnsi="FrankRuehl" w:cs="FrankRuehl"/>
        </w:rPr>
        <w:t xml:space="preserve">: </w:t>
      </w:r>
      <w:r w:rsidRPr="00E87BA8">
        <w:rPr>
          <w:rFonts w:ascii="FrankRuehl" w:hAnsi="FrankRuehl" w:cs="FrankRuehl"/>
          <w:rtl/>
        </w:rPr>
        <w:t>סע</w:t>
      </w:r>
      <w:r w:rsidRPr="00E87BA8">
        <w:rPr>
          <w:rFonts w:ascii="FrankRuehl" w:hAnsi="FrankRuehl" w:cs="FrankRuehl"/>
        </w:rPr>
        <w:t xml:space="preserve">'  </w:t>
      </w:r>
      <w:hyperlink r:id="rId8" w:history="1">
        <w:r w:rsidRPr="00E87BA8">
          <w:rPr>
            <w:rFonts w:ascii="FrankRuehl" w:hAnsi="FrankRuehl" w:cs="FrankRuehl"/>
            <w:color w:val="0000FF"/>
            <w:u w:val="single"/>
          </w:rPr>
          <w:t>1</w:t>
        </w:r>
      </w:hyperlink>
      <w:r w:rsidRPr="00E87BA8">
        <w:rPr>
          <w:rFonts w:ascii="FrankRuehl" w:hAnsi="FrankRuehl" w:cs="FrankRuehl"/>
        </w:rPr>
        <w:t xml:space="preserve">, </w:t>
      </w:r>
      <w:hyperlink r:id="rId9" w:history="1">
        <w:r w:rsidRPr="00E87BA8">
          <w:rPr>
            <w:rFonts w:ascii="FrankRuehl" w:hAnsi="FrankRuehl" w:cs="FrankRuehl"/>
            <w:color w:val="0000FF"/>
            <w:u w:val="single"/>
          </w:rPr>
          <w:t>6</w:t>
        </w:r>
      </w:hyperlink>
      <w:r w:rsidRPr="00E87BA8">
        <w:rPr>
          <w:rFonts w:ascii="FrankRuehl" w:hAnsi="FrankRuehl" w:cs="FrankRuehl"/>
        </w:rPr>
        <w:t xml:space="preserve">, </w:t>
      </w:r>
      <w:hyperlink r:id="rId10" w:history="1">
        <w:r w:rsidRPr="00E87BA8">
          <w:rPr>
            <w:rFonts w:ascii="FrankRuehl" w:hAnsi="FrankRuehl" w:cs="FrankRuehl"/>
            <w:color w:val="0000FF"/>
            <w:u w:val="single"/>
          </w:rPr>
          <w:t>10</w:t>
        </w:r>
      </w:hyperlink>
      <w:r w:rsidRPr="00E87BA8">
        <w:rPr>
          <w:rFonts w:ascii="FrankRuehl" w:hAnsi="FrankRuehl" w:cs="FrankRuehl"/>
        </w:rPr>
        <w:t xml:space="preserve">, </w:t>
      </w:r>
      <w:hyperlink r:id="rId11" w:history="1">
        <w:r w:rsidRPr="00E87BA8">
          <w:rPr>
            <w:rFonts w:ascii="FrankRuehl" w:hAnsi="FrankRuehl" w:cs="FrankRuehl"/>
            <w:color w:val="0000FF"/>
            <w:u w:val="single"/>
          </w:rPr>
          <w:t>36</w:t>
        </w:r>
        <w:r w:rsidRPr="00E87BA8">
          <w:rPr>
            <w:rFonts w:ascii="FrankRuehl" w:hAnsi="FrankRuehl" w:cs="FrankRuehl"/>
            <w:color w:val="0000FF"/>
            <w:u w:val="single"/>
            <w:rtl/>
          </w:rPr>
          <w:t>א(א</w:t>
        </w:r>
        <w:r w:rsidRPr="00E87BA8">
          <w:rPr>
            <w:rFonts w:ascii="FrankRuehl" w:hAnsi="FrankRuehl" w:cs="FrankRuehl"/>
            <w:color w:val="0000FF"/>
            <w:u w:val="single"/>
          </w:rPr>
          <w:t>)</w:t>
        </w:r>
      </w:hyperlink>
      <w:r w:rsidRPr="00E87BA8">
        <w:rPr>
          <w:rFonts w:ascii="FrankRuehl" w:hAnsi="FrankRuehl" w:cs="FrankRuehl"/>
        </w:rPr>
        <w:t xml:space="preserve">, </w:t>
      </w:r>
      <w:hyperlink r:id="rId12" w:history="1">
        <w:r w:rsidRPr="00E87BA8">
          <w:rPr>
            <w:rFonts w:ascii="FrankRuehl" w:hAnsi="FrankRuehl" w:cs="FrankRuehl"/>
            <w:color w:val="0000FF"/>
            <w:u w:val="single"/>
          </w:rPr>
          <w:t>36</w:t>
        </w:r>
        <w:r w:rsidRPr="00E87BA8">
          <w:rPr>
            <w:rFonts w:ascii="FrankRuehl" w:hAnsi="FrankRuehl" w:cs="FrankRuehl"/>
            <w:color w:val="0000FF"/>
            <w:u w:val="single"/>
            <w:rtl/>
          </w:rPr>
          <w:t>א(ב</w:t>
        </w:r>
        <w:r w:rsidRPr="00E87BA8">
          <w:rPr>
            <w:rFonts w:ascii="FrankRuehl" w:hAnsi="FrankRuehl" w:cs="FrankRuehl"/>
            <w:color w:val="0000FF"/>
            <w:u w:val="single"/>
          </w:rPr>
          <w:t>)</w:t>
        </w:r>
      </w:hyperlink>
    </w:p>
    <w:p w14:paraId="546DE4F5" w14:textId="77777777" w:rsidR="00E87BA8" w:rsidRPr="00E87BA8" w:rsidRDefault="00E87BA8" w:rsidP="00E87BA8">
      <w:pPr>
        <w:spacing w:after="120" w:line="240" w:lineRule="exact"/>
        <w:ind w:left="283" w:hanging="283"/>
        <w:jc w:val="both"/>
        <w:rPr>
          <w:rFonts w:ascii="FrankRuehl" w:hAnsi="FrankRuehl" w:cs="FrankRuehl"/>
        </w:rPr>
      </w:pPr>
      <w:hyperlink r:id="rId13" w:history="1">
        <w:r w:rsidRPr="00E87BA8">
          <w:rPr>
            <w:rFonts w:ascii="FrankRuehl" w:hAnsi="FrankRuehl" w:cs="FrankRuehl"/>
            <w:color w:val="0000FF"/>
            <w:u w:val="single"/>
            <w:rtl/>
          </w:rPr>
          <w:t>חוק העונשין, תשל"ז-1977</w:t>
        </w:r>
      </w:hyperlink>
      <w:r w:rsidRPr="00E87BA8">
        <w:rPr>
          <w:rFonts w:ascii="FrankRuehl" w:hAnsi="FrankRuehl" w:cs="FrankRuehl"/>
        </w:rPr>
        <w:t xml:space="preserve">: </w:t>
      </w:r>
      <w:r w:rsidRPr="00E87BA8">
        <w:rPr>
          <w:rFonts w:ascii="FrankRuehl" w:hAnsi="FrankRuehl" w:cs="FrankRuehl"/>
          <w:rtl/>
        </w:rPr>
        <w:t>סע</w:t>
      </w:r>
      <w:r w:rsidRPr="00E87BA8">
        <w:rPr>
          <w:rFonts w:ascii="FrankRuehl" w:hAnsi="FrankRuehl" w:cs="FrankRuehl"/>
        </w:rPr>
        <w:t xml:space="preserve">'  </w:t>
      </w:r>
      <w:hyperlink r:id="rId14" w:history="1">
        <w:r w:rsidRPr="00E87BA8">
          <w:rPr>
            <w:rFonts w:ascii="FrankRuehl" w:hAnsi="FrankRuehl" w:cs="FrankRuehl"/>
            <w:color w:val="0000FF"/>
            <w:u w:val="single"/>
          </w:rPr>
          <w:t>40</w:t>
        </w:r>
        <w:r w:rsidRPr="00E87BA8">
          <w:rPr>
            <w:rFonts w:ascii="FrankRuehl" w:hAnsi="FrankRuehl" w:cs="FrankRuehl"/>
            <w:color w:val="0000FF"/>
            <w:u w:val="single"/>
            <w:rtl/>
          </w:rPr>
          <w:t>ג(א</w:t>
        </w:r>
        <w:r w:rsidRPr="00E87BA8">
          <w:rPr>
            <w:rFonts w:ascii="FrankRuehl" w:hAnsi="FrankRuehl" w:cs="FrankRuehl"/>
            <w:color w:val="0000FF"/>
            <w:u w:val="single"/>
          </w:rPr>
          <w:t>)</w:t>
        </w:r>
      </w:hyperlink>
      <w:r w:rsidRPr="00E87BA8">
        <w:rPr>
          <w:rFonts w:ascii="FrankRuehl" w:hAnsi="FrankRuehl" w:cs="FrankRuehl"/>
        </w:rPr>
        <w:t xml:space="preserve">, </w:t>
      </w:r>
      <w:hyperlink r:id="rId15" w:history="1">
        <w:r w:rsidRPr="00E87BA8">
          <w:rPr>
            <w:rFonts w:ascii="FrankRuehl" w:hAnsi="FrankRuehl" w:cs="FrankRuehl"/>
            <w:color w:val="0000FF"/>
            <w:u w:val="single"/>
          </w:rPr>
          <w:t>40</w:t>
        </w:r>
        <w:r w:rsidRPr="00E87BA8">
          <w:rPr>
            <w:rFonts w:ascii="FrankRuehl" w:hAnsi="FrankRuehl" w:cs="FrankRuehl"/>
            <w:color w:val="0000FF"/>
            <w:u w:val="single"/>
            <w:rtl/>
          </w:rPr>
          <w:t>ג(ב</w:t>
        </w:r>
        <w:r w:rsidRPr="00E87BA8">
          <w:rPr>
            <w:rFonts w:ascii="FrankRuehl" w:hAnsi="FrankRuehl" w:cs="FrankRuehl"/>
            <w:color w:val="0000FF"/>
            <w:u w:val="single"/>
          </w:rPr>
          <w:t>)</w:t>
        </w:r>
      </w:hyperlink>
      <w:r w:rsidRPr="00E87BA8">
        <w:rPr>
          <w:rFonts w:ascii="FrankRuehl" w:hAnsi="FrankRuehl" w:cs="FrankRuehl"/>
        </w:rPr>
        <w:t xml:space="preserve">, </w:t>
      </w:r>
      <w:hyperlink r:id="rId16" w:history="1">
        <w:r w:rsidRPr="00E87BA8">
          <w:rPr>
            <w:rFonts w:ascii="FrankRuehl" w:hAnsi="FrankRuehl" w:cs="FrankRuehl"/>
            <w:color w:val="0000FF"/>
            <w:u w:val="single"/>
          </w:rPr>
          <w:t>40</w:t>
        </w:r>
        <w:r w:rsidRPr="00E87BA8">
          <w:rPr>
            <w:rFonts w:ascii="FrankRuehl" w:hAnsi="FrankRuehl" w:cs="FrankRuehl"/>
            <w:color w:val="0000FF"/>
            <w:u w:val="single"/>
            <w:rtl/>
          </w:rPr>
          <w:t>ד(א</w:t>
        </w:r>
        <w:r w:rsidRPr="00E87BA8">
          <w:rPr>
            <w:rFonts w:ascii="FrankRuehl" w:hAnsi="FrankRuehl" w:cs="FrankRuehl"/>
            <w:color w:val="0000FF"/>
            <w:u w:val="single"/>
          </w:rPr>
          <w:t>)</w:t>
        </w:r>
      </w:hyperlink>
      <w:r w:rsidRPr="00E87BA8">
        <w:rPr>
          <w:rFonts w:ascii="FrankRuehl" w:hAnsi="FrankRuehl" w:cs="FrankRuehl"/>
        </w:rPr>
        <w:t xml:space="preserve">, </w:t>
      </w:r>
      <w:hyperlink r:id="rId17" w:history="1">
        <w:r w:rsidRPr="00E87BA8">
          <w:rPr>
            <w:rFonts w:ascii="FrankRuehl" w:hAnsi="FrankRuehl" w:cs="FrankRuehl"/>
            <w:color w:val="0000FF"/>
            <w:u w:val="single"/>
          </w:rPr>
          <w:t>40</w:t>
        </w:r>
        <w:r w:rsidRPr="00E87BA8">
          <w:rPr>
            <w:rFonts w:ascii="FrankRuehl" w:hAnsi="FrankRuehl" w:cs="FrankRuehl"/>
            <w:color w:val="0000FF"/>
            <w:u w:val="single"/>
            <w:rtl/>
          </w:rPr>
          <w:t>יא(3</w:t>
        </w:r>
        <w:r w:rsidRPr="00E87BA8">
          <w:rPr>
            <w:rFonts w:ascii="FrankRuehl" w:hAnsi="FrankRuehl" w:cs="FrankRuehl"/>
            <w:color w:val="0000FF"/>
            <w:u w:val="single"/>
          </w:rPr>
          <w:t>)</w:t>
        </w:r>
      </w:hyperlink>
      <w:r w:rsidRPr="00E87BA8">
        <w:rPr>
          <w:rFonts w:ascii="FrankRuehl" w:hAnsi="FrankRuehl" w:cs="FrankRuehl"/>
        </w:rPr>
        <w:t xml:space="preserve">, </w:t>
      </w:r>
      <w:hyperlink r:id="rId18" w:history="1">
        <w:r w:rsidRPr="00E87BA8">
          <w:rPr>
            <w:rFonts w:ascii="FrankRuehl" w:hAnsi="FrankRuehl" w:cs="FrankRuehl"/>
            <w:color w:val="0000FF"/>
            <w:u w:val="single"/>
          </w:rPr>
          <w:t>40</w:t>
        </w:r>
        <w:r w:rsidRPr="00E87BA8">
          <w:rPr>
            <w:rFonts w:ascii="FrankRuehl" w:hAnsi="FrankRuehl" w:cs="FrankRuehl"/>
            <w:color w:val="0000FF"/>
            <w:u w:val="single"/>
            <w:rtl/>
          </w:rPr>
          <w:t>יג</w:t>
        </w:r>
      </w:hyperlink>
    </w:p>
    <w:p w14:paraId="16F55C14" w14:textId="77777777" w:rsidR="00E87BA8" w:rsidRPr="00E87BA8" w:rsidRDefault="00E87BA8" w:rsidP="00E87BA8">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F25C35" w:rsidRPr="00A54FC3" w14:paraId="3BE84C19" w14:textId="77777777" w:rsidTr="00F25C35">
        <w:trPr>
          <w:jc w:val="center"/>
        </w:trPr>
        <w:tc>
          <w:tcPr>
            <w:tcW w:w="8820" w:type="dxa"/>
            <w:shd w:val="clear" w:color="auto" w:fill="auto"/>
          </w:tcPr>
          <w:p w14:paraId="5DDA3345" w14:textId="77777777" w:rsidR="00D369E9" w:rsidRPr="00D369E9" w:rsidRDefault="00D369E9" w:rsidP="00D369E9">
            <w:pPr>
              <w:bidi w:val="0"/>
              <w:spacing w:line="360" w:lineRule="auto"/>
              <w:jc w:val="center"/>
              <w:rPr>
                <w:rFonts w:ascii="Arial" w:hAnsi="Arial"/>
                <w:b/>
                <w:bCs/>
                <w:noProof w:val="0"/>
                <w:sz w:val="32"/>
                <w:szCs w:val="32"/>
                <w:u w:val="single"/>
                <w:rtl/>
              </w:rPr>
            </w:pPr>
            <w:bookmarkStart w:id="4" w:name="LawTable_End"/>
            <w:bookmarkStart w:id="5" w:name="PsakDin" w:colFirst="0" w:colLast="0"/>
            <w:bookmarkEnd w:id="0"/>
            <w:bookmarkEnd w:id="4"/>
            <w:r w:rsidRPr="00D369E9">
              <w:rPr>
                <w:rFonts w:ascii="Arial" w:hAnsi="Arial"/>
                <w:b/>
                <w:bCs/>
                <w:noProof w:val="0"/>
                <w:sz w:val="32"/>
                <w:szCs w:val="32"/>
                <w:u w:val="single"/>
                <w:rtl/>
              </w:rPr>
              <w:t>גזר דין</w:t>
            </w:r>
          </w:p>
          <w:p w14:paraId="16EDCD43" w14:textId="77777777" w:rsidR="00F25C35" w:rsidRPr="00D369E9" w:rsidRDefault="00F25C35" w:rsidP="00D369E9">
            <w:pPr>
              <w:bidi w:val="0"/>
              <w:spacing w:line="360" w:lineRule="auto"/>
              <w:jc w:val="center"/>
              <w:rPr>
                <w:rFonts w:ascii="Arial" w:hAnsi="Arial"/>
                <w:b/>
                <w:bCs/>
                <w:noProof w:val="0"/>
                <w:sz w:val="32"/>
                <w:szCs w:val="32"/>
                <w:u w:val="single"/>
              </w:rPr>
            </w:pPr>
          </w:p>
        </w:tc>
      </w:tr>
    </w:tbl>
    <w:bookmarkEnd w:id="5"/>
    <w:p w14:paraId="59BC1CDE" w14:textId="77777777" w:rsidR="00F25C35" w:rsidRPr="00BC77BE" w:rsidRDefault="00F25C35" w:rsidP="00F25C35">
      <w:pPr>
        <w:pStyle w:val="1"/>
        <w:spacing w:line="360" w:lineRule="auto"/>
        <w:ind w:firstLine="141"/>
        <w:rPr>
          <w:rFonts w:cs="David"/>
          <w:b/>
          <w:bCs/>
          <w:color w:val="auto"/>
          <w:sz w:val="28"/>
          <w:szCs w:val="28"/>
          <w:u w:val="single"/>
          <w:rtl/>
        </w:rPr>
      </w:pPr>
      <w:r w:rsidRPr="00A54FC3">
        <w:rPr>
          <w:rFonts w:cs="David" w:hint="cs"/>
          <w:b/>
          <w:bCs/>
          <w:color w:val="auto"/>
          <w:sz w:val="28"/>
          <w:szCs w:val="28"/>
          <w:u w:val="single"/>
          <w:rtl/>
        </w:rPr>
        <w:t>רקע עובדתי</w:t>
      </w:r>
    </w:p>
    <w:p w14:paraId="20AC5CEC" w14:textId="77777777" w:rsidR="00F25C35" w:rsidRPr="00A54FC3" w:rsidRDefault="00F25C35" w:rsidP="00F25C35">
      <w:pPr>
        <w:pStyle w:val="a9"/>
        <w:numPr>
          <w:ilvl w:val="0"/>
          <w:numId w:val="1"/>
        </w:numPr>
        <w:spacing w:after="100" w:afterAutospacing="1"/>
        <w:ind w:left="567" w:hanging="567"/>
        <w:rPr>
          <w:sz w:val="26"/>
          <w:szCs w:val="26"/>
          <w:rtl/>
        </w:rPr>
      </w:pPr>
      <w:r w:rsidRPr="00A54FC3">
        <w:rPr>
          <w:rFonts w:hint="cs"/>
          <w:sz w:val="26"/>
          <w:szCs w:val="26"/>
          <w:rtl/>
        </w:rPr>
        <w:t xml:space="preserve">כפי הנטען בכתב האישום המתוקן, ביום 26.01.2017 בסמוך לשעה 18:20 גידל הנאשם בתוך דירתו במעבדת הידרו 52 שתילי קנבוס, במשקל של 1.212 ק"ג נטו. לצורך כך החזיק הנאשם בדירה אדניות, מנורת חימום ושנאי חשמל. </w:t>
      </w:r>
    </w:p>
    <w:p w14:paraId="0F758F45" w14:textId="77777777" w:rsidR="00F25C35" w:rsidRPr="00A54FC3" w:rsidRDefault="00F25C35" w:rsidP="00F25C35">
      <w:pPr>
        <w:pStyle w:val="a9"/>
        <w:numPr>
          <w:ilvl w:val="0"/>
          <w:numId w:val="1"/>
        </w:numPr>
        <w:spacing w:after="100" w:afterAutospacing="1"/>
        <w:ind w:left="567" w:hanging="567"/>
        <w:rPr>
          <w:sz w:val="26"/>
          <w:szCs w:val="26"/>
        </w:rPr>
      </w:pPr>
      <w:bookmarkStart w:id="6" w:name="ABSTRACT_START"/>
      <w:bookmarkEnd w:id="6"/>
      <w:r w:rsidRPr="00A54FC3">
        <w:rPr>
          <w:rFonts w:hint="cs"/>
          <w:sz w:val="26"/>
          <w:szCs w:val="26"/>
          <w:rtl/>
        </w:rPr>
        <w:t xml:space="preserve">הנאשם הודה במיוחס לו לעיל, ועל יסוד הודאתו זו הורשע בעבירות של </w:t>
      </w:r>
      <w:r w:rsidRPr="00A54FC3">
        <w:rPr>
          <w:rFonts w:hint="cs"/>
          <w:b/>
          <w:bCs/>
          <w:sz w:val="26"/>
          <w:szCs w:val="26"/>
          <w:rtl/>
        </w:rPr>
        <w:t>גידול סמים מסוכנים</w:t>
      </w:r>
      <w:r w:rsidRPr="00A54FC3">
        <w:rPr>
          <w:rFonts w:hint="cs"/>
          <w:sz w:val="26"/>
          <w:szCs w:val="26"/>
          <w:rtl/>
        </w:rPr>
        <w:t xml:space="preserve">, לפי </w:t>
      </w:r>
      <w:hyperlink r:id="rId19" w:history="1">
        <w:r w:rsidR="00E87BA8" w:rsidRPr="00E87BA8">
          <w:rPr>
            <w:rFonts w:hint="cs"/>
            <w:color w:val="0000FF"/>
            <w:sz w:val="26"/>
            <w:szCs w:val="26"/>
            <w:u w:val="single"/>
            <w:rtl/>
          </w:rPr>
          <w:t>סעיף</w:t>
        </w:r>
        <w:r w:rsidR="00E87BA8" w:rsidRPr="00E87BA8">
          <w:rPr>
            <w:color w:val="0000FF"/>
            <w:sz w:val="26"/>
            <w:szCs w:val="26"/>
            <w:u w:val="single"/>
            <w:rtl/>
          </w:rPr>
          <w:t xml:space="preserve"> 6</w:t>
        </w:r>
      </w:hyperlink>
      <w:r w:rsidRPr="00A54FC3">
        <w:rPr>
          <w:rFonts w:hint="cs"/>
          <w:sz w:val="26"/>
          <w:szCs w:val="26"/>
          <w:rtl/>
        </w:rPr>
        <w:t xml:space="preserve"> ל</w:t>
      </w:r>
      <w:hyperlink r:id="rId20" w:history="1">
        <w:r w:rsidR="00D369E9" w:rsidRPr="00D369E9">
          <w:rPr>
            <w:rFonts w:hint="cs"/>
            <w:color w:val="0000FF"/>
            <w:sz w:val="26"/>
            <w:szCs w:val="26"/>
            <w:u w:val="single"/>
            <w:rtl/>
          </w:rPr>
          <w:t>פקודת</w:t>
        </w:r>
        <w:r w:rsidR="00D369E9" w:rsidRPr="00D369E9">
          <w:rPr>
            <w:color w:val="0000FF"/>
            <w:sz w:val="26"/>
            <w:szCs w:val="26"/>
            <w:u w:val="single"/>
            <w:rtl/>
          </w:rPr>
          <w:t xml:space="preserve"> </w:t>
        </w:r>
        <w:r w:rsidR="00D369E9" w:rsidRPr="00D369E9">
          <w:rPr>
            <w:rFonts w:hint="cs"/>
            <w:color w:val="0000FF"/>
            <w:sz w:val="26"/>
            <w:szCs w:val="26"/>
            <w:u w:val="single"/>
            <w:rtl/>
          </w:rPr>
          <w:t>הסמים</w:t>
        </w:r>
        <w:r w:rsidR="00D369E9" w:rsidRPr="00D369E9">
          <w:rPr>
            <w:color w:val="0000FF"/>
            <w:sz w:val="26"/>
            <w:szCs w:val="26"/>
            <w:u w:val="single"/>
            <w:rtl/>
          </w:rPr>
          <w:t xml:space="preserve"> </w:t>
        </w:r>
        <w:r w:rsidR="00D369E9" w:rsidRPr="00D369E9">
          <w:rPr>
            <w:rFonts w:hint="cs"/>
            <w:color w:val="0000FF"/>
            <w:sz w:val="26"/>
            <w:szCs w:val="26"/>
            <w:u w:val="single"/>
            <w:rtl/>
          </w:rPr>
          <w:t>המסוכנים</w:t>
        </w:r>
      </w:hyperlink>
      <w:r w:rsidRPr="00A54FC3">
        <w:rPr>
          <w:rFonts w:hint="cs"/>
          <w:sz w:val="26"/>
          <w:szCs w:val="26"/>
          <w:rtl/>
        </w:rPr>
        <w:t xml:space="preserve"> [נוסח חדש], התשל"ג-1973 (להלן: </w:t>
      </w:r>
      <w:r w:rsidRPr="00A54FC3">
        <w:rPr>
          <w:rFonts w:hint="cs"/>
          <w:b/>
          <w:bCs/>
          <w:sz w:val="26"/>
          <w:szCs w:val="26"/>
          <w:rtl/>
        </w:rPr>
        <w:t>"הפקודה"</w:t>
      </w:r>
      <w:r w:rsidRPr="00A54FC3">
        <w:rPr>
          <w:rFonts w:hint="cs"/>
          <w:sz w:val="26"/>
          <w:szCs w:val="26"/>
          <w:rtl/>
        </w:rPr>
        <w:t xml:space="preserve">); </w:t>
      </w:r>
      <w:r w:rsidRPr="00A54FC3">
        <w:rPr>
          <w:rFonts w:hint="cs"/>
          <w:b/>
          <w:bCs/>
          <w:sz w:val="26"/>
          <w:szCs w:val="26"/>
          <w:rtl/>
        </w:rPr>
        <w:t>והחזקת כלים להכנת סם שלא לצריכה עצמית</w:t>
      </w:r>
      <w:r w:rsidRPr="00A54FC3">
        <w:rPr>
          <w:rFonts w:hint="cs"/>
          <w:sz w:val="26"/>
          <w:szCs w:val="26"/>
          <w:rtl/>
        </w:rPr>
        <w:t xml:space="preserve">, לפי </w:t>
      </w:r>
      <w:hyperlink r:id="rId21" w:history="1">
        <w:r w:rsidR="00E87BA8" w:rsidRPr="00E87BA8">
          <w:rPr>
            <w:rFonts w:hint="cs"/>
            <w:color w:val="0000FF"/>
            <w:sz w:val="26"/>
            <w:szCs w:val="26"/>
            <w:u w:val="single"/>
            <w:rtl/>
          </w:rPr>
          <w:t>סעיף</w:t>
        </w:r>
        <w:r w:rsidR="00E87BA8" w:rsidRPr="00E87BA8">
          <w:rPr>
            <w:color w:val="0000FF"/>
            <w:sz w:val="26"/>
            <w:szCs w:val="26"/>
            <w:u w:val="single"/>
            <w:rtl/>
          </w:rPr>
          <w:t xml:space="preserve"> 10</w:t>
        </w:r>
      </w:hyperlink>
      <w:r w:rsidRPr="00A54FC3">
        <w:rPr>
          <w:rFonts w:hint="cs"/>
          <w:sz w:val="26"/>
          <w:szCs w:val="26"/>
          <w:rtl/>
        </w:rPr>
        <w:t xml:space="preserve"> רישא לפקודה.</w:t>
      </w:r>
    </w:p>
    <w:p w14:paraId="2C06131F" w14:textId="77777777" w:rsidR="00F25C35" w:rsidRPr="00A54FC3" w:rsidRDefault="00F25C35" w:rsidP="00F25C35">
      <w:pPr>
        <w:pStyle w:val="a9"/>
        <w:numPr>
          <w:ilvl w:val="0"/>
          <w:numId w:val="1"/>
        </w:numPr>
        <w:spacing w:after="100" w:afterAutospacing="1"/>
        <w:ind w:left="567" w:hanging="567"/>
        <w:rPr>
          <w:sz w:val="26"/>
          <w:szCs w:val="26"/>
          <w:rtl/>
        </w:rPr>
      </w:pPr>
      <w:bookmarkStart w:id="7" w:name="ABSTRACT_END"/>
      <w:bookmarkEnd w:id="7"/>
      <w:r w:rsidRPr="00A54FC3">
        <w:rPr>
          <w:rFonts w:hint="cs"/>
          <w:sz w:val="26"/>
          <w:szCs w:val="26"/>
          <w:rtl/>
        </w:rPr>
        <w:t xml:space="preserve">הצדדים לא הגיעו להסכמות בעניין העונש, אך הוסכם כי הנאשם יופנה לשירות המבחן על מנת שיתקבל תסקיר בעניינו, תוך שהמאשימה הצהירה כי עמדתה  העונשית בתיק זה היא למאסר בפועל. </w:t>
      </w:r>
    </w:p>
    <w:p w14:paraId="001869ED"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תסקיר שירות המבחן שהתקבל ביום 03.07.2017, המליץ להשית על הנאשם ענישה מוחשית שתחדד ותציב לו גבולות ברורים להתנהגותו לצד ענישה שיקומית בדמות </w:t>
      </w:r>
      <w:r w:rsidRPr="00A54FC3">
        <w:rPr>
          <w:rFonts w:hint="cs"/>
          <w:sz w:val="26"/>
          <w:szCs w:val="26"/>
          <w:rtl/>
        </w:rPr>
        <w:lastRenderedPageBreak/>
        <w:t>מאסר שירוצה בעבודות שירות, מאסר מותנה וצו מבחן. מטעמים של צנעת הפרט לא אעלה עלי גזר הדין את כל המפורט שם, וזאת מלבד אותם נתונים הרלוונטיים לשאלת העונש, שאליהם אתייחס בהמשך.</w:t>
      </w:r>
    </w:p>
    <w:p w14:paraId="43A45E86" w14:textId="77777777" w:rsidR="00F25C35" w:rsidRPr="00A54FC3" w:rsidRDefault="00F25C35" w:rsidP="00F25C35">
      <w:pPr>
        <w:pStyle w:val="a9"/>
        <w:numPr>
          <w:ilvl w:val="0"/>
          <w:numId w:val="1"/>
        </w:numPr>
        <w:ind w:left="567" w:hanging="567"/>
        <w:rPr>
          <w:sz w:val="26"/>
          <w:szCs w:val="26"/>
        </w:rPr>
      </w:pPr>
      <w:r w:rsidRPr="00A54FC3">
        <w:rPr>
          <w:rFonts w:hint="cs"/>
          <w:b/>
          <w:bCs/>
          <w:sz w:val="26"/>
          <w:szCs w:val="26"/>
          <w:rtl/>
        </w:rPr>
        <w:t>מחוות דעת הממונה על עבודות השירות</w:t>
      </w:r>
      <w:r w:rsidRPr="00A54FC3">
        <w:rPr>
          <w:rFonts w:hint="cs"/>
          <w:sz w:val="26"/>
          <w:szCs w:val="26"/>
          <w:rtl/>
        </w:rPr>
        <w:t xml:space="preserve">, שהתקבלה ביום 12.02.2018, עולה כי הנאשם מתאים לביצוע עבודות שירות. </w:t>
      </w:r>
    </w:p>
    <w:p w14:paraId="13CB01B7" w14:textId="77777777" w:rsidR="00F25C35" w:rsidRPr="00A54FC3" w:rsidRDefault="00F25C35" w:rsidP="00F25C35">
      <w:pPr>
        <w:pStyle w:val="1"/>
        <w:spacing w:line="360" w:lineRule="auto"/>
        <w:ind w:left="141"/>
        <w:rPr>
          <w:rFonts w:cs="David"/>
          <w:b/>
          <w:bCs/>
          <w:color w:val="auto"/>
          <w:sz w:val="28"/>
          <w:szCs w:val="28"/>
          <w:u w:val="single"/>
          <w:rtl/>
        </w:rPr>
      </w:pPr>
    </w:p>
    <w:p w14:paraId="6E0D9215" w14:textId="77777777" w:rsidR="00F25C35" w:rsidRPr="00A54FC3" w:rsidRDefault="00F25C35" w:rsidP="00F25C35">
      <w:pPr>
        <w:pStyle w:val="1"/>
        <w:spacing w:line="360" w:lineRule="auto"/>
        <w:ind w:left="141"/>
        <w:rPr>
          <w:rFonts w:cs="David"/>
          <w:b/>
          <w:bCs/>
          <w:color w:val="auto"/>
          <w:sz w:val="28"/>
          <w:szCs w:val="28"/>
          <w:u w:val="single"/>
        </w:rPr>
      </w:pPr>
      <w:r w:rsidRPr="00A54FC3">
        <w:rPr>
          <w:rFonts w:cs="David" w:hint="cs"/>
          <w:b/>
          <w:bCs/>
          <w:color w:val="auto"/>
          <w:sz w:val="28"/>
          <w:szCs w:val="28"/>
          <w:u w:val="single"/>
          <w:rtl/>
        </w:rPr>
        <w:t>טיעוני הצדדים (עיקרי הדברים)</w:t>
      </w:r>
    </w:p>
    <w:p w14:paraId="19AA3035"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באת כוח המאשימה עמדה על הערכים המוגנים שנפגעו כתוצאה ממעשיו של הנאשם ועל חומרת הנסיבות שנלוו אליהם. בכלל זה, הלה הפנתה לציוד שהחזיק הנאשם לשם הגידול וטענה כי המשקל של השתילים מלמד כי הנאשם גידלם שלא לצריכתו העצמית. בהמשך, עתרה המאשימה לקבוע מתחם עונש הולם הנע בין 20-8 חודשי מאסר, ובשים לב לעובדה כי הנאשם לא עבר כל הליך טיפולי, כך לדידה, עתרה להשית עליו עונש מאסר ברף הבינוני-גבוה של המתחם, לצד מאסר מותנה, קנס, פסילת רישיון נהיגה (בפועל ומותנית) והתחייבות. עוד ביקשה המאשימה להכריז על הנאשם כסוחר סמים לצורך חילוט סך של 800 ₪ שנתפסו בחזקתו. </w:t>
      </w:r>
    </w:p>
    <w:p w14:paraId="31082F68"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מנגד, בא כוח הנאשם חלק על מתחם העונש ההולם אשר הוצג על ידי המאשימה, ועתר לקבוע מתחם עונש הולם הנע בין 16-5 חודשי מאסר ולהשית על הנאשם בשל שיקולי שיקום עונש החורג לקולא מהמתחם האמור כך שירוצה בעבודות שירות וזאת בשים לב, בין היתר, לעברו הפלילי הנקי ולהמלצת שירות המבחן. עוד ובהתייחס לטענת המאשימה, נטען כי בהיעדר אינדיקציה אחרת בכתב האישום, יש לראות בנאשם כמי שגידל את הסמים לצריכתו העצמית בלבד. </w:t>
      </w:r>
    </w:p>
    <w:p w14:paraId="220F6D91"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הנאשם אשר קיבל את "זכות המילה האחרונה", מסר שהוא מצטער על מעשיו וכי הוא מבקש מבית המשפט שיתחשב בו בהיותו גרוש ואב לשני ילדים קטנים. </w:t>
      </w:r>
    </w:p>
    <w:p w14:paraId="44EB23C6" w14:textId="77777777" w:rsidR="00F25C35" w:rsidRPr="00B7539C" w:rsidRDefault="00F25C35" w:rsidP="00F25C35">
      <w:pPr>
        <w:pStyle w:val="1"/>
        <w:spacing w:before="100" w:beforeAutospacing="1"/>
        <w:ind w:firstLine="142"/>
        <w:rPr>
          <w:rFonts w:cs="David"/>
          <w:bCs/>
          <w:color w:val="auto"/>
          <w:sz w:val="28"/>
          <w:szCs w:val="28"/>
          <w:u w:val="single"/>
        </w:rPr>
      </w:pPr>
      <w:r w:rsidRPr="00B7539C">
        <w:rPr>
          <w:rFonts w:cs="David" w:hint="cs"/>
          <w:bCs/>
          <w:color w:val="auto"/>
          <w:sz w:val="28"/>
          <w:szCs w:val="28"/>
          <w:u w:val="single"/>
          <w:rtl/>
        </w:rPr>
        <w:t>דיון והכרעה</w:t>
      </w:r>
    </w:p>
    <w:p w14:paraId="0BC84371" w14:textId="77777777" w:rsidR="00F25C35" w:rsidRPr="00A54FC3" w:rsidRDefault="00F25C35" w:rsidP="00F25C35">
      <w:pPr>
        <w:pStyle w:val="1"/>
        <w:spacing w:before="100" w:beforeAutospacing="1"/>
        <w:ind w:firstLine="142"/>
        <w:rPr>
          <w:rFonts w:cs="David"/>
          <w:color w:val="auto"/>
          <w:sz w:val="26"/>
          <w:szCs w:val="26"/>
          <w:u w:val="single"/>
          <w:rtl/>
        </w:rPr>
      </w:pPr>
      <w:r w:rsidRPr="00A54FC3">
        <w:rPr>
          <w:rFonts w:cs="David" w:hint="cs"/>
          <w:color w:val="auto"/>
          <w:sz w:val="26"/>
          <w:szCs w:val="26"/>
          <w:u w:val="single"/>
          <w:rtl/>
        </w:rPr>
        <w:t>קביעת מתחם העונש ההולם</w:t>
      </w:r>
    </w:p>
    <w:p w14:paraId="1CCFF7BB" w14:textId="77777777" w:rsidR="00F25C35" w:rsidRPr="00AD2193" w:rsidRDefault="00F25C35" w:rsidP="00F25C35">
      <w:pPr>
        <w:pStyle w:val="1"/>
        <w:spacing w:before="100" w:beforeAutospacing="1"/>
        <w:ind w:firstLine="142"/>
        <w:rPr>
          <w:rFonts w:cs="David"/>
          <w:color w:val="auto"/>
          <w:sz w:val="26"/>
          <w:szCs w:val="26"/>
          <w:u w:val="single"/>
          <w:rtl/>
        </w:rPr>
      </w:pPr>
      <w:r w:rsidRPr="00AD2193">
        <w:rPr>
          <w:rFonts w:cs="David" w:hint="cs"/>
          <w:color w:val="auto"/>
          <w:sz w:val="26"/>
          <w:szCs w:val="26"/>
          <w:u w:val="single"/>
          <w:rtl/>
        </w:rPr>
        <w:t>הערכים המוגנים שנפגעו, מידת הפגיעה בהם, ונסיבות ביצוע העבירות</w:t>
      </w:r>
    </w:p>
    <w:p w14:paraId="715F84D1"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כאמור </w:t>
      </w:r>
      <w:hyperlink r:id="rId22" w:history="1">
        <w:r w:rsidR="00E87BA8" w:rsidRPr="00E87BA8">
          <w:rPr>
            <w:rFonts w:hint="cs"/>
            <w:color w:val="0000FF"/>
            <w:sz w:val="26"/>
            <w:szCs w:val="26"/>
            <w:u w:val="single"/>
            <w:rtl/>
          </w:rPr>
          <w:t>בסעיף</w:t>
        </w:r>
        <w:r w:rsidR="00E87BA8" w:rsidRPr="00E87BA8">
          <w:rPr>
            <w:color w:val="0000FF"/>
            <w:sz w:val="26"/>
            <w:szCs w:val="26"/>
            <w:u w:val="single"/>
            <w:rtl/>
          </w:rPr>
          <w:t xml:space="preserve"> 40</w:t>
        </w:r>
        <w:r w:rsidR="00E87BA8" w:rsidRPr="00E87BA8">
          <w:rPr>
            <w:rFonts w:hint="cs"/>
            <w:color w:val="0000FF"/>
            <w:sz w:val="26"/>
            <w:szCs w:val="26"/>
            <w:u w:val="single"/>
            <w:rtl/>
          </w:rPr>
          <w:t>ג</w:t>
        </w:r>
        <w:r w:rsidR="00E87BA8" w:rsidRPr="00E87BA8">
          <w:rPr>
            <w:color w:val="0000FF"/>
            <w:sz w:val="26"/>
            <w:szCs w:val="26"/>
            <w:u w:val="single"/>
            <w:rtl/>
          </w:rPr>
          <w:t>(</w:t>
        </w:r>
        <w:r w:rsidR="00E87BA8" w:rsidRPr="00E87BA8">
          <w:rPr>
            <w:rFonts w:hint="cs"/>
            <w:color w:val="0000FF"/>
            <w:sz w:val="26"/>
            <w:szCs w:val="26"/>
            <w:u w:val="single"/>
            <w:rtl/>
          </w:rPr>
          <w:t>א</w:t>
        </w:r>
        <w:r w:rsidR="00E87BA8" w:rsidRPr="00E87BA8">
          <w:rPr>
            <w:color w:val="0000FF"/>
            <w:sz w:val="26"/>
            <w:szCs w:val="26"/>
            <w:u w:val="single"/>
            <w:rtl/>
          </w:rPr>
          <w:t>)</w:t>
        </w:r>
      </w:hyperlink>
      <w:r w:rsidRPr="00A54FC3">
        <w:rPr>
          <w:rFonts w:hint="cs"/>
          <w:sz w:val="26"/>
          <w:szCs w:val="26"/>
          <w:rtl/>
        </w:rPr>
        <w:t xml:space="preserve"> ל</w:t>
      </w:r>
      <w:hyperlink r:id="rId23" w:history="1">
        <w:r w:rsidR="00D369E9" w:rsidRPr="00D369E9">
          <w:rPr>
            <w:rFonts w:hint="cs"/>
            <w:color w:val="0000FF"/>
            <w:sz w:val="26"/>
            <w:szCs w:val="26"/>
            <w:u w:val="single"/>
            <w:rtl/>
          </w:rPr>
          <w:t>חוק</w:t>
        </w:r>
        <w:r w:rsidR="00D369E9" w:rsidRPr="00D369E9">
          <w:rPr>
            <w:color w:val="0000FF"/>
            <w:sz w:val="26"/>
            <w:szCs w:val="26"/>
            <w:u w:val="single"/>
            <w:rtl/>
          </w:rPr>
          <w:t xml:space="preserve"> </w:t>
        </w:r>
        <w:r w:rsidR="00D369E9" w:rsidRPr="00D369E9">
          <w:rPr>
            <w:rFonts w:hint="cs"/>
            <w:color w:val="0000FF"/>
            <w:sz w:val="26"/>
            <w:szCs w:val="26"/>
            <w:u w:val="single"/>
            <w:rtl/>
          </w:rPr>
          <w:t>העונשין</w:t>
        </w:r>
      </w:hyperlink>
      <w:r w:rsidRPr="00A54FC3">
        <w:rPr>
          <w:rFonts w:hint="cs"/>
          <w:sz w:val="26"/>
          <w:szCs w:val="26"/>
          <w:rtl/>
        </w:rPr>
        <w:t xml:space="preserve">, התשל"ז-1977 (להלן: </w:t>
      </w:r>
      <w:r w:rsidRPr="00A54FC3">
        <w:rPr>
          <w:rFonts w:hint="cs"/>
          <w:b/>
          <w:bCs/>
          <w:sz w:val="26"/>
          <w:szCs w:val="26"/>
          <w:rtl/>
        </w:rPr>
        <w:t>"חוק העונשין"</w:t>
      </w:r>
      <w:r w:rsidRPr="00A54FC3">
        <w:rPr>
          <w:rFonts w:hint="cs"/>
          <w:sz w:val="26"/>
          <w:szCs w:val="26"/>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7877357E"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בטרם אפנה לקבוע את מתחם העונש ההולם בגין מעשיו של נאשם, על אף שנדמה כי הדבר ברור מאליו אציין בבחינת למעלה מן הצורך, כי בכלל המעשים בהם הורשע </w:t>
      </w:r>
      <w:r w:rsidRPr="00A54FC3">
        <w:rPr>
          <w:rFonts w:hint="cs"/>
          <w:sz w:val="26"/>
          <w:szCs w:val="26"/>
          <w:rtl/>
        </w:rPr>
        <w:lastRenderedPageBreak/>
        <w:t xml:space="preserve">הנאשם יש לראות כ"אירוע אחד", כמשמעו </w:t>
      </w:r>
      <w:hyperlink r:id="rId24" w:history="1">
        <w:r w:rsidR="00E87BA8" w:rsidRPr="00E87BA8">
          <w:rPr>
            <w:rFonts w:hint="cs"/>
            <w:color w:val="0000FF"/>
            <w:sz w:val="26"/>
            <w:szCs w:val="26"/>
            <w:u w:val="single"/>
            <w:rtl/>
          </w:rPr>
          <w:t>בסעיף</w:t>
        </w:r>
        <w:r w:rsidR="00E87BA8" w:rsidRPr="00E87BA8">
          <w:rPr>
            <w:color w:val="0000FF"/>
            <w:sz w:val="26"/>
            <w:szCs w:val="26"/>
            <w:u w:val="single"/>
            <w:rtl/>
          </w:rPr>
          <w:t xml:space="preserve"> 40</w:t>
        </w:r>
        <w:r w:rsidR="00E87BA8" w:rsidRPr="00E87BA8">
          <w:rPr>
            <w:rFonts w:hint="cs"/>
            <w:color w:val="0000FF"/>
            <w:sz w:val="26"/>
            <w:szCs w:val="26"/>
            <w:u w:val="single"/>
            <w:rtl/>
          </w:rPr>
          <w:t>יג</w:t>
        </w:r>
      </w:hyperlink>
      <w:r w:rsidRPr="00A54FC3">
        <w:rPr>
          <w:rFonts w:hint="cs"/>
          <w:sz w:val="26"/>
          <w:szCs w:val="26"/>
          <w:rtl/>
        </w:rPr>
        <w:t xml:space="preserve"> ל</w:t>
      </w:r>
      <w:hyperlink r:id="rId25" w:history="1">
        <w:r w:rsidR="00D369E9" w:rsidRPr="00D369E9">
          <w:rPr>
            <w:rFonts w:hint="cs"/>
            <w:color w:val="0000FF"/>
            <w:sz w:val="26"/>
            <w:szCs w:val="26"/>
            <w:u w:val="single"/>
            <w:rtl/>
          </w:rPr>
          <w:t>חוק</w:t>
        </w:r>
        <w:r w:rsidR="00D369E9" w:rsidRPr="00D369E9">
          <w:rPr>
            <w:color w:val="0000FF"/>
            <w:sz w:val="26"/>
            <w:szCs w:val="26"/>
            <w:u w:val="single"/>
            <w:rtl/>
          </w:rPr>
          <w:t xml:space="preserve"> </w:t>
        </w:r>
        <w:r w:rsidR="00D369E9" w:rsidRPr="00D369E9">
          <w:rPr>
            <w:rFonts w:hint="cs"/>
            <w:color w:val="0000FF"/>
            <w:sz w:val="26"/>
            <w:szCs w:val="26"/>
            <w:u w:val="single"/>
            <w:rtl/>
          </w:rPr>
          <w:t>העונשין</w:t>
        </w:r>
      </w:hyperlink>
      <w:r w:rsidRPr="00A54FC3">
        <w:rPr>
          <w:rFonts w:hint="cs"/>
          <w:sz w:val="26"/>
          <w:szCs w:val="26"/>
          <w:rtl/>
        </w:rPr>
        <w:t xml:space="preserve">. מסקנתי זו עולה בקנה אחד עם "מבחן הקשר ההדוק" שנקבע </w:t>
      </w:r>
      <w:r w:rsidRPr="00A54FC3">
        <w:rPr>
          <w:rFonts w:ascii="David" w:hAnsi="David" w:hint="cs"/>
          <w:sz w:val="26"/>
          <w:szCs w:val="26"/>
          <w:u w:val="single"/>
          <w:rtl/>
        </w:rPr>
        <w:t>ב</w:t>
      </w:r>
      <w:hyperlink r:id="rId26" w:history="1">
        <w:r w:rsidR="00D369E9" w:rsidRPr="00D369E9">
          <w:rPr>
            <w:rFonts w:ascii="David" w:hAnsi="David"/>
            <w:color w:val="0000FF"/>
            <w:sz w:val="26"/>
            <w:szCs w:val="26"/>
            <w:u w:val="single"/>
            <w:rtl/>
          </w:rPr>
          <w:t>ע"פ 4910/13</w:t>
        </w:r>
      </w:hyperlink>
      <w:r w:rsidRPr="00A54FC3">
        <w:rPr>
          <w:rFonts w:ascii="David" w:hAnsi="David" w:hint="cs"/>
          <w:sz w:val="26"/>
          <w:szCs w:val="26"/>
          <w:rtl/>
        </w:rPr>
        <w:t xml:space="preserve"> ‏</w:t>
      </w:r>
      <w:r w:rsidRPr="00A54FC3">
        <w:rPr>
          <w:rFonts w:ascii="David" w:hAnsi="David" w:hint="cs"/>
          <w:b/>
          <w:bCs/>
          <w:sz w:val="26"/>
          <w:szCs w:val="26"/>
          <w:rtl/>
        </w:rPr>
        <w:t>אחמד בני ג'אבר נגד מדינת ישראל</w:t>
      </w:r>
      <w:r w:rsidRPr="00A54FC3">
        <w:rPr>
          <w:rFonts w:ascii="David" w:hAnsi="David" w:hint="cs"/>
          <w:sz w:val="26"/>
          <w:szCs w:val="26"/>
          <w:rtl/>
        </w:rPr>
        <w:t>, (פורסם במאגרים המשפטיים) (29.10.2014)</w:t>
      </w:r>
      <w:r w:rsidRPr="00A54FC3">
        <w:rPr>
          <w:rFonts w:hint="cs"/>
          <w:sz w:val="26"/>
          <w:szCs w:val="26"/>
          <w:rtl/>
        </w:rPr>
        <w:t xml:space="preserve">, ובשים לב לאופיין הדומה של העבירות הנדונות, לכך שהן בוצעו באותו המקום ובאותו הזמן, לכך שנדמה כי קדם להן תכנון עברייני אחד, ולאור הקשר ההדוק שקיים בין עבירות אלו. </w:t>
      </w:r>
    </w:p>
    <w:p w14:paraId="104C0E73"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נדמה כי אין צורך להכביר מילים בנוגע לחומרה הרבה הכרוכה בעבירות הסמים. </w:t>
      </w:r>
      <w:hyperlink r:id="rId27" w:history="1">
        <w:r w:rsidR="00D369E9" w:rsidRPr="00D369E9">
          <w:rPr>
            <w:rFonts w:hint="cs"/>
            <w:color w:val="0000FF"/>
            <w:sz w:val="26"/>
            <w:szCs w:val="26"/>
            <w:u w:val="single"/>
            <w:rtl/>
          </w:rPr>
          <w:t>פקודת</w:t>
        </w:r>
        <w:r w:rsidR="00D369E9" w:rsidRPr="00D369E9">
          <w:rPr>
            <w:color w:val="0000FF"/>
            <w:sz w:val="26"/>
            <w:szCs w:val="26"/>
            <w:u w:val="single"/>
            <w:rtl/>
          </w:rPr>
          <w:t xml:space="preserve"> </w:t>
        </w:r>
        <w:r w:rsidR="00D369E9" w:rsidRPr="00D369E9">
          <w:rPr>
            <w:rFonts w:hint="cs"/>
            <w:color w:val="0000FF"/>
            <w:sz w:val="26"/>
            <w:szCs w:val="26"/>
            <w:u w:val="single"/>
            <w:rtl/>
          </w:rPr>
          <w:t>הסמים</w:t>
        </w:r>
        <w:r w:rsidR="00D369E9" w:rsidRPr="00D369E9">
          <w:rPr>
            <w:color w:val="0000FF"/>
            <w:sz w:val="26"/>
            <w:szCs w:val="26"/>
            <w:u w:val="single"/>
            <w:rtl/>
          </w:rPr>
          <w:t xml:space="preserve"> </w:t>
        </w:r>
        <w:r w:rsidR="00D369E9" w:rsidRPr="00D369E9">
          <w:rPr>
            <w:rFonts w:hint="cs"/>
            <w:color w:val="0000FF"/>
            <w:sz w:val="26"/>
            <w:szCs w:val="26"/>
            <w:u w:val="single"/>
            <w:rtl/>
          </w:rPr>
          <w:t>המסוכנים</w:t>
        </w:r>
      </w:hyperlink>
      <w:r w:rsidRPr="00A54FC3">
        <w:rPr>
          <w:rFonts w:hint="cs"/>
          <w:sz w:val="26"/>
          <w:szCs w:val="26"/>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8" w:history="1">
        <w:r w:rsidR="00D369E9" w:rsidRPr="00D369E9">
          <w:rPr>
            <w:rFonts w:hint="cs"/>
            <w:color w:val="0000FF"/>
            <w:sz w:val="26"/>
            <w:szCs w:val="26"/>
            <w:u w:val="single"/>
            <w:rtl/>
          </w:rPr>
          <w:t>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575/88</w:t>
        </w:r>
      </w:hyperlink>
      <w:r w:rsidRPr="00A54FC3">
        <w:rPr>
          <w:rFonts w:hint="cs"/>
          <w:sz w:val="26"/>
          <w:szCs w:val="26"/>
          <w:rtl/>
        </w:rPr>
        <w:t xml:space="preserve"> </w:t>
      </w:r>
      <w:r w:rsidRPr="00A54FC3">
        <w:rPr>
          <w:rFonts w:hint="cs"/>
          <w:b/>
          <w:bCs/>
          <w:sz w:val="26"/>
          <w:szCs w:val="26"/>
          <w:rtl/>
        </w:rPr>
        <w:t>עודה נגד מדינת ישראל</w:t>
      </w:r>
      <w:r w:rsidRPr="00A54FC3">
        <w:rPr>
          <w:rFonts w:hint="cs"/>
          <w:sz w:val="26"/>
          <w:szCs w:val="26"/>
          <w:rtl/>
        </w:rPr>
        <w:t xml:space="preserve"> (פורסם במאגרים המשפטיים) (11.12.1988)). יפים לעניין זה דבריו של כב' השופט נ' הנדל </w:t>
      </w:r>
      <w:r w:rsidRPr="00A54FC3">
        <w:rPr>
          <w:rFonts w:hint="cs"/>
          <w:sz w:val="26"/>
          <w:szCs w:val="26"/>
          <w:u w:val="single"/>
          <w:rtl/>
        </w:rPr>
        <w:t>ב</w:t>
      </w:r>
      <w:hyperlink r:id="rId29" w:history="1">
        <w:r w:rsidR="00D369E9" w:rsidRPr="00D369E9">
          <w:rPr>
            <w:rFonts w:hint="cs"/>
            <w:color w:val="0000FF"/>
            <w:sz w:val="26"/>
            <w:szCs w:val="26"/>
            <w:u w:val="single"/>
            <w:rtl/>
          </w:rPr>
          <w:t>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972/11</w:t>
        </w:r>
      </w:hyperlink>
      <w:r w:rsidRPr="00A54FC3">
        <w:rPr>
          <w:rFonts w:hint="cs"/>
          <w:sz w:val="26"/>
          <w:szCs w:val="26"/>
          <w:rtl/>
        </w:rPr>
        <w:t xml:space="preserve"> </w:t>
      </w:r>
      <w:r w:rsidRPr="00A54FC3">
        <w:rPr>
          <w:rFonts w:hint="cs"/>
          <w:b/>
          <w:bCs/>
          <w:sz w:val="26"/>
          <w:szCs w:val="26"/>
          <w:rtl/>
        </w:rPr>
        <w:t>מדינת ישראל נגד יניב יונה</w:t>
      </w:r>
      <w:r w:rsidRPr="00A54FC3">
        <w:rPr>
          <w:rFonts w:hint="cs"/>
          <w:sz w:val="26"/>
          <w:szCs w:val="26"/>
          <w:rtl/>
        </w:rPr>
        <w:t xml:space="preserve"> (פורסם במאגרים המשפטיים) (04.07.2012):</w:t>
      </w:r>
    </w:p>
    <w:p w14:paraId="50D30600" w14:textId="77777777" w:rsidR="00F25C35" w:rsidRPr="00A54FC3" w:rsidRDefault="00F25C35" w:rsidP="00F25C35">
      <w:pPr>
        <w:pStyle w:val="a9"/>
        <w:ind w:left="1287" w:right="709" w:firstLine="0"/>
        <w:rPr>
          <w:b/>
          <w:bCs/>
          <w:sz w:val="26"/>
          <w:szCs w:val="26"/>
          <w:rtl/>
        </w:rPr>
      </w:pPr>
      <w:r w:rsidRPr="00A54FC3">
        <w:rPr>
          <w:rFonts w:hint="cs"/>
          <w:b/>
          <w:bCs/>
          <w:sz w:val="26"/>
          <w:szCs w:val="26"/>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4A9A1EFE" w14:textId="77777777" w:rsidR="00F25C35" w:rsidRPr="00A54FC3" w:rsidRDefault="00F25C35" w:rsidP="00F25C35">
      <w:pPr>
        <w:spacing w:line="360" w:lineRule="auto"/>
        <w:ind w:left="567"/>
        <w:rPr>
          <w:sz w:val="26"/>
          <w:szCs w:val="26"/>
        </w:rPr>
      </w:pPr>
      <w:r w:rsidRPr="00A54FC3">
        <w:rPr>
          <w:rFonts w:hint="cs"/>
          <w:sz w:val="26"/>
          <w:szCs w:val="26"/>
          <w:rtl/>
        </w:rPr>
        <w:t xml:space="preserve">עוד ראו בעניין זה, למשל, דבריו של כב' השופט א' שהם </w:t>
      </w:r>
      <w:r w:rsidRPr="00A54FC3">
        <w:rPr>
          <w:rFonts w:hint="cs"/>
          <w:sz w:val="26"/>
          <w:szCs w:val="26"/>
          <w:u w:val="single"/>
          <w:rtl/>
        </w:rPr>
        <w:t>ב</w:t>
      </w:r>
      <w:hyperlink r:id="rId30" w:history="1">
        <w:r w:rsidR="00D369E9" w:rsidRPr="00D369E9">
          <w:rPr>
            <w:color w:val="0000FF"/>
            <w:sz w:val="26"/>
            <w:szCs w:val="26"/>
            <w:u w:val="single"/>
            <w:rtl/>
          </w:rPr>
          <w:t>ע"פ 3117/12</w:t>
        </w:r>
      </w:hyperlink>
      <w:r w:rsidRPr="00A54FC3">
        <w:rPr>
          <w:rFonts w:hint="cs"/>
          <w:sz w:val="26"/>
          <w:szCs w:val="26"/>
          <w:rtl/>
        </w:rPr>
        <w:t xml:space="preserve"> </w:t>
      </w:r>
      <w:r w:rsidRPr="00A54FC3">
        <w:rPr>
          <w:rFonts w:hint="cs"/>
          <w:b/>
          <w:bCs/>
          <w:sz w:val="26"/>
          <w:szCs w:val="26"/>
          <w:rtl/>
        </w:rPr>
        <w:t>ארביב נ' מדינת ישראל</w:t>
      </w:r>
      <w:r w:rsidRPr="00A54FC3">
        <w:rPr>
          <w:rFonts w:hint="cs"/>
          <w:sz w:val="26"/>
          <w:szCs w:val="26"/>
          <w:rtl/>
        </w:rPr>
        <w:t xml:space="preserve"> (פורסם במאגרים המשפטיים) (06.09.2012).</w:t>
      </w:r>
    </w:p>
    <w:p w14:paraId="15A3CCD2" w14:textId="77777777" w:rsidR="00F25C35" w:rsidRPr="00A54FC3" w:rsidRDefault="00F25C35" w:rsidP="00F25C35">
      <w:pPr>
        <w:pStyle w:val="a9"/>
        <w:numPr>
          <w:ilvl w:val="0"/>
          <w:numId w:val="1"/>
        </w:numPr>
        <w:spacing w:after="0"/>
        <w:ind w:left="527" w:hanging="567"/>
        <w:rPr>
          <w:sz w:val="26"/>
          <w:szCs w:val="26"/>
        </w:rPr>
      </w:pPr>
      <w:r w:rsidRPr="00A54FC3">
        <w:rPr>
          <w:rFonts w:hint="cs"/>
          <w:sz w:val="26"/>
          <w:szCs w:val="26"/>
          <w:rtl/>
        </w:rPr>
        <w:t xml:space="preserve">אשר לעבירות גידול סמים, שלצורך ביצוען, בדרך כלל, מקימים העבריינים מעין מעבדות סמים ביתיות, הרי שאלו הפכו ל"מכת מדינה" של ממש. בבואו לגזור את עונשם של נאשמים אשר הקימו בביתם מעבדות לגידול סמים, שומה על בית המשפט ליתן דעתו, בין היתר, לקלות שבה מבוצעות עבירות אלו ולקושי הרב בו נתקלות רשויות אכיפת החוק באיתור העבריינים. עמד על כך בית המשפט המחוזי בתל אביב יפו </w:t>
      </w:r>
      <w:r w:rsidRPr="00A54FC3">
        <w:rPr>
          <w:rFonts w:hint="cs"/>
          <w:sz w:val="26"/>
          <w:szCs w:val="26"/>
          <w:u w:val="single"/>
          <w:rtl/>
        </w:rPr>
        <w:t>ב</w:t>
      </w:r>
      <w:hyperlink r:id="rId31" w:history="1">
        <w:r w:rsidR="00D369E9" w:rsidRPr="00D369E9">
          <w:rPr>
            <w:rFonts w:hint="cs"/>
            <w:color w:val="0000FF"/>
            <w:sz w:val="26"/>
            <w:szCs w:val="26"/>
            <w:u w:val="single"/>
            <w:rtl/>
          </w:rPr>
          <w:t>עפ</w:t>
        </w:r>
        <w:r w:rsidR="00D369E9" w:rsidRPr="00D369E9">
          <w:rPr>
            <w:color w:val="0000FF"/>
            <w:sz w:val="26"/>
            <w:szCs w:val="26"/>
            <w:u w:val="single"/>
            <w:rtl/>
          </w:rPr>
          <w:t>"</w:t>
        </w:r>
        <w:r w:rsidR="00D369E9" w:rsidRPr="00D369E9">
          <w:rPr>
            <w:rFonts w:hint="cs"/>
            <w:color w:val="0000FF"/>
            <w:sz w:val="26"/>
            <w:szCs w:val="26"/>
            <w:u w:val="single"/>
            <w:rtl/>
          </w:rPr>
          <w:t>ג</w:t>
        </w:r>
        <w:r w:rsidR="00D369E9" w:rsidRPr="00D369E9">
          <w:rPr>
            <w:color w:val="0000FF"/>
            <w:sz w:val="26"/>
            <w:szCs w:val="26"/>
            <w:u w:val="single"/>
            <w:rtl/>
          </w:rPr>
          <w:t xml:space="preserve"> (</w:t>
        </w:r>
        <w:r w:rsidR="00D369E9" w:rsidRPr="00D369E9">
          <w:rPr>
            <w:rFonts w:hint="cs"/>
            <w:color w:val="0000FF"/>
            <w:sz w:val="26"/>
            <w:szCs w:val="26"/>
            <w:u w:val="single"/>
            <w:rtl/>
          </w:rPr>
          <w:t>מחוזי</w:t>
        </w:r>
        <w:r w:rsidR="00D369E9" w:rsidRPr="00D369E9">
          <w:rPr>
            <w:color w:val="0000FF"/>
            <w:sz w:val="26"/>
            <w:szCs w:val="26"/>
            <w:u w:val="single"/>
            <w:rtl/>
          </w:rPr>
          <w:t xml:space="preserve"> </w:t>
        </w:r>
        <w:r w:rsidR="00D369E9" w:rsidRPr="00D369E9">
          <w:rPr>
            <w:rFonts w:hint="cs"/>
            <w:color w:val="0000FF"/>
            <w:sz w:val="26"/>
            <w:szCs w:val="26"/>
            <w:u w:val="single"/>
            <w:rtl/>
          </w:rPr>
          <w:t>תל</w:t>
        </w:r>
        <w:r w:rsidR="00D369E9" w:rsidRPr="00D369E9">
          <w:rPr>
            <w:color w:val="0000FF"/>
            <w:sz w:val="26"/>
            <w:szCs w:val="26"/>
            <w:u w:val="single"/>
            <w:rtl/>
          </w:rPr>
          <w:t xml:space="preserve"> </w:t>
        </w:r>
        <w:r w:rsidR="00D369E9" w:rsidRPr="00D369E9">
          <w:rPr>
            <w:rFonts w:hint="cs"/>
            <w:color w:val="0000FF"/>
            <w:sz w:val="26"/>
            <w:szCs w:val="26"/>
            <w:u w:val="single"/>
            <w:rtl/>
          </w:rPr>
          <w:t>אביב</w:t>
        </w:r>
        <w:r w:rsidR="00D369E9" w:rsidRPr="00D369E9">
          <w:rPr>
            <w:color w:val="0000FF"/>
            <w:sz w:val="26"/>
            <w:szCs w:val="26"/>
            <w:u w:val="single"/>
            <w:rtl/>
          </w:rPr>
          <w:t xml:space="preserve"> </w:t>
        </w:r>
        <w:r w:rsidR="00D369E9" w:rsidRPr="00D369E9">
          <w:rPr>
            <w:rFonts w:hint="cs"/>
            <w:color w:val="0000FF"/>
            <w:sz w:val="26"/>
            <w:szCs w:val="26"/>
            <w:u w:val="single"/>
            <w:rtl/>
          </w:rPr>
          <w:t>יפו</w:t>
        </w:r>
        <w:r w:rsidR="00D369E9" w:rsidRPr="00D369E9">
          <w:rPr>
            <w:color w:val="0000FF"/>
            <w:sz w:val="26"/>
            <w:szCs w:val="26"/>
            <w:u w:val="single"/>
            <w:rtl/>
          </w:rPr>
          <w:t>) 42358-10-14</w:t>
        </w:r>
      </w:hyperlink>
      <w:r w:rsidRPr="00A54FC3">
        <w:rPr>
          <w:rFonts w:hint="cs"/>
          <w:sz w:val="26"/>
          <w:szCs w:val="26"/>
          <w:rtl/>
        </w:rPr>
        <w:t xml:space="preserve"> </w:t>
      </w:r>
      <w:r w:rsidRPr="00A54FC3">
        <w:rPr>
          <w:rFonts w:hint="cs"/>
          <w:b/>
          <w:bCs/>
          <w:sz w:val="26"/>
          <w:szCs w:val="26"/>
          <w:rtl/>
        </w:rPr>
        <w:t>אבי גיא נגד מדינת ישראל</w:t>
      </w:r>
      <w:r w:rsidRPr="00A54FC3">
        <w:rPr>
          <w:rFonts w:hint="cs"/>
          <w:sz w:val="26"/>
          <w:szCs w:val="26"/>
          <w:rtl/>
        </w:rPr>
        <w:t>, (פורסם במאגרים המשפטיים) (18.02.2015):</w:t>
      </w:r>
    </w:p>
    <w:p w14:paraId="47F53FE6" w14:textId="77777777" w:rsidR="00F25C35" w:rsidRPr="00A54FC3" w:rsidRDefault="00F25C35" w:rsidP="00F25C35">
      <w:pPr>
        <w:pStyle w:val="a9"/>
        <w:ind w:left="1287" w:right="709" w:hanging="567"/>
        <w:rPr>
          <w:b/>
          <w:bCs/>
          <w:sz w:val="26"/>
          <w:szCs w:val="26"/>
        </w:rPr>
      </w:pPr>
      <w:r w:rsidRPr="00A54FC3">
        <w:rPr>
          <w:rFonts w:hint="cs"/>
          <w:b/>
          <w:bCs/>
          <w:sz w:val="26"/>
          <w:szCs w:val="26"/>
          <w:rtl/>
        </w:rPr>
        <w:t xml:space="preserve">        "דומה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26A12975"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אם לא די באלה, הרי שעל חומרתן היתרה של העבירות בהן הורשע הנאשם, יכולים להעיד גם העונשים אשר נקבעו בצדן. כך למשל, העונש המרבי בגין ביצוע עבירת גידול סמים, הוא 20 שנות מאסר. עונש מרבי זהה קבוע גם בצידה של עבירת החזקת כלים המשמשים להכנת סם או לצריכתו, שלא לצריכה עצמית. </w:t>
      </w:r>
    </w:p>
    <w:p w14:paraId="0FC02B40"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מבלי להתעלם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שקלתי לחומרה את כמות השתילים ומשקל הסם אשר נתפס ברשותו של הנאשם. בסך הכול, מדובר ב- 52 שתילי קנבוס בכמות של 1.212 ק"ג וברי כי זו כמות לא מבוטלת כלל ועיקר והגבוהה פי כמה וכמה מ"חזקת הצריכה העצמית" הקבועה בפקודה. עוד ולחומרה,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בנאשם אשר תכנן היטב את הדברים וכלכל את מעשיו מבעוד מועד, עת הקים מעבדת סמים ביתית של ממש, תוך שימוש בכלים ובציוד מתאים. בהמשך לאמור, ובכל הנוגע לסיבה לביצוע העבירות, אכן בהיעדר אינדיקציה אחרת, על בית המשפט לפרש את הנסיבות בדרך המקלה עם הנאשם ולראות בסמים ככאלה שגודלו לצורך שימוש עצמי בלבד. </w:t>
      </w:r>
    </w:p>
    <w:p w14:paraId="5A47DD23" w14:textId="77777777" w:rsidR="00F25C35" w:rsidRPr="00A54FC3" w:rsidRDefault="00F25C35" w:rsidP="00F25C35">
      <w:pPr>
        <w:pStyle w:val="a9"/>
        <w:spacing w:after="0"/>
        <w:ind w:left="567" w:firstLine="0"/>
        <w:rPr>
          <w:sz w:val="26"/>
          <w:szCs w:val="26"/>
        </w:rPr>
      </w:pPr>
      <w:r w:rsidRPr="00A54FC3">
        <w:rPr>
          <w:rFonts w:hint="cs"/>
          <w:sz w:val="26"/>
          <w:szCs w:val="26"/>
          <w:rtl/>
        </w:rPr>
        <w:t xml:space="preserve">דא עקא, כמות השתילים שגידל הנאשם במקרה הנדון, היא-היא שיכולה לשמש כאינדיקציה, ואף כחזקה, לכך שהדברים נעשו שלא לצורך שימוש עצמי (ראו </w:t>
      </w:r>
      <w:r w:rsidRPr="00A54FC3">
        <w:rPr>
          <w:rFonts w:hint="cs"/>
          <w:sz w:val="26"/>
          <w:szCs w:val="26"/>
          <w:u w:val="single"/>
          <w:rtl/>
        </w:rPr>
        <w:t>רע"פ 314/16</w:t>
      </w:r>
      <w:r w:rsidRPr="00A54FC3">
        <w:rPr>
          <w:rFonts w:hint="cs"/>
          <w:sz w:val="26"/>
          <w:szCs w:val="26"/>
          <w:rtl/>
        </w:rPr>
        <w:t xml:space="preserve">‏ </w:t>
      </w:r>
      <w:r w:rsidRPr="00A54FC3">
        <w:rPr>
          <w:rFonts w:hint="cs"/>
          <w:b/>
          <w:bCs/>
          <w:sz w:val="26"/>
          <w:szCs w:val="26"/>
          <w:rtl/>
        </w:rPr>
        <w:t>גיא בן צבי נ' מדינת ישראל</w:t>
      </w:r>
      <w:r w:rsidRPr="00A54FC3">
        <w:rPr>
          <w:rFonts w:hint="cs"/>
          <w:sz w:val="26"/>
          <w:szCs w:val="26"/>
          <w:rtl/>
        </w:rPr>
        <w:t xml:space="preserve">, (22.02.2016), ואם הדברים נאמרו שם בעניינו של מי שגידל 9 שתילים במשקל שני ק"ג, כי אז לדידי כוחם יפה גם בענייננו). זאת ועוד, חיזוק למסקנתי האמורה ניתן למצוא בכך שהנאשם הודה מעבר לעבירת הגידול גם בעבירה של החזקת כלים להכנת סם שלא לצריכה עצמית. </w:t>
      </w:r>
    </w:p>
    <w:p w14:paraId="11FB6BF9"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בנוסף, נתתי דעתי לכך שכתוצאה ממעשיו של הנאשם לא נגרם נזק ישיר וממשי כלשהו. דא עקא,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הסמים פוגעים פגיעה קשה לא רק במשתמשים בסם, כי אם גם בבני משפחתם, חבריהם ומכריהם וכן בציבור בכללותו. </w:t>
      </w:r>
    </w:p>
    <w:p w14:paraId="7569E447"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אשר למידת הפגיעה של הנאשם בערכים המוגנים, יש להביא בחשבון את העובדה כי הלה הקים מעבדת גידול סמים ביתית והחזיק בכלים יעודיים המשמשים להכנת סם: אדניות; מנורת חימום ושנאי חשמל.  כאמור, אין המדובר בגחמה גרידא, אלא הנאשם הצטייד בציוד לשם הגידול, וניכר כי השקיע בכך משאבים לא מבוטלים. לאור כל אלה, באתי לכלל מסקנה כי מידת הפגיעה של הנאשם בערכים המוגנים הינה ממשית. </w:t>
      </w:r>
    </w:p>
    <w:p w14:paraId="7A677A2A" w14:textId="77777777" w:rsidR="00F25C35" w:rsidRDefault="00F25C35" w:rsidP="00F25C35">
      <w:pPr>
        <w:spacing w:line="360" w:lineRule="auto"/>
        <w:ind w:firstLine="204"/>
        <w:rPr>
          <w:b/>
          <w:bCs/>
          <w:sz w:val="28"/>
          <w:szCs w:val="28"/>
          <w:u w:val="single"/>
          <w:rtl/>
        </w:rPr>
      </w:pPr>
    </w:p>
    <w:p w14:paraId="6EC69F8E" w14:textId="77777777" w:rsidR="00F25C35" w:rsidRPr="00A54FC3" w:rsidRDefault="00F25C35" w:rsidP="00F25C35">
      <w:pPr>
        <w:spacing w:line="360" w:lineRule="auto"/>
        <w:ind w:firstLine="204"/>
        <w:rPr>
          <w:b/>
          <w:bCs/>
          <w:sz w:val="28"/>
          <w:szCs w:val="28"/>
          <w:u w:val="single"/>
        </w:rPr>
      </w:pPr>
      <w:r w:rsidRPr="00A54FC3">
        <w:rPr>
          <w:rFonts w:hint="cs"/>
          <w:b/>
          <w:bCs/>
          <w:sz w:val="28"/>
          <w:szCs w:val="28"/>
          <w:u w:val="single"/>
          <w:rtl/>
        </w:rPr>
        <w:t>מדיניות הענישה הנוהגת</w:t>
      </w:r>
    </w:p>
    <w:p w14:paraId="54E405FE"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מדיניות הענישה בעבירות הסמים בהן הורשע הנאשם, מתחשבת בצורך במאבק בנגע הסמים המסוכנים בכלל, ובתופעת הקמת המעבדות הביתיות ההולכת וצוברת תאוצה בשנים האחרונות בפרט. בחינת מדיניות הענישה הנוהגת, מעלה כי במקרים דומים, </w:t>
      </w:r>
      <w:r w:rsidRPr="00A54FC3">
        <w:rPr>
          <w:rFonts w:hint="cs"/>
          <w:b/>
          <w:bCs/>
          <w:sz w:val="26"/>
          <w:szCs w:val="26"/>
          <w:rtl/>
        </w:rPr>
        <w:t>על דרך הכלל</w:t>
      </w:r>
      <w:r w:rsidRPr="00A54FC3">
        <w:rPr>
          <w:rFonts w:hint="cs"/>
          <w:sz w:val="26"/>
          <w:szCs w:val="26"/>
          <w:rtl/>
        </w:rPr>
        <w:t xml:space="preserve">, מוטלים על נאשמים עונשים במנעד רחב, החל ממספר חודשי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w:t>
      </w:r>
    </w:p>
    <w:p w14:paraId="4AC6C168" w14:textId="77777777" w:rsidR="00F25C35" w:rsidRPr="00A54FC3" w:rsidRDefault="00F25C35" w:rsidP="00F25C35">
      <w:pPr>
        <w:pStyle w:val="a9"/>
        <w:numPr>
          <w:ilvl w:val="0"/>
          <w:numId w:val="1"/>
        </w:numPr>
        <w:spacing w:after="0"/>
        <w:ind w:left="567" w:hanging="567"/>
        <w:rPr>
          <w:sz w:val="26"/>
          <w:szCs w:val="26"/>
        </w:rPr>
      </w:pPr>
      <w:r w:rsidRPr="00A54FC3">
        <w:rPr>
          <w:rFonts w:hint="cs"/>
          <w:sz w:val="26"/>
          <w:szCs w:val="26"/>
          <w:rtl/>
        </w:rPr>
        <w:t xml:space="preserve">להלן מספר גזרי דין שיש בהם כדי ללמד אודות קו הפסיקה הדומיננטי בגין ביצוע מעשים דומים לאלו שבהם הורשע הנאשם: </w:t>
      </w:r>
      <w:hyperlink r:id="rId32" w:history="1">
        <w:r w:rsidR="00D369E9" w:rsidRPr="00D369E9">
          <w:rPr>
            <w:rFonts w:hint="cs"/>
            <w:color w:val="0000FF"/>
            <w:sz w:val="26"/>
            <w:szCs w:val="26"/>
            <w:u w:val="single"/>
            <w:rtl/>
          </w:rPr>
          <w:t>רע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314/16</w:t>
        </w:r>
      </w:hyperlink>
      <w:r w:rsidRPr="00A54FC3">
        <w:rPr>
          <w:rFonts w:hint="cs"/>
          <w:sz w:val="26"/>
          <w:szCs w:val="26"/>
          <w:rtl/>
        </w:rPr>
        <w:t xml:space="preserve"> </w:t>
      </w:r>
      <w:r w:rsidRPr="00A54FC3">
        <w:rPr>
          <w:rFonts w:hint="cs"/>
          <w:b/>
          <w:bCs/>
          <w:sz w:val="26"/>
          <w:szCs w:val="26"/>
          <w:rtl/>
        </w:rPr>
        <w:t>גיא בן צבי נ' מדינת ישראל</w:t>
      </w:r>
      <w:r w:rsidRPr="00A54FC3">
        <w:rPr>
          <w:rFonts w:hint="cs"/>
          <w:sz w:val="26"/>
          <w:szCs w:val="26"/>
          <w:rtl/>
        </w:rPr>
        <w:t xml:space="preserve">, (22.02.2016); </w:t>
      </w:r>
      <w:hyperlink r:id="rId33" w:history="1">
        <w:r w:rsidR="00D369E9" w:rsidRPr="00D369E9">
          <w:rPr>
            <w:rFonts w:hint="cs"/>
            <w:color w:val="0000FF"/>
            <w:sz w:val="26"/>
            <w:szCs w:val="26"/>
            <w:u w:val="single"/>
            <w:rtl/>
          </w:rPr>
          <w:t>רע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7005/14</w:t>
        </w:r>
      </w:hyperlink>
      <w:r w:rsidRPr="00A54FC3">
        <w:rPr>
          <w:rFonts w:hint="cs"/>
          <w:sz w:val="26"/>
          <w:szCs w:val="26"/>
          <w:rtl/>
        </w:rPr>
        <w:t xml:space="preserve"> ‏</w:t>
      </w:r>
      <w:r w:rsidRPr="00A54FC3">
        <w:rPr>
          <w:rFonts w:hint="cs"/>
          <w:b/>
          <w:bCs/>
          <w:sz w:val="26"/>
          <w:szCs w:val="26"/>
          <w:rtl/>
        </w:rPr>
        <w:t>עידן דגן נגד מדינת ישראל</w:t>
      </w:r>
      <w:r w:rsidRPr="00A54FC3">
        <w:rPr>
          <w:rFonts w:hint="cs"/>
          <w:sz w:val="26"/>
          <w:szCs w:val="26"/>
          <w:rtl/>
        </w:rPr>
        <w:t xml:space="preserve">, (30.11.2014); </w:t>
      </w:r>
      <w:hyperlink r:id="rId34" w:history="1">
        <w:r w:rsidR="00D369E9" w:rsidRPr="00D369E9">
          <w:rPr>
            <w:rFonts w:hint="cs"/>
            <w:color w:val="0000FF"/>
            <w:sz w:val="26"/>
            <w:szCs w:val="26"/>
            <w:u w:val="single"/>
            <w:rtl/>
          </w:rPr>
          <w:t>עפ</w:t>
        </w:r>
        <w:r w:rsidR="00D369E9" w:rsidRPr="00D369E9">
          <w:rPr>
            <w:color w:val="0000FF"/>
            <w:sz w:val="26"/>
            <w:szCs w:val="26"/>
            <w:u w:val="single"/>
            <w:rtl/>
          </w:rPr>
          <w:t>"</w:t>
        </w:r>
        <w:r w:rsidR="00D369E9" w:rsidRPr="00D369E9">
          <w:rPr>
            <w:rFonts w:hint="cs"/>
            <w:color w:val="0000FF"/>
            <w:sz w:val="26"/>
            <w:szCs w:val="26"/>
            <w:u w:val="single"/>
            <w:rtl/>
          </w:rPr>
          <w:t>ג</w:t>
        </w:r>
        <w:r w:rsidR="00D369E9" w:rsidRPr="00D369E9">
          <w:rPr>
            <w:color w:val="0000FF"/>
            <w:sz w:val="26"/>
            <w:szCs w:val="26"/>
            <w:u w:val="single"/>
            <w:rtl/>
          </w:rPr>
          <w:t xml:space="preserve"> (</w:t>
        </w:r>
        <w:r w:rsidR="00D369E9" w:rsidRPr="00D369E9">
          <w:rPr>
            <w:rFonts w:hint="cs"/>
            <w:color w:val="0000FF"/>
            <w:sz w:val="26"/>
            <w:szCs w:val="26"/>
            <w:u w:val="single"/>
            <w:rtl/>
          </w:rPr>
          <w:t>מחוזי</w:t>
        </w:r>
        <w:r w:rsidR="00D369E9" w:rsidRPr="00D369E9">
          <w:rPr>
            <w:color w:val="0000FF"/>
            <w:sz w:val="26"/>
            <w:szCs w:val="26"/>
            <w:u w:val="single"/>
            <w:rtl/>
          </w:rPr>
          <w:t xml:space="preserve"> </w:t>
        </w:r>
        <w:r w:rsidR="00D369E9" w:rsidRPr="00D369E9">
          <w:rPr>
            <w:rFonts w:hint="cs"/>
            <w:color w:val="0000FF"/>
            <w:sz w:val="26"/>
            <w:szCs w:val="26"/>
            <w:u w:val="single"/>
            <w:rtl/>
          </w:rPr>
          <w:t>ירושלים</w:t>
        </w:r>
        <w:r w:rsidR="00D369E9" w:rsidRPr="00D369E9">
          <w:rPr>
            <w:color w:val="0000FF"/>
            <w:sz w:val="26"/>
            <w:szCs w:val="26"/>
            <w:u w:val="single"/>
            <w:rtl/>
          </w:rPr>
          <w:t>) 56662-05-16</w:t>
        </w:r>
      </w:hyperlink>
      <w:r w:rsidRPr="00A54FC3">
        <w:rPr>
          <w:rFonts w:hint="cs"/>
          <w:sz w:val="26"/>
          <w:szCs w:val="26"/>
          <w:rtl/>
        </w:rPr>
        <w:t xml:space="preserve"> </w:t>
      </w:r>
      <w:r w:rsidRPr="00A54FC3">
        <w:rPr>
          <w:rFonts w:hint="cs"/>
          <w:b/>
          <w:bCs/>
          <w:sz w:val="26"/>
          <w:szCs w:val="26"/>
          <w:rtl/>
        </w:rPr>
        <w:t>ישראל מאיר ששון בוקעי נ' מדינת ישראל</w:t>
      </w:r>
      <w:r w:rsidRPr="00A54FC3">
        <w:rPr>
          <w:rFonts w:hint="cs"/>
          <w:sz w:val="26"/>
          <w:szCs w:val="26"/>
          <w:rtl/>
        </w:rPr>
        <w:t xml:space="preserve">, (09.05.2017); </w:t>
      </w:r>
      <w:hyperlink r:id="rId35" w:history="1">
        <w:r w:rsidR="00D369E9" w:rsidRPr="00D369E9">
          <w:rPr>
            <w:rFonts w:hint="cs"/>
            <w:color w:val="0000FF"/>
            <w:sz w:val="26"/>
            <w:szCs w:val="26"/>
            <w:u w:val="single"/>
            <w:rtl/>
          </w:rPr>
          <w:t>עפ</w:t>
        </w:r>
        <w:r w:rsidR="00D369E9" w:rsidRPr="00D369E9">
          <w:rPr>
            <w:color w:val="0000FF"/>
            <w:sz w:val="26"/>
            <w:szCs w:val="26"/>
            <w:u w:val="single"/>
            <w:rtl/>
          </w:rPr>
          <w:t>"</w:t>
        </w:r>
        <w:r w:rsidR="00D369E9" w:rsidRPr="00D369E9">
          <w:rPr>
            <w:rFonts w:hint="cs"/>
            <w:color w:val="0000FF"/>
            <w:sz w:val="26"/>
            <w:szCs w:val="26"/>
            <w:u w:val="single"/>
            <w:rtl/>
          </w:rPr>
          <w:t>ג</w:t>
        </w:r>
        <w:r w:rsidR="00D369E9" w:rsidRPr="00D369E9">
          <w:rPr>
            <w:color w:val="0000FF"/>
            <w:sz w:val="26"/>
            <w:szCs w:val="26"/>
            <w:u w:val="single"/>
            <w:rtl/>
          </w:rPr>
          <w:t xml:space="preserve"> (</w:t>
        </w:r>
        <w:r w:rsidR="00D369E9" w:rsidRPr="00D369E9">
          <w:rPr>
            <w:rFonts w:hint="cs"/>
            <w:color w:val="0000FF"/>
            <w:sz w:val="26"/>
            <w:szCs w:val="26"/>
            <w:u w:val="single"/>
            <w:rtl/>
          </w:rPr>
          <w:t>מחוזי</w:t>
        </w:r>
        <w:r w:rsidR="00D369E9" w:rsidRPr="00D369E9">
          <w:rPr>
            <w:color w:val="0000FF"/>
            <w:sz w:val="26"/>
            <w:szCs w:val="26"/>
            <w:u w:val="single"/>
            <w:rtl/>
          </w:rPr>
          <w:t xml:space="preserve"> </w:t>
        </w:r>
        <w:r w:rsidR="00D369E9" w:rsidRPr="00D369E9">
          <w:rPr>
            <w:rFonts w:hint="cs"/>
            <w:color w:val="0000FF"/>
            <w:sz w:val="26"/>
            <w:szCs w:val="26"/>
            <w:u w:val="single"/>
            <w:rtl/>
          </w:rPr>
          <w:t>מרכז</w:t>
        </w:r>
        <w:r w:rsidR="00D369E9" w:rsidRPr="00D369E9">
          <w:rPr>
            <w:color w:val="0000FF"/>
            <w:sz w:val="26"/>
            <w:szCs w:val="26"/>
            <w:u w:val="single"/>
            <w:rtl/>
          </w:rPr>
          <w:t>) 8650-04-15</w:t>
        </w:r>
      </w:hyperlink>
      <w:r w:rsidRPr="00A54FC3">
        <w:rPr>
          <w:rFonts w:hint="cs"/>
          <w:sz w:val="26"/>
          <w:szCs w:val="26"/>
          <w:rtl/>
        </w:rPr>
        <w:t xml:space="preserve"> </w:t>
      </w:r>
      <w:r w:rsidRPr="00A54FC3">
        <w:rPr>
          <w:rFonts w:hint="cs"/>
          <w:b/>
          <w:bCs/>
          <w:sz w:val="26"/>
          <w:szCs w:val="26"/>
          <w:rtl/>
        </w:rPr>
        <w:t>שמעון שורץ נגד מדינת ישראל</w:t>
      </w:r>
      <w:r w:rsidRPr="00A54FC3">
        <w:rPr>
          <w:rFonts w:hint="cs"/>
          <w:sz w:val="26"/>
          <w:szCs w:val="26"/>
          <w:rtl/>
        </w:rPr>
        <w:t xml:space="preserve">, (22.12.2015); </w:t>
      </w:r>
      <w:hyperlink r:id="rId36" w:history="1">
        <w:r w:rsidR="00D369E9" w:rsidRPr="00D369E9">
          <w:rPr>
            <w:rFonts w:hint="cs"/>
            <w:color w:val="0000FF"/>
            <w:sz w:val="26"/>
            <w:szCs w:val="26"/>
            <w:u w:val="single"/>
            <w:rtl/>
          </w:rPr>
          <w:t>עפ</w:t>
        </w:r>
        <w:r w:rsidR="00D369E9" w:rsidRPr="00D369E9">
          <w:rPr>
            <w:color w:val="0000FF"/>
            <w:sz w:val="26"/>
            <w:szCs w:val="26"/>
            <w:u w:val="single"/>
            <w:rtl/>
          </w:rPr>
          <w:t>"</w:t>
        </w:r>
        <w:r w:rsidR="00D369E9" w:rsidRPr="00D369E9">
          <w:rPr>
            <w:rFonts w:hint="cs"/>
            <w:color w:val="0000FF"/>
            <w:sz w:val="26"/>
            <w:szCs w:val="26"/>
            <w:u w:val="single"/>
            <w:rtl/>
          </w:rPr>
          <w:t>ג</w:t>
        </w:r>
        <w:r w:rsidR="00D369E9" w:rsidRPr="00D369E9">
          <w:rPr>
            <w:color w:val="0000FF"/>
            <w:sz w:val="26"/>
            <w:szCs w:val="26"/>
            <w:u w:val="single"/>
            <w:rtl/>
          </w:rPr>
          <w:t xml:space="preserve"> (</w:t>
        </w:r>
        <w:r w:rsidR="00D369E9" w:rsidRPr="00D369E9">
          <w:rPr>
            <w:rFonts w:hint="cs"/>
            <w:color w:val="0000FF"/>
            <w:sz w:val="26"/>
            <w:szCs w:val="26"/>
            <w:u w:val="single"/>
            <w:rtl/>
          </w:rPr>
          <w:t>מחוזי</w:t>
        </w:r>
        <w:r w:rsidR="00D369E9" w:rsidRPr="00D369E9">
          <w:rPr>
            <w:color w:val="0000FF"/>
            <w:sz w:val="26"/>
            <w:szCs w:val="26"/>
            <w:u w:val="single"/>
            <w:rtl/>
          </w:rPr>
          <w:t xml:space="preserve"> </w:t>
        </w:r>
        <w:r w:rsidR="00D369E9" w:rsidRPr="00D369E9">
          <w:rPr>
            <w:rFonts w:hint="cs"/>
            <w:color w:val="0000FF"/>
            <w:sz w:val="26"/>
            <w:szCs w:val="26"/>
            <w:u w:val="single"/>
            <w:rtl/>
          </w:rPr>
          <w:t>באר</w:t>
        </w:r>
        <w:r w:rsidR="00D369E9" w:rsidRPr="00D369E9">
          <w:rPr>
            <w:color w:val="0000FF"/>
            <w:sz w:val="26"/>
            <w:szCs w:val="26"/>
            <w:u w:val="single"/>
            <w:rtl/>
          </w:rPr>
          <w:t xml:space="preserve"> </w:t>
        </w:r>
        <w:r w:rsidR="00D369E9" w:rsidRPr="00D369E9">
          <w:rPr>
            <w:rFonts w:hint="cs"/>
            <w:color w:val="0000FF"/>
            <w:sz w:val="26"/>
            <w:szCs w:val="26"/>
            <w:u w:val="single"/>
            <w:rtl/>
          </w:rPr>
          <w:t>שבע</w:t>
        </w:r>
        <w:r w:rsidR="00D369E9" w:rsidRPr="00D369E9">
          <w:rPr>
            <w:color w:val="0000FF"/>
            <w:sz w:val="26"/>
            <w:szCs w:val="26"/>
            <w:u w:val="single"/>
            <w:rtl/>
          </w:rPr>
          <w:t>) 13901-11-15</w:t>
        </w:r>
      </w:hyperlink>
      <w:r w:rsidRPr="00A54FC3">
        <w:rPr>
          <w:rFonts w:hint="cs"/>
          <w:sz w:val="26"/>
          <w:szCs w:val="26"/>
          <w:rtl/>
        </w:rPr>
        <w:t xml:space="preserve"> </w:t>
      </w:r>
      <w:r w:rsidRPr="00A54FC3">
        <w:rPr>
          <w:rFonts w:hint="cs"/>
          <w:b/>
          <w:bCs/>
          <w:sz w:val="26"/>
          <w:szCs w:val="26"/>
          <w:rtl/>
        </w:rPr>
        <w:t>עזרא נ' מדינת ישראל</w:t>
      </w:r>
      <w:r w:rsidRPr="00A54FC3">
        <w:rPr>
          <w:rFonts w:hint="cs"/>
          <w:sz w:val="26"/>
          <w:szCs w:val="26"/>
          <w:rtl/>
        </w:rPr>
        <w:t xml:space="preserve">, (09.12.2015)).  </w:t>
      </w:r>
    </w:p>
    <w:p w14:paraId="45F68E58" w14:textId="77777777" w:rsidR="00F25C35" w:rsidRPr="00A54FC3" w:rsidRDefault="00F25C35" w:rsidP="00F25C35">
      <w:pPr>
        <w:pStyle w:val="a9"/>
        <w:numPr>
          <w:ilvl w:val="0"/>
          <w:numId w:val="1"/>
        </w:numPr>
        <w:spacing w:after="0"/>
        <w:ind w:left="567"/>
        <w:rPr>
          <w:sz w:val="26"/>
          <w:szCs w:val="26"/>
        </w:rPr>
      </w:pPr>
      <w:r w:rsidRPr="00A54FC3">
        <w:rPr>
          <w:rFonts w:hint="cs"/>
          <w:sz w:val="26"/>
          <w:szCs w:val="26"/>
          <w:rtl/>
        </w:rPr>
        <w:t xml:space="preserve">כאן אציין, כי לא התעלמתי מהפסיקה שהוגשה לעיוני מטעם הצדדים, כאשר נהיר לבית המשפט כי קיימים מקרים שבהם הושתו עונשים החורגים לקולא או לחומרא מהמנעד שהוצג לעיל. הדבר אך טבעי הוא, שכן כידוע, הענישה היא אינדיווידואלית </w:t>
      </w:r>
      <w:r w:rsidRPr="00A54FC3">
        <w:rPr>
          <w:rFonts w:hint="cs"/>
          <w:b/>
          <w:bCs/>
          <w:sz w:val="26"/>
          <w:szCs w:val="26"/>
          <w:rtl/>
        </w:rPr>
        <w:t>ו"אין עסקינן בשיטת ניקוד, או באריתמטיקה. ענישה היא מלאכת מחשבת – ולא מלאכת מחשב"</w:t>
      </w:r>
      <w:r w:rsidRPr="00A54FC3">
        <w:rPr>
          <w:rFonts w:hint="cs"/>
          <w:sz w:val="26"/>
          <w:szCs w:val="26"/>
          <w:rtl/>
        </w:rPr>
        <w:t xml:space="preserve"> (</w:t>
      </w:r>
      <w:hyperlink r:id="rId37" w:history="1">
        <w:r w:rsidR="00D369E9" w:rsidRPr="00D369E9">
          <w:rPr>
            <w:rFonts w:hint="cs"/>
            <w:color w:val="0000FF"/>
            <w:sz w:val="26"/>
            <w:szCs w:val="26"/>
            <w:u w:val="single"/>
            <w:rtl/>
          </w:rPr>
          <w:t>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5768/10</w:t>
        </w:r>
      </w:hyperlink>
      <w:r w:rsidRPr="00A54FC3">
        <w:rPr>
          <w:rFonts w:hint="cs"/>
          <w:sz w:val="26"/>
          <w:szCs w:val="26"/>
          <w:rtl/>
        </w:rPr>
        <w:t xml:space="preserve"> </w:t>
      </w:r>
      <w:r w:rsidRPr="00A54FC3">
        <w:rPr>
          <w:rFonts w:hint="cs"/>
          <w:b/>
          <w:bCs/>
          <w:sz w:val="26"/>
          <w:szCs w:val="26"/>
          <w:rtl/>
        </w:rPr>
        <w:t>פלוני נ' מדינת ישראל</w:t>
      </w:r>
      <w:r w:rsidRPr="00A54FC3">
        <w:rPr>
          <w:rFonts w:hint="cs"/>
          <w:sz w:val="26"/>
          <w:szCs w:val="26"/>
          <w:rtl/>
        </w:rPr>
        <w:t xml:space="preserve">, (08.06.2015)). לעולם אין לגזור עונשו של נאשם על סמך הכותרות של העבירות גרידא וכל מקרה צריך להיבחן לגופו ובנסיבותיו (ראו והשוו </w:t>
      </w:r>
      <w:hyperlink r:id="rId38" w:history="1">
        <w:r w:rsidR="00D369E9" w:rsidRPr="00D369E9">
          <w:rPr>
            <w:rFonts w:hint="cs"/>
            <w:color w:val="0000FF"/>
            <w:sz w:val="26"/>
            <w:szCs w:val="26"/>
            <w:u w:val="single"/>
            <w:rtl/>
          </w:rPr>
          <w:t>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433/89 </w:t>
        </w:r>
        <w:r w:rsidR="00D369E9" w:rsidRPr="00D369E9">
          <w:rPr>
            <w:rFonts w:hint="cs"/>
            <w:color w:val="0000FF"/>
            <w:sz w:val="26"/>
            <w:szCs w:val="26"/>
            <w:u w:val="single"/>
            <w:rtl/>
          </w:rPr>
          <w:t>ג</w:t>
        </w:r>
        <w:r w:rsidR="00D369E9" w:rsidRPr="00D369E9">
          <w:rPr>
            <w:color w:val="0000FF"/>
            <w:sz w:val="26"/>
            <w:szCs w:val="26"/>
            <w:u w:val="single"/>
            <w:rtl/>
          </w:rPr>
          <w:t>'</w:t>
        </w:r>
        <w:r w:rsidR="00D369E9" w:rsidRPr="00D369E9">
          <w:rPr>
            <w:rFonts w:hint="cs"/>
            <w:color w:val="0000FF"/>
            <w:sz w:val="26"/>
            <w:szCs w:val="26"/>
            <w:u w:val="single"/>
            <w:rtl/>
          </w:rPr>
          <w:t>ורג</w:t>
        </w:r>
        <w:r w:rsidR="00D369E9" w:rsidRPr="00D369E9">
          <w:rPr>
            <w:color w:val="0000FF"/>
            <w:sz w:val="26"/>
            <w:szCs w:val="26"/>
            <w:u w:val="single"/>
            <w:rtl/>
          </w:rPr>
          <w:t xml:space="preserve">' </w:t>
        </w:r>
        <w:r w:rsidR="00D369E9" w:rsidRPr="00D369E9">
          <w:rPr>
            <w:rFonts w:hint="cs"/>
            <w:color w:val="0000FF"/>
            <w:sz w:val="26"/>
            <w:szCs w:val="26"/>
            <w:u w:val="single"/>
            <w:rtl/>
          </w:rPr>
          <w:t>אטיאס</w:t>
        </w:r>
        <w:r w:rsidR="00D369E9" w:rsidRPr="00D369E9">
          <w:rPr>
            <w:color w:val="0000FF"/>
            <w:sz w:val="26"/>
            <w:szCs w:val="26"/>
            <w:u w:val="single"/>
            <w:rtl/>
          </w:rPr>
          <w:t xml:space="preserve"> </w:t>
        </w:r>
        <w:r w:rsidR="00D369E9" w:rsidRPr="00D369E9">
          <w:rPr>
            <w:rFonts w:hint="cs"/>
            <w:color w:val="0000FF"/>
            <w:sz w:val="26"/>
            <w:szCs w:val="26"/>
            <w:u w:val="single"/>
            <w:rtl/>
          </w:rPr>
          <w:t>נ</w:t>
        </w:r>
        <w:r w:rsidR="00D369E9" w:rsidRPr="00D369E9">
          <w:rPr>
            <w:color w:val="0000FF"/>
            <w:sz w:val="26"/>
            <w:szCs w:val="26"/>
            <w:u w:val="single"/>
            <w:rtl/>
          </w:rPr>
          <w:t xml:space="preserve">' </w:t>
        </w:r>
        <w:r w:rsidR="00D369E9" w:rsidRPr="00D369E9">
          <w:rPr>
            <w:rFonts w:hint="cs"/>
            <w:color w:val="0000FF"/>
            <w:sz w:val="26"/>
            <w:szCs w:val="26"/>
            <w:u w:val="single"/>
            <w:rtl/>
          </w:rPr>
          <w:t>מדינת</w:t>
        </w:r>
        <w:r w:rsidR="00D369E9" w:rsidRPr="00D369E9">
          <w:rPr>
            <w:color w:val="0000FF"/>
            <w:sz w:val="26"/>
            <w:szCs w:val="26"/>
            <w:u w:val="single"/>
            <w:rtl/>
          </w:rPr>
          <w:t xml:space="preserve"> </w:t>
        </w:r>
        <w:r w:rsidR="00D369E9" w:rsidRPr="00D369E9">
          <w:rPr>
            <w:rFonts w:hint="cs"/>
            <w:color w:val="0000FF"/>
            <w:sz w:val="26"/>
            <w:szCs w:val="26"/>
            <w:u w:val="single"/>
            <w:rtl/>
          </w:rPr>
          <w:t>ישראל</w:t>
        </w:r>
        <w:r w:rsidR="00D369E9" w:rsidRPr="00D369E9">
          <w:rPr>
            <w:color w:val="0000FF"/>
            <w:sz w:val="26"/>
            <w:szCs w:val="26"/>
            <w:u w:val="single"/>
            <w:rtl/>
          </w:rPr>
          <w:t xml:space="preserve">, </w:t>
        </w:r>
        <w:r w:rsidR="00D369E9" w:rsidRPr="00D369E9">
          <w:rPr>
            <w:rFonts w:hint="cs"/>
            <w:color w:val="0000FF"/>
            <w:sz w:val="26"/>
            <w:szCs w:val="26"/>
            <w:u w:val="single"/>
            <w:rtl/>
          </w:rPr>
          <w:t>פ</w:t>
        </w:r>
        <w:r w:rsidR="00D369E9" w:rsidRPr="00D369E9">
          <w:rPr>
            <w:color w:val="0000FF"/>
            <w:sz w:val="26"/>
            <w:szCs w:val="26"/>
            <w:u w:val="single"/>
            <w:rtl/>
          </w:rPr>
          <w:t>"</w:t>
        </w:r>
        <w:r w:rsidR="00D369E9" w:rsidRPr="00D369E9">
          <w:rPr>
            <w:rFonts w:hint="cs"/>
            <w:color w:val="0000FF"/>
            <w:sz w:val="26"/>
            <w:szCs w:val="26"/>
            <w:u w:val="single"/>
            <w:rtl/>
          </w:rPr>
          <w:t>ד</w:t>
        </w:r>
        <w:r w:rsidR="00D369E9" w:rsidRPr="00D369E9">
          <w:rPr>
            <w:color w:val="0000FF"/>
            <w:sz w:val="26"/>
            <w:szCs w:val="26"/>
            <w:u w:val="single"/>
            <w:rtl/>
          </w:rPr>
          <w:t xml:space="preserve"> </w:t>
        </w:r>
        <w:r w:rsidR="00D369E9" w:rsidRPr="00D369E9">
          <w:rPr>
            <w:rFonts w:hint="cs"/>
            <w:color w:val="0000FF"/>
            <w:sz w:val="26"/>
            <w:szCs w:val="26"/>
            <w:u w:val="single"/>
            <w:rtl/>
          </w:rPr>
          <w:t>מג</w:t>
        </w:r>
      </w:hyperlink>
      <w:r w:rsidRPr="00A54FC3">
        <w:rPr>
          <w:rFonts w:hint="cs"/>
          <w:sz w:val="26"/>
          <w:szCs w:val="26"/>
          <w:rtl/>
        </w:rPr>
        <w:t xml:space="preserve">(4) 170, (1989); </w:t>
      </w:r>
      <w:r w:rsidRPr="00A54FC3">
        <w:rPr>
          <w:rFonts w:hint="cs"/>
          <w:sz w:val="26"/>
          <w:szCs w:val="26"/>
          <w:u w:val="single"/>
          <w:rtl/>
        </w:rPr>
        <w:t>ו</w:t>
      </w:r>
      <w:hyperlink r:id="rId39" w:history="1">
        <w:r w:rsidR="00D369E9" w:rsidRPr="00D369E9">
          <w:rPr>
            <w:rFonts w:hint="cs"/>
            <w:color w:val="0000FF"/>
            <w:sz w:val="26"/>
            <w:szCs w:val="26"/>
            <w:u w:val="single"/>
            <w:rtl/>
          </w:rPr>
          <w:t>רע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3173/09</w:t>
        </w:r>
      </w:hyperlink>
      <w:r w:rsidRPr="00A54FC3">
        <w:rPr>
          <w:rFonts w:hint="cs"/>
          <w:sz w:val="26"/>
          <w:szCs w:val="26"/>
          <w:rtl/>
        </w:rPr>
        <w:t xml:space="preserve"> </w:t>
      </w:r>
      <w:r w:rsidRPr="00A54FC3">
        <w:rPr>
          <w:rFonts w:hint="cs"/>
          <w:b/>
          <w:bCs/>
          <w:sz w:val="26"/>
          <w:szCs w:val="26"/>
          <w:rtl/>
        </w:rPr>
        <w:t>פראגין נ' מדינת ישראל</w:t>
      </w:r>
      <w:r w:rsidRPr="00A54FC3">
        <w:rPr>
          <w:rFonts w:hint="cs"/>
          <w:sz w:val="26"/>
          <w:szCs w:val="26"/>
          <w:rtl/>
        </w:rPr>
        <w:t>, (05.05.2009)).</w:t>
      </w:r>
    </w:p>
    <w:p w14:paraId="1EBF9E76" w14:textId="77777777" w:rsidR="00F25C35" w:rsidRPr="00A54FC3" w:rsidRDefault="00F25C35" w:rsidP="00F25C35">
      <w:pPr>
        <w:pStyle w:val="a9"/>
        <w:numPr>
          <w:ilvl w:val="0"/>
          <w:numId w:val="1"/>
        </w:numPr>
        <w:spacing w:after="0"/>
        <w:ind w:left="567" w:hanging="567"/>
        <w:rPr>
          <w:sz w:val="26"/>
          <w:szCs w:val="26"/>
          <w:rtl/>
        </w:rPr>
      </w:pPr>
      <w:r w:rsidRPr="00A54FC3">
        <w:rPr>
          <w:rFonts w:hint="cs"/>
          <w:sz w:val="26"/>
          <w:szCs w:val="26"/>
          <w:rtl/>
        </w:rPr>
        <w:t xml:space="preserve">לאור כל האמור לעיל, בהתחשב בערכים החברתיים שנפגעו כתוצאה ממעשי הנאשם, מידת הפגיעה בהם, נסיבות ביצוע המעשה ולאחר שבחנתי את מדיניות הענישה הנוהגת, ובשים לב לעבירות בהן הורשע הנאשם הריני לקבוע כי </w:t>
      </w:r>
      <w:r w:rsidRPr="00A54FC3">
        <w:rPr>
          <w:rFonts w:hint="cs"/>
          <w:b/>
          <w:bCs/>
          <w:sz w:val="26"/>
          <w:szCs w:val="26"/>
          <w:rtl/>
        </w:rPr>
        <w:t>מתחם העונש ההולם במקרה הנדון נע בין 6 חודשי מאסר, שיכול שירוצו בעבודות שירות, לבין 24 חודשי מאסר בפועל, לצד ענישה נלווית</w:t>
      </w:r>
      <w:r w:rsidRPr="00A54FC3">
        <w:rPr>
          <w:rFonts w:hint="cs"/>
          <w:sz w:val="26"/>
          <w:szCs w:val="26"/>
          <w:rtl/>
        </w:rPr>
        <w:t>.</w:t>
      </w:r>
    </w:p>
    <w:p w14:paraId="382EDC33" w14:textId="77777777" w:rsidR="00F25C35" w:rsidRPr="00A54FC3" w:rsidRDefault="00F25C35" w:rsidP="00F25C35">
      <w:pPr>
        <w:pStyle w:val="a9"/>
        <w:ind w:left="567" w:hanging="567"/>
        <w:rPr>
          <w:sz w:val="26"/>
          <w:szCs w:val="26"/>
          <w:rtl/>
        </w:rPr>
      </w:pPr>
    </w:p>
    <w:p w14:paraId="78C2675E" w14:textId="77777777" w:rsidR="00F25C35" w:rsidRPr="00B7539C" w:rsidRDefault="00F25C35" w:rsidP="00F25C35">
      <w:pPr>
        <w:pStyle w:val="1"/>
        <w:spacing w:line="360" w:lineRule="auto"/>
        <w:ind w:hanging="1"/>
        <w:rPr>
          <w:rFonts w:cs="David"/>
          <w:b/>
          <w:bCs/>
          <w:color w:val="auto"/>
          <w:sz w:val="28"/>
          <w:szCs w:val="28"/>
          <w:u w:val="single"/>
        </w:rPr>
      </w:pPr>
      <w:r w:rsidRPr="00B7539C">
        <w:rPr>
          <w:rFonts w:cs="David" w:hint="cs"/>
          <w:b/>
          <w:bCs/>
          <w:color w:val="auto"/>
          <w:sz w:val="28"/>
          <w:szCs w:val="28"/>
          <w:u w:val="single"/>
          <w:rtl/>
        </w:rPr>
        <w:t>גזירת העונש המתאים לנאשם</w:t>
      </w:r>
    </w:p>
    <w:p w14:paraId="55046EFE"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כאמור </w:t>
      </w:r>
      <w:hyperlink r:id="rId40" w:history="1">
        <w:r w:rsidR="00E87BA8" w:rsidRPr="00E87BA8">
          <w:rPr>
            <w:rFonts w:hint="cs"/>
            <w:color w:val="0000FF"/>
            <w:sz w:val="26"/>
            <w:szCs w:val="26"/>
            <w:u w:val="single"/>
            <w:rtl/>
          </w:rPr>
          <w:t>בסעיף</w:t>
        </w:r>
        <w:r w:rsidR="00E87BA8" w:rsidRPr="00E87BA8">
          <w:rPr>
            <w:color w:val="0000FF"/>
            <w:sz w:val="26"/>
            <w:szCs w:val="26"/>
            <w:u w:val="single"/>
            <w:rtl/>
          </w:rPr>
          <w:t xml:space="preserve"> 40</w:t>
        </w:r>
        <w:r w:rsidR="00E87BA8" w:rsidRPr="00E87BA8">
          <w:rPr>
            <w:rFonts w:hint="cs"/>
            <w:color w:val="0000FF"/>
            <w:sz w:val="26"/>
            <w:szCs w:val="26"/>
            <w:u w:val="single"/>
            <w:rtl/>
          </w:rPr>
          <w:t>ג</w:t>
        </w:r>
        <w:r w:rsidR="00E87BA8" w:rsidRPr="00E87BA8">
          <w:rPr>
            <w:color w:val="0000FF"/>
            <w:sz w:val="26"/>
            <w:szCs w:val="26"/>
            <w:u w:val="single"/>
            <w:rtl/>
          </w:rPr>
          <w:t>(</w:t>
        </w:r>
        <w:r w:rsidR="00E87BA8" w:rsidRPr="00E87BA8">
          <w:rPr>
            <w:rFonts w:hint="cs"/>
            <w:color w:val="0000FF"/>
            <w:sz w:val="26"/>
            <w:szCs w:val="26"/>
            <w:u w:val="single"/>
            <w:rtl/>
          </w:rPr>
          <w:t>ב</w:t>
        </w:r>
        <w:r w:rsidR="00E87BA8" w:rsidRPr="00E87BA8">
          <w:rPr>
            <w:color w:val="0000FF"/>
            <w:sz w:val="26"/>
            <w:szCs w:val="26"/>
            <w:u w:val="single"/>
            <w:rtl/>
          </w:rPr>
          <w:t>)</w:t>
        </w:r>
      </w:hyperlink>
      <w:r w:rsidRPr="00A54FC3">
        <w:rPr>
          <w:rFonts w:hint="cs"/>
          <w:sz w:val="26"/>
          <w:szCs w:val="26"/>
          <w:rtl/>
        </w:rPr>
        <w:t xml:space="preserve"> ל</w:t>
      </w:r>
      <w:hyperlink r:id="rId41" w:history="1">
        <w:r w:rsidR="00D369E9" w:rsidRPr="00D369E9">
          <w:rPr>
            <w:rFonts w:hint="cs"/>
            <w:color w:val="0000FF"/>
            <w:sz w:val="26"/>
            <w:szCs w:val="26"/>
            <w:u w:val="single"/>
            <w:rtl/>
          </w:rPr>
          <w:t>חוק</w:t>
        </w:r>
        <w:r w:rsidR="00D369E9" w:rsidRPr="00D369E9">
          <w:rPr>
            <w:color w:val="0000FF"/>
            <w:sz w:val="26"/>
            <w:szCs w:val="26"/>
            <w:u w:val="single"/>
            <w:rtl/>
          </w:rPr>
          <w:t xml:space="preserve"> </w:t>
        </w:r>
        <w:r w:rsidR="00D369E9" w:rsidRPr="00D369E9">
          <w:rPr>
            <w:rFonts w:hint="cs"/>
            <w:color w:val="0000FF"/>
            <w:sz w:val="26"/>
            <w:szCs w:val="26"/>
            <w:u w:val="single"/>
            <w:rtl/>
          </w:rPr>
          <w:t>העונשין</w:t>
        </w:r>
      </w:hyperlink>
      <w:r w:rsidRPr="00A54FC3">
        <w:rPr>
          <w:rFonts w:hint="cs"/>
          <w:sz w:val="26"/>
          <w:szCs w:val="26"/>
          <w:rtl/>
        </w:rPr>
        <w:t>, עובר לגזירת העונש המתאים לנאשם, בית המשפט ישקול את הנסיבות שאינן קשורות בביצוע העבירות.</w:t>
      </w:r>
    </w:p>
    <w:p w14:paraId="2622EB34"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לעניין זה, נתתי דעתי לעברו הפלילי הנקי של הנאשם ולעובדה כי זו הסתבכותו הראשונה בפלילים. כן נתתי דעתי לפגיעה שעלולה להיגרם לו ולשני ילדיו הקטנים אם יושת עליו עונש מאסר, וזאת בשים לב לפגיעה הכלכלית הטמונה בכך ולנוכח כך שהלה טרם ריצה עונשי מאסר בעברו. בנוסף בית המשפט זוקף לזכותו של הנאשם את העובדה שהוא הודה במיוחס לו, מה שהביא לחיסכון בזמן שיפוטי יקר, והביע חרטה על מעשיו.</w:t>
      </w:r>
    </w:p>
    <w:p w14:paraId="24A5F712"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כמו כן, שקלתי את העובדה שהנאשם היה עצור בתיק זה במשך כמה ימים ובמשך תקופה לא מבוטלת נוספת שהה תחת תנאים מגבילים. ברי כי הליך המעצר איננו "מקדמה על חשבון העונש", אולם נדמה כי ניתן ליתן לדברים משקל במסגרת הנסיבה הקבועה </w:t>
      </w:r>
      <w:hyperlink r:id="rId42" w:history="1">
        <w:r w:rsidR="00E87BA8" w:rsidRPr="00E87BA8">
          <w:rPr>
            <w:rFonts w:hint="cs"/>
            <w:color w:val="0000FF"/>
            <w:sz w:val="26"/>
            <w:szCs w:val="26"/>
            <w:u w:val="single"/>
            <w:rtl/>
          </w:rPr>
          <w:t>בסעיף</w:t>
        </w:r>
        <w:r w:rsidR="00E87BA8" w:rsidRPr="00E87BA8">
          <w:rPr>
            <w:color w:val="0000FF"/>
            <w:sz w:val="26"/>
            <w:szCs w:val="26"/>
            <w:u w:val="single"/>
            <w:rtl/>
          </w:rPr>
          <w:t xml:space="preserve"> 40</w:t>
        </w:r>
        <w:r w:rsidR="00E87BA8" w:rsidRPr="00E87BA8">
          <w:rPr>
            <w:rFonts w:hint="cs"/>
            <w:color w:val="0000FF"/>
            <w:sz w:val="26"/>
            <w:szCs w:val="26"/>
            <w:u w:val="single"/>
            <w:rtl/>
          </w:rPr>
          <w:t>יא</w:t>
        </w:r>
        <w:r w:rsidR="00E87BA8" w:rsidRPr="00E87BA8">
          <w:rPr>
            <w:color w:val="0000FF"/>
            <w:sz w:val="26"/>
            <w:szCs w:val="26"/>
            <w:u w:val="single"/>
            <w:rtl/>
          </w:rPr>
          <w:t>(3)</w:t>
        </w:r>
      </w:hyperlink>
      <w:r w:rsidRPr="00A54FC3">
        <w:rPr>
          <w:rFonts w:hint="cs"/>
          <w:sz w:val="26"/>
          <w:szCs w:val="26"/>
          <w:rtl/>
        </w:rPr>
        <w:t xml:space="preserve"> ל</w:t>
      </w:r>
      <w:hyperlink r:id="rId43" w:history="1">
        <w:r w:rsidR="00D369E9" w:rsidRPr="00D369E9">
          <w:rPr>
            <w:rFonts w:hint="cs"/>
            <w:color w:val="0000FF"/>
            <w:sz w:val="26"/>
            <w:szCs w:val="26"/>
            <w:u w:val="single"/>
            <w:rtl/>
          </w:rPr>
          <w:t>חוק</w:t>
        </w:r>
        <w:r w:rsidR="00D369E9" w:rsidRPr="00D369E9">
          <w:rPr>
            <w:color w:val="0000FF"/>
            <w:sz w:val="26"/>
            <w:szCs w:val="26"/>
            <w:u w:val="single"/>
            <w:rtl/>
          </w:rPr>
          <w:t xml:space="preserve"> </w:t>
        </w:r>
        <w:r w:rsidR="00D369E9" w:rsidRPr="00D369E9">
          <w:rPr>
            <w:rFonts w:hint="cs"/>
            <w:color w:val="0000FF"/>
            <w:sz w:val="26"/>
            <w:szCs w:val="26"/>
            <w:u w:val="single"/>
            <w:rtl/>
          </w:rPr>
          <w:t>העונשין</w:t>
        </w:r>
      </w:hyperlink>
      <w:r w:rsidRPr="00A54FC3">
        <w:rPr>
          <w:rFonts w:hint="cs"/>
          <w:sz w:val="26"/>
          <w:szCs w:val="26"/>
          <w:rtl/>
        </w:rPr>
        <w:t xml:space="preserve">. </w:t>
      </w:r>
    </w:p>
    <w:p w14:paraId="0E042477"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בנוסף לאמור, בית המשפט מוצא לשקול לקולא את העובדה שהנאשם שיתף פעולה באופן מלא עם שירות המבחן, תוך שהגיע לכל המפגשים שנקבעו עמו, מסר בדיקות שתן שהעידו על ניקיונו מסמים וגילה תובנות ראשוניות בנוגע למחירים המשפטיים והאישיים שמשלם בגין התנהגותו. כמו כן שקלתי את התרשמות שרות המבחן כי יש בהליכים המשפטיים כדי להציב לנאשם גבולות ברורים להתנהגותו. יחד עם זאת, לא מצאתי שבעניינו של הנאשם מתקיימים אותם שיקולי שיקום כבדי משקל שיהיה בהם כדי להצדיק סטייה לקולא ממתחם העונש ההולם אשר נקבע על ידי. שכן, על אף אותן בדיקות שתן שמסר, הנאשם לא הביע נזקקות טיפולית, בטענה כי גידל הסמים לצורך שימושו העצמי על מנת להקל על כאבי הגב מהם הוא סובל (תוך שנמנע מלתמוך טענתו זו במסמך כלשהו) וכי למעשה לא הספיק לעשות כל שימוש בסמים אותם גידל. אכן כאמור, מהאמור בתסקיר עולה כי הנאשם שיתף פעולה באופן מלא עם השירות הגיע לכל המפגשים ומסר דגימות שתן נקיות מסם ואולם, נדמה כי מדובר ב"ניצני שיקום" בלבד וכי עוד צפויה לנאשם דרך טיפולית ארוכה וכי עד להשלמת הליך השיקום עודנו מקנן החשש שמא הוא יחזור לעבור עבירות מתחום הסמים, מה שבתורו עלול להוביל לביצוע עבירות נוספות.</w:t>
      </w:r>
    </w:p>
    <w:p w14:paraId="4FF7A22D"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לקולא ממתחמי הענישה, והרי לא בכדי נוקט </w:t>
      </w:r>
      <w:hyperlink r:id="rId44" w:history="1">
        <w:r w:rsidR="00E87BA8" w:rsidRPr="00E87BA8">
          <w:rPr>
            <w:rFonts w:hint="cs"/>
            <w:color w:val="0000FF"/>
            <w:sz w:val="26"/>
            <w:szCs w:val="26"/>
            <w:u w:val="single"/>
            <w:rtl/>
          </w:rPr>
          <w:t>סעיף</w:t>
        </w:r>
        <w:r w:rsidR="00E87BA8" w:rsidRPr="00E87BA8">
          <w:rPr>
            <w:color w:val="0000FF"/>
            <w:sz w:val="26"/>
            <w:szCs w:val="26"/>
            <w:u w:val="single"/>
            <w:rtl/>
          </w:rPr>
          <w:t xml:space="preserve"> 40</w:t>
        </w:r>
        <w:r w:rsidR="00E87BA8" w:rsidRPr="00E87BA8">
          <w:rPr>
            <w:rFonts w:hint="cs"/>
            <w:color w:val="0000FF"/>
            <w:sz w:val="26"/>
            <w:szCs w:val="26"/>
            <w:u w:val="single"/>
            <w:rtl/>
          </w:rPr>
          <w:t>ד</w:t>
        </w:r>
        <w:r w:rsidR="00E87BA8" w:rsidRPr="00E87BA8">
          <w:rPr>
            <w:color w:val="0000FF"/>
            <w:sz w:val="26"/>
            <w:szCs w:val="26"/>
            <w:u w:val="single"/>
            <w:rtl/>
          </w:rPr>
          <w:t>(</w:t>
        </w:r>
        <w:r w:rsidR="00E87BA8" w:rsidRPr="00E87BA8">
          <w:rPr>
            <w:rFonts w:hint="cs"/>
            <w:color w:val="0000FF"/>
            <w:sz w:val="26"/>
            <w:szCs w:val="26"/>
            <w:u w:val="single"/>
            <w:rtl/>
          </w:rPr>
          <w:t>א</w:t>
        </w:r>
        <w:r w:rsidR="00E87BA8" w:rsidRPr="00E87BA8">
          <w:rPr>
            <w:color w:val="0000FF"/>
            <w:sz w:val="26"/>
            <w:szCs w:val="26"/>
            <w:u w:val="single"/>
            <w:rtl/>
          </w:rPr>
          <w:t>)</w:t>
        </w:r>
      </w:hyperlink>
      <w:r w:rsidRPr="00A54FC3">
        <w:rPr>
          <w:rFonts w:hint="cs"/>
          <w:sz w:val="26"/>
          <w:szCs w:val="26"/>
          <w:rtl/>
        </w:rPr>
        <w:t xml:space="preserve"> ל</w:t>
      </w:r>
      <w:hyperlink r:id="rId45" w:history="1">
        <w:r w:rsidR="00D369E9" w:rsidRPr="00D369E9">
          <w:rPr>
            <w:rFonts w:hint="cs"/>
            <w:color w:val="0000FF"/>
            <w:sz w:val="26"/>
            <w:szCs w:val="26"/>
            <w:u w:val="single"/>
            <w:rtl/>
          </w:rPr>
          <w:t>חוק</w:t>
        </w:r>
        <w:r w:rsidR="00D369E9" w:rsidRPr="00D369E9">
          <w:rPr>
            <w:color w:val="0000FF"/>
            <w:sz w:val="26"/>
            <w:szCs w:val="26"/>
            <w:u w:val="single"/>
            <w:rtl/>
          </w:rPr>
          <w:t xml:space="preserve"> </w:t>
        </w:r>
        <w:r w:rsidR="00D369E9" w:rsidRPr="00D369E9">
          <w:rPr>
            <w:rFonts w:hint="cs"/>
            <w:color w:val="0000FF"/>
            <w:sz w:val="26"/>
            <w:szCs w:val="26"/>
            <w:u w:val="single"/>
            <w:rtl/>
          </w:rPr>
          <w:t>העונשין</w:t>
        </w:r>
      </w:hyperlink>
      <w:r w:rsidRPr="00A54FC3">
        <w:rPr>
          <w:rFonts w:hint="cs"/>
          <w:sz w:val="26"/>
          <w:szCs w:val="26"/>
          <w:rtl/>
        </w:rPr>
        <w:t xml:space="preserve"> – בהתייחסו לאפשרות שבית המשפט יורה על סטייה לקולא ממתחם הענישה משיקולי שיקום – בלשון "רשאי" ולא "חייב". </w:t>
      </w:r>
    </w:p>
    <w:p w14:paraId="6A1573FC" w14:textId="77777777" w:rsidR="00F25C35" w:rsidRPr="00A54FC3" w:rsidRDefault="00F25C35" w:rsidP="00F25C35">
      <w:pPr>
        <w:pStyle w:val="a9"/>
        <w:ind w:left="567" w:firstLine="0"/>
        <w:rPr>
          <w:sz w:val="26"/>
          <w:szCs w:val="26"/>
          <w:rtl/>
        </w:rPr>
      </w:pPr>
      <w:r w:rsidRPr="00A54FC3">
        <w:rPr>
          <w:rFonts w:hint="cs"/>
          <w:sz w:val="26"/>
          <w:szCs w:val="26"/>
          <w:rtl/>
        </w:rPr>
        <w:t xml:space="preserve">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46" w:history="1">
        <w:r w:rsidR="00D369E9" w:rsidRPr="00D369E9">
          <w:rPr>
            <w:rFonts w:hint="cs"/>
            <w:color w:val="0000FF"/>
            <w:sz w:val="26"/>
            <w:szCs w:val="26"/>
            <w:u w:val="single"/>
            <w:rtl/>
          </w:rPr>
          <w:t>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1521/14</w:t>
        </w:r>
      </w:hyperlink>
      <w:r w:rsidRPr="00A54FC3">
        <w:rPr>
          <w:rFonts w:hint="cs"/>
          <w:sz w:val="26"/>
          <w:szCs w:val="26"/>
          <w:rtl/>
        </w:rPr>
        <w:t xml:space="preserve"> </w:t>
      </w:r>
      <w:r w:rsidRPr="00A54FC3">
        <w:rPr>
          <w:rFonts w:hint="cs"/>
          <w:b/>
          <w:bCs/>
          <w:sz w:val="26"/>
          <w:szCs w:val="26"/>
          <w:rtl/>
        </w:rPr>
        <w:t>יוסף אלפקיר נ' מדינת ישראל</w:t>
      </w:r>
      <w:r w:rsidRPr="00A54FC3">
        <w:rPr>
          <w:rFonts w:hint="cs"/>
          <w:sz w:val="26"/>
          <w:szCs w:val="26"/>
          <w:rtl/>
        </w:rPr>
        <w:t xml:space="preserve">, (16.09.2015); </w:t>
      </w:r>
      <w:r w:rsidRPr="00A54FC3">
        <w:rPr>
          <w:rFonts w:hint="cs"/>
          <w:sz w:val="26"/>
          <w:szCs w:val="26"/>
          <w:u w:val="single"/>
          <w:rtl/>
        </w:rPr>
        <w:t>ו</w:t>
      </w:r>
      <w:hyperlink r:id="rId47" w:history="1">
        <w:r w:rsidR="00D369E9" w:rsidRPr="00D369E9">
          <w:rPr>
            <w:rFonts w:hint="cs"/>
            <w:color w:val="0000FF"/>
            <w:sz w:val="26"/>
            <w:szCs w:val="26"/>
            <w:u w:val="single"/>
            <w:rtl/>
          </w:rPr>
          <w:t>רע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4097/16</w:t>
        </w:r>
      </w:hyperlink>
      <w:r w:rsidRPr="00A54FC3">
        <w:rPr>
          <w:rFonts w:hint="cs"/>
          <w:sz w:val="26"/>
          <w:szCs w:val="26"/>
          <w:rtl/>
        </w:rPr>
        <w:t xml:space="preserve"> </w:t>
      </w:r>
      <w:r w:rsidRPr="00A54FC3">
        <w:rPr>
          <w:rFonts w:hint="cs"/>
          <w:b/>
          <w:bCs/>
          <w:sz w:val="26"/>
          <w:szCs w:val="26"/>
          <w:rtl/>
        </w:rPr>
        <w:t>מוחמד מחמוד נ' מדינת ישראל</w:t>
      </w:r>
      <w:r w:rsidRPr="00A54FC3">
        <w:rPr>
          <w:rFonts w:hint="cs"/>
          <w:sz w:val="26"/>
          <w:szCs w:val="26"/>
          <w:rtl/>
        </w:rPr>
        <w:t xml:space="preserve">, (24.05.2016)). במקרה הנדון, הדברים הללו אף מקבלים משנה תוקף, בשים לב להתרשמות שרות המבחן לפיה הנאשם הציג בפני השירות תמונה חלקית ומגמתית אודות הנסיבות שהובילוהו לביצוע העברה והתקשה לערוך הליך של התבוננות פנימית אודות בחירותיו והתנהלותו. </w:t>
      </w:r>
    </w:p>
    <w:p w14:paraId="540F6A01"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ודוק, בעובדה שהנאשם גילה "ניצני שיקום" ונמצא נקי בעת הזו מסמים יהיה גם יהיה כדי להביא להקלה בעונשו, אולם הדבר ייעשה במסגרת גדריו של מתחם העונש ההולם. לשון אחר, אלמלא ניקיונו של הנאשם מסמים, כי אז בית המשפט היה גוזר עליו עונש שלא מצוי בתחתית המתחם, כאשר משמעות הדברים היא שליחתו לריצוי מאסר מאחורי סורג ובריח. במקרה הנדון, העובדה שהוא נקי מסמים תביא לגזירת עונשו בתחתית המתחם, קרי מאסר לריצוי בעבודות שירות, והרי שהמדובר בהקלה ממשית בעונש שיושת. כמו כן, ניקיונו של הנאשם מסמים, כפי שיפורט בהמשך, אף יישקל לקולא בכל הנוגע לשאלת פסילת רישיון הנהיגה שלו. </w:t>
      </w:r>
    </w:p>
    <w:p w14:paraId="6E6291EF"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כללם של דברים, משנתתי דעתי למכלול הנסיבות שאינן קשורות לביצוע העבירות, ובכלל זה לעברו הפלילי הנקי של הנאשם, לעובדה כי הודה במיוחס לו, ולאור כך שמסר בדיקות שתן שנמצאו נקיות משרידי סם והוא מגלה "ניצני שיקום", מצאתי כי יש להשית עליו עונש המצוי ברף התחתון של המתחם אשר נקבע על ידי.</w:t>
      </w:r>
    </w:p>
    <w:p w14:paraId="56857B67" w14:textId="77777777" w:rsidR="00F25C35" w:rsidRPr="00A54FC3" w:rsidRDefault="00F25C35" w:rsidP="00F25C35">
      <w:pPr>
        <w:pStyle w:val="a9"/>
        <w:numPr>
          <w:ilvl w:val="0"/>
          <w:numId w:val="1"/>
        </w:numPr>
        <w:ind w:left="567" w:hanging="567"/>
        <w:rPr>
          <w:sz w:val="26"/>
          <w:szCs w:val="26"/>
          <w:rtl/>
        </w:rPr>
      </w:pPr>
      <w:r w:rsidRPr="00A54FC3">
        <w:rPr>
          <w:rFonts w:hint="cs"/>
          <w:sz w:val="26"/>
          <w:szCs w:val="26"/>
          <w:rtl/>
        </w:rPr>
        <w:t xml:space="preserve">בכל הנוגע לרכיב פסילת רישיון הנהיגה של הנאשם, בשים לב לעובדה שהמדובר בנאשם בעל עבר פלילי חף מהרשעות קודמות, ובייחוד בשים לב לכך שמסר בדיקות שתן שהעידו על ניקיונו מסמים,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59DC08BD"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טרם סיום אתייחס לבקשת המאשימה להכריז על הנאשם כסוחר סמים לצורך חילוט סך של 800 ₪ שנתפסו ברשותו שכן לדידה שני התנאים הקבועים </w:t>
      </w:r>
      <w:hyperlink r:id="rId48" w:history="1">
        <w:r w:rsidR="00E87BA8" w:rsidRPr="00E87BA8">
          <w:rPr>
            <w:rFonts w:hint="cs"/>
            <w:color w:val="0000FF"/>
            <w:sz w:val="26"/>
            <w:szCs w:val="26"/>
            <w:u w:val="single"/>
            <w:rtl/>
          </w:rPr>
          <w:t>בסעיף</w:t>
        </w:r>
        <w:r w:rsidR="00E87BA8" w:rsidRPr="00E87BA8">
          <w:rPr>
            <w:color w:val="0000FF"/>
            <w:sz w:val="26"/>
            <w:szCs w:val="26"/>
            <w:u w:val="single"/>
            <w:rtl/>
          </w:rPr>
          <w:t xml:space="preserve"> 36</w:t>
        </w:r>
        <w:r w:rsidR="00E87BA8" w:rsidRPr="00E87BA8">
          <w:rPr>
            <w:rFonts w:hint="cs"/>
            <w:color w:val="0000FF"/>
            <w:sz w:val="26"/>
            <w:szCs w:val="26"/>
            <w:u w:val="single"/>
            <w:rtl/>
          </w:rPr>
          <w:t>א</w:t>
        </w:r>
        <w:r w:rsidR="00E87BA8" w:rsidRPr="00E87BA8">
          <w:rPr>
            <w:color w:val="0000FF"/>
            <w:sz w:val="26"/>
            <w:szCs w:val="26"/>
            <w:u w:val="single"/>
            <w:rtl/>
          </w:rPr>
          <w:t>(</w:t>
        </w:r>
        <w:r w:rsidR="00E87BA8" w:rsidRPr="00E87BA8">
          <w:rPr>
            <w:rFonts w:hint="cs"/>
            <w:color w:val="0000FF"/>
            <w:sz w:val="26"/>
            <w:szCs w:val="26"/>
            <w:u w:val="single"/>
            <w:rtl/>
          </w:rPr>
          <w:t>ב</w:t>
        </w:r>
        <w:r w:rsidR="00E87BA8" w:rsidRPr="00E87BA8">
          <w:rPr>
            <w:color w:val="0000FF"/>
            <w:sz w:val="26"/>
            <w:szCs w:val="26"/>
            <w:u w:val="single"/>
            <w:rtl/>
          </w:rPr>
          <w:t>)</w:t>
        </w:r>
      </w:hyperlink>
      <w:r w:rsidRPr="00A54FC3">
        <w:rPr>
          <w:rFonts w:hint="cs"/>
          <w:sz w:val="26"/>
          <w:szCs w:val="26"/>
          <w:rtl/>
        </w:rPr>
        <w:t xml:space="preserve"> ל</w:t>
      </w:r>
      <w:hyperlink r:id="rId49" w:history="1">
        <w:r w:rsidR="00D369E9" w:rsidRPr="00D369E9">
          <w:rPr>
            <w:rFonts w:hint="cs"/>
            <w:color w:val="0000FF"/>
            <w:sz w:val="26"/>
            <w:szCs w:val="26"/>
            <w:u w:val="single"/>
            <w:rtl/>
          </w:rPr>
          <w:t>פקודת</w:t>
        </w:r>
        <w:r w:rsidR="00D369E9" w:rsidRPr="00D369E9">
          <w:rPr>
            <w:color w:val="0000FF"/>
            <w:sz w:val="26"/>
            <w:szCs w:val="26"/>
            <w:u w:val="single"/>
            <w:rtl/>
          </w:rPr>
          <w:t xml:space="preserve"> </w:t>
        </w:r>
        <w:r w:rsidR="00D369E9" w:rsidRPr="00D369E9">
          <w:rPr>
            <w:rFonts w:hint="cs"/>
            <w:color w:val="0000FF"/>
            <w:sz w:val="26"/>
            <w:szCs w:val="26"/>
            <w:u w:val="single"/>
            <w:rtl/>
          </w:rPr>
          <w:t>הסמים</w:t>
        </w:r>
        <w:r w:rsidR="00D369E9" w:rsidRPr="00D369E9">
          <w:rPr>
            <w:color w:val="0000FF"/>
            <w:sz w:val="26"/>
            <w:szCs w:val="26"/>
            <w:u w:val="single"/>
            <w:rtl/>
          </w:rPr>
          <w:t xml:space="preserve"> </w:t>
        </w:r>
        <w:r w:rsidR="00D369E9" w:rsidRPr="00D369E9">
          <w:rPr>
            <w:rFonts w:hint="cs"/>
            <w:color w:val="0000FF"/>
            <w:sz w:val="26"/>
            <w:szCs w:val="26"/>
            <w:u w:val="single"/>
            <w:rtl/>
          </w:rPr>
          <w:t>המסוכנים</w:t>
        </w:r>
      </w:hyperlink>
      <w:r w:rsidRPr="00A54FC3">
        <w:rPr>
          <w:rFonts w:hint="cs"/>
          <w:sz w:val="26"/>
          <w:szCs w:val="26"/>
          <w:rtl/>
        </w:rPr>
        <w:t xml:space="preserve"> מתקיימים בעניינו. האחד, הרשעה בשתי עבירות סמים החוסות תחת </w:t>
      </w:r>
      <w:hyperlink r:id="rId50" w:history="1">
        <w:r w:rsidR="00E87BA8" w:rsidRPr="00E87BA8">
          <w:rPr>
            <w:rFonts w:hint="cs"/>
            <w:color w:val="0000FF"/>
            <w:sz w:val="26"/>
            <w:szCs w:val="26"/>
            <w:u w:val="single"/>
            <w:rtl/>
          </w:rPr>
          <w:t>סעיף</w:t>
        </w:r>
        <w:r w:rsidR="00E87BA8" w:rsidRPr="00E87BA8">
          <w:rPr>
            <w:color w:val="0000FF"/>
            <w:sz w:val="26"/>
            <w:szCs w:val="26"/>
            <w:u w:val="single"/>
            <w:rtl/>
          </w:rPr>
          <w:t xml:space="preserve"> 1</w:t>
        </w:r>
      </w:hyperlink>
      <w:r w:rsidRPr="00A54FC3">
        <w:rPr>
          <w:rFonts w:hint="cs"/>
          <w:sz w:val="26"/>
          <w:szCs w:val="26"/>
          <w:rtl/>
        </w:rPr>
        <w:t xml:space="preserve"> לפקודה, והשני, הפקת רווח פוטנציאלי מהעבירות בהינתן כמות הסם, מספר השתילים שגודלו והכלים ששימשו את הנאשם לגידול הסם המובילים לדידה למסקנה הבלתי נמנעת לפיה, הנאשם אמור היה להפיק מכמויות אלה רווחים עתידיים.   </w:t>
      </w:r>
    </w:p>
    <w:p w14:paraId="69483132" w14:textId="77777777" w:rsidR="00F25C35" w:rsidRPr="00A54FC3" w:rsidRDefault="00F25C35" w:rsidP="00F25C35">
      <w:pPr>
        <w:pStyle w:val="a9"/>
        <w:numPr>
          <w:ilvl w:val="0"/>
          <w:numId w:val="1"/>
        </w:numPr>
        <w:ind w:left="567" w:hanging="567"/>
        <w:rPr>
          <w:sz w:val="26"/>
          <w:szCs w:val="26"/>
        </w:rPr>
      </w:pPr>
      <w:r w:rsidRPr="00A54FC3">
        <w:rPr>
          <w:rFonts w:hint="cs"/>
          <w:sz w:val="26"/>
          <w:szCs w:val="26"/>
          <w:rtl/>
        </w:rPr>
        <w:t xml:space="preserve">הסנגור התנגד לבקשת המאשימה תוך שבפן הפרוצדוראלי טען כי המאשימה לא עתרה להכריז על הנאשם כסוחר סמים במעמד הכרעת הדין וכי רק מטעם זה יש להורות על דחיית הבקשה. בפן המהותי טען הסנגור, כי עובדות כתב האישום המתוקן בהן הודה הנאשם הן אלו התוחמות את התשתית העובדתית המוסכמת בין הצדדים. משכך, ובשעה שעבירת החזקת הסם שלא לצריכה עצמית נמחקה מכתב האישום המתוקן וכי מעובדות כתב האישום המתוקן לא עולה כי הנאשם הפיק רווח כלשהו מהעבירות או אמור היה להפיק מהן רווח – אין באפשרות התביעה לטעון טענה זו. לדידו לו רצתה המאשימה להוכיח עובדה זו, מוטל היה עליה הנטל להוכיחה מעבר לספק סביר, כנטל השכנוע הנדרש במשפט הפלילי. עוד לדידו ולחילופין, לא ניתן ללמוד מכמויות הסם ומהכלים שנתפסו בדירה על כוונת סחר ורווח עתידי (וזאת בשונה מהפסיקה אליה הפנתה המאשימה). משכך, עתר הסנגור שלא להיעתר לבקשת המאשימה להכריז על הנאשם כסוחר סמים לצורך חילוט הכספים. </w:t>
      </w:r>
    </w:p>
    <w:p w14:paraId="119432A5" w14:textId="77777777" w:rsidR="00F25C35" w:rsidRDefault="00F25C35" w:rsidP="00F25C35">
      <w:pPr>
        <w:pStyle w:val="a9"/>
        <w:numPr>
          <w:ilvl w:val="0"/>
          <w:numId w:val="1"/>
        </w:numPr>
        <w:ind w:left="567" w:hanging="567"/>
        <w:rPr>
          <w:sz w:val="26"/>
          <w:szCs w:val="26"/>
        </w:rPr>
      </w:pPr>
      <w:r w:rsidRPr="00A54FC3">
        <w:rPr>
          <w:rFonts w:hint="cs"/>
          <w:sz w:val="26"/>
          <w:szCs w:val="26"/>
          <w:rtl/>
        </w:rPr>
        <w:t xml:space="preserve">לאחר שנתתי דעתי לטענות הצדדים, מצאתי להיעתר לבקשת המאשימה ואנמק: </w:t>
      </w:r>
    </w:p>
    <w:p w14:paraId="7D67917F" w14:textId="77777777" w:rsidR="00F25C35" w:rsidRDefault="00E87BA8" w:rsidP="00F25C35">
      <w:pPr>
        <w:pStyle w:val="a9"/>
        <w:ind w:firstLine="0"/>
        <w:rPr>
          <w:sz w:val="26"/>
          <w:szCs w:val="26"/>
          <w:rtl/>
        </w:rPr>
      </w:pPr>
      <w:hyperlink r:id="rId51" w:history="1">
        <w:r w:rsidRPr="00E87BA8">
          <w:rPr>
            <w:rFonts w:hint="cs"/>
            <w:color w:val="0000FF"/>
            <w:sz w:val="26"/>
            <w:szCs w:val="26"/>
            <w:u w:val="single"/>
            <w:rtl/>
          </w:rPr>
          <w:t>סעיף</w:t>
        </w:r>
        <w:r w:rsidRPr="00E87BA8">
          <w:rPr>
            <w:color w:val="0000FF"/>
            <w:sz w:val="26"/>
            <w:szCs w:val="26"/>
            <w:u w:val="single"/>
            <w:rtl/>
          </w:rPr>
          <w:t xml:space="preserve"> 36</w:t>
        </w:r>
        <w:r w:rsidRPr="00E87BA8">
          <w:rPr>
            <w:rFonts w:hint="cs"/>
            <w:color w:val="0000FF"/>
            <w:sz w:val="26"/>
            <w:szCs w:val="26"/>
            <w:u w:val="single"/>
            <w:rtl/>
          </w:rPr>
          <w:t>א</w:t>
        </w:r>
        <w:r w:rsidRPr="00E87BA8">
          <w:rPr>
            <w:color w:val="0000FF"/>
            <w:sz w:val="26"/>
            <w:szCs w:val="26"/>
            <w:u w:val="single"/>
            <w:rtl/>
          </w:rPr>
          <w:t>(</w:t>
        </w:r>
        <w:r w:rsidRPr="00E87BA8">
          <w:rPr>
            <w:rFonts w:hint="cs"/>
            <w:color w:val="0000FF"/>
            <w:sz w:val="26"/>
            <w:szCs w:val="26"/>
            <w:u w:val="single"/>
            <w:rtl/>
          </w:rPr>
          <w:t>ב</w:t>
        </w:r>
        <w:r w:rsidRPr="00E87BA8">
          <w:rPr>
            <w:color w:val="0000FF"/>
            <w:sz w:val="26"/>
            <w:szCs w:val="26"/>
            <w:u w:val="single"/>
            <w:rtl/>
          </w:rPr>
          <w:t>)</w:t>
        </w:r>
      </w:hyperlink>
      <w:r w:rsidR="00F25C35" w:rsidRPr="0063245D">
        <w:rPr>
          <w:rFonts w:hint="cs"/>
          <w:sz w:val="26"/>
          <w:szCs w:val="26"/>
          <w:rtl/>
        </w:rPr>
        <w:t xml:space="preserve"> לפקודת הסמים שכותרתו "חילוט רכוש בהליך פלילי", קובע כדלקמן:</w:t>
      </w:r>
    </w:p>
    <w:p w14:paraId="09459FC3" w14:textId="77777777" w:rsidR="00F25C35" w:rsidRDefault="00F25C35" w:rsidP="00F25C35">
      <w:pPr>
        <w:pStyle w:val="a9"/>
        <w:tabs>
          <w:tab w:val="left" w:pos="313"/>
        </w:tabs>
        <w:ind w:right="1134" w:firstLine="0"/>
        <w:rPr>
          <w:b/>
          <w:bCs/>
          <w:sz w:val="26"/>
          <w:szCs w:val="26"/>
          <w:rtl/>
        </w:rPr>
      </w:pPr>
      <w:r w:rsidRPr="00A54FC3">
        <w:rPr>
          <w:rFonts w:hint="cs"/>
          <w:b/>
          <w:bCs/>
          <w:sz w:val="26"/>
          <w:szCs w:val="26"/>
          <w:rtl/>
        </w:rPr>
        <w:t>"בית המשפט שהרשיע אדם בעבירה של עסקת סמים והוכח לו כי הנידון הפיק</w:t>
      </w:r>
      <w:r>
        <w:rPr>
          <w:rFonts w:hint="cs"/>
          <w:b/>
          <w:bCs/>
          <w:sz w:val="26"/>
          <w:szCs w:val="26"/>
          <w:rtl/>
        </w:rPr>
        <w:t xml:space="preserve"> </w:t>
      </w:r>
      <w:r w:rsidRPr="00A54FC3">
        <w:rPr>
          <w:rFonts w:hint="cs"/>
          <w:b/>
          <w:bCs/>
          <w:sz w:val="26"/>
          <w:szCs w:val="26"/>
          <w:rtl/>
        </w:rPr>
        <w:t>רווח מעבירה של עסקת סמים, או שהיה אמור להפיק רווח מעבירה, כאמור, יקבע בהכרעת הדין, על-פי בקשת תובע, שהנידון הוא סוחר סמים ומשעשה כן - יצווה בגזר הדין, כי בנוסף לכל עונש יחולט לאוצר המדינה כל רכוש של הנידון שהושג בעבירה של עסקת סמים, אלא-אם-כן סבר, שלא לעשות כן מנימוקים מיוחדים שיפרט</w:t>
      </w:r>
      <w:r w:rsidRPr="00A54FC3">
        <w:rPr>
          <w:rFonts w:hint="cs"/>
          <w:sz w:val="26"/>
          <w:szCs w:val="26"/>
          <w:rtl/>
        </w:rPr>
        <w:t>".</w:t>
      </w:r>
      <w:r w:rsidRPr="00A54FC3">
        <w:rPr>
          <w:rFonts w:hint="cs"/>
          <w:b/>
          <w:bCs/>
          <w:sz w:val="26"/>
          <w:szCs w:val="26"/>
          <w:rtl/>
        </w:rPr>
        <w:tab/>
      </w:r>
    </w:p>
    <w:p w14:paraId="4F0EC199" w14:textId="77777777" w:rsidR="00F25C35" w:rsidRPr="0063245D" w:rsidRDefault="00F25C35" w:rsidP="00F25C35">
      <w:pPr>
        <w:pStyle w:val="a9"/>
        <w:tabs>
          <w:tab w:val="left" w:pos="313"/>
        </w:tabs>
        <w:ind w:right="1134" w:firstLine="0"/>
        <w:rPr>
          <w:sz w:val="26"/>
          <w:szCs w:val="26"/>
          <w:rtl/>
        </w:rPr>
      </w:pPr>
      <w:r w:rsidRPr="0063245D">
        <w:rPr>
          <w:rFonts w:hint="cs"/>
          <w:sz w:val="26"/>
          <w:szCs w:val="26"/>
          <w:rtl/>
        </w:rPr>
        <w:t xml:space="preserve">(ההדגשות אינן במקור- נ.ש.מ.) </w:t>
      </w:r>
    </w:p>
    <w:p w14:paraId="0425E88C" w14:textId="77777777" w:rsidR="00F25C35" w:rsidRDefault="00F25C35" w:rsidP="00F25C35">
      <w:pPr>
        <w:pStyle w:val="a9"/>
        <w:numPr>
          <w:ilvl w:val="0"/>
          <w:numId w:val="1"/>
        </w:numPr>
        <w:ind w:left="567" w:hanging="567"/>
        <w:rPr>
          <w:sz w:val="26"/>
          <w:szCs w:val="26"/>
        </w:rPr>
      </w:pPr>
      <w:r w:rsidRPr="00BC77BE">
        <w:rPr>
          <w:rFonts w:hint="cs"/>
          <w:sz w:val="26"/>
          <w:szCs w:val="26"/>
          <w:rtl/>
        </w:rPr>
        <w:t>כפי שניתן להבחין, הוראות הסעיף מורות על הצורך בהתקיימותם של שני תנאים מצטברים על מנת שבית המשפט יכריז על הנאשם כ "סוחר סמים". האחד, הרשעה בעבירה שעניינה "עסקת סמים" והשני, "הפקת רווח או כוונה להפקת רווח מהעבירה".</w:t>
      </w:r>
    </w:p>
    <w:p w14:paraId="3D56EDCB"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בכל הנוגע לתנאי הראשון, אין עוררין על כך, שהנאשם הורשע ב"עבירה של עסקת סמים" שעונשה עשרים שנה או יותר לפי הגדרתה </w:t>
      </w:r>
      <w:hyperlink r:id="rId52" w:history="1">
        <w:r w:rsidR="00E87BA8" w:rsidRPr="00E87BA8">
          <w:rPr>
            <w:rFonts w:hint="cs"/>
            <w:color w:val="0000FF"/>
            <w:sz w:val="26"/>
            <w:szCs w:val="26"/>
            <w:u w:val="single"/>
            <w:rtl/>
          </w:rPr>
          <w:t>בסעיף</w:t>
        </w:r>
        <w:r w:rsidR="00E87BA8" w:rsidRPr="00E87BA8">
          <w:rPr>
            <w:color w:val="0000FF"/>
            <w:sz w:val="26"/>
            <w:szCs w:val="26"/>
            <w:u w:val="single"/>
            <w:rtl/>
          </w:rPr>
          <w:t xml:space="preserve"> 1</w:t>
        </w:r>
      </w:hyperlink>
      <w:r w:rsidRPr="00BC77BE">
        <w:rPr>
          <w:rFonts w:hint="cs"/>
          <w:sz w:val="26"/>
          <w:szCs w:val="26"/>
          <w:rtl/>
        </w:rPr>
        <w:t xml:space="preserve"> לפקודה. כזכור, הנאשם הורשע בשתי עבירות. האחת, עבירה של החזקת כלים להכנת סם </w:t>
      </w:r>
      <w:r>
        <w:rPr>
          <w:rFonts w:hint="cs"/>
          <w:sz w:val="26"/>
          <w:szCs w:val="26"/>
          <w:rtl/>
        </w:rPr>
        <w:t>ש</w:t>
      </w:r>
      <w:r w:rsidRPr="00BC77BE">
        <w:rPr>
          <w:rFonts w:hint="cs"/>
          <w:sz w:val="26"/>
          <w:szCs w:val="26"/>
          <w:rtl/>
        </w:rPr>
        <w:t xml:space="preserve">לא לצריכה עצמית והשנייה, עבירה של גידול יצור הכנת סמים מסוכנים - שהעונש בצד כל אחת מהן עומד על עשרים שנות מאסר. </w:t>
      </w:r>
    </w:p>
    <w:p w14:paraId="4AED61A8"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משהתקיים תנאי זה, עולה השאלה האם ניתן לקבוע כי הוכח התנאי השני הקבוע </w:t>
      </w:r>
      <w:hyperlink r:id="rId53" w:history="1">
        <w:r w:rsidR="00E87BA8" w:rsidRPr="00E87BA8">
          <w:rPr>
            <w:rFonts w:hint="cs"/>
            <w:color w:val="0000FF"/>
            <w:sz w:val="26"/>
            <w:szCs w:val="26"/>
            <w:u w:val="single"/>
            <w:rtl/>
          </w:rPr>
          <w:t>בסעיף</w:t>
        </w:r>
        <w:r w:rsidR="00E87BA8" w:rsidRPr="00E87BA8">
          <w:rPr>
            <w:color w:val="0000FF"/>
            <w:sz w:val="26"/>
            <w:szCs w:val="26"/>
            <w:u w:val="single"/>
            <w:rtl/>
          </w:rPr>
          <w:t xml:space="preserve"> 36</w:t>
        </w:r>
        <w:r w:rsidR="00E87BA8" w:rsidRPr="00E87BA8">
          <w:rPr>
            <w:rFonts w:hint="cs"/>
            <w:color w:val="0000FF"/>
            <w:sz w:val="26"/>
            <w:szCs w:val="26"/>
            <w:u w:val="single"/>
            <w:rtl/>
          </w:rPr>
          <w:t>א</w:t>
        </w:r>
        <w:r w:rsidR="00E87BA8" w:rsidRPr="00E87BA8">
          <w:rPr>
            <w:color w:val="0000FF"/>
            <w:sz w:val="26"/>
            <w:szCs w:val="26"/>
            <w:u w:val="single"/>
            <w:rtl/>
          </w:rPr>
          <w:t>(</w:t>
        </w:r>
        <w:r w:rsidR="00E87BA8" w:rsidRPr="00E87BA8">
          <w:rPr>
            <w:rFonts w:hint="cs"/>
            <w:color w:val="0000FF"/>
            <w:sz w:val="26"/>
            <w:szCs w:val="26"/>
            <w:u w:val="single"/>
            <w:rtl/>
          </w:rPr>
          <w:t>ב</w:t>
        </w:r>
        <w:r w:rsidR="00E87BA8" w:rsidRPr="00E87BA8">
          <w:rPr>
            <w:color w:val="0000FF"/>
            <w:sz w:val="26"/>
            <w:szCs w:val="26"/>
            <w:u w:val="single"/>
            <w:rtl/>
          </w:rPr>
          <w:t>)</w:t>
        </w:r>
      </w:hyperlink>
      <w:r w:rsidRPr="00BC77BE">
        <w:rPr>
          <w:rFonts w:hint="cs"/>
          <w:sz w:val="26"/>
          <w:szCs w:val="26"/>
          <w:rtl/>
        </w:rPr>
        <w:t xml:space="preserve"> לפיו, "הנידון הפיק רווח מהעבירה או היה אמור להפיק רווח מהעבירה כאמור". ראשית יצוין כי סוגיות דומות נידונו בעבר בפסיקה. כך למשל, </w:t>
      </w:r>
      <w:r w:rsidRPr="00BC77BE">
        <w:rPr>
          <w:rFonts w:hint="cs"/>
          <w:sz w:val="26"/>
          <w:szCs w:val="26"/>
          <w:u w:val="single"/>
          <w:rtl/>
        </w:rPr>
        <w:t>ב</w:t>
      </w:r>
      <w:hyperlink r:id="rId54" w:history="1">
        <w:r w:rsidR="00D369E9" w:rsidRPr="00D369E9">
          <w:rPr>
            <w:rFonts w:hint="cs"/>
            <w:color w:val="0000FF"/>
            <w:sz w:val="26"/>
            <w:szCs w:val="26"/>
            <w:u w:val="single"/>
            <w:rtl/>
          </w:rPr>
          <w:t>ת</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472/02</w:t>
        </w:r>
      </w:hyperlink>
      <w:r w:rsidRPr="00BC77BE">
        <w:rPr>
          <w:rFonts w:hint="cs"/>
          <w:sz w:val="26"/>
          <w:szCs w:val="26"/>
          <w:u w:val="single"/>
          <w:rtl/>
        </w:rPr>
        <w:t xml:space="preserve"> (מחוזי חיפה)</w:t>
      </w:r>
      <w:r w:rsidRPr="00BC77BE">
        <w:rPr>
          <w:rFonts w:hint="cs"/>
          <w:sz w:val="26"/>
          <w:szCs w:val="26"/>
          <w:rtl/>
        </w:rPr>
        <w:t xml:space="preserve"> </w:t>
      </w:r>
      <w:r w:rsidRPr="00BC77BE">
        <w:rPr>
          <w:rFonts w:hint="cs"/>
          <w:b/>
          <w:bCs/>
          <w:sz w:val="26"/>
          <w:szCs w:val="26"/>
          <w:rtl/>
        </w:rPr>
        <w:t>מדינת ישראל נ' עבד אל רחמן ואח'</w:t>
      </w:r>
      <w:r w:rsidRPr="00BC77BE">
        <w:rPr>
          <w:rFonts w:hint="cs"/>
          <w:sz w:val="26"/>
          <w:szCs w:val="26"/>
          <w:rtl/>
        </w:rPr>
        <w:t xml:space="preserve"> (16.05.2005) מציין כב' השופט עמית בשאלה הדומה לזו הניצבת לפנינו את הדברים הבאים: </w:t>
      </w:r>
    </w:p>
    <w:p w14:paraId="0FC84CDD" w14:textId="77777777" w:rsidR="00F25C35" w:rsidRPr="00A54FC3" w:rsidRDefault="00F25C35" w:rsidP="00F25C35">
      <w:pPr>
        <w:pStyle w:val="a9"/>
        <w:ind w:right="993" w:firstLine="0"/>
        <w:rPr>
          <w:b/>
          <w:bCs/>
          <w:sz w:val="26"/>
          <w:szCs w:val="26"/>
          <w:rtl/>
        </w:rPr>
      </w:pPr>
      <w:r w:rsidRPr="00A54FC3">
        <w:rPr>
          <w:rFonts w:hint="cs"/>
          <w:b/>
          <w:bCs/>
          <w:sz w:val="26"/>
          <w:szCs w:val="26"/>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w:t>
      </w:r>
    </w:p>
    <w:p w14:paraId="1239842B" w14:textId="77777777" w:rsidR="00F25C35" w:rsidRPr="00BC77BE" w:rsidRDefault="00F25C35" w:rsidP="00F25C35">
      <w:pPr>
        <w:pStyle w:val="a9"/>
        <w:ind w:right="993" w:firstLine="0"/>
        <w:rPr>
          <w:b/>
          <w:bCs/>
          <w:sz w:val="26"/>
          <w:szCs w:val="26"/>
          <w:rtl/>
        </w:rPr>
      </w:pPr>
      <w:r w:rsidRPr="00BC77BE">
        <w:rPr>
          <w:rFonts w:hint="cs"/>
          <w:b/>
          <w:bCs/>
          <w:sz w:val="26"/>
          <w:szCs w:val="26"/>
          <w:rtl/>
        </w:rPr>
        <w:t>התשובה היא, שנוכח כמות הסמים הגדולה שנתפסה, קמה ועולה חזקה שבעובדה, שמקורה בשכל הישר ובניסיון החיים, כי החזקת הסם, לא נעשתה לידי שמיים ולא לצרכי צדקה, אלא לצורך הפקת רווח, ומכאן, שיש לראות את הנידון, כמי שהיה אמור להפיק רווח מביצוע העבירה...".</w:t>
      </w:r>
    </w:p>
    <w:p w14:paraId="43901CD8" w14:textId="77777777" w:rsidR="00F25C35" w:rsidRPr="00BC77BE" w:rsidRDefault="00F25C35" w:rsidP="00F25C35">
      <w:pPr>
        <w:pStyle w:val="a9"/>
        <w:ind w:right="993" w:firstLine="0"/>
        <w:rPr>
          <w:sz w:val="26"/>
          <w:szCs w:val="26"/>
          <w:rtl/>
        </w:rPr>
      </w:pPr>
      <w:r w:rsidRPr="00BC77BE">
        <w:rPr>
          <w:rFonts w:hint="cs"/>
          <w:sz w:val="26"/>
          <w:szCs w:val="26"/>
          <w:rtl/>
        </w:rPr>
        <w:t xml:space="preserve">(ההדגשות אינן במקור- נ.ש.מ.) </w:t>
      </w:r>
    </w:p>
    <w:p w14:paraId="0AAF5F4B"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ראו גם: </w:t>
      </w:r>
      <w:hyperlink r:id="rId55" w:history="1">
        <w:r w:rsidR="00D369E9" w:rsidRPr="00D369E9">
          <w:rPr>
            <w:rFonts w:hint="cs"/>
            <w:color w:val="0000FF"/>
            <w:sz w:val="26"/>
            <w:szCs w:val="26"/>
            <w:u w:val="single"/>
            <w:rtl/>
          </w:rPr>
          <w:t>דנ</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10402/07</w:t>
        </w:r>
      </w:hyperlink>
      <w:r w:rsidRPr="00BC77BE">
        <w:rPr>
          <w:rFonts w:hint="cs"/>
          <w:sz w:val="26"/>
          <w:szCs w:val="26"/>
          <w:u w:val="single"/>
          <w:rtl/>
        </w:rPr>
        <w:t xml:space="preserve"> </w:t>
      </w:r>
      <w:r w:rsidRPr="00BC77BE">
        <w:rPr>
          <w:rFonts w:hint="cs"/>
          <w:b/>
          <w:bCs/>
          <w:sz w:val="26"/>
          <w:szCs w:val="26"/>
          <w:rtl/>
        </w:rPr>
        <w:t>ליאור מטיס נ' מדינת ישראל,</w:t>
      </w:r>
      <w:r w:rsidRPr="00BC77BE">
        <w:rPr>
          <w:rFonts w:hint="cs"/>
          <w:sz w:val="26"/>
          <w:szCs w:val="26"/>
          <w:rtl/>
        </w:rPr>
        <w:t xml:space="preserve"> שם אישר בית המשפט העליון את מסקנת בית המשפט המחוזי לפיה, הכמות בה דובר שם, סם מסוכן מסוג קנבוס במשקל של 18 ק"ג המחולק ל-28 שקיות נפרדות, ובהעדר כל הסבר סביר לכך, מוכיחה כי המערער היה אמור להפיק רווח מעבירה של עסקת סמים, מסקנה העולה בקנה אחד עם ההיגיון והשכל הישר.  </w:t>
      </w:r>
    </w:p>
    <w:p w14:paraId="04E7650A"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לגופו של עניין, בכל הנוגע לתנאי זה, הנאשם טען כי לא הפיק ולא התכוון להפיק רווח מעבירות הסמים שביצע אולם טענה זו נטענה בעלמא ומבלי שהציג כל הסבר סביר למעבדת ההידרו שהקים בדירתו; לכמות השתילים הגדולה ולמשקלם הניכר ולכלים שנועדו להכנת הסם שלא לצריכה עצמית שנמצאו ברשותו. על פי ההלכה הפסוקה, בשעה שהנאשם טוען שלא הפיק ולא התכוון להפיק רווח מהעבירה, אך לא עמד בנטל ההוכחה, קמה </w:t>
      </w:r>
      <w:r w:rsidRPr="00BC77BE">
        <w:rPr>
          <w:rFonts w:hint="cs"/>
          <w:b/>
          <w:bCs/>
          <w:sz w:val="26"/>
          <w:szCs w:val="26"/>
          <w:rtl/>
        </w:rPr>
        <w:t xml:space="preserve">חזקה עובדתית </w:t>
      </w:r>
      <w:r w:rsidRPr="00BC77BE">
        <w:rPr>
          <w:rFonts w:hint="cs"/>
          <w:sz w:val="26"/>
          <w:szCs w:val="26"/>
          <w:rtl/>
        </w:rPr>
        <w:t xml:space="preserve">לפיה נוכח כמות הסם בה החזיק הנאשם ניתן לראות בו כמי שהיה אמור להפיק רווח מהעבירה, חזקה עובדתית מסוג זה, למעשה מרחיבה את סמכותו ושיקול דעתו של בית המשפט, להסיק מסקנות לוגיות מסוימות מתוך עובדות המקרה. (ראו לעניין זה: הלוי, </w:t>
      </w:r>
      <w:r w:rsidRPr="00BC77BE">
        <w:rPr>
          <w:rFonts w:hint="cs"/>
          <w:b/>
          <w:bCs/>
          <w:sz w:val="26"/>
          <w:szCs w:val="26"/>
          <w:rtl/>
        </w:rPr>
        <w:t xml:space="preserve">תורת דיני הראיות, </w:t>
      </w:r>
      <w:r w:rsidRPr="00BC77BE">
        <w:rPr>
          <w:rFonts w:hint="cs"/>
          <w:sz w:val="26"/>
          <w:szCs w:val="26"/>
          <w:rtl/>
        </w:rPr>
        <w:t xml:space="preserve">כרך ד', עמ' 512, הוצאת הקריה האקדמית אונו – פרסומי הפקולטה למשפטים; </w:t>
      </w:r>
      <w:r w:rsidRPr="00BC77BE">
        <w:rPr>
          <w:rFonts w:hint="cs"/>
          <w:sz w:val="26"/>
          <w:szCs w:val="26"/>
          <w:u w:val="single"/>
          <w:rtl/>
        </w:rPr>
        <w:t>ו</w:t>
      </w:r>
      <w:hyperlink r:id="rId56" w:history="1">
        <w:r w:rsidR="00D369E9" w:rsidRPr="00D369E9">
          <w:rPr>
            <w:rFonts w:hint="cs"/>
            <w:color w:val="0000FF"/>
            <w:sz w:val="26"/>
            <w:szCs w:val="26"/>
            <w:u w:val="single"/>
            <w:rtl/>
          </w:rPr>
          <w:t>ת</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w:t>
        </w:r>
        <w:r w:rsidR="00D369E9" w:rsidRPr="00D369E9">
          <w:rPr>
            <w:rFonts w:hint="cs"/>
            <w:color w:val="0000FF"/>
            <w:sz w:val="26"/>
            <w:szCs w:val="26"/>
            <w:u w:val="single"/>
            <w:rtl/>
          </w:rPr>
          <w:t>מחוזי</w:t>
        </w:r>
        <w:r w:rsidR="00D369E9" w:rsidRPr="00D369E9">
          <w:rPr>
            <w:color w:val="0000FF"/>
            <w:sz w:val="26"/>
            <w:szCs w:val="26"/>
            <w:u w:val="single"/>
            <w:rtl/>
          </w:rPr>
          <w:t xml:space="preserve"> </w:t>
        </w:r>
        <w:r w:rsidR="00D369E9" w:rsidRPr="00D369E9">
          <w:rPr>
            <w:rFonts w:hint="cs"/>
            <w:color w:val="0000FF"/>
            <w:sz w:val="26"/>
            <w:szCs w:val="26"/>
            <w:u w:val="single"/>
            <w:rtl/>
          </w:rPr>
          <w:t>חיפה</w:t>
        </w:r>
        <w:r w:rsidR="00D369E9" w:rsidRPr="00D369E9">
          <w:rPr>
            <w:color w:val="0000FF"/>
            <w:sz w:val="26"/>
            <w:szCs w:val="26"/>
            <w:u w:val="single"/>
            <w:rtl/>
          </w:rPr>
          <w:t>)  37551-01-16</w:t>
        </w:r>
      </w:hyperlink>
      <w:r w:rsidRPr="00BC77BE">
        <w:rPr>
          <w:rFonts w:hint="cs"/>
          <w:sz w:val="26"/>
          <w:szCs w:val="26"/>
          <w:u w:val="single"/>
          <w:rtl/>
        </w:rPr>
        <w:t xml:space="preserve"> </w:t>
      </w:r>
      <w:r w:rsidRPr="00BC77BE">
        <w:rPr>
          <w:rFonts w:hint="cs"/>
          <w:b/>
          <w:bCs/>
          <w:sz w:val="26"/>
          <w:szCs w:val="26"/>
          <w:rtl/>
        </w:rPr>
        <w:t>מדינת ישראל י נ' עוז פרקש</w:t>
      </w:r>
      <w:r w:rsidRPr="00BC77BE">
        <w:rPr>
          <w:rFonts w:hint="cs"/>
          <w:sz w:val="26"/>
          <w:szCs w:val="26"/>
          <w:rtl/>
        </w:rPr>
        <w:t xml:space="preserve"> (31.08.2016)).  </w:t>
      </w:r>
    </w:p>
    <w:p w14:paraId="3C1BEB3A" w14:textId="77777777" w:rsidR="00F25C35" w:rsidRDefault="00F25C35" w:rsidP="00F25C35">
      <w:pPr>
        <w:pStyle w:val="a9"/>
        <w:numPr>
          <w:ilvl w:val="0"/>
          <w:numId w:val="1"/>
        </w:numPr>
        <w:ind w:left="567" w:hanging="567"/>
        <w:rPr>
          <w:sz w:val="26"/>
          <w:szCs w:val="26"/>
        </w:rPr>
      </w:pPr>
      <w:r w:rsidRPr="00BC77BE">
        <w:rPr>
          <w:rFonts w:hint="cs"/>
          <w:sz w:val="26"/>
          <w:szCs w:val="26"/>
          <w:rtl/>
        </w:rPr>
        <w:t>עוד אוסיף, כי לדידי מקום בו נאשם מודה שהקים מעבדת הידרו בביתו בה גידל 52 שתילי קנבוס ויצר מהם סמים מסוכנים במשקל כולל של 1.212 ק"ג כאשר ברי כי זו כמות לא מבוטלת כלל ועיקר והגבוהה פי כמה וכמה מ"חזקת הצריכה העצמית" הקבועה בפקודה ומודה כי החזיק בביתו כלים המשמשים להכנת הסם וגידולו שלא לצריכה עצמית (על אף שעובדות כתב האישום המתוקן אינן עוסקות במישרין בסחר בסמים או בהעברת כספים מושא עבירות אלה) - הרי שכל עוד הלה לא הצליח לעורר ספק סביר ביחס לתקיפות החזקה העובדתית, כאשר קיומו של "ספק" בלבד באשר למקור הכספים שנתפסו בחזקתו, אינו מקים חריג לחזקה זו</w:t>
      </w:r>
      <w:r w:rsidRPr="00BC77BE">
        <w:rPr>
          <w:rFonts w:hint="cs"/>
          <w:b/>
          <w:bCs/>
          <w:sz w:val="26"/>
          <w:szCs w:val="26"/>
          <w:rtl/>
        </w:rPr>
        <w:t xml:space="preserve"> </w:t>
      </w:r>
      <w:r w:rsidRPr="00BC77BE">
        <w:rPr>
          <w:rFonts w:hint="cs"/>
          <w:sz w:val="26"/>
          <w:szCs w:val="26"/>
          <w:rtl/>
        </w:rPr>
        <w:t>-</w:t>
      </w:r>
      <w:r w:rsidRPr="00BC77BE">
        <w:rPr>
          <w:rFonts w:hint="cs"/>
          <w:b/>
          <w:bCs/>
          <w:sz w:val="26"/>
          <w:szCs w:val="26"/>
          <w:rtl/>
        </w:rPr>
        <w:t xml:space="preserve"> </w:t>
      </w:r>
      <w:r w:rsidRPr="00BC77BE">
        <w:rPr>
          <w:rFonts w:hint="cs"/>
          <w:sz w:val="26"/>
          <w:szCs w:val="26"/>
          <w:rtl/>
        </w:rPr>
        <w:t xml:space="preserve">הרי שהחזקה ממשיכה לעמוד בעינה ומלמדת, כי נוכח הכלים וכמות הסם, החזקת הסם נעשתה </w:t>
      </w:r>
      <w:r w:rsidRPr="00BC77BE">
        <w:rPr>
          <w:rFonts w:hint="cs"/>
          <w:sz w:val="26"/>
          <w:szCs w:val="26"/>
          <w:u w:val="single"/>
          <w:rtl/>
        </w:rPr>
        <w:t>לכל הפחות</w:t>
      </w:r>
      <w:r w:rsidRPr="00BC77BE">
        <w:rPr>
          <w:rFonts w:hint="cs"/>
          <w:sz w:val="26"/>
          <w:szCs w:val="26"/>
          <w:rtl/>
        </w:rPr>
        <w:t xml:space="preserve"> להפקת רווח כלכלי עתידי כלשהו מביצוע העבירה. </w:t>
      </w:r>
    </w:p>
    <w:p w14:paraId="161BEB90"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צודק הסנגור בטענתו כי על פי הוראת </w:t>
      </w:r>
      <w:hyperlink r:id="rId57" w:history="1">
        <w:r w:rsidR="00E87BA8" w:rsidRPr="00E87BA8">
          <w:rPr>
            <w:rFonts w:hint="cs"/>
            <w:color w:val="0000FF"/>
            <w:sz w:val="26"/>
            <w:szCs w:val="26"/>
            <w:u w:val="single"/>
            <w:rtl/>
          </w:rPr>
          <w:t>סעיף</w:t>
        </w:r>
        <w:r w:rsidR="00E87BA8" w:rsidRPr="00E87BA8">
          <w:rPr>
            <w:color w:val="0000FF"/>
            <w:sz w:val="26"/>
            <w:szCs w:val="26"/>
            <w:u w:val="single"/>
            <w:rtl/>
          </w:rPr>
          <w:t xml:space="preserve"> 36</w:t>
        </w:r>
        <w:r w:rsidR="00E87BA8" w:rsidRPr="00E87BA8">
          <w:rPr>
            <w:rFonts w:hint="cs"/>
            <w:color w:val="0000FF"/>
            <w:sz w:val="26"/>
            <w:szCs w:val="26"/>
            <w:u w:val="single"/>
            <w:rtl/>
          </w:rPr>
          <w:t>א</w:t>
        </w:r>
        <w:r w:rsidR="00E87BA8" w:rsidRPr="00E87BA8">
          <w:rPr>
            <w:color w:val="0000FF"/>
            <w:sz w:val="26"/>
            <w:szCs w:val="26"/>
            <w:u w:val="single"/>
            <w:rtl/>
          </w:rPr>
          <w:t>(</w:t>
        </w:r>
        <w:r w:rsidR="00E87BA8" w:rsidRPr="00E87BA8">
          <w:rPr>
            <w:rFonts w:hint="cs"/>
            <w:color w:val="0000FF"/>
            <w:sz w:val="26"/>
            <w:szCs w:val="26"/>
            <w:u w:val="single"/>
            <w:rtl/>
          </w:rPr>
          <w:t>ב</w:t>
        </w:r>
        <w:r w:rsidR="00E87BA8" w:rsidRPr="00E87BA8">
          <w:rPr>
            <w:color w:val="0000FF"/>
            <w:sz w:val="26"/>
            <w:szCs w:val="26"/>
            <w:u w:val="single"/>
            <w:rtl/>
          </w:rPr>
          <w:t>)</w:t>
        </w:r>
      </w:hyperlink>
      <w:r w:rsidRPr="00BC77BE">
        <w:rPr>
          <w:rFonts w:hint="cs"/>
          <w:sz w:val="26"/>
          <w:szCs w:val="26"/>
          <w:rtl/>
        </w:rPr>
        <w:t xml:space="preserve"> לפקודת הסמים ההכרזה שהמורשע הוא סוחר סמים, צריכה להיעשות במסגרת הכרעת הדין ולפיכך המאשימה נדרשה לבקש הכרזה כאמור טרם הכרעת הדין. עם זאת, בנסיבות העניין לא נגרם לנאשם כל עיוות דין, או חוסר צדק בולט עקב הליקוי בהליך ובמכלול לא קופחו זכויותיו. שכן, ראשית, בכתב האישום המתוקן, בו הודה הנאשם, נכללה הודעה לפיה המאשימה מבקשת להכריז על הנאשם כסוחר סמים ובעקבות כך לחלט ממנו סך של 800 ₪; שנית, במהלך הטיעונים לעונש עתרה המאשימה, בין היתר, להכרזה על הנאשם כסוחר סמים ועל חילוט הכספים ואילו הסנגור מטעמים השמורים עמו לא טען בדיון כנגד בקשת המאשימה; שלישית, משהגישה המאשימה את נימוקיה המפורטים לבקשה עלי כתב ניתנה להגנה הזדמנות להשיב לבקשה ולנמק את נימוקיה וכך עשתה. בנסיבות אלה אין בידי לקבל את טענתו הפרוצדוראלית של הסנגור לפיה יש לדחות הבקשה מן הטעם שהמאשימה לא הודיעה על כוונתה זו במעמד הכרעת הדין (ראו: </w:t>
      </w:r>
      <w:hyperlink r:id="rId58" w:history="1">
        <w:r w:rsidR="00D369E9" w:rsidRPr="00D369E9">
          <w:rPr>
            <w:rFonts w:hint="cs"/>
            <w:color w:val="0000FF"/>
            <w:sz w:val="26"/>
            <w:szCs w:val="26"/>
            <w:u w:val="single"/>
            <w:rtl/>
          </w:rPr>
          <w:t>רע</w:t>
        </w:r>
        <w:r w:rsidR="00D369E9" w:rsidRPr="00D369E9">
          <w:rPr>
            <w:color w:val="0000FF"/>
            <w:sz w:val="26"/>
            <w:szCs w:val="26"/>
            <w:u w:val="single"/>
            <w:rtl/>
          </w:rPr>
          <w:t>"</w:t>
        </w:r>
        <w:r w:rsidR="00D369E9" w:rsidRPr="00D369E9">
          <w:rPr>
            <w:rFonts w:hint="cs"/>
            <w:color w:val="0000FF"/>
            <w:sz w:val="26"/>
            <w:szCs w:val="26"/>
            <w:u w:val="single"/>
            <w:rtl/>
          </w:rPr>
          <w:t>פ</w:t>
        </w:r>
        <w:r w:rsidR="00D369E9" w:rsidRPr="00D369E9">
          <w:rPr>
            <w:color w:val="0000FF"/>
            <w:sz w:val="26"/>
            <w:szCs w:val="26"/>
            <w:u w:val="single"/>
            <w:rtl/>
          </w:rPr>
          <w:t xml:space="preserve"> 7819/15</w:t>
        </w:r>
      </w:hyperlink>
      <w:r w:rsidRPr="00BC77BE">
        <w:rPr>
          <w:rFonts w:hint="cs"/>
          <w:sz w:val="26"/>
          <w:szCs w:val="26"/>
          <w:u w:val="single"/>
          <w:rtl/>
        </w:rPr>
        <w:t xml:space="preserve"> </w:t>
      </w:r>
      <w:r w:rsidRPr="00BC77BE">
        <w:rPr>
          <w:rFonts w:hint="cs"/>
          <w:b/>
          <w:bCs/>
          <w:sz w:val="26"/>
          <w:szCs w:val="26"/>
          <w:rtl/>
        </w:rPr>
        <w:t>עופר סלור נ' מדינת ישראל</w:t>
      </w:r>
      <w:r w:rsidRPr="00BC77BE">
        <w:rPr>
          <w:rFonts w:hint="cs"/>
          <w:sz w:val="26"/>
          <w:szCs w:val="26"/>
          <w:rtl/>
        </w:rPr>
        <w:t xml:space="preserve">). </w:t>
      </w:r>
    </w:p>
    <w:p w14:paraId="48289E79"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לגופו של עניין, אכן צודק הסנגור בטענתו כי גידול כמות סם במשקל של 1.212ק"ג והחזקת כלים להכנת סם שלא לצריכה עצמית אינה מעידה מניה וביה על כוונת רווח ואולם, לא ניתן לומר כי הנאשם הופתע מבקשת המאשימה להכריז עליו כסוחר סמים ולחלט הכספים שנתפסו ברשותו היה ויורשע בדינו, לאחר שבקשה כזו נכללה בכתב האישום המתוקן, בו הודה. הנאשם יכול היה להתגונן, לו רצה בכך, מול הטענה שהתכוון להפיק רווח מהעבירות בשלב שלפני הודאתו, אך גם בשלב שלאחר מכן. עם זאת, הוא בחר שלא לעשות כן והותיר את החזקה הנלמדת מניסיון החיים והשכל הישר על מכונה. נכון הדבר שהנאשם לא הועמד לדין על עבירת החזקת סם שלא לצריכה עצמית או על עבירת הסחר ואולם יושם אל לב כי הגדרת "עבירה של עסקת סמים" מתייחסת לכל עבירה הכלולה בפקודת הסמים שהעונש הקבוע לצדה הוא 20 שנות מאסר ומעלה. ודוק, גם המגדל סמים וגם המחזיק בכלים להכנת סם שלא לצריכה עצמית סמים מסוכנים יכול להיות מוכרז כסוחר סמים אם הפיק או אמור היה להפיק רווח מעסקת הסמים. </w:t>
      </w:r>
    </w:p>
    <w:p w14:paraId="59545369" w14:textId="77777777" w:rsidR="00F25C35" w:rsidRDefault="00F25C35" w:rsidP="00F25C35">
      <w:pPr>
        <w:pStyle w:val="a9"/>
        <w:numPr>
          <w:ilvl w:val="0"/>
          <w:numId w:val="1"/>
        </w:numPr>
        <w:ind w:left="567" w:hanging="567"/>
        <w:rPr>
          <w:sz w:val="26"/>
          <w:szCs w:val="26"/>
        </w:rPr>
      </w:pPr>
      <w:r w:rsidRPr="00BC77BE">
        <w:rPr>
          <w:rFonts w:hint="cs"/>
          <w:sz w:val="26"/>
          <w:szCs w:val="26"/>
          <w:rtl/>
        </w:rPr>
        <w:t xml:space="preserve">כללם של דברים, ומשהוכח לכל הפחות שהנאשם יכול היה להפיק רווח פוטנציאלי מעבירות הסמים שביצע, מצאתי להכריז עליו כסוחר סמים לצורך חילוט הכספים שנתפסו בהחזקתו.  </w:t>
      </w:r>
    </w:p>
    <w:p w14:paraId="1310B99D" w14:textId="77777777" w:rsidR="00F25C35" w:rsidRPr="00BC77BE" w:rsidRDefault="00F25C35" w:rsidP="00F25C35">
      <w:pPr>
        <w:pStyle w:val="a9"/>
        <w:numPr>
          <w:ilvl w:val="0"/>
          <w:numId w:val="1"/>
        </w:numPr>
        <w:ind w:left="567" w:hanging="567"/>
        <w:rPr>
          <w:sz w:val="26"/>
          <w:szCs w:val="26"/>
        </w:rPr>
      </w:pPr>
      <w:r w:rsidRPr="00BC77BE">
        <w:rPr>
          <w:rFonts w:hint="cs"/>
          <w:b/>
          <w:bCs/>
          <w:sz w:val="26"/>
          <w:szCs w:val="26"/>
          <w:rtl/>
        </w:rPr>
        <w:t>מכל המקובץ לעיל, הריני גוזרת על הנאשם את העונשים הבאים:</w:t>
      </w:r>
    </w:p>
    <w:p w14:paraId="03AD870B" w14:textId="77777777" w:rsidR="00F25C35" w:rsidRPr="00A54FC3" w:rsidRDefault="00F25C35" w:rsidP="00F25C35">
      <w:pPr>
        <w:pStyle w:val="a9"/>
        <w:numPr>
          <w:ilvl w:val="0"/>
          <w:numId w:val="2"/>
        </w:numPr>
        <w:ind w:left="927"/>
        <w:rPr>
          <w:sz w:val="26"/>
          <w:szCs w:val="26"/>
        </w:rPr>
      </w:pPr>
      <w:r>
        <w:rPr>
          <w:rFonts w:hint="cs"/>
          <w:b/>
          <w:bCs/>
          <w:sz w:val="26"/>
          <w:szCs w:val="26"/>
          <w:rtl/>
        </w:rPr>
        <w:t xml:space="preserve">6 </w:t>
      </w:r>
      <w:r w:rsidRPr="00A54FC3">
        <w:rPr>
          <w:rFonts w:hint="cs"/>
          <w:b/>
          <w:bCs/>
          <w:sz w:val="26"/>
          <w:szCs w:val="26"/>
          <w:rtl/>
        </w:rPr>
        <w:t xml:space="preserve">חודשי מאסר בפועל, שירוצו בעבודות שירות, </w:t>
      </w:r>
      <w:r w:rsidRPr="00A54FC3">
        <w:rPr>
          <w:rFonts w:hint="cs"/>
          <w:b/>
          <w:bCs/>
          <w:sz w:val="26"/>
          <w:szCs w:val="26"/>
          <w:u w:val="single"/>
          <w:rtl/>
        </w:rPr>
        <w:t>בניכוי ימי מעצרו</w:t>
      </w:r>
      <w:r w:rsidRPr="00A54FC3">
        <w:rPr>
          <w:rFonts w:hint="cs"/>
          <w:b/>
          <w:bCs/>
          <w:sz w:val="26"/>
          <w:szCs w:val="26"/>
          <w:rtl/>
        </w:rPr>
        <w:t>.</w:t>
      </w:r>
    </w:p>
    <w:p w14:paraId="33225DA8" w14:textId="77777777" w:rsidR="00F25C35" w:rsidRDefault="00F25C35" w:rsidP="00F25C35">
      <w:pPr>
        <w:pStyle w:val="a9"/>
        <w:ind w:left="927" w:firstLine="0"/>
        <w:rPr>
          <w:sz w:val="26"/>
          <w:szCs w:val="26"/>
          <w:rtl/>
        </w:rPr>
      </w:pPr>
      <w:r w:rsidRPr="00B57F23">
        <w:rPr>
          <w:rFonts w:hint="cs"/>
          <w:sz w:val="26"/>
          <w:szCs w:val="26"/>
          <w:rtl/>
        </w:rPr>
        <w:t xml:space="preserve">בהתאם לאמור בחוות דעת הממונה על עבודות השירות מיום 12.02.2018, הנאשם יחל בריצוי המאסר ביום </w:t>
      </w:r>
      <w:r w:rsidRPr="00B57F23">
        <w:rPr>
          <w:rFonts w:hint="cs"/>
          <w:b/>
          <w:bCs/>
          <w:sz w:val="26"/>
          <w:szCs w:val="26"/>
          <w:u w:val="single"/>
          <w:rtl/>
        </w:rPr>
        <w:t>09.04.2018,</w:t>
      </w:r>
      <w:r w:rsidRPr="00B57F23">
        <w:rPr>
          <w:rFonts w:hint="cs"/>
          <w:sz w:val="26"/>
          <w:szCs w:val="26"/>
          <w:rtl/>
        </w:rPr>
        <w:t xml:space="preserve"> אלא אם הממונה יודיעו אחרת. </w:t>
      </w:r>
    </w:p>
    <w:p w14:paraId="486FB366" w14:textId="77777777" w:rsidR="00F25C35" w:rsidRPr="00B57F23" w:rsidRDefault="00F25C35" w:rsidP="00F25C35">
      <w:pPr>
        <w:pStyle w:val="a9"/>
        <w:ind w:left="927" w:firstLine="0"/>
        <w:rPr>
          <w:sz w:val="26"/>
          <w:szCs w:val="26"/>
        </w:rPr>
      </w:pPr>
      <w:r w:rsidRPr="00B57F23">
        <w:rPr>
          <w:rFonts w:hint="cs"/>
          <w:sz w:val="26"/>
          <w:szCs w:val="26"/>
          <w:rtl/>
        </w:rPr>
        <w:t xml:space="preserve">העבודות תבוצענה במועצה הדתית בקריית מלאכי, הגליל 6 קריית מלאכי. </w:t>
      </w:r>
    </w:p>
    <w:p w14:paraId="004220D5" w14:textId="77777777" w:rsidR="00F25C35" w:rsidRPr="00A54FC3" w:rsidRDefault="00F25C35" w:rsidP="00F25C35">
      <w:pPr>
        <w:pStyle w:val="a9"/>
        <w:ind w:left="927" w:firstLine="0"/>
        <w:rPr>
          <w:sz w:val="26"/>
          <w:szCs w:val="26"/>
          <w:rtl/>
        </w:rPr>
      </w:pPr>
      <w:r w:rsidRPr="00A54FC3">
        <w:rPr>
          <w:rFonts w:hint="cs"/>
          <w:sz w:val="26"/>
          <w:szCs w:val="26"/>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03F23784" w14:textId="77777777" w:rsidR="00F25C35" w:rsidRPr="00A54FC3" w:rsidRDefault="00F25C35" w:rsidP="00F25C35">
      <w:pPr>
        <w:pStyle w:val="a9"/>
        <w:ind w:left="927" w:firstLine="0"/>
        <w:rPr>
          <w:b/>
          <w:bCs/>
          <w:sz w:val="26"/>
          <w:szCs w:val="26"/>
          <w:rtl/>
        </w:rPr>
      </w:pPr>
      <w:r w:rsidRPr="00A54FC3">
        <w:rPr>
          <w:rFonts w:hint="cs"/>
          <w:sz w:val="26"/>
          <w:szCs w:val="26"/>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A54FC3">
        <w:rPr>
          <w:rFonts w:hint="cs"/>
          <w:b/>
          <w:bCs/>
          <w:sz w:val="26"/>
          <w:szCs w:val="26"/>
          <w:rtl/>
        </w:rPr>
        <w:t>.</w:t>
      </w:r>
    </w:p>
    <w:p w14:paraId="7E4875E7" w14:textId="77777777" w:rsidR="00F25C35" w:rsidRPr="00A54FC3" w:rsidRDefault="00F25C35" w:rsidP="00F25C35">
      <w:pPr>
        <w:pStyle w:val="a9"/>
        <w:ind w:left="927" w:firstLine="0"/>
        <w:rPr>
          <w:b/>
          <w:bCs/>
          <w:sz w:val="26"/>
          <w:szCs w:val="26"/>
          <w:rtl/>
        </w:rPr>
      </w:pPr>
      <w:r>
        <w:rPr>
          <w:rFonts w:hint="cs"/>
          <w:b/>
          <w:bCs/>
          <w:sz w:val="26"/>
          <w:szCs w:val="26"/>
          <w:rtl/>
        </w:rPr>
        <w:t xml:space="preserve">בהתאם להסכמתו של הנאשם, </w:t>
      </w:r>
      <w:r w:rsidRPr="00A54FC3">
        <w:rPr>
          <w:rFonts w:hint="cs"/>
          <w:b/>
          <w:bCs/>
          <w:sz w:val="26"/>
          <w:szCs w:val="26"/>
          <w:rtl/>
        </w:rPr>
        <w:t>מתירה לממונה על עבודות השירות לבצע לנאשם בדי</w:t>
      </w:r>
      <w:r>
        <w:rPr>
          <w:rFonts w:hint="cs"/>
          <w:b/>
          <w:bCs/>
          <w:sz w:val="26"/>
          <w:szCs w:val="26"/>
          <w:rtl/>
        </w:rPr>
        <w:t xml:space="preserve">קות לגילוי שרידי סם ככל שיידרש. </w:t>
      </w:r>
    </w:p>
    <w:p w14:paraId="3CE01AE9" w14:textId="77777777" w:rsidR="00F25C35" w:rsidRPr="00A54FC3" w:rsidRDefault="00F25C35" w:rsidP="00F25C35">
      <w:pPr>
        <w:pStyle w:val="a9"/>
        <w:ind w:left="927" w:firstLine="0"/>
        <w:rPr>
          <w:b/>
          <w:bCs/>
          <w:sz w:val="26"/>
          <w:szCs w:val="26"/>
          <w:u w:val="single"/>
          <w:rtl/>
        </w:rPr>
      </w:pPr>
      <w:r w:rsidRPr="00A54FC3">
        <w:rPr>
          <w:rFonts w:hint="cs"/>
          <w:b/>
          <w:bCs/>
          <w:sz w:val="26"/>
          <w:szCs w:val="26"/>
          <w:u w:val="single"/>
          <w:rtl/>
        </w:rPr>
        <w:t>העתק ההחלטה בדחיפות לממונה על עבודות השירות.</w:t>
      </w:r>
    </w:p>
    <w:p w14:paraId="7C75373B" w14:textId="77777777" w:rsidR="00F25C35" w:rsidRPr="00A54FC3" w:rsidRDefault="00F25C35" w:rsidP="00F25C35">
      <w:pPr>
        <w:pStyle w:val="a9"/>
        <w:numPr>
          <w:ilvl w:val="0"/>
          <w:numId w:val="2"/>
        </w:numPr>
        <w:ind w:left="927"/>
        <w:rPr>
          <w:b/>
          <w:bCs/>
          <w:sz w:val="26"/>
          <w:szCs w:val="26"/>
        </w:rPr>
      </w:pPr>
      <w:r w:rsidRPr="00A54FC3">
        <w:rPr>
          <w:rFonts w:hint="cs"/>
          <w:b/>
          <w:bCs/>
          <w:sz w:val="26"/>
          <w:szCs w:val="26"/>
          <w:rtl/>
        </w:rPr>
        <w:t>צו מבחן של שירות המבחן למשך שנה מהיום.</w:t>
      </w:r>
    </w:p>
    <w:p w14:paraId="37D4C36D" w14:textId="77777777" w:rsidR="00F25C35" w:rsidRPr="00A54FC3" w:rsidRDefault="00F25C35" w:rsidP="00F25C35">
      <w:pPr>
        <w:pStyle w:val="a9"/>
        <w:ind w:left="927" w:firstLine="0"/>
        <w:rPr>
          <w:rFonts w:eastAsia="Times New Roman"/>
          <w:sz w:val="26"/>
          <w:szCs w:val="26"/>
        </w:rPr>
      </w:pPr>
      <w:r w:rsidRPr="00A54FC3">
        <w:rPr>
          <w:rFonts w:eastAsia="Times New Roman" w:hint="cs"/>
          <w:sz w:val="26"/>
          <w:szCs w:val="26"/>
          <w:rtl/>
        </w:rPr>
        <w:t>הובהרה לנאשם חשיבות שיתוף הפעולה עם שירות המבחן, והמשמעויות של אי עמידה בתנאי צו המבחן.</w:t>
      </w:r>
    </w:p>
    <w:p w14:paraId="785A0323" w14:textId="77777777" w:rsidR="00F25C35" w:rsidRPr="00A54FC3" w:rsidRDefault="00F25C35" w:rsidP="00F25C35">
      <w:pPr>
        <w:pStyle w:val="a9"/>
        <w:ind w:left="927" w:firstLine="0"/>
        <w:rPr>
          <w:b/>
          <w:bCs/>
          <w:sz w:val="26"/>
          <w:szCs w:val="26"/>
          <w:u w:val="single"/>
          <w:rtl/>
        </w:rPr>
      </w:pPr>
      <w:r w:rsidRPr="00A54FC3">
        <w:rPr>
          <w:rFonts w:eastAsia="Times New Roman" w:hint="cs"/>
          <w:b/>
          <w:bCs/>
          <w:sz w:val="26"/>
          <w:szCs w:val="26"/>
          <w:u w:val="single"/>
          <w:rtl/>
        </w:rPr>
        <w:t>העתק ההחלטה לשירות המבחן</w:t>
      </w:r>
      <w:r w:rsidRPr="00A54FC3">
        <w:rPr>
          <w:rFonts w:hint="cs"/>
          <w:b/>
          <w:bCs/>
          <w:sz w:val="26"/>
          <w:szCs w:val="26"/>
          <w:u w:val="single"/>
          <w:rtl/>
        </w:rPr>
        <w:t>.</w:t>
      </w:r>
    </w:p>
    <w:p w14:paraId="30374E0D" w14:textId="77777777" w:rsidR="00F25C35" w:rsidRPr="00A54FC3" w:rsidRDefault="00F25C35" w:rsidP="00F25C35">
      <w:pPr>
        <w:pStyle w:val="a9"/>
        <w:numPr>
          <w:ilvl w:val="0"/>
          <w:numId w:val="2"/>
        </w:numPr>
        <w:ind w:left="927"/>
        <w:rPr>
          <w:b/>
          <w:bCs/>
          <w:sz w:val="26"/>
          <w:szCs w:val="26"/>
        </w:rPr>
      </w:pPr>
      <w:r w:rsidRPr="00A54FC3">
        <w:rPr>
          <w:rFonts w:hint="cs"/>
          <w:b/>
          <w:bCs/>
          <w:sz w:val="26"/>
          <w:szCs w:val="26"/>
          <w:rtl/>
        </w:rPr>
        <w:t>מאסר מותנה למשך 8 חודשים, אשר יופעל אם תוך תקופה של 3 שנים מהיום הנאשם יעבור עבירה לפי פקודת הסמים, מסוג פשע.</w:t>
      </w:r>
    </w:p>
    <w:p w14:paraId="54BA17C5" w14:textId="77777777" w:rsidR="00F25C35" w:rsidRPr="00A54FC3" w:rsidRDefault="00F25C35" w:rsidP="00F25C35">
      <w:pPr>
        <w:pStyle w:val="a9"/>
        <w:numPr>
          <w:ilvl w:val="0"/>
          <w:numId w:val="2"/>
        </w:numPr>
        <w:ind w:left="927"/>
        <w:rPr>
          <w:b/>
          <w:bCs/>
          <w:sz w:val="26"/>
          <w:szCs w:val="26"/>
        </w:rPr>
      </w:pPr>
      <w:r w:rsidRPr="00A54FC3">
        <w:rPr>
          <w:rFonts w:hint="cs"/>
          <w:b/>
          <w:bCs/>
          <w:sz w:val="26"/>
          <w:szCs w:val="26"/>
          <w:rtl/>
        </w:rPr>
        <w:t>מאסר מותנה למשך 4 חודשים, אשר יופעל אם תוך תקופה של 3 שנים מהיום הנאשם יעבור עבירה לפי פקודת הסמים, מסוג עוון.</w:t>
      </w:r>
    </w:p>
    <w:p w14:paraId="022ED29D" w14:textId="77777777" w:rsidR="00F25C35" w:rsidRPr="00A54FC3" w:rsidRDefault="00F25C35" w:rsidP="00F25C35">
      <w:pPr>
        <w:pStyle w:val="a9"/>
        <w:numPr>
          <w:ilvl w:val="0"/>
          <w:numId w:val="2"/>
        </w:numPr>
        <w:ind w:left="927"/>
        <w:rPr>
          <w:b/>
          <w:bCs/>
          <w:sz w:val="26"/>
          <w:szCs w:val="26"/>
          <w:rtl/>
        </w:rPr>
      </w:pPr>
      <w:r w:rsidRPr="00A54FC3">
        <w:rPr>
          <w:rFonts w:hint="cs"/>
          <w:b/>
          <w:bCs/>
          <w:sz w:val="26"/>
          <w:szCs w:val="26"/>
          <w:rtl/>
        </w:rPr>
        <w:t>קנס בסך 2,500 ₪ או 25 ימי מאסר תמורתו.</w:t>
      </w:r>
    </w:p>
    <w:p w14:paraId="59526FAE" w14:textId="77777777" w:rsidR="00F25C35" w:rsidRDefault="00F25C35" w:rsidP="00F25C35">
      <w:pPr>
        <w:pStyle w:val="a9"/>
        <w:ind w:left="927" w:firstLine="0"/>
        <w:rPr>
          <w:sz w:val="26"/>
          <w:szCs w:val="26"/>
          <w:rtl/>
        </w:rPr>
      </w:pPr>
      <w:r>
        <w:rPr>
          <w:rFonts w:hint="cs"/>
          <w:sz w:val="26"/>
          <w:szCs w:val="26"/>
          <w:rtl/>
        </w:rPr>
        <w:t xml:space="preserve">הקנס ישולם ב- 5 תשלומים חודשיים שווים ורצופים, כשהראשון שבהם יחל ביום 9/11/18. </w:t>
      </w:r>
    </w:p>
    <w:p w14:paraId="4A934B37" w14:textId="77777777" w:rsidR="00F25C35" w:rsidRPr="00A54FC3" w:rsidRDefault="00F25C35" w:rsidP="00F25C35">
      <w:pPr>
        <w:pStyle w:val="a9"/>
        <w:numPr>
          <w:ilvl w:val="0"/>
          <w:numId w:val="2"/>
        </w:numPr>
        <w:ind w:left="927"/>
        <w:rPr>
          <w:b/>
          <w:bCs/>
          <w:sz w:val="26"/>
          <w:szCs w:val="26"/>
          <w:rtl/>
        </w:rPr>
      </w:pPr>
      <w:r w:rsidRPr="00A54FC3">
        <w:rPr>
          <w:rFonts w:eastAsia="Times New Roman" w:hint="cs"/>
          <w:b/>
          <w:bCs/>
          <w:sz w:val="26"/>
          <w:szCs w:val="26"/>
          <w:rtl/>
        </w:rPr>
        <w:t xml:space="preserve">הנאשם יחתום על התחייבות כספית על סך 10,000 ₪ שלא לעבור כל עבירת בניגוד לפקודת הסמים, וזאת לתקופה של שלוש שנים מהיום. </w:t>
      </w:r>
    </w:p>
    <w:p w14:paraId="0FB96822" w14:textId="77777777" w:rsidR="00F25C35" w:rsidRPr="00A54FC3" w:rsidRDefault="00F25C35" w:rsidP="00F25C35">
      <w:pPr>
        <w:pStyle w:val="a9"/>
        <w:ind w:left="927" w:firstLine="0"/>
        <w:rPr>
          <w:rFonts w:eastAsia="Times New Roman"/>
          <w:sz w:val="26"/>
          <w:szCs w:val="26"/>
        </w:rPr>
      </w:pPr>
      <w:r w:rsidRPr="00A54FC3">
        <w:rPr>
          <w:rFonts w:eastAsia="Times New Roman" w:hint="cs"/>
          <w:sz w:val="26"/>
          <w:szCs w:val="26"/>
          <w:rtl/>
        </w:rPr>
        <w:t>ככל שלא תיחתם ההתחייבות תוך 7 ימים, ייאסר הנאשם למשך 10 ימים.</w:t>
      </w:r>
    </w:p>
    <w:p w14:paraId="56DC8A16" w14:textId="77777777" w:rsidR="00F25C35" w:rsidRPr="00A54FC3" w:rsidRDefault="00F25C35" w:rsidP="00F25C35">
      <w:pPr>
        <w:pStyle w:val="a9"/>
        <w:numPr>
          <w:ilvl w:val="0"/>
          <w:numId w:val="2"/>
        </w:numPr>
        <w:ind w:left="927"/>
        <w:rPr>
          <w:rFonts w:eastAsia="Times New Roman"/>
          <w:sz w:val="26"/>
          <w:szCs w:val="26"/>
          <w:rtl/>
        </w:rPr>
      </w:pPr>
      <w:r w:rsidRPr="00A54FC3">
        <w:rPr>
          <w:rFonts w:eastAsia="Times New Roman" w:hint="cs"/>
          <w:sz w:val="26"/>
          <w:szCs w:val="26"/>
          <w:rtl/>
        </w:rPr>
        <w:t>אני פוסלת את הנאשם מלקבל או מלהחזיק רישיון נהיגה למשך 4 חודשים, וזאת על  תנאי שלא יעבור כל עבירה בניגוד ל</w:t>
      </w:r>
      <w:hyperlink r:id="rId59" w:history="1">
        <w:r w:rsidR="00D369E9" w:rsidRPr="00D369E9">
          <w:rPr>
            <w:rFonts w:eastAsia="Times New Roman" w:hint="eastAsia"/>
            <w:color w:val="0000FF"/>
            <w:sz w:val="26"/>
            <w:szCs w:val="26"/>
            <w:u w:val="single"/>
            <w:rtl/>
          </w:rPr>
          <w:t>פקודת</w:t>
        </w:r>
        <w:r w:rsidR="00D369E9" w:rsidRPr="00D369E9">
          <w:rPr>
            <w:rFonts w:eastAsia="Times New Roman"/>
            <w:color w:val="0000FF"/>
            <w:sz w:val="26"/>
            <w:szCs w:val="26"/>
            <w:u w:val="single"/>
            <w:rtl/>
          </w:rPr>
          <w:t xml:space="preserve"> </w:t>
        </w:r>
        <w:r w:rsidR="00D369E9" w:rsidRPr="00D369E9">
          <w:rPr>
            <w:rFonts w:eastAsia="Times New Roman" w:hint="eastAsia"/>
            <w:color w:val="0000FF"/>
            <w:sz w:val="26"/>
            <w:szCs w:val="26"/>
            <w:u w:val="single"/>
            <w:rtl/>
          </w:rPr>
          <w:t>הסמים</w:t>
        </w:r>
        <w:r w:rsidR="00D369E9" w:rsidRPr="00D369E9">
          <w:rPr>
            <w:rFonts w:eastAsia="Times New Roman"/>
            <w:color w:val="0000FF"/>
            <w:sz w:val="26"/>
            <w:szCs w:val="26"/>
            <w:u w:val="single"/>
            <w:rtl/>
          </w:rPr>
          <w:t xml:space="preserve"> </w:t>
        </w:r>
        <w:r w:rsidR="00D369E9" w:rsidRPr="00D369E9">
          <w:rPr>
            <w:rFonts w:eastAsia="Times New Roman" w:hint="eastAsia"/>
            <w:color w:val="0000FF"/>
            <w:sz w:val="26"/>
            <w:szCs w:val="26"/>
            <w:u w:val="single"/>
            <w:rtl/>
          </w:rPr>
          <w:t>המסוכנים</w:t>
        </w:r>
      </w:hyperlink>
      <w:r w:rsidRPr="00A54FC3">
        <w:rPr>
          <w:rFonts w:eastAsia="Times New Roman" w:hint="cs"/>
          <w:sz w:val="26"/>
          <w:szCs w:val="26"/>
          <w:rtl/>
        </w:rPr>
        <w:t xml:space="preserve"> במשך שנתיים מהיום.</w:t>
      </w:r>
    </w:p>
    <w:p w14:paraId="65AA4E7F" w14:textId="77777777" w:rsidR="00F25C35" w:rsidRPr="00A54FC3" w:rsidRDefault="00F25C35" w:rsidP="00F25C35">
      <w:pPr>
        <w:pStyle w:val="a9"/>
        <w:numPr>
          <w:ilvl w:val="0"/>
          <w:numId w:val="2"/>
        </w:numPr>
        <w:ind w:left="927"/>
        <w:rPr>
          <w:rFonts w:eastAsia="Times New Roman"/>
          <w:sz w:val="26"/>
          <w:szCs w:val="26"/>
          <w:rtl/>
        </w:rPr>
      </w:pPr>
      <w:r w:rsidRPr="00A54FC3">
        <w:rPr>
          <w:rFonts w:eastAsia="Times New Roman" w:hint="cs"/>
          <w:sz w:val="26"/>
          <w:szCs w:val="26"/>
          <w:rtl/>
        </w:rPr>
        <w:t xml:space="preserve">משהוכרז הנאשם כסוחר סמים ובהתאם </w:t>
      </w:r>
      <w:hyperlink r:id="rId60" w:history="1">
        <w:r w:rsidR="00E87BA8" w:rsidRPr="00E87BA8">
          <w:rPr>
            <w:rFonts w:eastAsia="Times New Roman" w:hint="eastAsia"/>
            <w:color w:val="0000FF"/>
            <w:sz w:val="26"/>
            <w:szCs w:val="26"/>
            <w:u w:val="single"/>
            <w:rtl/>
          </w:rPr>
          <w:t>לסעיף</w:t>
        </w:r>
        <w:r w:rsidR="00E87BA8" w:rsidRPr="00E87BA8">
          <w:rPr>
            <w:rFonts w:eastAsia="Times New Roman"/>
            <w:color w:val="0000FF"/>
            <w:sz w:val="26"/>
            <w:szCs w:val="26"/>
            <w:u w:val="single"/>
            <w:rtl/>
          </w:rPr>
          <w:t xml:space="preserve"> 36</w:t>
        </w:r>
        <w:r w:rsidR="00E87BA8" w:rsidRPr="00E87BA8">
          <w:rPr>
            <w:rFonts w:eastAsia="Times New Roman" w:hint="eastAsia"/>
            <w:color w:val="0000FF"/>
            <w:sz w:val="26"/>
            <w:szCs w:val="26"/>
            <w:u w:val="single"/>
            <w:rtl/>
          </w:rPr>
          <w:t>א</w:t>
        </w:r>
        <w:r w:rsidR="00E87BA8" w:rsidRPr="00E87BA8">
          <w:rPr>
            <w:rFonts w:eastAsia="Times New Roman"/>
            <w:color w:val="0000FF"/>
            <w:sz w:val="26"/>
            <w:szCs w:val="26"/>
            <w:u w:val="single"/>
            <w:rtl/>
          </w:rPr>
          <w:t>(</w:t>
        </w:r>
        <w:r w:rsidR="00E87BA8" w:rsidRPr="00E87BA8">
          <w:rPr>
            <w:rFonts w:eastAsia="Times New Roman" w:hint="eastAsia"/>
            <w:color w:val="0000FF"/>
            <w:sz w:val="26"/>
            <w:szCs w:val="26"/>
            <w:u w:val="single"/>
            <w:rtl/>
          </w:rPr>
          <w:t>א</w:t>
        </w:r>
        <w:r w:rsidR="00E87BA8" w:rsidRPr="00E87BA8">
          <w:rPr>
            <w:rFonts w:eastAsia="Times New Roman"/>
            <w:color w:val="0000FF"/>
            <w:sz w:val="26"/>
            <w:szCs w:val="26"/>
            <w:u w:val="single"/>
            <w:rtl/>
          </w:rPr>
          <w:t>)</w:t>
        </w:r>
      </w:hyperlink>
      <w:r w:rsidRPr="00A54FC3">
        <w:rPr>
          <w:rFonts w:eastAsia="Times New Roman" w:hint="cs"/>
          <w:sz w:val="26"/>
          <w:szCs w:val="26"/>
          <w:rtl/>
        </w:rPr>
        <w:t xml:space="preserve"> ל</w:t>
      </w:r>
      <w:hyperlink r:id="rId61" w:history="1">
        <w:r w:rsidR="00D369E9" w:rsidRPr="00D369E9">
          <w:rPr>
            <w:rFonts w:eastAsia="Times New Roman" w:hint="eastAsia"/>
            <w:color w:val="0000FF"/>
            <w:sz w:val="26"/>
            <w:szCs w:val="26"/>
            <w:u w:val="single"/>
            <w:rtl/>
          </w:rPr>
          <w:t>פקודת</w:t>
        </w:r>
        <w:r w:rsidR="00D369E9" w:rsidRPr="00D369E9">
          <w:rPr>
            <w:rFonts w:eastAsia="Times New Roman"/>
            <w:color w:val="0000FF"/>
            <w:sz w:val="26"/>
            <w:szCs w:val="26"/>
            <w:u w:val="single"/>
            <w:rtl/>
          </w:rPr>
          <w:t xml:space="preserve"> </w:t>
        </w:r>
        <w:r w:rsidR="00D369E9" w:rsidRPr="00D369E9">
          <w:rPr>
            <w:rFonts w:eastAsia="Times New Roman" w:hint="eastAsia"/>
            <w:color w:val="0000FF"/>
            <w:sz w:val="26"/>
            <w:szCs w:val="26"/>
            <w:u w:val="single"/>
            <w:rtl/>
          </w:rPr>
          <w:t>הסמים</w:t>
        </w:r>
        <w:r w:rsidR="00D369E9" w:rsidRPr="00D369E9">
          <w:rPr>
            <w:rFonts w:eastAsia="Times New Roman"/>
            <w:color w:val="0000FF"/>
            <w:sz w:val="26"/>
            <w:szCs w:val="26"/>
            <w:u w:val="single"/>
            <w:rtl/>
          </w:rPr>
          <w:t xml:space="preserve"> </w:t>
        </w:r>
        <w:r w:rsidR="00D369E9" w:rsidRPr="00D369E9">
          <w:rPr>
            <w:rFonts w:eastAsia="Times New Roman" w:hint="eastAsia"/>
            <w:color w:val="0000FF"/>
            <w:sz w:val="26"/>
            <w:szCs w:val="26"/>
            <w:u w:val="single"/>
            <w:rtl/>
          </w:rPr>
          <w:t>המסוכנים</w:t>
        </w:r>
      </w:hyperlink>
      <w:r w:rsidRPr="00A54FC3">
        <w:rPr>
          <w:rFonts w:eastAsia="Times New Roman" w:hint="cs"/>
          <w:sz w:val="26"/>
          <w:szCs w:val="26"/>
          <w:rtl/>
        </w:rPr>
        <w:t xml:space="preserve"> הנני מצווה על חילוט סך של 800 ₪ שנמצאו באחזקתו לטובת אוצר המדינה. </w:t>
      </w:r>
    </w:p>
    <w:p w14:paraId="51925C8A" w14:textId="77777777" w:rsidR="00F25C35" w:rsidRDefault="00F25C35" w:rsidP="00F25C35">
      <w:pPr>
        <w:spacing w:line="360" w:lineRule="auto"/>
        <w:rPr>
          <w:rFonts w:ascii="Calibri" w:hAnsi="Calibri"/>
          <w:sz w:val="26"/>
          <w:szCs w:val="26"/>
          <w:rtl/>
        </w:rPr>
      </w:pPr>
    </w:p>
    <w:p w14:paraId="76F50461" w14:textId="77777777" w:rsidR="00F25C35" w:rsidRDefault="00F25C35" w:rsidP="00F25C35">
      <w:pPr>
        <w:spacing w:line="360" w:lineRule="auto"/>
        <w:rPr>
          <w:rFonts w:ascii="Calibri" w:hAnsi="Calibri"/>
          <w:sz w:val="26"/>
          <w:szCs w:val="26"/>
          <w:rtl/>
        </w:rPr>
      </w:pPr>
      <w:r>
        <w:rPr>
          <w:rFonts w:ascii="Calibri" w:hAnsi="Calibri" w:hint="cs"/>
          <w:sz w:val="26"/>
          <w:szCs w:val="26"/>
          <w:rtl/>
        </w:rPr>
        <w:t xml:space="preserve">המזכירות מתבקשת להשיב הכספים שנותרו בפיקדון במסגרת הליך המעצר מושא תיק זה לסנגור, עוה"ד חיים שטיינברגר. </w:t>
      </w:r>
    </w:p>
    <w:p w14:paraId="30B5ECCF" w14:textId="77777777" w:rsidR="00F25C35" w:rsidRDefault="00F25C35" w:rsidP="00F25C35">
      <w:pPr>
        <w:spacing w:line="360" w:lineRule="auto"/>
        <w:rPr>
          <w:rFonts w:ascii="Calibri" w:hAnsi="Calibri"/>
          <w:sz w:val="26"/>
          <w:szCs w:val="26"/>
          <w:rtl/>
        </w:rPr>
      </w:pPr>
    </w:p>
    <w:p w14:paraId="4E4A8682" w14:textId="77777777" w:rsidR="00F25C35" w:rsidRPr="00F25C35" w:rsidRDefault="00F25C35" w:rsidP="00F25C35">
      <w:pPr>
        <w:spacing w:line="360" w:lineRule="auto"/>
        <w:rPr>
          <w:rFonts w:ascii="Calibri" w:eastAsia="Calibri" w:hAnsi="Calibri"/>
          <w:sz w:val="26"/>
          <w:szCs w:val="26"/>
          <w:rtl/>
        </w:rPr>
      </w:pPr>
      <w:r w:rsidRPr="00A54FC3">
        <w:rPr>
          <w:rFonts w:ascii="Calibri" w:hAnsi="Calibri" w:hint="cs"/>
          <w:sz w:val="26"/>
          <w:szCs w:val="26"/>
          <w:rtl/>
        </w:rPr>
        <w:t xml:space="preserve">מורה על השמדת המוצגים – </w:t>
      </w:r>
      <w:r>
        <w:rPr>
          <w:rFonts w:ascii="Calibri" w:hAnsi="Calibri" w:hint="cs"/>
          <w:sz w:val="26"/>
          <w:szCs w:val="26"/>
          <w:rtl/>
        </w:rPr>
        <w:t>סמים,</w:t>
      </w:r>
      <w:r w:rsidRPr="00A54FC3">
        <w:rPr>
          <w:rFonts w:ascii="Calibri" w:hAnsi="Calibri" w:hint="cs"/>
          <w:sz w:val="26"/>
          <w:szCs w:val="26"/>
          <w:rtl/>
        </w:rPr>
        <w:t xml:space="preserve"> </w:t>
      </w:r>
      <w:r>
        <w:rPr>
          <w:rFonts w:ascii="Calibri" w:hAnsi="Calibri" w:hint="cs"/>
          <w:sz w:val="26"/>
          <w:szCs w:val="26"/>
          <w:rtl/>
        </w:rPr>
        <w:t xml:space="preserve">מנורת חימום + שנאי, אדניות, </w:t>
      </w:r>
      <w:r w:rsidRPr="00A54FC3">
        <w:rPr>
          <w:rFonts w:ascii="Calibri" w:hAnsi="Calibri" w:hint="cs"/>
          <w:sz w:val="26"/>
          <w:szCs w:val="26"/>
          <w:rtl/>
        </w:rPr>
        <w:t xml:space="preserve">בכפוף </w:t>
      </w:r>
      <w:r w:rsidRPr="00A54FC3">
        <w:rPr>
          <w:rFonts w:hint="cs"/>
          <w:sz w:val="26"/>
          <w:szCs w:val="26"/>
          <w:rtl/>
        </w:rPr>
        <w:t>לחלוף תקופת הערעור.</w:t>
      </w:r>
    </w:p>
    <w:p w14:paraId="1C1703BE" w14:textId="77777777" w:rsidR="00F25C35" w:rsidRPr="00A54FC3" w:rsidRDefault="00F25C35" w:rsidP="00F25C35">
      <w:pPr>
        <w:spacing w:line="360" w:lineRule="auto"/>
        <w:rPr>
          <w:b/>
          <w:bCs/>
          <w:sz w:val="26"/>
          <w:szCs w:val="26"/>
          <w:rtl/>
        </w:rPr>
      </w:pPr>
    </w:p>
    <w:p w14:paraId="39F753AF" w14:textId="77777777" w:rsidR="00F25C35" w:rsidRPr="00A54FC3" w:rsidRDefault="00F25C35" w:rsidP="00F25C35">
      <w:pPr>
        <w:spacing w:line="360" w:lineRule="auto"/>
        <w:rPr>
          <w:b/>
          <w:bCs/>
          <w:sz w:val="26"/>
          <w:szCs w:val="26"/>
          <w:rtl/>
        </w:rPr>
      </w:pPr>
      <w:r w:rsidRPr="00A54FC3">
        <w:rPr>
          <w:rFonts w:hint="cs"/>
          <w:b/>
          <w:bCs/>
          <w:sz w:val="26"/>
          <w:szCs w:val="26"/>
          <w:rtl/>
        </w:rPr>
        <w:t>זכות ערעור כחוק.</w:t>
      </w:r>
    </w:p>
    <w:p w14:paraId="60523B3C" w14:textId="77777777" w:rsidR="00F25C35" w:rsidRPr="00A54FC3" w:rsidRDefault="00F25C35" w:rsidP="00F25C35">
      <w:pPr>
        <w:spacing w:line="360" w:lineRule="auto"/>
        <w:ind w:left="207"/>
        <w:rPr>
          <w:b/>
          <w:bCs/>
          <w:sz w:val="26"/>
          <w:szCs w:val="26"/>
          <w:rtl/>
        </w:rPr>
      </w:pPr>
    </w:p>
    <w:p w14:paraId="4DB764C2" w14:textId="77777777" w:rsidR="00F25C35" w:rsidRPr="00A54FC3" w:rsidRDefault="00D369E9" w:rsidP="00F25C35">
      <w:pPr>
        <w:spacing w:line="360" w:lineRule="auto"/>
        <w:jc w:val="both"/>
        <w:rPr>
          <w:rFonts w:ascii="Arial" w:hAnsi="Arial"/>
          <w:noProof w:val="0"/>
          <w:sz w:val="26"/>
          <w:szCs w:val="26"/>
          <w:rtl/>
        </w:rPr>
      </w:pPr>
      <w:r>
        <w:rPr>
          <w:rFonts w:ascii="Arial" w:hAnsi="Arial"/>
          <w:b/>
          <w:bCs/>
          <w:noProof w:val="0"/>
          <w:sz w:val="26"/>
          <w:szCs w:val="26"/>
          <w:rtl/>
        </w:rPr>
        <w:t xml:space="preserve">ניתן והודע היום,  ו' אדר תשע"ח, 21 פברואר 2018, במעמד הצדדים. </w:t>
      </w:r>
    </w:p>
    <w:p w14:paraId="0FA138E7" w14:textId="77777777" w:rsidR="00F25C35" w:rsidRPr="00A54FC3" w:rsidRDefault="00F25C35" w:rsidP="00F25C35">
      <w:pPr>
        <w:spacing w:line="360" w:lineRule="auto"/>
        <w:ind w:left="3600" w:firstLine="720"/>
        <w:jc w:val="both"/>
      </w:pPr>
      <w:r>
        <w:rPr>
          <w:rtl/>
        </w:rPr>
        <w:t xml:space="preserve">     </w:t>
      </w:r>
    </w:p>
    <w:p w14:paraId="3710A1E7" w14:textId="77777777" w:rsidR="00F25C35" w:rsidRPr="00D369E9" w:rsidRDefault="00D369E9" w:rsidP="00F25C35">
      <w:pPr>
        <w:spacing w:line="360" w:lineRule="auto"/>
        <w:ind w:left="3600" w:firstLine="720"/>
        <w:jc w:val="both"/>
        <w:rPr>
          <w:rFonts w:ascii="Arial" w:hAnsi="Arial"/>
          <w:noProof w:val="0"/>
          <w:color w:val="FFFFFF"/>
          <w:sz w:val="2"/>
          <w:szCs w:val="2"/>
          <w:rtl/>
        </w:rPr>
      </w:pPr>
      <w:r w:rsidRPr="00D369E9">
        <w:rPr>
          <w:rFonts w:ascii="Arial" w:hAnsi="Arial"/>
          <w:noProof w:val="0"/>
          <w:color w:val="FFFFFF"/>
          <w:sz w:val="2"/>
          <w:szCs w:val="2"/>
          <w:rtl/>
        </w:rPr>
        <w:t>5129371</w:t>
      </w:r>
    </w:p>
    <w:p w14:paraId="141FE64D" w14:textId="77777777" w:rsidR="00F25C35" w:rsidRPr="00D369E9" w:rsidRDefault="00D369E9" w:rsidP="00F25C35">
      <w:pPr>
        <w:spacing w:line="360" w:lineRule="auto"/>
        <w:jc w:val="both"/>
        <w:rPr>
          <w:rFonts w:ascii="Arial" w:hAnsi="Arial"/>
          <w:noProof w:val="0"/>
          <w:color w:val="FFFFFF"/>
          <w:sz w:val="2"/>
          <w:szCs w:val="2"/>
          <w:rtl/>
        </w:rPr>
      </w:pPr>
      <w:r w:rsidRPr="00D369E9">
        <w:rPr>
          <w:rFonts w:ascii="Arial" w:hAnsi="Arial"/>
          <w:noProof w:val="0"/>
          <w:color w:val="FFFFFF"/>
          <w:sz w:val="2"/>
          <w:szCs w:val="2"/>
          <w:rtl/>
        </w:rPr>
        <w:t>54678313</w:t>
      </w:r>
    </w:p>
    <w:p w14:paraId="26D2C11C" w14:textId="77777777" w:rsidR="00F25C35" w:rsidRPr="00A54FC3" w:rsidRDefault="00F25C35" w:rsidP="00F25C35">
      <w:pPr>
        <w:spacing w:line="360" w:lineRule="auto"/>
        <w:jc w:val="both"/>
        <w:rPr>
          <w:rFonts w:ascii="Arial" w:hAnsi="Arial"/>
          <w:noProof w:val="0"/>
          <w:sz w:val="26"/>
          <w:szCs w:val="26"/>
          <w:rtl/>
        </w:rPr>
      </w:pPr>
    </w:p>
    <w:p w14:paraId="7E471E4B" w14:textId="77777777" w:rsidR="00D369E9" w:rsidRDefault="00D369E9" w:rsidP="00D369E9">
      <w:pPr>
        <w:rPr>
          <w:rtl/>
        </w:rPr>
      </w:pPr>
    </w:p>
    <w:p w14:paraId="09621C42" w14:textId="77777777" w:rsidR="00D369E9" w:rsidRDefault="00D369E9" w:rsidP="00D369E9">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13E2D0F1" w14:textId="77777777" w:rsidR="00E87BA8" w:rsidRPr="00E87BA8" w:rsidRDefault="00E87BA8" w:rsidP="00E87BA8">
      <w:pPr>
        <w:keepNext/>
        <w:rPr>
          <w:rFonts w:ascii="David" w:hAnsi="David" w:hint="cs"/>
          <w:color w:val="000000"/>
          <w:sz w:val="22"/>
          <w:szCs w:val="22"/>
          <w:rtl/>
        </w:rPr>
      </w:pPr>
    </w:p>
    <w:p w14:paraId="7F767388" w14:textId="77777777" w:rsidR="00E87BA8" w:rsidRPr="00E87BA8" w:rsidRDefault="00E87BA8" w:rsidP="00E87BA8">
      <w:pPr>
        <w:keepNext/>
        <w:rPr>
          <w:rFonts w:ascii="David" w:hAnsi="David"/>
          <w:color w:val="000000"/>
          <w:sz w:val="22"/>
          <w:szCs w:val="22"/>
          <w:rtl/>
        </w:rPr>
      </w:pPr>
      <w:r w:rsidRPr="00E87BA8">
        <w:rPr>
          <w:rFonts w:ascii="David" w:hAnsi="David"/>
          <w:color w:val="000000"/>
          <w:sz w:val="22"/>
          <w:szCs w:val="22"/>
          <w:rtl/>
        </w:rPr>
        <w:t>נגה שמואלי מאייר 54678313-/</w:t>
      </w:r>
    </w:p>
    <w:p w14:paraId="7E3B1B45" w14:textId="77777777" w:rsidR="00D369E9" w:rsidRPr="00D369E9" w:rsidRDefault="00E87BA8" w:rsidP="00E87BA8">
      <w:pPr>
        <w:rPr>
          <w:rFonts w:hint="cs"/>
          <w:color w:val="0000FF"/>
          <w:u w:val="single"/>
        </w:rPr>
      </w:pPr>
      <w:r w:rsidRPr="00E87BA8">
        <w:rPr>
          <w:color w:val="000000"/>
          <w:u w:val="single"/>
          <w:rtl/>
        </w:rPr>
        <w:t>נוסח מסמך זה כפוף לשינויי ניסוח ועריכה</w:t>
      </w:r>
    </w:p>
    <w:sectPr w:rsidR="00D369E9" w:rsidRPr="00D369E9" w:rsidSect="00E87BA8">
      <w:headerReference w:type="even" r:id="rId63"/>
      <w:headerReference w:type="default" r:id="rId64"/>
      <w:footerReference w:type="even" r:id="rId65"/>
      <w:footerReference w:type="default" r:id="rId6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11E22" w14:textId="77777777" w:rsidR="003014E6" w:rsidRDefault="003014E6" w:rsidP="00DA27FD">
      <w:r>
        <w:separator/>
      </w:r>
    </w:p>
  </w:endnote>
  <w:endnote w:type="continuationSeparator" w:id="0">
    <w:p w14:paraId="1697E3CE" w14:textId="77777777" w:rsidR="003014E6" w:rsidRDefault="003014E6" w:rsidP="00DA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FDFD0" w14:textId="77777777" w:rsidR="003014E6" w:rsidRDefault="003014E6" w:rsidP="00E87B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BC9EB07" w14:textId="77777777" w:rsidR="003014E6" w:rsidRPr="00E87BA8" w:rsidRDefault="003014E6" w:rsidP="00E87BA8">
    <w:pPr>
      <w:pStyle w:val="a5"/>
      <w:pBdr>
        <w:top w:val="single" w:sz="4" w:space="1" w:color="auto"/>
        <w:between w:val="single" w:sz="4" w:space="0" w:color="auto"/>
      </w:pBdr>
      <w:spacing w:after="60"/>
      <w:jc w:val="center"/>
      <w:rPr>
        <w:rFonts w:ascii="FrankRuehl" w:hAnsi="FrankRuehl" w:cs="FrankRuehl"/>
        <w:color w:val="000000"/>
      </w:rPr>
    </w:pPr>
    <w:r w:rsidRPr="00E87B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22AF" w14:textId="77777777" w:rsidR="003014E6" w:rsidRDefault="003014E6" w:rsidP="00E87BA8">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A59B0">
      <w:rPr>
        <w:rStyle w:val="a8"/>
        <w:rFonts w:ascii="FrankRuehl" w:hAnsi="FrankRuehl" w:cs="FrankRuehl"/>
        <w:rtl/>
      </w:rPr>
      <w:t>1</w:t>
    </w:r>
    <w:r>
      <w:rPr>
        <w:rStyle w:val="a8"/>
        <w:rFonts w:ascii="FrankRuehl" w:hAnsi="FrankRuehl" w:cs="FrankRuehl"/>
        <w:rtl/>
      </w:rPr>
      <w:fldChar w:fldCharType="end"/>
    </w:r>
  </w:p>
  <w:p w14:paraId="4F2F664B" w14:textId="77777777" w:rsidR="003014E6" w:rsidRPr="00E87BA8" w:rsidRDefault="003014E6" w:rsidP="00E87BA8">
    <w:pPr>
      <w:pStyle w:val="a5"/>
      <w:pBdr>
        <w:top w:val="single" w:sz="4" w:space="1" w:color="auto"/>
        <w:between w:val="single" w:sz="4" w:space="0" w:color="auto"/>
      </w:pBdr>
      <w:spacing w:after="60"/>
      <w:jc w:val="center"/>
      <w:rPr>
        <w:rStyle w:val="a8"/>
        <w:rFonts w:ascii="FrankRuehl" w:hAnsi="FrankRuehl" w:cs="FrankRuehl" w:hint="cs"/>
        <w:color w:val="000000"/>
      </w:rPr>
    </w:pPr>
    <w:r w:rsidRPr="00E87BA8">
      <w:rPr>
        <w:rStyle w:val="a8"/>
        <w:rFonts w:ascii="FrankRuehl" w:hAnsi="FrankRuehl" w:cs="FrankRuehl" w:hint="cs"/>
        <w:color w:val="000000"/>
      </w:rPr>
      <w:pict w14:anchorId="5CA16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3DAC4" w14:textId="77777777" w:rsidR="003014E6" w:rsidRDefault="003014E6" w:rsidP="00DA27FD">
      <w:r>
        <w:separator/>
      </w:r>
    </w:p>
  </w:footnote>
  <w:footnote w:type="continuationSeparator" w:id="0">
    <w:p w14:paraId="53343478" w14:textId="77777777" w:rsidR="003014E6" w:rsidRDefault="003014E6" w:rsidP="00DA2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E18E9" w14:textId="77777777" w:rsidR="003014E6" w:rsidRPr="00E87BA8" w:rsidRDefault="003014E6" w:rsidP="00E87B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1969-02-17</w:t>
    </w:r>
    <w:r>
      <w:rPr>
        <w:rFonts w:ascii="David" w:hAnsi="David"/>
        <w:color w:val="000000"/>
        <w:sz w:val="22"/>
        <w:szCs w:val="22"/>
        <w:rtl/>
      </w:rPr>
      <w:tab/>
      <w:t xml:space="preserve"> מדינת ישראל נ' מרקיאל אלישייב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E620E" w14:textId="77777777" w:rsidR="003014E6" w:rsidRPr="00E87BA8" w:rsidRDefault="003014E6" w:rsidP="00E87B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1969-02-17</w:t>
    </w:r>
    <w:r>
      <w:rPr>
        <w:rFonts w:ascii="David" w:hAnsi="David"/>
        <w:color w:val="000000"/>
        <w:sz w:val="22"/>
        <w:szCs w:val="22"/>
        <w:rtl/>
      </w:rPr>
      <w:tab/>
      <w:t xml:space="preserve"> מדינת ישראל נ' מרקיאל אלישייב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11F"/>
    <w:multiLevelType w:val="hybridMultilevel"/>
    <w:tmpl w:val="ACD02226"/>
    <w:lvl w:ilvl="0" w:tplc="7AA0CFDA">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77A8B"/>
    <w:multiLevelType w:val="hybridMultilevel"/>
    <w:tmpl w:val="C1DA42D8"/>
    <w:lvl w:ilvl="0" w:tplc="E65E6A7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7688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186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5C35"/>
    <w:rsid w:val="00272922"/>
    <w:rsid w:val="002D7B2F"/>
    <w:rsid w:val="003014E6"/>
    <w:rsid w:val="00586F61"/>
    <w:rsid w:val="00B9282A"/>
    <w:rsid w:val="00BA16A0"/>
    <w:rsid w:val="00CA59B0"/>
    <w:rsid w:val="00D369E9"/>
    <w:rsid w:val="00DA27FD"/>
    <w:rsid w:val="00E87BA8"/>
    <w:rsid w:val="00F06B51"/>
    <w:rsid w:val="00F25C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AB74406"/>
  <w15:chartTrackingRefBased/>
  <w15:docId w15:val="{F5729B13-4967-4756-BD10-046C49C6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5C35"/>
    <w:pPr>
      <w:bidi/>
    </w:pPr>
    <w:rPr>
      <w:rFonts w:ascii="Times New Roman" w:eastAsia="Times New Roman" w:hAnsi="Times New Roman" w:cs="David"/>
      <w:noProof/>
      <w:sz w:val="24"/>
      <w:szCs w:val="24"/>
    </w:rPr>
  </w:style>
  <w:style w:type="paragraph" w:styleId="1">
    <w:name w:val="heading 1"/>
    <w:basedOn w:val="a"/>
    <w:next w:val="a"/>
    <w:link w:val="10"/>
    <w:qFormat/>
    <w:rsid w:val="00F25C35"/>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25C35"/>
    <w:rPr>
      <w:rFonts w:ascii="Cambria" w:eastAsia="Times New Roman" w:hAnsi="Cambria" w:cs="Times New Roman"/>
      <w:noProof/>
      <w:color w:val="365F91"/>
      <w:sz w:val="32"/>
      <w:szCs w:val="32"/>
    </w:rPr>
  </w:style>
  <w:style w:type="paragraph" w:styleId="a3">
    <w:name w:val="header"/>
    <w:basedOn w:val="a"/>
    <w:link w:val="a4"/>
    <w:rsid w:val="00F25C35"/>
    <w:pPr>
      <w:tabs>
        <w:tab w:val="center" w:pos="4153"/>
        <w:tab w:val="right" w:pos="8306"/>
      </w:tabs>
    </w:pPr>
  </w:style>
  <w:style w:type="character" w:customStyle="1" w:styleId="a4">
    <w:name w:val="כותרת עליונה תו"/>
    <w:link w:val="a3"/>
    <w:rsid w:val="00F25C35"/>
    <w:rPr>
      <w:rFonts w:ascii="Times New Roman" w:eastAsia="Times New Roman" w:hAnsi="Times New Roman" w:cs="David"/>
      <w:noProof/>
      <w:sz w:val="24"/>
      <w:szCs w:val="24"/>
    </w:rPr>
  </w:style>
  <w:style w:type="paragraph" w:styleId="a5">
    <w:name w:val="footer"/>
    <w:basedOn w:val="a"/>
    <w:link w:val="a6"/>
    <w:rsid w:val="00F25C35"/>
    <w:pPr>
      <w:tabs>
        <w:tab w:val="center" w:pos="4153"/>
        <w:tab w:val="right" w:pos="8306"/>
      </w:tabs>
    </w:pPr>
  </w:style>
  <w:style w:type="character" w:customStyle="1" w:styleId="a6">
    <w:name w:val="כותרת תחתונה תו"/>
    <w:link w:val="a5"/>
    <w:rsid w:val="00F25C35"/>
    <w:rPr>
      <w:rFonts w:ascii="Times New Roman" w:eastAsia="Times New Roman" w:hAnsi="Times New Roman" w:cs="David"/>
      <w:noProof/>
      <w:sz w:val="24"/>
      <w:szCs w:val="24"/>
    </w:rPr>
  </w:style>
  <w:style w:type="table" w:styleId="a7">
    <w:name w:val="Table Grid"/>
    <w:basedOn w:val="a1"/>
    <w:rsid w:val="00F25C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5C35"/>
  </w:style>
  <w:style w:type="paragraph" w:styleId="a9">
    <w:name w:val="List Paragraph"/>
    <w:basedOn w:val="a"/>
    <w:qFormat/>
    <w:rsid w:val="00F25C35"/>
    <w:pPr>
      <w:spacing w:after="160" w:line="360" w:lineRule="auto"/>
      <w:ind w:left="720" w:hanging="357"/>
      <w:contextualSpacing/>
      <w:jc w:val="both"/>
    </w:pPr>
    <w:rPr>
      <w:rFonts w:ascii="Calibri" w:eastAsia="Calibri" w:hAnsi="Calibri"/>
      <w:noProof w:val="0"/>
    </w:rPr>
  </w:style>
  <w:style w:type="character" w:styleId="Hyperlink">
    <w:name w:val="Hyperlink"/>
    <w:rsid w:val="00F25C35"/>
    <w:rPr>
      <w:color w:val="0000FF"/>
      <w:u w:val="single"/>
    </w:rPr>
  </w:style>
  <w:style w:type="character" w:styleId="aa">
    <w:name w:val="Unresolved Mention"/>
    <w:rsid w:val="00D369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1887974" TargetMode="External"/><Relationship Id="rId42" Type="http://schemas.openxmlformats.org/officeDocument/2006/relationships/hyperlink" Target="http://www.nevo.co.il/law/70301/40ja.3" TargetMode="External"/><Relationship Id="rId47" Type="http://schemas.openxmlformats.org/officeDocument/2006/relationships/hyperlink" Target="http://www.nevo.co.il/case/21474481" TargetMode="External"/><Relationship Id="rId50" Type="http://schemas.openxmlformats.org/officeDocument/2006/relationships/hyperlink" Target="http://www.nevo.co.il/law/4216/1" TargetMode="External"/><Relationship Id="rId55" Type="http://schemas.openxmlformats.org/officeDocument/2006/relationships/hyperlink" Target="http://www.nevo.co.il/case/5681790"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4216/36a.a" TargetMode="External"/><Relationship Id="rId24" Type="http://schemas.openxmlformats.org/officeDocument/2006/relationships/hyperlink" Target="http://www.nevo.co.il/law/70301/40jc"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6032057"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36a.b" TargetMode="External"/><Relationship Id="rId58" Type="http://schemas.openxmlformats.org/officeDocument/2006/relationships/hyperlink" Target="http://www.nevo.co.il/case/20685141"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4216/6"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015909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4216/36a.b" TargetMode="External"/><Relationship Id="rId56" Type="http://schemas.openxmlformats.org/officeDocument/2006/relationships/hyperlink" Target="http://www.nevo.co.il/case/20893615" TargetMode="External"/><Relationship Id="rId64" Type="http://schemas.openxmlformats.org/officeDocument/2006/relationships/header" Target="header2.xml"/><Relationship Id="rId8" Type="http://schemas.openxmlformats.org/officeDocument/2006/relationships/hyperlink" Target="http://www.nevo.co.il/law/4216/1" TargetMode="External"/><Relationship Id="rId51"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0301/40ja.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case/17941073" TargetMode="External"/><Relationship Id="rId46" Type="http://schemas.openxmlformats.org/officeDocument/2006/relationships/hyperlink" Target="http://www.nevo.co.il/case/13015510" TargetMode="External"/><Relationship Id="rId59" Type="http://schemas.openxmlformats.org/officeDocument/2006/relationships/hyperlink" Target="http://www.nevo.co.il/law/4216" TargetMode="External"/><Relationship Id="rId67"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44246"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39812" TargetMode="External"/><Relationship Id="rId36" Type="http://schemas.openxmlformats.org/officeDocument/2006/relationships/hyperlink" Target="http://www.nevo.co.il/case/20707362"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36a.b"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18119161" TargetMode="External"/><Relationship Id="rId44" Type="http://schemas.openxmlformats.org/officeDocument/2006/relationships/hyperlink" Target="http://www.nevo.co.il/law/70301/40d.a" TargetMode="External"/><Relationship Id="rId52" Type="http://schemas.openxmlformats.org/officeDocument/2006/relationships/hyperlink" Target="http://www.nevo.co.il/law/4216/1" TargetMode="External"/><Relationship Id="rId60" Type="http://schemas.openxmlformats.org/officeDocument/2006/relationships/hyperlink" Target="http://www.nevo.co.il/law/4216/36a.a"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case/58804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4262</Words>
  <Characters>21312</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25523</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5046354</vt:i4>
      </vt:variant>
      <vt:variant>
        <vt:i4>159</vt:i4>
      </vt:variant>
      <vt:variant>
        <vt:i4>0</vt:i4>
      </vt:variant>
      <vt:variant>
        <vt:i4>5</vt:i4>
      </vt:variant>
      <vt:variant>
        <vt:lpwstr>http://www.nevo.co.il/law/4216/36a.a</vt:lpwstr>
      </vt:variant>
      <vt:variant>
        <vt:lpwstr/>
      </vt:variant>
      <vt:variant>
        <vt:i4>8257637</vt:i4>
      </vt:variant>
      <vt:variant>
        <vt:i4>156</vt:i4>
      </vt:variant>
      <vt:variant>
        <vt:i4>0</vt:i4>
      </vt:variant>
      <vt:variant>
        <vt:i4>5</vt:i4>
      </vt:variant>
      <vt:variant>
        <vt:lpwstr>http://www.nevo.co.il/law/4216</vt:lpwstr>
      </vt:variant>
      <vt:variant>
        <vt:lpwstr/>
      </vt:variant>
      <vt:variant>
        <vt:i4>3473533</vt:i4>
      </vt:variant>
      <vt:variant>
        <vt:i4>153</vt:i4>
      </vt:variant>
      <vt:variant>
        <vt:i4>0</vt:i4>
      </vt:variant>
      <vt:variant>
        <vt:i4>5</vt:i4>
      </vt:variant>
      <vt:variant>
        <vt:lpwstr>http://www.nevo.co.il/case/20685141</vt:lpwstr>
      </vt:variant>
      <vt:variant>
        <vt:lpwstr/>
      </vt:variant>
      <vt:variant>
        <vt:i4>5111890</vt:i4>
      </vt:variant>
      <vt:variant>
        <vt:i4>150</vt:i4>
      </vt:variant>
      <vt:variant>
        <vt:i4>0</vt:i4>
      </vt:variant>
      <vt:variant>
        <vt:i4>5</vt:i4>
      </vt:variant>
      <vt:variant>
        <vt:lpwstr>http://www.nevo.co.il/law/4216/36a.b</vt:lpwstr>
      </vt:variant>
      <vt:variant>
        <vt:lpwstr/>
      </vt:variant>
      <vt:variant>
        <vt:i4>3670139</vt:i4>
      </vt:variant>
      <vt:variant>
        <vt:i4>147</vt:i4>
      </vt:variant>
      <vt:variant>
        <vt:i4>0</vt:i4>
      </vt:variant>
      <vt:variant>
        <vt:i4>5</vt:i4>
      </vt:variant>
      <vt:variant>
        <vt:lpwstr>http://www.nevo.co.il/case/20893615</vt:lpwstr>
      </vt:variant>
      <vt:variant>
        <vt:lpwstr/>
      </vt:variant>
      <vt:variant>
        <vt:i4>3801210</vt:i4>
      </vt:variant>
      <vt:variant>
        <vt:i4>144</vt:i4>
      </vt:variant>
      <vt:variant>
        <vt:i4>0</vt:i4>
      </vt:variant>
      <vt:variant>
        <vt:i4>5</vt:i4>
      </vt:variant>
      <vt:variant>
        <vt:lpwstr>http://www.nevo.co.il/case/5681790</vt:lpwstr>
      </vt:variant>
      <vt:variant>
        <vt:lpwstr/>
      </vt:variant>
      <vt:variant>
        <vt:i4>131138</vt:i4>
      </vt:variant>
      <vt:variant>
        <vt:i4>141</vt:i4>
      </vt:variant>
      <vt:variant>
        <vt:i4>0</vt:i4>
      </vt:variant>
      <vt:variant>
        <vt:i4>5</vt:i4>
      </vt:variant>
      <vt:variant>
        <vt:lpwstr>http://www.nevo.co.il/case/244246</vt:lpwstr>
      </vt:variant>
      <vt:variant>
        <vt:lpwstr/>
      </vt:variant>
      <vt:variant>
        <vt:i4>5111890</vt:i4>
      </vt:variant>
      <vt:variant>
        <vt:i4>138</vt:i4>
      </vt:variant>
      <vt:variant>
        <vt:i4>0</vt:i4>
      </vt:variant>
      <vt:variant>
        <vt:i4>5</vt:i4>
      </vt:variant>
      <vt:variant>
        <vt:lpwstr>http://www.nevo.co.il/law/4216/36a.b</vt:lpwstr>
      </vt:variant>
      <vt:variant>
        <vt:lpwstr/>
      </vt:variant>
      <vt:variant>
        <vt:i4>5177418</vt:i4>
      </vt:variant>
      <vt:variant>
        <vt:i4>135</vt:i4>
      </vt:variant>
      <vt:variant>
        <vt:i4>0</vt:i4>
      </vt:variant>
      <vt:variant>
        <vt:i4>5</vt:i4>
      </vt:variant>
      <vt:variant>
        <vt:lpwstr>http://www.nevo.co.il/law/4216/1</vt:lpwstr>
      </vt:variant>
      <vt:variant>
        <vt:lpwstr/>
      </vt:variant>
      <vt:variant>
        <vt:i4>5111890</vt:i4>
      </vt:variant>
      <vt:variant>
        <vt:i4>132</vt:i4>
      </vt:variant>
      <vt:variant>
        <vt:i4>0</vt:i4>
      </vt:variant>
      <vt:variant>
        <vt:i4>5</vt:i4>
      </vt:variant>
      <vt:variant>
        <vt:lpwstr>http://www.nevo.co.il/law/4216/36a.b</vt:lpwstr>
      </vt:variant>
      <vt:variant>
        <vt:lpwstr/>
      </vt:variant>
      <vt:variant>
        <vt:i4>5177418</vt:i4>
      </vt:variant>
      <vt:variant>
        <vt:i4>129</vt:i4>
      </vt:variant>
      <vt:variant>
        <vt:i4>0</vt:i4>
      </vt:variant>
      <vt:variant>
        <vt:i4>5</vt:i4>
      </vt:variant>
      <vt:variant>
        <vt:lpwstr>http://www.nevo.co.il/law/4216/1</vt:lpwstr>
      </vt:variant>
      <vt:variant>
        <vt:lpwstr/>
      </vt:variant>
      <vt:variant>
        <vt:i4>8257637</vt:i4>
      </vt:variant>
      <vt:variant>
        <vt:i4>126</vt:i4>
      </vt:variant>
      <vt:variant>
        <vt:i4>0</vt:i4>
      </vt:variant>
      <vt:variant>
        <vt:i4>5</vt:i4>
      </vt:variant>
      <vt:variant>
        <vt:lpwstr>http://www.nevo.co.il/law/4216</vt:lpwstr>
      </vt:variant>
      <vt:variant>
        <vt:lpwstr/>
      </vt:variant>
      <vt:variant>
        <vt:i4>5111890</vt:i4>
      </vt:variant>
      <vt:variant>
        <vt:i4>123</vt:i4>
      </vt:variant>
      <vt:variant>
        <vt:i4>0</vt:i4>
      </vt:variant>
      <vt:variant>
        <vt:i4>5</vt:i4>
      </vt:variant>
      <vt:variant>
        <vt:lpwstr>http://www.nevo.co.il/law/4216/36a.b</vt:lpwstr>
      </vt:variant>
      <vt:variant>
        <vt:lpwstr/>
      </vt:variant>
      <vt:variant>
        <vt:i4>3801206</vt:i4>
      </vt:variant>
      <vt:variant>
        <vt:i4>120</vt:i4>
      </vt:variant>
      <vt:variant>
        <vt:i4>0</vt:i4>
      </vt:variant>
      <vt:variant>
        <vt:i4>5</vt:i4>
      </vt:variant>
      <vt:variant>
        <vt:lpwstr>http://www.nevo.co.il/case/21474481</vt:lpwstr>
      </vt:variant>
      <vt:variant>
        <vt:lpwstr/>
      </vt:variant>
      <vt:variant>
        <vt:i4>3473523</vt:i4>
      </vt:variant>
      <vt:variant>
        <vt:i4>117</vt:i4>
      </vt:variant>
      <vt:variant>
        <vt:i4>0</vt:i4>
      </vt:variant>
      <vt:variant>
        <vt:i4>5</vt:i4>
      </vt:variant>
      <vt:variant>
        <vt:lpwstr>http://www.nevo.co.il/case/13015510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3604517</vt:i4>
      </vt:variant>
      <vt:variant>
        <vt:i4>105</vt:i4>
      </vt:variant>
      <vt:variant>
        <vt:i4>0</vt:i4>
      </vt:variant>
      <vt:variant>
        <vt:i4>5</vt:i4>
      </vt:variant>
      <vt:variant>
        <vt:lpwstr>http://www.nevo.co.il/law/70301/40ja.3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4063357</vt:i4>
      </vt:variant>
      <vt:variant>
        <vt:i4>96</vt:i4>
      </vt:variant>
      <vt:variant>
        <vt:i4>0</vt:i4>
      </vt:variant>
      <vt:variant>
        <vt:i4>5</vt:i4>
      </vt:variant>
      <vt:variant>
        <vt:lpwstr>http://www.nevo.co.il/case/5880417</vt:lpwstr>
      </vt:variant>
      <vt:variant>
        <vt:lpwstr/>
      </vt:variant>
      <vt:variant>
        <vt:i4>4063351</vt:i4>
      </vt:variant>
      <vt:variant>
        <vt:i4>93</vt:i4>
      </vt:variant>
      <vt:variant>
        <vt:i4>0</vt:i4>
      </vt:variant>
      <vt:variant>
        <vt:i4>5</vt:i4>
      </vt:variant>
      <vt:variant>
        <vt:lpwstr>http://www.nevo.co.il/case/17941073</vt:lpwstr>
      </vt:variant>
      <vt:variant>
        <vt:lpwstr/>
      </vt:variant>
      <vt:variant>
        <vt:i4>3276915</vt:i4>
      </vt:variant>
      <vt:variant>
        <vt:i4>90</vt:i4>
      </vt:variant>
      <vt:variant>
        <vt:i4>0</vt:i4>
      </vt:variant>
      <vt:variant>
        <vt:i4>5</vt:i4>
      </vt:variant>
      <vt:variant>
        <vt:lpwstr>http://www.nevo.co.il/case/6032057</vt:lpwstr>
      </vt:variant>
      <vt:variant>
        <vt:lpwstr/>
      </vt:variant>
      <vt:variant>
        <vt:i4>3407991</vt:i4>
      </vt:variant>
      <vt:variant>
        <vt:i4>87</vt:i4>
      </vt:variant>
      <vt:variant>
        <vt:i4>0</vt:i4>
      </vt:variant>
      <vt:variant>
        <vt:i4>5</vt:i4>
      </vt:variant>
      <vt:variant>
        <vt:lpwstr>http://www.nevo.co.il/case/20707362</vt:lpwstr>
      </vt:variant>
      <vt:variant>
        <vt:lpwstr/>
      </vt:variant>
      <vt:variant>
        <vt:i4>3342449</vt:i4>
      </vt:variant>
      <vt:variant>
        <vt:i4>84</vt:i4>
      </vt:variant>
      <vt:variant>
        <vt:i4>0</vt:i4>
      </vt:variant>
      <vt:variant>
        <vt:i4>5</vt:i4>
      </vt:variant>
      <vt:variant>
        <vt:lpwstr>http://www.nevo.co.il/case/20159091</vt:lpwstr>
      </vt:variant>
      <vt:variant>
        <vt:lpwstr/>
      </vt:variant>
      <vt:variant>
        <vt:i4>3801204</vt:i4>
      </vt:variant>
      <vt:variant>
        <vt:i4>81</vt:i4>
      </vt:variant>
      <vt:variant>
        <vt:i4>0</vt:i4>
      </vt:variant>
      <vt:variant>
        <vt:i4>5</vt:i4>
      </vt:variant>
      <vt:variant>
        <vt:lpwstr>http://www.nevo.co.il/case/21887974</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3342460</vt:i4>
      </vt:variant>
      <vt:variant>
        <vt:i4>75</vt:i4>
      </vt:variant>
      <vt:variant>
        <vt:i4>0</vt:i4>
      </vt:variant>
      <vt:variant>
        <vt:i4>5</vt:i4>
      </vt:variant>
      <vt:variant>
        <vt:lpwstr>http://www.nevo.co.il/case/20881083</vt:lpwstr>
      </vt:variant>
      <vt:variant>
        <vt:lpwstr/>
      </vt:variant>
      <vt:variant>
        <vt:i4>4128892</vt:i4>
      </vt:variant>
      <vt:variant>
        <vt:i4>72</vt:i4>
      </vt:variant>
      <vt:variant>
        <vt:i4>0</vt:i4>
      </vt:variant>
      <vt:variant>
        <vt:i4>5</vt:i4>
      </vt:variant>
      <vt:variant>
        <vt:lpwstr>http://www.nevo.co.il/case/18119161</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3145848</vt:i4>
      </vt:variant>
      <vt:variant>
        <vt:i4>63</vt:i4>
      </vt:variant>
      <vt:variant>
        <vt:i4>0</vt:i4>
      </vt:variant>
      <vt:variant>
        <vt:i4>5</vt:i4>
      </vt:variant>
      <vt:variant>
        <vt:lpwstr>http://www.nevo.co.il/case/17939812</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3604517</vt:i4>
      </vt:variant>
      <vt:variant>
        <vt:i4>30</vt:i4>
      </vt:variant>
      <vt:variant>
        <vt:i4>0</vt:i4>
      </vt:variant>
      <vt:variant>
        <vt:i4>5</vt:i4>
      </vt:variant>
      <vt:variant>
        <vt:lpwstr>http://www.nevo.co.il/law/70301/40ja.3</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1969</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מרקיאל אלישייב</vt:lpwstr>
  </property>
  <property fmtid="{D5CDD505-2E9C-101B-9397-08002B2CF9AE}" pid="10" name="LAWYER">
    <vt:lpwstr>לירן פרג';חיים שטיינברגר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20180221</vt:lpwstr>
  </property>
  <property fmtid="{D5CDD505-2E9C-101B-9397-08002B2CF9AE}" pid="14" name="TYPE_N_DATE">
    <vt:lpwstr>38020180221</vt:lpwstr>
  </property>
  <property fmtid="{D5CDD505-2E9C-101B-9397-08002B2CF9AE}" pid="15" name="CASESLISTTMP1">
    <vt:lpwstr>13093721;17939812;5738608;5583030;18119161;20881083;18107527;21887974;20159091;20707362;6032057;17941073;5880417;13015510;21474481;244246;5681790;20893615;20685141</vt:lpwstr>
  </property>
  <property fmtid="{D5CDD505-2E9C-101B-9397-08002B2CF9AE}" pid="16" name="WORDNUMPAGES">
    <vt:lpwstr>12</vt:lpwstr>
  </property>
  <property fmtid="{D5CDD505-2E9C-101B-9397-08002B2CF9AE}" pid="17" name="TYPE_ABS_DATE">
    <vt:lpwstr>380020180221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4216/006;010;036a.b:4;001:2;036a.a</vt:lpwstr>
  </property>
  <property fmtid="{D5CDD505-2E9C-101B-9397-08002B2CF9AE}" pid="37" name="LAWLISTTMP2">
    <vt:lpwstr>70301/040c.a;40jc;040c.b;40ja.3;040d.a</vt:lpwstr>
  </property>
</Properties>
</file>