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C690C" w:rsidRPr="006C4051" w14:paraId="0BA00B07" w14:textId="77777777" w:rsidTr="00AD17D4">
        <w:trPr>
          <w:trHeight w:hRule="exact" w:val="418"/>
          <w:jc w:val="center"/>
        </w:trPr>
        <w:tc>
          <w:tcPr>
            <w:tcW w:w="8721" w:type="dxa"/>
            <w:gridSpan w:val="2"/>
          </w:tcPr>
          <w:p w14:paraId="7EF156E8" w14:textId="77777777" w:rsidR="00BC690C" w:rsidRPr="006C4051" w:rsidRDefault="00BC690C" w:rsidP="00B778E1">
            <w:pPr>
              <w:pStyle w:val="a3"/>
              <w:jc w:val="center"/>
              <w:rPr>
                <w:rFonts w:ascii="Tahoma" w:hAnsi="Tahoma" w:cs="FrankRuehl"/>
                <w:color w:val="000080"/>
                <w:rtl/>
              </w:rPr>
            </w:pPr>
            <w:bookmarkStart w:id="0" w:name="LastJudge"/>
            <w:r w:rsidRPr="006C4051">
              <w:rPr>
                <w:rFonts w:ascii="Tahoma" w:hAnsi="Tahoma" w:cs="FrankRuehl"/>
                <w:b/>
                <w:bCs/>
                <w:color w:val="000080"/>
                <w:rtl/>
              </w:rPr>
              <w:t>בית משפט השלום בירושלים</w:t>
            </w:r>
          </w:p>
        </w:tc>
      </w:tr>
      <w:tr w:rsidR="00BC690C" w:rsidRPr="006C4051" w14:paraId="23627247" w14:textId="77777777" w:rsidTr="00AD17D4">
        <w:trPr>
          <w:trHeight w:val="337"/>
          <w:jc w:val="center"/>
        </w:trPr>
        <w:tc>
          <w:tcPr>
            <w:tcW w:w="5054" w:type="dxa"/>
          </w:tcPr>
          <w:p w14:paraId="15D3D20E" w14:textId="77777777" w:rsidR="00BC690C" w:rsidRPr="006C4051" w:rsidRDefault="00BC690C" w:rsidP="00AD17D4">
            <w:pPr>
              <w:rPr>
                <w:rFonts w:cs="FrankRuehl" w:hint="cs"/>
                <w:sz w:val="28"/>
                <w:szCs w:val="28"/>
                <w:rtl/>
              </w:rPr>
            </w:pPr>
            <w:r w:rsidRPr="006C4051">
              <w:rPr>
                <w:rFonts w:cs="FrankRuehl"/>
                <w:sz w:val="28"/>
                <w:szCs w:val="28"/>
                <w:rtl/>
              </w:rPr>
              <w:t>ת"פ</w:t>
            </w:r>
            <w:r w:rsidRPr="006C4051">
              <w:rPr>
                <w:rFonts w:cs="FrankRuehl" w:hint="cs"/>
                <w:sz w:val="28"/>
                <w:szCs w:val="28"/>
                <w:rtl/>
              </w:rPr>
              <w:t xml:space="preserve"> </w:t>
            </w:r>
            <w:r w:rsidRPr="006C4051">
              <w:rPr>
                <w:rFonts w:cs="FrankRuehl"/>
                <w:sz w:val="28"/>
                <w:szCs w:val="28"/>
                <w:rtl/>
              </w:rPr>
              <w:t>37480-02-17</w:t>
            </w:r>
            <w:r w:rsidRPr="006C4051">
              <w:rPr>
                <w:rFonts w:cs="FrankRuehl" w:hint="cs"/>
                <w:sz w:val="28"/>
                <w:szCs w:val="28"/>
                <w:rtl/>
              </w:rPr>
              <w:t xml:space="preserve"> </w:t>
            </w:r>
            <w:r w:rsidRPr="006C4051">
              <w:rPr>
                <w:rFonts w:cs="FrankRuehl"/>
                <w:sz w:val="28"/>
                <w:szCs w:val="28"/>
                <w:rtl/>
              </w:rPr>
              <w:t xml:space="preserve">מדינת ישראל נ' </w:t>
            </w:r>
            <w:r w:rsidR="00AD17D4">
              <w:rPr>
                <w:rFonts w:cs="FrankRuehl" w:hint="cs"/>
                <w:sz w:val="28"/>
                <w:szCs w:val="28"/>
                <w:rtl/>
              </w:rPr>
              <w:t xml:space="preserve">פלוני </w:t>
            </w:r>
          </w:p>
          <w:p w14:paraId="7A2E13A3" w14:textId="77777777" w:rsidR="00BC690C" w:rsidRPr="006C4051" w:rsidRDefault="00BC690C" w:rsidP="00B778E1">
            <w:pPr>
              <w:pStyle w:val="a3"/>
              <w:rPr>
                <w:rFonts w:cs="FrankRuehl"/>
                <w:sz w:val="28"/>
                <w:szCs w:val="28"/>
                <w:rtl/>
              </w:rPr>
            </w:pPr>
          </w:p>
        </w:tc>
        <w:tc>
          <w:tcPr>
            <w:tcW w:w="3667" w:type="dxa"/>
          </w:tcPr>
          <w:p w14:paraId="54B44907" w14:textId="77777777" w:rsidR="00BC690C" w:rsidRPr="006C4051" w:rsidRDefault="00BC690C" w:rsidP="00B778E1">
            <w:pPr>
              <w:pStyle w:val="a3"/>
              <w:jc w:val="right"/>
              <w:rPr>
                <w:rFonts w:cs="FrankRuehl"/>
                <w:sz w:val="28"/>
                <w:szCs w:val="28"/>
                <w:rtl/>
              </w:rPr>
            </w:pPr>
          </w:p>
        </w:tc>
      </w:tr>
    </w:tbl>
    <w:p w14:paraId="12C6D461" w14:textId="77777777" w:rsidR="00BC690C" w:rsidRPr="006C4051" w:rsidRDefault="00BC690C" w:rsidP="00BC690C">
      <w:pPr>
        <w:pStyle w:val="a3"/>
        <w:rPr>
          <w:rtl/>
        </w:rPr>
      </w:pPr>
      <w:r w:rsidRPr="006C4051">
        <w:rPr>
          <w:rFonts w:hint="cs"/>
          <w:rtl/>
        </w:rPr>
        <w:t xml:space="preserve"> </w:t>
      </w:r>
    </w:p>
    <w:p w14:paraId="70CE44C2" w14:textId="77777777" w:rsidR="00BC690C" w:rsidRPr="006C4051" w:rsidRDefault="00BC690C" w:rsidP="00BC690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C690C" w:rsidRPr="006C4051" w14:paraId="7CC85F5E" w14:textId="77777777" w:rsidTr="00BC690C">
        <w:trPr>
          <w:trHeight w:val="295"/>
          <w:jc w:val="center"/>
        </w:trPr>
        <w:tc>
          <w:tcPr>
            <w:tcW w:w="923" w:type="dxa"/>
            <w:tcBorders>
              <w:top w:val="nil"/>
              <w:left w:val="nil"/>
              <w:bottom w:val="nil"/>
              <w:right w:val="nil"/>
            </w:tcBorders>
            <w:shd w:val="clear" w:color="auto" w:fill="auto"/>
          </w:tcPr>
          <w:p w14:paraId="3430B72B" w14:textId="77777777" w:rsidR="00BC690C" w:rsidRPr="006C4051" w:rsidRDefault="00BC690C" w:rsidP="00BC690C">
            <w:pPr>
              <w:jc w:val="both"/>
              <w:rPr>
                <w:rFonts w:ascii="Arial" w:hAnsi="Arial" w:cs="FrankRuehl"/>
                <w:b/>
                <w:bCs/>
                <w:sz w:val="28"/>
                <w:szCs w:val="28"/>
              </w:rPr>
            </w:pPr>
            <w:r w:rsidRPr="006C4051">
              <w:rPr>
                <w:rFonts w:ascii="Arial" w:hAnsi="Arial" w:cs="FrankRuehl" w:hint="cs"/>
                <w:b/>
                <w:bCs/>
                <w:sz w:val="28"/>
                <w:szCs w:val="28"/>
                <w:rtl/>
              </w:rPr>
              <w:t>ב</w:t>
            </w:r>
            <w:r w:rsidRPr="006C4051">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BEFCDA7" w14:textId="77777777" w:rsidR="00BC690C" w:rsidRPr="006C4051" w:rsidRDefault="00BC690C" w:rsidP="00B778E1">
            <w:pPr>
              <w:rPr>
                <w:rFonts w:ascii="Arial" w:hAnsi="Arial" w:cs="FrankRuehl"/>
                <w:b/>
                <w:bCs/>
                <w:sz w:val="28"/>
                <w:szCs w:val="28"/>
                <w:rtl/>
              </w:rPr>
            </w:pPr>
            <w:r w:rsidRPr="006C4051">
              <w:rPr>
                <w:rFonts w:ascii="Arial" w:hAnsi="Arial" w:cs="FrankRuehl" w:hint="cs"/>
                <w:b/>
                <w:bCs/>
                <w:sz w:val="28"/>
                <w:szCs w:val="28"/>
                <w:rtl/>
              </w:rPr>
              <w:t>כבוד ה</w:t>
            </w:r>
            <w:r w:rsidRPr="006C4051">
              <w:rPr>
                <w:rFonts w:ascii="Arial" w:hAnsi="Arial" w:cs="FrankRuehl"/>
                <w:b/>
                <w:bCs/>
                <w:sz w:val="28"/>
                <w:szCs w:val="28"/>
                <w:rtl/>
              </w:rPr>
              <w:t>שופט</w:t>
            </w:r>
            <w:r w:rsidRPr="006C4051">
              <w:rPr>
                <w:rFonts w:ascii="Arial" w:hAnsi="Arial" w:cs="FrankRuehl" w:hint="cs"/>
                <w:b/>
                <w:bCs/>
                <w:sz w:val="28"/>
                <w:szCs w:val="28"/>
                <w:rtl/>
              </w:rPr>
              <w:t xml:space="preserve">  </w:t>
            </w:r>
            <w:r w:rsidRPr="006C4051">
              <w:rPr>
                <w:rFonts w:ascii="Arial" w:hAnsi="Arial" w:cs="FrankRuehl"/>
                <w:b/>
                <w:bCs/>
                <w:sz w:val="28"/>
                <w:szCs w:val="28"/>
                <w:rtl/>
              </w:rPr>
              <w:t>דוד שאול גבאי ריכטר</w:t>
            </w:r>
          </w:p>
          <w:p w14:paraId="49B16220" w14:textId="77777777" w:rsidR="00BC690C" w:rsidRPr="006C4051" w:rsidRDefault="00BC690C" w:rsidP="00B778E1">
            <w:pPr>
              <w:rPr>
                <w:rFonts w:cs="FrankRuehl"/>
                <w:b/>
                <w:bCs/>
                <w:sz w:val="28"/>
                <w:szCs w:val="28"/>
                <w:rtl/>
              </w:rPr>
            </w:pPr>
          </w:p>
          <w:p w14:paraId="350E3307" w14:textId="77777777" w:rsidR="00BC690C" w:rsidRPr="006C4051" w:rsidRDefault="00BC690C" w:rsidP="00BC690C">
            <w:pPr>
              <w:jc w:val="both"/>
              <w:rPr>
                <w:rFonts w:ascii="Arial" w:hAnsi="Arial" w:cs="FrankRuehl"/>
                <w:b/>
                <w:bCs/>
                <w:sz w:val="28"/>
                <w:szCs w:val="28"/>
              </w:rPr>
            </w:pPr>
          </w:p>
        </w:tc>
      </w:tr>
      <w:tr w:rsidR="00BC690C" w:rsidRPr="006C4051" w14:paraId="48012198" w14:textId="77777777" w:rsidTr="00BC690C">
        <w:trPr>
          <w:trHeight w:val="355"/>
          <w:jc w:val="center"/>
        </w:trPr>
        <w:tc>
          <w:tcPr>
            <w:tcW w:w="923" w:type="dxa"/>
            <w:tcBorders>
              <w:top w:val="nil"/>
              <w:left w:val="nil"/>
              <w:bottom w:val="nil"/>
              <w:right w:val="nil"/>
            </w:tcBorders>
            <w:shd w:val="clear" w:color="auto" w:fill="auto"/>
          </w:tcPr>
          <w:p w14:paraId="2DFF9275" w14:textId="77777777" w:rsidR="00BC690C" w:rsidRPr="006C4051" w:rsidRDefault="00BC690C" w:rsidP="00BC690C">
            <w:pPr>
              <w:jc w:val="both"/>
              <w:rPr>
                <w:rFonts w:ascii="Arial" w:hAnsi="Arial" w:cs="FrankRuehl"/>
                <w:b/>
                <w:bCs/>
                <w:sz w:val="28"/>
                <w:szCs w:val="28"/>
              </w:rPr>
            </w:pPr>
            <w:bookmarkStart w:id="1" w:name="FirstAppellant"/>
            <w:r w:rsidRPr="006C4051">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0A26F57" w14:textId="77777777" w:rsidR="00BC690C" w:rsidRPr="006C4051" w:rsidRDefault="00BC690C" w:rsidP="00B778E1">
            <w:pPr>
              <w:rPr>
                <w:rFonts w:cs="FrankRuehl"/>
                <w:b/>
                <w:bCs/>
              </w:rPr>
            </w:pPr>
            <w:r w:rsidRPr="006C4051">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32963878" w14:textId="77777777" w:rsidR="00BC690C" w:rsidRPr="006C4051" w:rsidRDefault="00BC690C" w:rsidP="00BC690C">
            <w:pPr>
              <w:jc w:val="both"/>
              <w:rPr>
                <w:rFonts w:ascii="Arial" w:hAnsi="Arial" w:cs="FrankRuehl"/>
                <w:b/>
                <w:bCs/>
                <w:sz w:val="28"/>
                <w:szCs w:val="28"/>
              </w:rPr>
            </w:pPr>
          </w:p>
        </w:tc>
      </w:tr>
      <w:bookmarkEnd w:id="1"/>
      <w:tr w:rsidR="00BC690C" w:rsidRPr="006C4051" w14:paraId="18B002E4" w14:textId="77777777" w:rsidTr="00BC690C">
        <w:trPr>
          <w:trHeight w:val="355"/>
          <w:jc w:val="center"/>
        </w:trPr>
        <w:tc>
          <w:tcPr>
            <w:tcW w:w="923" w:type="dxa"/>
            <w:tcBorders>
              <w:top w:val="nil"/>
              <w:left w:val="nil"/>
              <w:bottom w:val="nil"/>
              <w:right w:val="nil"/>
            </w:tcBorders>
            <w:shd w:val="clear" w:color="auto" w:fill="auto"/>
          </w:tcPr>
          <w:p w14:paraId="6E72A16D" w14:textId="77777777" w:rsidR="00BC690C" w:rsidRPr="006C4051" w:rsidRDefault="00BC690C" w:rsidP="00BC690C">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EA7D14D" w14:textId="77777777" w:rsidR="00BC690C" w:rsidRPr="006C4051" w:rsidRDefault="00BC690C" w:rsidP="00BC690C">
            <w:pPr>
              <w:jc w:val="both"/>
              <w:rPr>
                <w:rFonts w:cs="FrankRuehl"/>
                <w:b/>
                <w:bCs/>
                <w:rtl/>
              </w:rPr>
            </w:pPr>
            <w:r w:rsidRPr="006C4051">
              <w:rPr>
                <w:rFonts w:cs="FrankRuehl" w:hint="cs"/>
                <w:b/>
                <w:bCs/>
                <w:rtl/>
              </w:rPr>
              <w:t>ע"י תביעות ירושלים</w:t>
            </w:r>
          </w:p>
        </w:tc>
        <w:tc>
          <w:tcPr>
            <w:tcW w:w="3771" w:type="dxa"/>
            <w:tcBorders>
              <w:top w:val="nil"/>
              <w:left w:val="nil"/>
              <w:bottom w:val="nil"/>
              <w:right w:val="nil"/>
            </w:tcBorders>
            <w:shd w:val="clear" w:color="auto" w:fill="auto"/>
          </w:tcPr>
          <w:p w14:paraId="471556CE" w14:textId="77777777" w:rsidR="00BC690C" w:rsidRPr="006C4051" w:rsidRDefault="00BC690C" w:rsidP="00BC690C">
            <w:pPr>
              <w:jc w:val="right"/>
              <w:rPr>
                <w:rFonts w:ascii="Arial" w:hAnsi="Arial" w:cs="FrankRuehl"/>
                <w:b/>
                <w:bCs/>
                <w:sz w:val="28"/>
                <w:szCs w:val="28"/>
                <w:rtl/>
              </w:rPr>
            </w:pPr>
            <w:r w:rsidRPr="006C4051">
              <w:rPr>
                <w:rFonts w:ascii="Arial" w:hAnsi="Arial" w:cs="FrankRuehl" w:hint="cs"/>
                <w:b/>
                <w:bCs/>
                <w:sz w:val="28"/>
                <w:szCs w:val="28"/>
                <w:rtl/>
              </w:rPr>
              <w:t>ה</w:t>
            </w:r>
            <w:r w:rsidRPr="006C4051">
              <w:rPr>
                <w:rFonts w:ascii="Arial" w:hAnsi="Arial" w:cs="FrankRuehl"/>
                <w:b/>
                <w:bCs/>
                <w:sz w:val="28"/>
                <w:szCs w:val="28"/>
                <w:rtl/>
              </w:rPr>
              <w:t>מאשימה</w:t>
            </w:r>
          </w:p>
        </w:tc>
      </w:tr>
      <w:tr w:rsidR="00BC690C" w:rsidRPr="006C4051" w14:paraId="211CF8EB" w14:textId="77777777" w:rsidTr="00BC690C">
        <w:trPr>
          <w:trHeight w:val="355"/>
          <w:jc w:val="center"/>
        </w:trPr>
        <w:tc>
          <w:tcPr>
            <w:tcW w:w="923" w:type="dxa"/>
            <w:tcBorders>
              <w:top w:val="nil"/>
              <w:left w:val="nil"/>
              <w:bottom w:val="nil"/>
              <w:right w:val="nil"/>
            </w:tcBorders>
            <w:shd w:val="clear" w:color="auto" w:fill="auto"/>
          </w:tcPr>
          <w:p w14:paraId="336BA771" w14:textId="77777777" w:rsidR="00BC690C" w:rsidRPr="006C4051" w:rsidRDefault="00BC690C" w:rsidP="00BC690C">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4035FE2" w14:textId="77777777" w:rsidR="00BC690C" w:rsidRPr="006C4051" w:rsidRDefault="00BC690C" w:rsidP="00BC690C">
            <w:pPr>
              <w:jc w:val="center"/>
              <w:rPr>
                <w:rFonts w:ascii="Arial" w:hAnsi="Arial" w:cs="FrankRuehl"/>
                <w:b/>
                <w:bCs/>
                <w:sz w:val="28"/>
                <w:szCs w:val="28"/>
                <w:rtl/>
              </w:rPr>
            </w:pPr>
          </w:p>
          <w:p w14:paraId="50824607" w14:textId="77777777" w:rsidR="00BC690C" w:rsidRPr="006C4051" w:rsidRDefault="00BC690C" w:rsidP="00BC690C">
            <w:pPr>
              <w:jc w:val="center"/>
              <w:rPr>
                <w:rFonts w:ascii="Arial" w:hAnsi="Arial" w:cs="FrankRuehl"/>
                <w:b/>
                <w:bCs/>
                <w:sz w:val="28"/>
                <w:szCs w:val="28"/>
                <w:rtl/>
              </w:rPr>
            </w:pPr>
            <w:r w:rsidRPr="006C4051">
              <w:rPr>
                <w:rFonts w:ascii="Arial" w:hAnsi="Arial" w:cs="FrankRuehl"/>
                <w:b/>
                <w:bCs/>
                <w:sz w:val="28"/>
                <w:szCs w:val="28"/>
                <w:rtl/>
              </w:rPr>
              <w:t>נגד</w:t>
            </w:r>
          </w:p>
          <w:p w14:paraId="30C56E15" w14:textId="77777777" w:rsidR="00BC690C" w:rsidRPr="006C4051" w:rsidRDefault="00BC690C" w:rsidP="00BC690C">
            <w:pPr>
              <w:jc w:val="both"/>
              <w:rPr>
                <w:rFonts w:ascii="Arial" w:hAnsi="Arial" w:cs="FrankRuehl"/>
                <w:b/>
                <w:bCs/>
                <w:sz w:val="28"/>
                <w:szCs w:val="28"/>
              </w:rPr>
            </w:pPr>
          </w:p>
        </w:tc>
      </w:tr>
      <w:tr w:rsidR="00BC690C" w:rsidRPr="006C4051" w14:paraId="2BA59083" w14:textId="77777777" w:rsidTr="00BC690C">
        <w:trPr>
          <w:trHeight w:val="355"/>
          <w:jc w:val="center"/>
        </w:trPr>
        <w:tc>
          <w:tcPr>
            <w:tcW w:w="923" w:type="dxa"/>
            <w:tcBorders>
              <w:top w:val="nil"/>
              <w:left w:val="nil"/>
              <w:bottom w:val="nil"/>
              <w:right w:val="nil"/>
            </w:tcBorders>
            <w:shd w:val="clear" w:color="auto" w:fill="auto"/>
          </w:tcPr>
          <w:p w14:paraId="6F860850" w14:textId="77777777" w:rsidR="00BC690C" w:rsidRPr="006C4051" w:rsidRDefault="00BC690C" w:rsidP="00B778E1">
            <w:pPr>
              <w:rPr>
                <w:rFonts w:ascii="Arial" w:hAnsi="Arial" w:cs="FrankRuehl"/>
                <w:b/>
                <w:bCs/>
                <w:sz w:val="28"/>
                <w:szCs w:val="28"/>
                <w:rtl/>
              </w:rPr>
            </w:pPr>
          </w:p>
        </w:tc>
        <w:tc>
          <w:tcPr>
            <w:tcW w:w="4126" w:type="dxa"/>
            <w:tcBorders>
              <w:top w:val="nil"/>
              <w:left w:val="nil"/>
              <w:bottom w:val="nil"/>
              <w:right w:val="nil"/>
            </w:tcBorders>
            <w:shd w:val="clear" w:color="auto" w:fill="auto"/>
          </w:tcPr>
          <w:p w14:paraId="03F9E711" w14:textId="77777777" w:rsidR="00BC690C" w:rsidRPr="006C4051" w:rsidRDefault="00AD17D4" w:rsidP="00B778E1">
            <w:pPr>
              <w:rPr>
                <w:rFonts w:cs="FrankRuehl" w:hint="cs"/>
                <w:b/>
                <w:bCs/>
                <w:rtl/>
              </w:rPr>
            </w:pPr>
            <w:r>
              <w:rPr>
                <w:rFonts w:ascii="Arial" w:hAnsi="Arial" w:cs="FrankRuehl" w:hint="cs"/>
                <w:b/>
                <w:bCs/>
                <w:sz w:val="28"/>
                <w:szCs w:val="28"/>
                <w:rtl/>
              </w:rPr>
              <w:t xml:space="preserve">פלוני </w:t>
            </w:r>
          </w:p>
        </w:tc>
        <w:tc>
          <w:tcPr>
            <w:tcW w:w="3771" w:type="dxa"/>
            <w:tcBorders>
              <w:top w:val="nil"/>
              <w:left w:val="nil"/>
              <w:bottom w:val="nil"/>
              <w:right w:val="nil"/>
            </w:tcBorders>
            <w:shd w:val="clear" w:color="auto" w:fill="auto"/>
          </w:tcPr>
          <w:p w14:paraId="25223059" w14:textId="77777777" w:rsidR="00BC690C" w:rsidRPr="006C4051" w:rsidRDefault="00BC690C" w:rsidP="00BC690C">
            <w:pPr>
              <w:jc w:val="right"/>
              <w:rPr>
                <w:rFonts w:ascii="Arial" w:hAnsi="Arial" w:cs="FrankRuehl"/>
                <w:b/>
                <w:bCs/>
                <w:sz w:val="28"/>
                <w:szCs w:val="28"/>
              </w:rPr>
            </w:pPr>
          </w:p>
        </w:tc>
      </w:tr>
      <w:tr w:rsidR="00BC690C" w:rsidRPr="006C4051" w14:paraId="382DF280" w14:textId="77777777" w:rsidTr="00BC690C">
        <w:trPr>
          <w:trHeight w:val="355"/>
          <w:jc w:val="center"/>
        </w:trPr>
        <w:tc>
          <w:tcPr>
            <w:tcW w:w="923" w:type="dxa"/>
            <w:tcBorders>
              <w:top w:val="nil"/>
              <w:left w:val="nil"/>
              <w:bottom w:val="nil"/>
              <w:right w:val="nil"/>
            </w:tcBorders>
            <w:shd w:val="clear" w:color="auto" w:fill="auto"/>
          </w:tcPr>
          <w:p w14:paraId="09A5C4B0" w14:textId="77777777" w:rsidR="00BC690C" w:rsidRPr="006C4051" w:rsidRDefault="00BC690C" w:rsidP="00BC690C">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37775846" w14:textId="77777777" w:rsidR="00BC690C" w:rsidRPr="006C4051" w:rsidRDefault="00BC690C" w:rsidP="00BC690C">
            <w:pPr>
              <w:jc w:val="both"/>
              <w:rPr>
                <w:rFonts w:cs="FrankRuehl"/>
                <w:b/>
                <w:bCs/>
                <w:rtl/>
              </w:rPr>
            </w:pPr>
            <w:r w:rsidRPr="006C4051">
              <w:rPr>
                <w:rFonts w:cs="FrankRuehl" w:hint="cs"/>
                <w:b/>
                <w:bCs/>
                <w:rtl/>
              </w:rPr>
              <w:t>ע"י ב"כ עו"ד מיכאל עירוני</w:t>
            </w:r>
          </w:p>
        </w:tc>
        <w:tc>
          <w:tcPr>
            <w:tcW w:w="3771" w:type="dxa"/>
            <w:tcBorders>
              <w:top w:val="nil"/>
              <w:left w:val="nil"/>
              <w:bottom w:val="nil"/>
              <w:right w:val="nil"/>
            </w:tcBorders>
            <w:shd w:val="clear" w:color="auto" w:fill="auto"/>
          </w:tcPr>
          <w:p w14:paraId="78824214" w14:textId="77777777" w:rsidR="00BC690C" w:rsidRPr="006C4051" w:rsidRDefault="00BC690C" w:rsidP="00BC690C">
            <w:pPr>
              <w:jc w:val="right"/>
              <w:rPr>
                <w:rFonts w:ascii="Arial" w:hAnsi="Arial" w:cs="FrankRuehl"/>
                <w:b/>
                <w:bCs/>
                <w:sz w:val="28"/>
                <w:szCs w:val="28"/>
              </w:rPr>
            </w:pPr>
            <w:r w:rsidRPr="006C4051">
              <w:rPr>
                <w:rFonts w:ascii="Arial" w:hAnsi="Arial" w:cs="FrankRuehl" w:hint="cs"/>
                <w:b/>
                <w:bCs/>
                <w:sz w:val="28"/>
                <w:szCs w:val="28"/>
                <w:rtl/>
              </w:rPr>
              <w:t>ה</w:t>
            </w:r>
            <w:r w:rsidRPr="006C4051">
              <w:rPr>
                <w:rFonts w:ascii="Arial" w:hAnsi="Arial" w:cs="FrankRuehl"/>
                <w:b/>
                <w:bCs/>
                <w:sz w:val="28"/>
                <w:szCs w:val="28"/>
                <w:rtl/>
              </w:rPr>
              <w:t>נאשים</w:t>
            </w:r>
          </w:p>
        </w:tc>
      </w:tr>
    </w:tbl>
    <w:p w14:paraId="55BCEE71" w14:textId="77777777" w:rsidR="00AD17D4" w:rsidRDefault="00AD17D4" w:rsidP="00BC690C">
      <w:pPr>
        <w:rPr>
          <w:rFonts w:cs="FrankRuehl"/>
          <w:rtl/>
        </w:rPr>
      </w:pPr>
      <w:bookmarkStart w:id="3" w:name="LawTable"/>
      <w:bookmarkEnd w:id="2"/>
      <w:bookmarkEnd w:id="3"/>
    </w:p>
    <w:p w14:paraId="4C144C00" w14:textId="77777777" w:rsidR="00AD17D4" w:rsidRPr="00AD17D4" w:rsidRDefault="00AD17D4" w:rsidP="00AD17D4">
      <w:pPr>
        <w:spacing w:after="120" w:line="240" w:lineRule="exact"/>
        <w:ind w:left="283" w:hanging="283"/>
        <w:jc w:val="both"/>
        <w:rPr>
          <w:rFonts w:ascii="FrankRuehl" w:hAnsi="FrankRuehl" w:cs="FrankRuehl"/>
          <w:rtl/>
        </w:rPr>
      </w:pPr>
    </w:p>
    <w:p w14:paraId="41B48BDE" w14:textId="77777777" w:rsidR="00AD17D4" w:rsidRPr="00AD17D4" w:rsidRDefault="00AD17D4" w:rsidP="00AD17D4">
      <w:pPr>
        <w:spacing w:after="120" w:line="240" w:lineRule="exact"/>
        <w:ind w:left="283" w:hanging="283"/>
        <w:jc w:val="both"/>
        <w:rPr>
          <w:rFonts w:ascii="FrankRuehl" w:hAnsi="FrankRuehl" w:cs="FrankRuehl"/>
          <w:rtl/>
        </w:rPr>
      </w:pPr>
      <w:r w:rsidRPr="00AD17D4">
        <w:rPr>
          <w:rFonts w:ascii="FrankRuehl" w:hAnsi="FrankRuehl" w:cs="FrankRuehl"/>
          <w:rtl/>
        </w:rPr>
        <w:t xml:space="preserve">חקיקה שאוזכרה: </w:t>
      </w:r>
    </w:p>
    <w:p w14:paraId="4666A4C1" w14:textId="77777777" w:rsidR="00AD17D4" w:rsidRPr="00AD17D4" w:rsidRDefault="00AD17D4" w:rsidP="00AD17D4">
      <w:pPr>
        <w:spacing w:after="120" w:line="240" w:lineRule="exact"/>
        <w:ind w:left="283" w:hanging="283"/>
        <w:jc w:val="both"/>
        <w:rPr>
          <w:rFonts w:ascii="FrankRuehl" w:hAnsi="FrankRuehl" w:cs="FrankRuehl"/>
          <w:rtl/>
        </w:rPr>
      </w:pPr>
      <w:hyperlink r:id="rId7" w:history="1">
        <w:r w:rsidRPr="00AD17D4">
          <w:rPr>
            <w:rFonts w:ascii="FrankRuehl" w:hAnsi="FrankRuehl" w:cs="FrankRuehl"/>
            <w:color w:val="0000FF"/>
            <w:u w:val="single"/>
            <w:rtl/>
          </w:rPr>
          <w:t>פקודת הסמים המסוכנים [נוסח חדש], תשל"ג-1973</w:t>
        </w:r>
      </w:hyperlink>
      <w:r w:rsidRPr="00AD17D4">
        <w:rPr>
          <w:rFonts w:ascii="FrankRuehl" w:hAnsi="FrankRuehl" w:cs="FrankRuehl"/>
          <w:rtl/>
        </w:rPr>
        <w:t xml:space="preserve">: סע'  </w:t>
      </w:r>
      <w:hyperlink r:id="rId8" w:history="1">
        <w:r w:rsidRPr="00AD17D4">
          <w:rPr>
            <w:rFonts w:ascii="FrankRuehl" w:hAnsi="FrankRuehl" w:cs="FrankRuehl"/>
            <w:color w:val="0000FF"/>
            <w:u w:val="single"/>
            <w:rtl/>
          </w:rPr>
          <w:t>13</w:t>
        </w:r>
      </w:hyperlink>
      <w:r w:rsidRPr="00AD17D4">
        <w:rPr>
          <w:rFonts w:ascii="FrankRuehl" w:hAnsi="FrankRuehl" w:cs="FrankRuehl"/>
          <w:rtl/>
        </w:rPr>
        <w:t xml:space="preserve">, </w:t>
      </w:r>
      <w:hyperlink r:id="rId9" w:history="1">
        <w:r w:rsidRPr="00AD17D4">
          <w:rPr>
            <w:rFonts w:ascii="FrankRuehl" w:hAnsi="FrankRuehl" w:cs="FrankRuehl"/>
            <w:color w:val="0000FF"/>
            <w:u w:val="single"/>
            <w:rtl/>
          </w:rPr>
          <w:t>14</w:t>
        </w:r>
      </w:hyperlink>
      <w:r w:rsidRPr="00AD17D4">
        <w:rPr>
          <w:rFonts w:ascii="FrankRuehl" w:hAnsi="FrankRuehl" w:cs="FrankRuehl"/>
          <w:rtl/>
        </w:rPr>
        <w:t xml:space="preserve">, </w:t>
      </w:r>
      <w:hyperlink r:id="rId10" w:history="1">
        <w:r w:rsidRPr="00AD17D4">
          <w:rPr>
            <w:rFonts w:ascii="FrankRuehl" w:hAnsi="FrankRuehl" w:cs="FrankRuehl"/>
            <w:color w:val="0000FF"/>
            <w:u w:val="single"/>
            <w:rtl/>
          </w:rPr>
          <w:t>21(א)</w:t>
        </w:r>
      </w:hyperlink>
      <w:r w:rsidRPr="00AD17D4">
        <w:rPr>
          <w:rFonts w:ascii="FrankRuehl" w:hAnsi="FrankRuehl" w:cs="FrankRuehl"/>
          <w:rtl/>
        </w:rPr>
        <w:t xml:space="preserve">, </w:t>
      </w:r>
      <w:hyperlink r:id="rId11" w:history="1">
        <w:r w:rsidRPr="00AD17D4">
          <w:rPr>
            <w:rFonts w:ascii="FrankRuehl" w:hAnsi="FrankRuehl" w:cs="FrankRuehl"/>
            <w:color w:val="0000FF"/>
            <w:u w:val="single"/>
            <w:rtl/>
          </w:rPr>
          <w:t>21.א.1.</w:t>
        </w:r>
      </w:hyperlink>
      <w:r w:rsidRPr="00AD17D4">
        <w:rPr>
          <w:rFonts w:ascii="FrankRuehl" w:hAnsi="FrankRuehl" w:cs="FrankRuehl"/>
          <w:rtl/>
        </w:rPr>
        <w:t xml:space="preserve">, </w:t>
      </w:r>
      <w:hyperlink r:id="rId12" w:history="1">
        <w:r w:rsidRPr="00AD17D4">
          <w:rPr>
            <w:rFonts w:ascii="FrankRuehl" w:hAnsi="FrankRuehl" w:cs="FrankRuehl"/>
            <w:color w:val="0000FF"/>
            <w:u w:val="single"/>
            <w:rtl/>
          </w:rPr>
          <w:t>21.א.3</w:t>
        </w:r>
      </w:hyperlink>
      <w:r w:rsidRPr="00AD17D4">
        <w:rPr>
          <w:rFonts w:ascii="FrankRuehl" w:hAnsi="FrankRuehl" w:cs="FrankRuehl"/>
          <w:rtl/>
        </w:rPr>
        <w:t xml:space="preserve">, </w:t>
      </w:r>
      <w:hyperlink r:id="rId13" w:history="1">
        <w:r w:rsidRPr="00AD17D4">
          <w:rPr>
            <w:rFonts w:ascii="FrankRuehl" w:hAnsi="FrankRuehl" w:cs="FrankRuehl"/>
            <w:color w:val="0000FF"/>
            <w:u w:val="single"/>
            <w:rtl/>
          </w:rPr>
          <w:t>25</w:t>
        </w:r>
      </w:hyperlink>
    </w:p>
    <w:p w14:paraId="6ACB6989" w14:textId="77777777" w:rsidR="00AD17D4" w:rsidRPr="00AD17D4" w:rsidRDefault="00AD17D4" w:rsidP="00AD17D4">
      <w:pPr>
        <w:spacing w:after="120" w:line="240" w:lineRule="exact"/>
        <w:ind w:left="283" w:hanging="283"/>
        <w:jc w:val="both"/>
        <w:rPr>
          <w:rFonts w:ascii="FrankRuehl" w:hAnsi="FrankRuehl" w:cs="FrankRuehl"/>
          <w:rtl/>
        </w:rPr>
      </w:pPr>
      <w:hyperlink r:id="rId14" w:history="1">
        <w:r w:rsidRPr="00AD17D4">
          <w:rPr>
            <w:rFonts w:ascii="FrankRuehl" w:hAnsi="FrankRuehl" w:cs="FrankRuehl"/>
            <w:color w:val="0000FF"/>
            <w:u w:val="single"/>
            <w:rtl/>
          </w:rPr>
          <w:t>חוק העונשין, תשל"ז-1977</w:t>
        </w:r>
      </w:hyperlink>
      <w:r w:rsidRPr="00AD17D4">
        <w:rPr>
          <w:rFonts w:ascii="FrankRuehl" w:hAnsi="FrankRuehl" w:cs="FrankRuehl"/>
          <w:rtl/>
        </w:rPr>
        <w:t xml:space="preserve">: סע'  </w:t>
      </w:r>
      <w:hyperlink r:id="rId15" w:history="1">
        <w:r w:rsidRPr="00AD17D4">
          <w:rPr>
            <w:rFonts w:ascii="FrankRuehl" w:hAnsi="FrankRuehl" w:cs="FrankRuehl"/>
            <w:color w:val="0000FF"/>
            <w:u w:val="single"/>
            <w:rtl/>
          </w:rPr>
          <w:t>25</w:t>
        </w:r>
      </w:hyperlink>
      <w:r w:rsidRPr="00AD17D4">
        <w:rPr>
          <w:rFonts w:ascii="FrankRuehl" w:hAnsi="FrankRuehl" w:cs="FrankRuehl"/>
          <w:rtl/>
        </w:rPr>
        <w:t xml:space="preserve">, </w:t>
      </w:r>
      <w:hyperlink r:id="rId16" w:history="1">
        <w:r w:rsidRPr="00AD17D4">
          <w:rPr>
            <w:rFonts w:ascii="FrankRuehl" w:hAnsi="FrankRuehl" w:cs="FrankRuehl"/>
            <w:color w:val="0000FF"/>
            <w:u w:val="single"/>
            <w:rtl/>
          </w:rPr>
          <w:t>40ט'</w:t>
        </w:r>
      </w:hyperlink>
      <w:r w:rsidRPr="00AD17D4">
        <w:rPr>
          <w:rFonts w:ascii="FrankRuehl" w:hAnsi="FrankRuehl" w:cs="FrankRuehl"/>
          <w:rtl/>
        </w:rPr>
        <w:t xml:space="preserve">, </w:t>
      </w:r>
      <w:hyperlink r:id="rId17" w:history="1">
        <w:r w:rsidRPr="00AD17D4">
          <w:rPr>
            <w:rFonts w:ascii="FrankRuehl" w:hAnsi="FrankRuehl" w:cs="FrankRuehl"/>
            <w:color w:val="0000FF"/>
            <w:u w:val="single"/>
            <w:rtl/>
          </w:rPr>
          <w:t>40יא</w:t>
        </w:r>
      </w:hyperlink>
    </w:p>
    <w:p w14:paraId="189C9C6A" w14:textId="77777777" w:rsidR="00AD17D4" w:rsidRPr="00AD17D4" w:rsidRDefault="00AD17D4" w:rsidP="00AD17D4">
      <w:pPr>
        <w:spacing w:after="120" w:line="240" w:lineRule="exact"/>
        <w:ind w:left="283" w:hanging="283"/>
        <w:jc w:val="both"/>
        <w:rPr>
          <w:rFonts w:ascii="FrankRuehl" w:hAnsi="FrankRuehl" w:cs="FrankRuehl"/>
          <w:rtl/>
        </w:rPr>
      </w:pPr>
    </w:p>
    <w:p w14:paraId="4B295ADC" w14:textId="77777777" w:rsidR="00AD17D4" w:rsidRPr="00AD17D4" w:rsidRDefault="00AD17D4" w:rsidP="00BC690C">
      <w:pPr>
        <w:rPr>
          <w:rFonts w:cs="FrankRuehl"/>
          <w:rtl/>
        </w:rPr>
      </w:pPr>
      <w:bookmarkStart w:id="4" w:name="LawTable_End"/>
      <w:bookmarkEnd w:id="4"/>
    </w:p>
    <w:p w14:paraId="0C8F8749" w14:textId="77777777" w:rsidR="006C4051" w:rsidRPr="006C4051" w:rsidRDefault="006C4051" w:rsidP="00BC690C">
      <w:pPr>
        <w:rPr>
          <w:rFonts w:cs="FrankRuehl"/>
          <w:b/>
          <w:bCs/>
          <w:rtl/>
        </w:rPr>
      </w:pPr>
    </w:p>
    <w:p w14:paraId="7945BB6E" w14:textId="77777777" w:rsidR="00BC690C" w:rsidRPr="006C4051" w:rsidRDefault="00BC690C" w:rsidP="00BC690C">
      <w:pPr>
        <w:rPr>
          <w:rFonts w:cs="FrankRueh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690C" w:rsidRPr="00B22BC7" w14:paraId="78E9E03D" w14:textId="77777777" w:rsidTr="00BC690C">
        <w:trPr>
          <w:trHeight w:val="355"/>
          <w:jc w:val="center"/>
        </w:trPr>
        <w:tc>
          <w:tcPr>
            <w:tcW w:w="8820" w:type="dxa"/>
            <w:tcBorders>
              <w:top w:val="nil"/>
              <w:left w:val="nil"/>
              <w:bottom w:val="nil"/>
              <w:right w:val="nil"/>
            </w:tcBorders>
            <w:shd w:val="clear" w:color="auto" w:fill="auto"/>
          </w:tcPr>
          <w:p w14:paraId="033468D8" w14:textId="77777777" w:rsidR="006C4051" w:rsidRPr="006C4051" w:rsidRDefault="006C4051" w:rsidP="006C4051">
            <w:pPr>
              <w:jc w:val="center"/>
              <w:rPr>
                <w:rFonts w:ascii="Arial" w:hAnsi="Arial" w:cs="FrankRuehl"/>
                <w:b/>
                <w:bCs/>
                <w:sz w:val="32"/>
                <w:szCs w:val="32"/>
                <w:u w:val="single"/>
                <w:rtl/>
              </w:rPr>
            </w:pPr>
            <w:bookmarkStart w:id="5" w:name="PsakDin" w:colFirst="0" w:colLast="0"/>
            <w:bookmarkEnd w:id="0"/>
            <w:r w:rsidRPr="006C4051">
              <w:rPr>
                <w:rFonts w:ascii="Arial" w:hAnsi="Arial" w:cs="FrankRuehl"/>
                <w:b/>
                <w:bCs/>
                <w:sz w:val="32"/>
                <w:szCs w:val="32"/>
                <w:u w:val="single"/>
                <w:rtl/>
              </w:rPr>
              <w:t>גזר דין</w:t>
            </w:r>
          </w:p>
          <w:p w14:paraId="0CA6DFF1" w14:textId="77777777" w:rsidR="00BC690C" w:rsidRPr="006C4051" w:rsidRDefault="00BC690C" w:rsidP="006C4051">
            <w:pPr>
              <w:jc w:val="center"/>
              <w:rPr>
                <w:rFonts w:ascii="Arial" w:hAnsi="Arial" w:cs="FrankRuehl"/>
                <w:bCs/>
                <w:sz w:val="32"/>
                <w:szCs w:val="32"/>
                <w:u w:val="single"/>
                <w:rtl/>
              </w:rPr>
            </w:pPr>
          </w:p>
        </w:tc>
      </w:tr>
      <w:bookmarkEnd w:id="5"/>
    </w:tbl>
    <w:p w14:paraId="3F4C8421" w14:textId="77777777" w:rsidR="00BC690C" w:rsidRPr="00B05847" w:rsidRDefault="00BC690C" w:rsidP="00BC690C">
      <w:pPr>
        <w:rPr>
          <w:rFonts w:ascii="Arial" w:hAnsi="Arial"/>
          <w:rtl/>
        </w:rPr>
      </w:pPr>
    </w:p>
    <w:p w14:paraId="7575B9FB" w14:textId="77777777" w:rsidR="00BC690C" w:rsidRPr="00B05847" w:rsidRDefault="00BC690C" w:rsidP="00BC690C">
      <w:pPr>
        <w:rPr>
          <w:rFonts w:ascii="Arial" w:hAnsi="Arial"/>
          <w:rtl/>
        </w:rPr>
      </w:pPr>
    </w:p>
    <w:p w14:paraId="406CC3C6" w14:textId="77777777" w:rsidR="00BC690C" w:rsidRPr="00B05847" w:rsidRDefault="00BC690C" w:rsidP="00BC690C">
      <w:pPr>
        <w:rPr>
          <w:rtl/>
        </w:rPr>
      </w:pPr>
    </w:p>
    <w:p w14:paraId="279F6ADB" w14:textId="77777777" w:rsidR="00BC690C" w:rsidRDefault="00BC690C" w:rsidP="00BC690C">
      <w:pPr>
        <w:rPr>
          <w:rFonts w:cs="FrankRuehl"/>
          <w:b/>
          <w:bCs/>
          <w:u w:val="single"/>
        </w:rPr>
      </w:pPr>
      <w:r>
        <w:rPr>
          <w:rFonts w:cs="FrankRuehl" w:hint="cs"/>
          <w:b/>
          <w:bCs/>
          <w:u w:val="single"/>
          <w:rtl/>
        </w:rPr>
        <w:t>כתב האישום</w:t>
      </w:r>
    </w:p>
    <w:p w14:paraId="29D32AED" w14:textId="77777777" w:rsidR="00BC690C" w:rsidRPr="00BC690C" w:rsidRDefault="00BC690C" w:rsidP="00BC690C">
      <w:pPr>
        <w:spacing w:after="160" w:line="360" w:lineRule="auto"/>
        <w:jc w:val="both"/>
        <w:rPr>
          <w:rFonts w:ascii="Calibri" w:hAnsi="Calibri" w:cs="FrankRuehl"/>
          <w:rtl/>
        </w:rPr>
      </w:pPr>
    </w:p>
    <w:p w14:paraId="252297FF" w14:textId="77777777" w:rsidR="00BC690C" w:rsidRPr="00BC690C" w:rsidRDefault="00BC690C" w:rsidP="00BC690C">
      <w:pPr>
        <w:spacing w:after="160" w:line="360" w:lineRule="auto"/>
        <w:jc w:val="both"/>
        <w:rPr>
          <w:rFonts w:ascii="Calibri" w:hAnsi="Calibri" w:cs="FrankRuehl"/>
          <w:rtl/>
        </w:rPr>
      </w:pPr>
      <w:bookmarkStart w:id="6" w:name="ABSTRACT_START"/>
      <w:bookmarkEnd w:id="6"/>
      <w:r w:rsidRPr="00BC690C">
        <w:rPr>
          <w:rFonts w:ascii="Calibri" w:hAnsi="Calibri" w:cs="FrankRuehl" w:hint="cs"/>
          <w:rtl/>
        </w:rPr>
        <w:t xml:space="preserve">הנאשם הורשע על פי הודאתו בעבירות ובעובדות המנויות בכתב האישום, בכך שסיפק סמים מסוכנים ל-י' (להלן </w:t>
      </w:r>
      <w:r w:rsidRPr="00BC690C">
        <w:rPr>
          <w:rFonts w:ascii="Calibri" w:hAnsi="Calibri" w:cs="FrankRuehl"/>
          <w:rtl/>
        </w:rPr>
        <w:t>–</w:t>
      </w:r>
      <w:r w:rsidRPr="00BC690C">
        <w:rPr>
          <w:rFonts w:ascii="Calibri" w:hAnsi="Calibri" w:cs="FrankRuehl" w:hint="cs"/>
          <w:rtl/>
        </w:rPr>
        <w:t xml:space="preserve"> </w:t>
      </w:r>
      <w:r w:rsidRPr="00BC690C">
        <w:rPr>
          <w:rFonts w:ascii="Calibri" w:hAnsi="Calibri" w:cs="FrankRuehl" w:hint="cs"/>
          <w:b/>
          <w:bCs/>
          <w:rtl/>
        </w:rPr>
        <w:t>הקטין</w:t>
      </w:r>
      <w:r w:rsidRPr="00BC690C">
        <w:rPr>
          <w:rFonts w:ascii="Calibri" w:hAnsi="Calibri" w:cs="FrankRuehl" w:hint="cs"/>
          <w:rtl/>
        </w:rPr>
        <w:t>), שבאותה עת היה קטין, והנאשם ידע שהוא קטין וכי הלה מחלק סמים לאחרים.</w:t>
      </w:r>
    </w:p>
    <w:p w14:paraId="3B2DD992"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הראשון, ביום 13.12.2016 הציע הנאשם לקטין לעשן יחד עמו סיגריית קנביס ("פייצל"). לכן הואשם בעבירה של הדחת קטין לסמים מסוכנים, לפי </w:t>
      </w:r>
      <w:hyperlink r:id="rId18"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21(</w:t>
        </w:r>
        <w:r w:rsidR="00AD17D4" w:rsidRPr="00AD17D4">
          <w:rPr>
            <w:rFonts w:ascii="Calibri" w:hAnsi="Calibri" w:cs="FrankRuehl" w:hint="eastAsia"/>
            <w:color w:val="0000FF"/>
            <w:u w:val="single"/>
            <w:rtl/>
          </w:rPr>
          <w:t>א</w:t>
        </w:r>
        <w:r w:rsidR="00AD17D4" w:rsidRPr="00AD17D4">
          <w:rPr>
            <w:rFonts w:ascii="Calibri" w:hAnsi="Calibri" w:cs="FrankRuehl"/>
            <w:color w:val="0000FF"/>
            <w:u w:val="single"/>
            <w:rtl/>
          </w:rPr>
          <w:t>)</w:t>
        </w:r>
      </w:hyperlink>
      <w:r w:rsidRPr="00BC690C">
        <w:rPr>
          <w:rFonts w:ascii="Calibri" w:hAnsi="Calibri" w:cs="FrankRuehl" w:hint="cs"/>
          <w:rtl/>
        </w:rPr>
        <w:t xml:space="preserve"> ל</w:t>
      </w:r>
      <w:hyperlink r:id="rId19" w:history="1">
        <w:r w:rsidR="006C4051" w:rsidRPr="006C4051">
          <w:rPr>
            <w:rFonts w:ascii="Calibri" w:hAnsi="Calibri" w:cs="FrankRuehl" w:hint="eastAsia"/>
            <w:color w:val="0000FF"/>
            <w:u w:val="single"/>
            <w:rtl/>
          </w:rPr>
          <w:t>פקודת</w:t>
        </w:r>
        <w:r w:rsidR="006C4051" w:rsidRPr="006C4051">
          <w:rPr>
            <w:rFonts w:ascii="Calibri" w:hAnsi="Calibri" w:cs="FrankRuehl"/>
            <w:color w:val="0000FF"/>
            <w:u w:val="single"/>
            <w:rtl/>
          </w:rPr>
          <w:t xml:space="preserve"> </w:t>
        </w:r>
        <w:r w:rsidR="006C4051" w:rsidRPr="006C4051">
          <w:rPr>
            <w:rFonts w:ascii="Calibri" w:hAnsi="Calibri" w:cs="FrankRuehl" w:hint="eastAsia"/>
            <w:color w:val="0000FF"/>
            <w:u w:val="single"/>
            <w:rtl/>
          </w:rPr>
          <w:t>הסמים</w:t>
        </w:r>
        <w:r w:rsidR="006C4051" w:rsidRPr="006C4051">
          <w:rPr>
            <w:rFonts w:ascii="Calibri" w:hAnsi="Calibri" w:cs="FrankRuehl"/>
            <w:color w:val="0000FF"/>
            <w:u w:val="single"/>
            <w:rtl/>
          </w:rPr>
          <w:t xml:space="preserve"> </w:t>
        </w:r>
        <w:r w:rsidR="006C4051" w:rsidRPr="006C4051">
          <w:rPr>
            <w:rFonts w:ascii="Calibri" w:hAnsi="Calibri" w:cs="FrankRuehl" w:hint="eastAsia"/>
            <w:color w:val="0000FF"/>
            <w:u w:val="single"/>
            <w:rtl/>
          </w:rPr>
          <w:t>המסוכנים</w:t>
        </w:r>
      </w:hyperlink>
      <w:r w:rsidRPr="00BC690C">
        <w:rPr>
          <w:rFonts w:ascii="Calibri" w:hAnsi="Calibri" w:cs="FrankRuehl" w:hint="cs"/>
          <w:rtl/>
        </w:rPr>
        <w:t xml:space="preserve"> (להלן </w:t>
      </w:r>
      <w:r w:rsidRPr="00BC690C">
        <w:rPr>
          <w:rFonts w:ascii="Calibri" w:hAnsi="Calibri" w:cs="FrankRuehl"/>
          <w:rtl/>
        </w:rPr>
        <w:t>–</w:t>
      </w:r>
      <w:r w:rsidRPr="00BC690C">
        <w:rPr>
          <w:rFonts w:ascii="Calibri" w:hAnsi="Calibri" w:cs="FrankRuehl" w:hint="cs"/>
          <w:rtl/>
        </w:rPr>
        <w:t xml:space="preserve"> </w:t>
      </w:r>
      <w:r w:rsidRPr="00BC690C">
        <w:rPr>
          <w:rFonts w:ascii="Calibri" w:hAnsi="Calibri" w:cs="FrankRuehl" w:hint="cs"/>
          <w:b/>
          <w:bCs/>
          <w:rtl/>
        </w:rPr>
        <w:t>הפקודה</w:t>
      </w:r>
      <w:r w:rsidRPr="00BC690C">
        <w:rPr>
          <w:rFonts w:ascii="Calibri" w:hAnsi="Calibri" w:cs="FrankRuehl" w:hint="cs"/>
          <w:rtl/>
        </w:rPr>
        <w:t>).</w:t>
      </w:r>
    </w:p>
    <w:p w14:paraId="690077E6"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השני, ביום 2.1.2017 פנה הנאשם לקטין והציע למכור לו קנביס תמורת 120 </w:t>
      </w:r>
      <w:r w:rsidRPr="00BC690C">
        <w:rPr>
          <w:rFonts w:ascii="Calibri" w:hAnsi="Calibri" w:cs="FrankRuehl" w:hint="eastAsia"/>
          <w:rtl/>
        </w:rPr>
        <w:t>₪</w:t>
      </w:r>
      <w:r w:rsidRPr="00BC690C">
        <w:rPr>
          <w:rFonts w:ascii="Calibri" w:hAnsi="Calibri" w:cs="FrankRuehl" w:hint="cs"/>
          <w:rtl/>
        </w:rPr>
        <w:t xml:space="preserve">. לקטין לא היה הסכום האמור, אך טען כי יוכל לקנות 20 גרם למחרת עבורו ועבור חבריו לספסל הלימודים, אלא שהעסקה לא יצאה אל הפועל לאחר שהנאשם אמר שאין ביכולתו להחזיק כמות כזו של סם. בגין כך הואשם הנאשם בעבירות </w:t>
      </w:r>
      <w:bookmarkStart w:id="7" w:name="ABSTRACT_END"/>
      <w:bookmarkEnd w:id="7"/>
      <w:r w:rsidRPr="00BC690C">
        <w:rPr>
          <w:rFonts w:ascii="Calibri" w:hAnsi="Calibri" w:cs="FrankRuehl" w:hint="cs"/>
          <w:rtl/>
        </w:rPr>
        <w:lastRenderedPageBreak/>
        <w:t xml:space="preserve">של תיווך, לפי </w:t>
      </w:r>
      <w:hyperlink r:id="rId20"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14</w:t>
        </w:r>
      </w:hyperlink>
      <w:r w:rsidRPr="00BC690C">
        <w:rPr>
          <w:rFonts w:ascii="Calibri" w:hAnsi="Calibri" w:cs="FrankRuehl" w:hint="cs"/>
          <w:rtl/>
        </w:rPr>
        <w:t xml:space="preserve"> לפקודה, וניסיון הדחת קטין לסמים, לפי </w:t>
      </w:r>
      <w:hyperlink r:id="rId21" w:history="1">
        <w:r w:rsidR="00AD17D4" w:rsidRPr="00AD17D4">
          <w:rPr>
            <w:rFonts w:ascii="Calibri" w:hAnsi="Calibri" w:cs="FrankRuehl" w:hint="eastAsia"/>
            <w:color w:val="0000FF"/>
            <w:u w:val="single"/>
            <w:rtl/>
          </w:rPr>
          <w:t>סעיפים</w:t>
        </w:r>
        <w:r w:rsidR="00AD17D4" w:rsidRPr="00AD17D4">
          <w:rPr>
            <w:rFonts w:ascii="Calibri" w:hAnsi="Calibri" w:cs="FrankRuehl"/>
            <w:color w:val="0000FF"/>
            <w:u w:val="single"/>
            <w:rtl/>
          </w:rPr>
          <w:t xml:space="preserve"> 21(</w:t>
        </w:r>
        <w:r w:rsidR="00AD17D4" w:rsidRPr="00AD17D4">
          <w:rPr>
            <w:rFonts w:ascii="Calibri" w:hAnsi="Calibri" w:cs="FrankRuehl" w:hint="eastAsia"/>
            <w:color w:val="0000FF"/>
            <w:u w:val="single"/>
            <w:rtl/>
          </w:rPr>
          <w:t>א</w:t>
        </w:r>
        <w:r w:rsidR="00AD17D4" w:rsidRPr="00AD17D4">
          <w:rPr>
            <w:rFonts w:ascii="Calibri" w:hAnsi="Calibri" w:cs="FrankRuehl"/>
            <w:color w:val="0000FF"/>
            <w:u w:val="single"/>
            <w:rtl/>
          </w:rPr>
          <w:t>)</w:t>
        </w:r>
      </w:hyperlink>
      <w:r w:rsidRPr="00BC690C">
        <w:rPr>
          <w:rFonts w:ascii="Calibri" w:hAnsi="Calibri" w:cs="FrankRuehl" w:hint="cs"/>
          <w:rtl/>
        </w:rPr>
        <w:t xml:space="preserve"> לפקודה ו-</w:t>
      </w:r>
      <w:hyperlink r:id="rId22" w:history="1">
        <w:r w:rsidR="00AD17D4" w:rsidRPr="00AD17D4">
          <w:rPr>
            <w:rFonts w:ascii="Calibri" w:hAnsi="Calibri" w:cs="FrankRuehl"/>
            <w:color w:val="0000FF"/>
            <w:u w:val="single"/>
            <w:rtl/>
          </w:rPr>
          <w:t>25</w:t>
        </w:r>
      </w:hyperlink>
      <w:r w:rsidRPr="00BC690C">
        <w:rPr>
          <w:rFonts w:ascii="Calibri" w:hAnsi="Calibri" w:cs="FrankRuehl" w:hint="cs"/>
          <w:rtl/>
        </w:rPr>
        <w:t xml:space="preserve"> ל</w:t>
      </w:r>
      <w:hyperlink r:id="rId23" w:history="1">
        <w:r w:rsidR="006C4051" w:rsidRPr="006C4051">
          <w:rPr>
            <w:rFonts w:ascii="Calibri" w:hAnsi="Calibri" w:cs="FrankRuehl" w:hint="eastAsia"/>
            <w:color w:val="0000FF"/>
            <w:u w:val="single"/>
            <w:rtl/>
          </w:rPr>
          <w:t>חוק</w:t>
        </w:r>
        <w:r w:rsidR="006C4051" w:rsidRPr="006C4051">
          <w:rPr>
            <w:rFonts w:ascii="Calibri" w:hAnsi="Calibri" w:cs="FrankRuehl"/>
            <w:color w:val="0000FF"/>
            <w:u w:val="single"/>
            <w:rtl/>
          </w:rPr>
          <w:t xml:space="preserve"> </w:t>
        </w:r>
        <w:r w:rsidR="006C4051" w:rsidRPr="006C4051">
          <w:rPr>
            <w:rFonts w:ascii="Calibri" w:hAnsi="Calibri" w:cs="FrankRuehl" w:hint="eastAsia"/>
            <w:color w:val="0000FF"/>
            <w:u w:val="single"/>
            <w:rtl/>
          </w:rPr>
          <w:t>העונשין</w:t>
        </w:r>
      </w:hyperlink>
      <w:r w:rsidRPr="00BC690C">
        <w:rPr>
          <w:rFonts w:ascii="Calibri" w:hAnsi="Calibri" w:cs="FrankRuehl" w:hint="cs"/>
          <w:rtl/>
        </w:rPr>
        <w:t xml:space="preserve">, התשל"ז-1977 (להלן </w:t>
      </w:r>
      <w:r w:rsidRPr="00BC690C">
        <w:rPr>
          <w:rFonts w:ascii="Calibri" w:hAnsi="Calibri" w:cs="FrankRuehl"/>
          <w:rtl/>
        </w:rPr>
        <w:t>–</w:t>
      </w:r>
      <w:r w:rsidRPr="00BC690C">
        <w:rPr>
          <w:rFonts w:ascii="Calibri" w:hAnsi="Calibri" w:cs="FrankRuehl" w:hint="cs"/>
          <w:rtl/>
        </w:rPr>
        <w:t xml:space="preserve"> </w:t>
      </w:r>
      <w:r w:rsidRPr="00BC690C">
        <w:rPr>
          <w:rFonts w:ascii="Calibri" w:hAnsi="Calibri" w:cs="FrankRuehl" w:hint="cs"/>
          <w:b/>
          <w:bCs/>
          <w:rtl/>
        </w:rPr>
        <w:t>החוק</w:t>
      </w:r>
      <w:r w:rsidRPr="00BC690C">
        <w:rPr>
          <w:rFonts w:ascii="Calibri" w:hAnsi="Calibri" w:cs="FrankRuehl" w:hint="cs"/>
          <w:rtl/>
        </w:rPr>
        <w:t>).</w:t>
      </w:r>
    </w:p>
    <w:p w14:paraId="5204A5CB"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השלישי, ביום 4.1.2017 פנה הקטין לנאשם וביקש לרכוש ממנו 13 גרם קנביס. העסקה לא יצאה אל הפועל בשל נתק בין הקטין לנאשם, כאשר התברר שבעסקה אמור היה להיות מעורב אחר. בגין כך הואשם הנאשם בעבירות של ניסיון תיווך לפי </w:t>
      </w:r>
      <w:hyperlink r:id="rId24"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14</w:t>
        </w:r>
      </w:hyperlink>
      <w:r w:rsidRPr="00BC690C">
        <w:rPr>
          <w:rFonts w:ascii="Calibri" w:hAnsi="Calibri" w:cs="FrankRuehl" w:hint="cs"/>
          <w:rtl/>
        </w:rPr>
        <w:t xml:space="preserve"> לפקודה ו-</w:t>
      </w:r>
      <w:hyperlink r:id="rId25" w:history="1">
        <w:r w:rsidR="00AD17D4" w:rsidRPr="00AD17D4">
          <w:rPr>
            <w:rStyle w:val="Hyperlink"/>
            <w:rFonts w:ascii="Calibri" w:hAnsi="Calibri" w:cs="FrankRuehl"/>
            <w:color w:val="0000FF"/>
            <w:rtl/>
          </w:rPr>
          <w:t>25</w:t>
        </w:r>
      </w:hyperlink>
      <w:r w:rsidRPr="00BC690C">
        <w:rPr>
          <w:rFonts w:ascii="Calibri" w:hAnsi="Calibri" w:cs="FrankRuehl" w:hint="cs"/>
          <w:rtl/>
        </w:rPr>
        <w:t xml:space="preserve"> לחוק וניסיון הדחת קטין, לפי </w:t>
      </w:r>
      <w:hyperlink r:id="rId26" w:history="1">
        <w:r w:rsidR="00AD17D4" w:rsidRPr="00AD17D4">
          <w:rPr>
            <w:rStyle w:val="Hyperlink"/>
            <w:rFonts w:ascii="Calibri" w:hAnsi="Calibri" w:cs="FrankRuehl" w:hint="eastAsia"/>
            <w:color w:val="0000FF"/>
            <w:rtl/>
          </w:rPr>
          <w:t>סעיף</w:t>
        </w:r>
        <w:r w:rsidR="00AD17D4" w:rsidRPr="00AD17D4">
          <w:rPr>
            <w:rStyle w:val="Hyperlink"/>
            <w:rFonts w:ascii="Calibri" w:hAnsi="Calibri" w:cs="FrankRuehl"/>
            <w:color w:val="0000FF"/>
            <w:rtl/>
          </w:rPr>
          <w:t xml:space="preserve"> 21(</w:t>
        </w:r>
        <w:r w:rsidR="00AD17D4" w:rsidRPr="00AD17D4">
          <w:rPr>
            <w:rStyle w:val="Hyperlink"/>
            <w:rFonts w:ascii="Calibri" w:hAnsi="Calibri" w:cs="FrankRuehl" w:hint="eastAsia"/>
            <w:color w:val="0000FF"/>
            <w:rtl/>
          </w:rPr>
          <w:t>א</w:t>
        </w:r>
        <w:r w:rsidR="00AD17D4" w:rsidRPr="00AD17D4">
          <w:rPr>
            <w:rStyle w:val="Hyperlink"/>
            <w:rFonts w:ascii="Calibri" w:hAnsi="Calibri" w:cs="FrankRuehl"/>
            <w:color w:val="0000FF"/>
            <w:rtl/>
          </w:rPr>
          <w:t>)(1)+(3)</w:t>
        </w:r>
      </w:hyperlink>
      <w:r w:rsidRPr="00BC690C">
        <w:rPr>
          <w:rFonts w:ascii="Calibri" w:hAnsi="Calibri" w:cs="FrankRuehl" w:hint="cs"/>
          <w:rtl/>
        </w:rPr>
        <w:t xml:space="preserve"> לפקודה </w:t>
      </w:r>
      <w:hyperlink r:id="rId27" w:history="1">
        <w:r w:rsidR="00AD17D4" w:rsidRPr="00AD17D4">
          <w:rPr>
            <w:rFonts w:ascii="Calibri" w:hAnsi="Calibri" w:cs="FrankRuehl" w:hint="eastAsia"/>
            <w:color w:val="0000FF"/>
            <w:u w:val="single"/>
            <w:rtl/>
          </w:rPr>
          <w:t>וסעיף</w:t>
        </w:r>
        <w:r w:rsidR="00AD17D4" w:rsidRPr="00AD17D4">
          <w:rPr>
            <w:rFonts w:ascii="Calibri" w:hAnsi="Calibri" w:cs="FrankRuehl"/>
            <w:color w:val="0000FF"/>
            <w:u w:val="single"/>
            <w:rtl/>
          </w:rPr>
          <w:t xml:space="preserve"> 25</w:t>
        </w:r>
      </w:hyperlink>
      <w:r w:rsidRPr="00BC690C">
        <w:rPr>
          <w:rFonts w:ascii="Calibri" w:hAnsi="Calibri" w:cs="FrankRuehl" w:hint="cs"/>
          <w:rtl/>
        </w:rPr>
        <w:t xml:space="preserve"> לחוק.</w:t>
      </w:r>
    </w:p>
    <w:p w14:paraId="17594486"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הרביעי, ביום 5.1.2017, פנה הנאשם לקטין והציע לו לרכוש סם מסוג קנביס. הקטין חיפש אחרים שיצטרפו אליו לרכישה, ללא הצלחה, ולכן העסקה לא יצאה אל הפועל. בגין כך הואשם הנאשם בעבירות של ניסיון תיווך לפי </w:t>
      </w:r>
      <w:hyperlink r:id="rId28"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14</w:t>
        </w:r>
      </w:hyperlink>
      <w:r w:rsidRPr="00BC690C">
        <w:rPr>
          <w:rFonts w:ascii="Calibri" w:hAnsi="Calibri" w:cs="FrankRuehl" w:hint="cs"/>
          <w:rtl/>
        </w:rPr>
        <w:t xml:space="preserve"> לפקודה ו-</w:t>
      </w:r>
      <w:hyperlink r:id="rId29" w:history="1">
        <w:r w:rsidR="00AD17D4" w:rsidRPr="00AD17D4">
          <w:rPr>
            <w:rFonts w:ascii="Calibri" w:hAnsi="Calibri" w:cs="FrankRuehl"/>
            <w:color w:val="0000FF"/>
            <w:u w:val="single"/>
            <w:rtl/>
          </w:rPr>
          <w:t>25</w:t>
        </w:r>
      </w:hyperlink>
      <w:r w:rsidRPr="00BC690C">
        <w:rPr>
          <w:rFonts w:ascii="Calibri" w:hAnsi="Calibri" w:cs="FrankRuehl" w:hint="cs"/>
          <w:rtl/>
        </w:rPr>
        <w:t xml:space="preserve"> לחוק, ובניסיון הדחת קטין לסמים, לפי </w:t>
      </w:r>
      <w:hyperlink r:id="rId30" w:history="1">
        <w:r w:rsidR="00AD17D4" w:rsidRPr="00AD17D4">
          <w:rPr>
            <w:rFonts w:ascii="Calibri" w:hAnsi="Calibri" w:cs="FrankRuehl" w:hint="eastAsia"/>
            <w:color w:val="0000FF"/>
            <w:u w:val="single"/>
            <w:rtl/>
          </w:rPr>
          <w:t>סעיפים</w:t>
        </w:r>
        <w:r w:rsidR="00AD17D4" w:rsidRPr="00AD17D4">
          <w:rPr>
            <w:rFonts w:ascii="Calibri" w:hAnsi="Calibri" w:cs="FrankRuehl"/>
            <w:color w:val="0000FF"/>
            <w:u w:val="single"/>
            <w:rtl/>
          </w:rPr>
          <w:t xml:space="preserve"> 21(</w:t>
        </w:r>
        <w:r w:rsidR="00AD17D4" w:rsidRPr="00AD17D4">
          <w:rPr>
            <w:rFonts w:ascii="Calibri" w:hAnsi="Calibri" w:cs="FrankRuehl" w:hint="eastAsia"/>
            <w:color w:val="0000FF"/>
            <w:u w:val="single"/>
            <w:rtl/>
          </w:rPr>
          <w:t>א</w:t>
        </w:r>
        <w:r w:rsidR="00AD17D4" w:rsidRPr="00AD17D4">
          <w:rPr>
            <w:rFonts w:ascii="Calibri" w:hAnsi="Calibri" w:cs="FrankRuehl"/>
            <w:color w:val="0000FF"/>
            <w:u w:val="single"/>
            <w:rtl/>
          </w:rPr>
          <w:t>)(1)+(3)</w:t>
        </w:r>
      </w:hyperlink>
      <w:r w:rsidRPr="00BC690C">
        <w:rPr>
          <w:rFonts w:ascii="Calibri" w:hAnsi="Calibri" w:cs="FrankRuehl" w:hint="cs"/>
          <w:rtl/>
        </w:rPr>
        <w:t xml:space="preserve"> לפקודה </w:t>
      </w:r>
      <w:hyperlink r:id="rId31" w:history="1">
        <w:r w:rsidR="00AD17D4" w:rsidRPr="00AD17D4">
          <w:rPr>
            <w:rFonts w:ascii="Calibri" w:hAnsi="Calibri" w:cs="FrankRuehl" w:hint="eastAsia"/>
            <w:color w:val="0000FF"/>
            <w:u w:val="single"/>
            <w:rtl/>
          </w:rPr>
          <w:t>וסעיף</w:t>
        </w:r>
        <w:r w:rsidR="00AD17D4" w:rsidRPr="00AD17D4">
          <w:rPr>
            <w:rFonts w:ascii="Calibri" w:hAnsi="Calibri" w:cs="FrankRuehl"/>
            <w:color w:val="0000FF"/>
            <w:u w:val="single"/>
            <w:rtl/>
          </w:rPr>
          <w:t xml:space="preserve"> 25</w:t>
        </w:r>
      </w:hyperlink>
      <w:r w:rsidRPr="00BC690C">
        <w:rPr>
          <w:rFonts w:ascii="Calibri" w:hAnsi="Calibri" w:cs="FrankRuehl" w:hint="cs"/>
          <w:rtl/>
        </w:rPr>
        <w:t xml:space="preserve"> לחוק.</w:t>
      </w:r>
    </w:p>
    <w:p w14:paraId="56A6921C"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החמישי, ביום 10.1.2017 פנה הנאשם לקטין והציע לו לרכוש ממנו סמים עבור הקטין וחבריו. הקטין נענה להצעה, גייס אחרים ואסף מהם כספים. בהמשך רכש הקטין 10 גרם קנביס תמורת 100 </w:t>
      </w:r>
      <w:r w:rsidRPr="00BC690C">
        <w:rPr>
          <w:rFonts w:ascii="Calibri" w:hAnsi="Calibri" w:cs="FrankRuehl" w:hint="eastAsia"/>
          <w:rtl/>
        </w:rPr>
        <w:t>₪</w:t>
      </w:r>
      <w:r w:rsidRPr="00BC690C">
        <w:rPr>
          <w:rFonts w:ascii="Calibri" w:hAnsi="Calibri" w:cs="FrankRuehl" w:hint="cs"/>
          <w:rtl/>
        </w:rPr>
        <w:t xml:space="preserve"> לגרם והעסקה התבצעה בין השניים. בגין כך הואשם הנאשם בעבירות סחר בסמים לפי </w:t>
      </w:r>
      <w:hyperlink r:id="rId32"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13</w:t>
        </w:r>
      </w:hyperlink>
      <w:r w:rsidRPr="00BC690C">
        <w:rPr>
          <w:rFonts w:ascii="Calibri" w:hAnsi="Calibri" w:cs="FrankRuehl" w:hint="cs"/>
          <w:rtl/>
        </w:rPr>
        <w:t xml:space="preserve"> לפקדה והדחת קטין לסמים, לפי </w:t>
      </w:r>
      <w:hyperlink r:id="rId33" w:history="1">
        <w:r w:rsidR="00AD17D4" w:rsidRPr="00AD17D4">
          <w:rPr>
            <w:rFonts w:ascii="Calibri" w:hAnsi="Calibri" w:cs="FrankRuehl" w:hint="eastAsia"/>
            <w:color w:val="0000FF"/>
            <w:u w:val="single"/>
            <w:rtl/>
          </w:rPr>
          <w:t>סעיף</w:t>
        </w:r>
        <w:r w:rsidR="00AD17D4" w:rsidRPr="00AD17D4">
          <w:rPr>
            <w:rFonts w:ascii="Calibri" w:hAnsi="Calibri" w:cs="FrankRuehl"/>
            <w:color w:val="0000FF"/>
            <w:u w:val="single"/>
            <w:rtl/>
          </w:rPr>
          <w:t xml:space="preserve"> 21(</w:t>
        </w:r>
        <w:r w:rsidR="00AD17D4" w:rsidRPr="00AD17D4">
          <w:rPr>
            <w:rFonts w:ascii="Calibri" w:hAnsi="Calibri" w:cs="FrankRuehl" w:hint="eastAsia"/>
            <w:color w:val="0000FF"/>
            <w:u w:val="single"/>
            <w:rtl/>
          </w:rPr>
          <w:t>א</w:t>
        </w:r>
        <w:r w:rsidR="00AD17D4" w:rsidRPr="00AD17D4">
          <w:rPr>
            <w:rFonts w:ascii="Calibri" w:hAnsi="Calibri" w:cs="FrankRuehl"/>
            <w:color w:val="0000FF"/>
            <w:u w:val="single"/>
            <w:rtl/>
          </w:rPr>
          <w:t>)(1)+(3)</w:t>
        </w:r>
      </w:hyperlink>
      <w:r w:rsidRPr="00BC690C">
        <w:rPr>
          <w:rFonts w:ascii="Calibri" w:hAnsi="Calibri" w:cs="FrankRuehl" w:hint="cs"/>
          <w:rtl/>
        </w:rPr>
        <w:t xml:space="preserve"> לפקודה.</w:t>
      </w:r>
    </w:p>
    <w:p w14:paraId="4F40164F"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על-פי האישום השישי, לפני יום 28.1.2018 פנה הקטין לנאשם וביקש לרכוש ממנו קנביס. הנאשם פנה לאחר שהסכים למקור לקטין סמים בתנאי שהכמות תהיה לפחות עשרות גרמים. הנאשם הודיע לקטין על התנאי ובתגובה, יחד עם קטין אחר, פנה הקטין לחבריו והציע להם לרכוש יחד סמים. בהמשך הודיע הקטין לנאשם כי בכוונתו לרכוש 16 גרם. לאחר דין ודברים עם האחר, קישר הנאשם בינו לבין הקטין לצורך הרכישה וסוכם כי ייפגשו בחצות הלילה באחד מרחובות ירושלים. ביום 29.1.2018 נעצרו הקטין והקטין האחר והעסקה לא יצאה אל הפועל. בגין כך הואשם הנאשם בעבירות ניסיון תיווך לפי </w:t>
      </w:r>
      <w:hyperlink r:id="rId34" w:history="1">
        <w:r w:rsidR="00AD17D4" w:rsidRPr="00AD17D4">
          <w:rPr>
            <w:rFonts w:ascii="Calibri" w:hAnsi="Calibri" w:cs="FrankRuehl" w:hint="eastAsia"/>
            <w:color w:val="0000FF"/>
            <w:u w:val="single"/>
            <w:rtl/>
          </w:rPr>
          <w:t>סעיפים</w:t>
        </w:r>
        <w:r w:rsidR="00AD17D4" w:rsidRPr="00AD17D4">
          <w:rPr>
            <w:rFonts w:ascii="Calibri" w:hAnsi="Calibri" w:cs="FrankRuehl"/>
            <w:color w:val="0000FF"/>
            <w:u w:val="single"/>
            <w:rtl/>
          </w:rPr>
          <w:t xml:space="preserve"> 14</w:t>
        </w:r>
      </w:hyperlink>
      <w:r w:rsidRPr="00BC690C">
        <w:rPr>
          <w:rFonts w:ascii="Calibri" w:hAnsi="Calibri" w:cs="FrankRuehl" w:hint="cs"/>
          <w:rtl/>
        </w:rPr>
        <w:t xml:space="preserve"> לפקודה ו-</w:t>
      </w:r>
      <w:hyperlink r:id="rId35" w:history="1">
        <w:r w:rsidR="00AD17D4" w:rsidRPr="00AD17D4">
          <w:rPr>
            <w:rFonts w:ascii="Calibri" w:hAnsi="Calibri" w:cs="FrankRuehl"/>
            <w:color w:val="0000FF"/>
            <w:u w:val="single"/>
            <w:rtl/>
          </w:rPr>
          <w:t>25</w:t>
        </w:r>
      </w:hyperlink>
      <w:r w:rsidRPr="00BC690C">
        <w:rPr>
          <w:rFonts w:ascii="Calibri" w:hAnsi="Calibri" w:cs="FrankRuehl" w:hint="cs"/>
          <w:rtl/>
        </w:rPr>
        <w:t xml:space="preserve"> לחוק ובעבירה של ניסיון הדחת קטין, לפי </w:t>
      </w:r>
      <w:hyperlink r:id="rId36" w:history="1">
        <w:r w:rsidR="00AD17D4" w:rsidRPr="00AD17D4">
          <w:rPr>
            <w:rFonts w:ascii="Calibri" w:hAnsi="Calibri" w:cs="FrankRuehl" w:hint="eastAsia"/>
            <w:color w:val="0000FF"/>
            <w:u w:val="single"/>
            <w:rtl/>
          </w:rPr>
          <w:t>סעיפים</w:t>
        </w:r>
        <w:r w:rsidR="00AD17D4" w:rsidRPr="00AD17D4">
          <w:rPr>
            <w:rFonts w:ascii="Calibri" w:hAnsi="Calibri" w:cs="FrankRuehl"/>
            <w:color w:val="0000FF"/>
            <w:u w:val="single"/>
            <w:rtl/>
          </w:rPr>
          <w:t xml:space="preserve"> 21(</w:t>
        </w:r>
        <w:r w:rsidR="00AD17D4" w:rsidRPr="00AD17D4">
          <w:rPr>
            <w:rFonts w:ascii="Calibri" w:hAnsi="Calibri" w:cs="FrankRuehl" w:hint="eastAsia"/>
            <w:color w:val="0000FF"/>
            <w:u w:val="single"/>
            <w:rtl/>
          </w:rPr>
          <w:t>א</w:t>
        </w:r>
        <w:r w:rsidR="00AD17D4" w:rsidRPr="00AD17D4">
          <w:rPr>
            <w:rFonts w:ascii="Calibri" w:hAnsi="Calibri" w:cs="FrankRuehl"/>
            <w:color w:val="0000FF"/>
            <w:u w:val="single"/>
            <w:rtl/>
          </w:rPr>
          <w:t>)(1)+(3)</w:t>
        </w:r>
      </w:hyperlink>
      <w:r w:rsidRPr="00BC690C">
        <w:rPr>
          <w:rFonts w:ascii="Calibri" w:hAnsi="Calibri" w:cs="FrankRuehl" w:hint="cs"/>
          <w:rtl/>
        </w:rPr>
        <w:t xml:space="preserve"> לפקודה </w:t>
      </w:r>
      <w:hyperlink r:id="rId37" w:history="1">
        <w:r w:rsidR="00AD17D4" w:rsidRPr="00AD17D4">
          <w:rPr>
            <w:rFonts w:ascii="Calibri" w:hAnsi="Calibri" w:cs="FrankRuehl" w:hint="eastAsia"/>
            <w:color w:val="0000FF"/>
            <w:u w:val="single"/>
            <w:rtl/>
          </w:rPr>
          <w:t>וסעיף</w:t>
        </w:r>
        <w:r w:rsidR="00AD17D4" w:rsidRPr="00AD17D4">
          <w:rPr>
            <w:rFonts w:ascii="Calibri" w:hAnsi="Calibri" w:cs="FrankRuehl"/>
            <w:color w:val="0000FF"/>
            <w:u w:val="single"/>
            <w:rtl/>
          </w:rPr>
          <w:t xml:space="preserve"> 25</w:t>
        </w:r>
      </w:hyperlink>
      <w:r w:rsidRPr="00BC690C">
        <w:rPr>
          <w:rFonts w:ascii="Calibri" w:hAnsi="Calibri" w:cs="FrankRuehl" w:hint="cs"/>
          <w:rtl/>
        </w:rPr>
        <w:t xml:space="preserve"> לחוק.</w:t>
      </w:r>
    </w:p>
    <w:p w14:paraId="68A4C23E" w14:textId="77777777" w:rsidR="00BC690C" w:rsidRPr="00BC690C" w:rsidRDefault="00BC690C" w:rsidP="00BC690C">
      <w:pPr>
        <w:spacing w:after="160" w:line="360" w:lineRule="auto"/>
        <w:jc w:val="both"/>
        <w:rPr>
          <w:rFonts w:ascii="Calibri" w:hAnsi="Calibri" w:cs="FrankRuehl"/>
          <w:b/>
          <w:bCs/>
          <w:u w:val="single"/>
          <w:rtl/>
        </w:rPr>
      </w:pPr>
    </w:p>
    <w:p w14:paraId="13BCB3CC" w14:textId="77777777" w:rsidR="00BC690C" w:rsidRPr="00BC690C" w:rsidRDefault="00BC690C" w:rsidP="00BC690C">
      <w:pPr>
        <w:spacing w:after="160" w:line="360" w:lineRule="auto"/>
        <w:jc w:val="both"/>
        <w:rPr>
          <w:rFonts w:ascii="Calibri" w:hAnsi="Calibri" w:cs="FrankRuehl"/>
          <w:b/>
          <w:bCs/>
          <w:u w:val="single"/>
          <w:rtl/>
        </w:rPr>
      </w:pPr>
      <w:r w:rsidRPr="00BC690C">
        <w:rPr>
          <w:rFonts w:ascii="Calibri" w:hAnsi="Calibri" w:cs="FrankRuehl" w:hint="cs"/>
          <w:b/>
          <w:bCs/>
          <w:u w:val="single"/>
          <w:rtl/>
        </w:rPr>
        <w:t>תסקיר</w:t>
      </w:r>
    </w:p>
    <w:p w14:paraId="494A4278"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מהתסקיר שהוגש בעניינו של הנאשם עולה, כי מדובר באדם כבן 24, רווק המתגורר עם משפחתו. הנאשם מגיע מרקע חרדי, כאשר בגיל העשרה החל להתרחק מאורח חיים זה וסיים ללמוד במוסדות חרדיים מוקדם מהצפוי. לאחר מכן עבד באופן יציב בעבודות שונות. למרות הפערים באורחות החיים, הנאשם המשיך וממשיך לשמור על קשר קרוב עם משפחתו. לדבריו החל להשתמש בחומרים ממכרים בגיל 21, ומדובר בסם מסוג חשיש. בדיקות שתן שמסר הנאשם לאורך תקופה של כחצי שנה נמצאו נקיות. למשיב רישום פלילי ללא הרשעה בעבירה שאינה ממין העניין. אשר לנטילת אחריות סבר שירות המבחן, כי הנאשם לא ירד לעומק משמעות האישומים בהם הודה בבית המשפט, והמשיך לטעון כי אין מדובר בהדחה אלא בשימוש על-רקע חברתי. שירות המבחן ציין, כי הנאשם נעדר דפוסי חשיבה והתנהגות עברייניים וכי חווה את ההליך הפלילי באופן מרתיע ומלמד. שירות המבחן סבר מחד, כי מאפייניו החיוביים של הנאשם הם גורמים מפחיתי סיכון להישנות עבירות, ואילו מאידך סבר, כי טשטוש </w:t>
      </w:r>
      <w:r w:rsidRPr="00BC690C">
        <w:rPr>
          <w:rFonts w:ascii="Calibri" w:hAnsi="Calibri" w:cs="FrankRuehl" w:hint="cs"/>
          <w:rtl/>
        </w:rPr>
        <w:lastRenderedPageBreak/>
        <w:t xml:space="preserve">נטילת האחריות והיעדר פניוּת לטיפול מהווים גורמי סיכון להישנות עבירות. בשורה התחתונה סבר שירות המבחן, כי יש להטיל על הנאשם עונש מוחשי בדמות מאסר לריצוי בעבודות שירות לתקופה קצרה, מאסר על תנאי והתחייבות כספית </w:t>
      </w:r>
      <w:r w:rsidRPr="00BC690C">
        <w:rPr>
          <w:rFonts w:ascii="Calibri" w:hAnsi="Calibri" w:cs="FrankRuehl"/>
          <w:rtl/>
        </w:rPr>
        <w:t>–</w:t>
      </w:r>
      <w:r w:rsidRPr="00BC690C">
        <w:rPr>
          <w:rFonts w:ascii="Calibri" w:hAnsi="Calibri" w:cs="FrankRuehl" w:hint="cs"/>
          <w:rtl/>
        </w:rPr>
        <w:t xml:space="preserve"> עונשים מרתיעים צופי פני עתיד.</w:t>
      </w:r>
    </w:p>
    <w:p w14:paraId="40E4D9A0" w14:textId="77777777" w:rsidR="00BC690C" w:rsidRPr="00BC690C" w:rsidRDefault="00BC690C" w:rsidP="00BC690C">
      <w:pPr>
        <w:spacing w:after="160" w:line="360" w:lineRule="auto"/>
        <w:jc w:val="both"/>
        <w:rPr>
          <w:rFonts w:ascii="Calibri" w:hAnsi="Calibri" w:cs="FrankRuehl"/>
          <w:rtl/>
        </w:rPr>
      </w:pPr>
    </w:p>
    <w:p w14:paraId="267D9569" w14:textId="77777777" w:rsidR="00BC690C" w:rsidRPr="00BC690C" w:rsidRDefault="00BC690C" w:rsidP="00BC690C">
      <w:pPr>
        <w:spacing w:after="160" w:line="360" w:lineRule="auto"/>
        <w:jc w:val="both"/>
        <w:rPr>
          <w:rFonts w:ascii="Calibri" w:hAnsi="Calibri" w:cs="FrankRuehl"/>
          <w:b/>
          <w:bCs/>
          <w:u w:val="single"/>
          <w:rtl/>
        </w:rPr>
      </w:pPr>
    </w:p>
    <w:p w14:paraId="3AD99F28" w14:textId="77777777" w:rsidR="00BC690C" w:rsidRPr="00BC690C" w:rsidRDefault="00BC690C" w:rsidP="00BC690C">
      <w:pPr>
        <w:spacing w:after="160" w:line="360" w:lineRule="auto"/>
        <w:jc w:val="both"/>
        <w:rPr>
          <w:rFonts w:ascii="Calibri" w:hAnsi="Calibri" w:cs="FrankRuehl"/>
          <w:b/>
          <w:bCs/>
          <w:u w:val="single"/>
          <w:rtl/>
        </w:rPr>
      </w:pPr>
    </w:p>
    <w:p w14:paraId="49BB9C58" w14:textId="77777777" w:rsidR="00BC690C" w:rsidRPr="00BC690C" w:rsidRDefault="00BC690C" w:rsidP="00BC690C">
      <w:pPr>
        <w:spacing w:after="160" w:line="360" w:lineRule="auto"/>
        <w:jc w:val="both"/>
        <w:rPr>
          <w:rFonts w:ascii="Calibri" w:hAnsi="Calibri" w:cs="FrankRuehl"/>
          <w:b/>
          <w:bCs/>
          <w:u w:val="single"/>
          <w:rtl/>
        </w:rPr>
      </w:pPr>
    </w:p>
    <w:p w14:paraId="3D69BB81" w14:textId="77777777" w:rsidR="00BC690C" w:rsidRPr="00BC690C" w:rsidRDefault="00BC690C" w:rsidP="00BC690C">
      <w:pPr>
        <w:spacing w:after="160" w:line="360" w:lineRule="auto"/>
        <w:jc w:val="both"/>
        <w:rPr>
          <w:rFonts w:ascii="Calibri" w:hAnsi="Calibri" w:cs="FrankRuehl"/>
          <w:b/>
          <w:bCs/>
          <w:u w:val="single"/>
          <w:rtl/>
        </w:rPr>
      </w:pPr>
      <w:r w:rsidRPr="00BC690C">
        <w:rPr>
          <w:rFonts w:ascii="Calibri" w:hAnsi="Calibri" w:cs="FrankRuehl" w:hint="cs"/>
          <w:b/>
          <w:bCs/>
          <w:u w:val="single"/>
          <w:rtl/>
        </w:rPr>
        <w:t>חוות דעת הממונה על עבודות שירות</w:t>
      </w:r>
    </w:p>
    <w:p w14:paraId="1C4B0E0B"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הנאשם נמצא מתאים לריצוי מאסר על דרך של עבודות שירות. מחוות דעת הממונה עולה כי יוכל לרצות עבודות שירות במסגרת "חברה קדישא לעדת הבבלים בירושלים", החל מיום 21.8.2018.</w:t>
      </w:r>
    </w:p>
    <w:p w14:paraId="06668F18" w14:textId="77777777" w:rsidR="00BC690C" w:rsidRPr="00BC690C" w:rsidRDefault="00BC690C" w:rsidP="00BC690C">
      <w:pPr>
        <w:spacing w:after="160" w:line="360" w:lineRule="auto"/>
        <w:jc w:val="both"/>
        <w:rPr>
          <w:rFonts w:ascii="Calibri" w:hAnsi="Calibri" w:cs="FrankRuehl"/>
          <w:rtl/>
        </w:rPr>
      </w:pPr>
    </w:p>
    <w:p w14:paraId="278C500E" w14:textId="77777777" w:rsidR="00BC690C" w:rsidRPr="00BC690C" w:rsidRDefault="00BC690C" w:rsidP="00BC690C">
      <w:pPr>
        <w:spacing w:after="160" w:line="360" w:lineRule="auto"/>
        <w:jc w:val="both"/>
        <w:rPr>
          <w:rFonts w:ascii="Calibri" w:hAnsi="Calibri" w:cs="FrankRuehl"/>
          <w:b/>
          <w:bCs/>
          <w:u w:val="single"/>
          <w:rtl/>
        </w:rPr>
      </w:pPr>
      <w:r w:rsidRPr="00BC690C">
        <w:rPr>
          <w:rFonts w:ascii="Calibri" w:hAnsi="Calibri" w:cs="FrankRuehl" w:hint="cs"/>
          <w:b/>
          <w:bCs/>
          <w:u w:val="single"/>
          <w:rtl/>
        </w:rPr>
        <w:t>טיעונים לעונש</w:t>
      </w:r>
    </w:p>
    <w:p w14:paraId="4CE7F5BD"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הצדדים לא הגיעו להסכמה עונשית. </w:t>
      </w:r>
    </w:p>
    <w:p w14:paraId="79CB2687"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מחד, ב"כ המאשימה סברה כי מתחם הענישה צריך לנוע בין 15 ל-40 חודשי מאסר, כאשר יש למקם את הנאשם בשליש התחתון של המתחם, זאת בין היתר לנוכח חומרת המעשה של הדחת קטין לשימוש בסם, נטילת האחריות החלקית של הנאשם והערכתה כי לנאשם אין את הכלים לעלות על דרך חדשה.</w:t>
      </w:r>
    </w:p>
    <w:p w14:paraId="01920534"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 xml:space="preserve">מאידך, הסניגור טוען כי ניתן להסתפק בעונש של חודשים ספורים של עבודות שירות, וזאת לנוכח כברת הדרך שעשה הנאשם, יציבותו התעסוקתית והיותו אדם בראשית חייו הבוגרים, המבקש לעצב את חייו לעתיד לבוא. הסניגור הדגיש את הרקע החיובי ממנו מגיע הנאשם, את התמיכה המשפחתית לה הוא זוכה ואת היעדר הדפוסים העברייניים בחשיבתו ובמעשיו, הערכה אותה הביע שירות המבחן. </w:t>
      </w:r>
    </w:p>
    <w:p w14:paraId="59DE4E9E"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כל צד היפנה לפסיקה התומכת בעמדתו.</w:t>
      </w:r>
    </w:p>
    <w:p w14:paraId="407ADC1D" w14:textId="77777777" w:rsidR="00BC690C" w:rsidRPr="00BC690C" w:rsidRDefault="00BC690C" w:rsidP="00BC690C">
      <w:pPr>
        <w:spacing w:after="160" w:line="360" w:lineRule="auto"/>
        <w:jc w:val="both"/>
        <w:rPr>
          <w:rFonts w:ascii="Calibri" w:hAnsi="Calibri" w:cs="FrankRuehl"/>
          <w:b/>
          <w:bCs/>
          <w:u w:val="single"/>
          <w:rtl/>
        </w:rPr>
      </w:pPr>
    </w:p>
    <w:p w14:paraId="445B2C3C" w14:textId="77777777" w:rsidR="00BC690C" w:rsidRPr="00BC690C" w:rsidRDefault="00BC690C" w:rsidP="00BC690C">
      <w:pPr>
        <w:spacing w:after="160" w:line="360" w:lineRule="auto"/>
        <w:jc w:val="both"/>
        <w:rPr>
          <w:rFonts w:ascii="Calibri" w:hAnsi="Calibri" w:cs="FrankRuehl"/>
          <w:b/>
          <w:bCs/>
          <w:u w:val="single"/>
          <w:rtl/>
        </w:rPr>
      </w:pPr>
      <w:r w:rsidRPr="00BC690C">
        <w:rPr>
          <w:rFonts w:ascii="Calibri" w:hAnsi="Calibri" w:cs="FrankRuehl" w:hint="cs"/>
          <w:b/>
          <w:bCs/>
          <w:u w:val="single"/>
          <w:rtl/>
        </w:rPr>
        <w:t xml:space="preserve">קביעת מתחם הענישה </w:t>
      </w:r>
      <w:r w:rsidRPr="00BC690C">
        <w:rPr>
          <w:rFonts w:ascii="Calibri" w:hAnsi="Calibri" w:cs="FrankRuehl" w:hint="cs"/>
          <w:rtl/>
        </w:rPr>
        <w:t>– מתחם הענישה צריך להתייחס לעקרון ההלימה, הנוגע ליחס לערך החברתי המוגן, מידת הפגיעה בו, מדיניות הענישה הנוהגת ונסיבות ביצוע העבירה.</w:t>
      </w:r>
    </w:p>
    <w:p w14:paraId="78BCE29E" w14:textId="77777777" w:rsidR="00BC690C" w:rsidRPr="00BC690C" w:rsidRDefault="00BC690C" w:rsidP="00BC690C">
      <w:pPr>
        <w:spacing w:after="160" w:line="360" w:lineRule="auto"/>
        <w:jc w:val="both"/>
        <w:rPr>
          <w:rFonts w:ascii="Calibri" w:hAnsi="Calibri" w:cs="FrankRuehl"/>
          <w:b/>
          <w:bCs/>
          <w:u w:val="single"/>
          <w:rtl/>
        </w:rPr>
      </w:pPr>
    </w:p>
    <w:p w14:paraId="014ECC07"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b/>
          <w:bCs/>
          <w:u w:val="single"/>
          <w:rtl/>
        </w:rPr>
        <w:t xml:space="preserve">אשר לערך המוגן </w:t>
      </w:r>
      <w:r w:rsidRPr="00BC690C">
        <w:rPr>
          <w:rFonts w:ascii="Calibri" w:hAnsi="Calibri" w:cs="FrankRuehl" w:hint="cs"/>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מידת הפגיעה בערך המוגן אינה מבוטלת שעה שהמשיב משדל קטינים לשימוש בסמים </w:t>
      </w:r>
      <w:r w:rsidRPr="00BC690C">
        <w:rPr>
          <w:rFonts w:ascii="Calibri" w:hAnsi="Calibri" w:cs="FrankRuehl"/>
          <w:rtl/>
        </w:rPr>
        <w:t>–</w:t>
      </w:r>
      <w:r w:rsidRPr="00BC690C">
        <w:rPr>
          <w:rFonts w:ascii="Calibri" w:hAnsi="Calibri" w:cs="FrankRuehl" w:hint="cs"/>
          <w:rtl/>
        </w:rPr>
        <w:t xml:space="preserve"> קטינים הפגיעים יותר להשפעתם הקשה של הסמים.</w:t>
      </w:r>
    </w:p>
    <w:p w14:paraId="46F5C923" w14:textId="77777777" w:rsidR="00BC690C" w:rsidRPr="00BC690C" w:rsidRDefault="00BC690C" w:rsidP="00BC690C">
      <w:pPr>
        <w:spacing w:after="160" w:line="360" w:lineRule="auto"/>
        <w:jc w:val="both"/>
        <w:rPr>
          <w:rFonts w:ascii="Calibri" w:hAnsi="Calibri" w:cs="FrankRuehl"/>
          <w:b/>
          <w:bCs/>
          <w:u w:val="single"/>
          <w:rtl/>
        </w:rPr>
      </w:pPr>
    </w:p>
    <w:p w14:paraId="5E321E14"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b/>
          <w:bCs/>
          <w:u w:val="single"/>
          <w:rtl/>
        </w:rPr>
        <w:t xml:space="preserve">נסיבות הקשורות בביצוע העבירה, לפי </w:t>
      </w:r>
      <w:hyperlink r:id="rId38" w:history="1">
        <w:r w:rsidR="00AD17D4" w:rsidRPr="00AD17D4">
          <w:rPr>
            <w:rFonts w:ascii="Calibri" w:hAnsi="Calibri" w:cs="FrankRuehl" w:hint="eastAsia"/>
            <w:b/>
            <w:bCs/>
            <w:color w:val="0000FF"/>
            <w:u w:val="single"/>
            <w:rtl/>
          </w:rPr>
          <w:t>סעיף</w:t>
        </w:r>
        <w:r w:rsidR="00AD17D4" w:rsidRPr="00AD17D4">
          <w:rPr>
            <w:rFonts w:ascii="Calibri" w:hAnsi="Calibri" w:cs="FrankRuehl"/>
            <w:b/>
            <w:bCs/>
            <w:color w:val="0000FF"/>
            <w:u w:val="single"/>
            <w:rtl/>
          </w:rPr>
          <w:t xml:space="preserve"> 40</w:t>
        </w:r>
        <w:r w:rsidR="00AD17D4" w:rsidRPr="00AD17D4">
          <w:rPr>
            <w:rFonts w:ascii="Calibri" w:hAnsi="Calibri" w:cs="FrankRuehl" w:hint="eastAsia"/>
            <w:b/>
            <w:bCs/>
            <w:color w:val="0000FF"/>
            <w:u w:val="single"/>
            <w:rtl/>
          </w:rPr>
          <w:t>ט</w:t>
        </w:r>
        <w:r w:rsidR="00AD17D4" w:rsidRPr="00AD17D4">
          <w:rPr>
            <w:rFonts w:ascii="Calibri" w:hAnsi="Calibri" w:cs="FrankRuehl"/>
            <w:b/>
            <w:bCs/>
            <w:color w:val="0000FF"/>
            <w:u w:val="single"/>
            <w:rtl/>
          </w:rPr>
          <w:t>'</w:t>
        </w:r>
      </w:hyperlink>
      <w:r w:rsidRPr="00BC690C">
        <w:rPr>
          <w:rFonts w:ascii="Calibri" w:hAnsi="Calibri" w:cs="FrankRuehl" w:hint="cs"/>
          <w:b/>
          <w:bCs/>
          <w:u w:val="single"/>
          <w:rtl/>
        </w:rPr>
        <w:t xml:space="preserve"> ל</w:t>
      </w:r>
      <w:hyperlink r:id="rId39" w:history="1">
        <w:r w:rsidR="006C4051" w:rsidRPr="006C4051">
          <w:rPr>
            <w:rFonts w:ascii="Calibri" w:hAnsi="Calibri" w:cs="FrankRuehl" w:hint="eastAsia"/>
            <w:b/>
            <w:bCs/>
            <w:color w:val="0000FF"/>
            <w:u w:val="single"/>
            <w:rtl/>
          </w:rPr>
          <w:t>חוק</w:t>
        </w:r>
        <w:r w:rsidR="006C4051" w:rsidRPr="006C4051">
          <w:rPr>
            <w:rFonts w:ascii="Calibri" w:hAnsi="Calibri" w:cs="FrankRuehl"/>
            <w:b/>
            <w:bCs/>
            <w:color w:val="0000FF"/>
            <w:u w:val="single"/>
            <w:rtl/>
          </w:rPr>
          <w:t xml:space="preserve"> </w:t>
        </w:r>
        <w:r w:rsidR="006C4051" w:rsidRPr="006C4051">
          <w:rPr>
            <w:rFonts w:ascii="Calibri" w:hAnsi="Calibri" w:cs="FrankRuehl" w:hint="eastAsia"/>
            <w:b/>
            <w:bCs/>
            <w:color w:val="0000FF"/>
            <w:u w:val="single"/>
            <w:rtl/>
          </w:rPr>
          <w:t>העונשין</w:t>
        </w:r>
      </w:hyperlink>
      <w:r w:rsidRPr="00BC690C">
        <w:rPr>
          <w:rFonts w:ascii="Calibri" w:hAnsi="Calibri" w:cs="FrankRuehl" w:hint="cs"/>
          <w:b/>
          <w:bCs/>
          <w:rtl/>
        </w:rPr>
        <w:t xml:space="preserve"> – </w:t>
      </w:r>
      <w:r w:rsidRPr="00BC690C">
        <w:rPr>
          <w:rFonts w:ascii="Calibri" w:hAnsi="Calibri" w:cs="FrankRuehl" w:hint="cs"/>
          <w:rtl/>
        </w:rPr>
        <w:t xml:space="preserve">בין הנסיבות הקשורות בביצוע העבירה יש לשקול את אלה, לעניין קביעת המתחם: קשה לדבר על תכנון קפדני של ביצוע העבירות, מלבד הפניה היזומה מצד הנאשם לקטין במספר הזדמנויות והבטחה (ואף קיום) של אספקת סם; הנאשם אחראי בלעדית למעשיו ואחריות זאת מתגברת לנוכח המקרים החוזרים ונשנים; הנזק הכרוך בצריכת סמים ידוע, ובוודאי שנזק זה משמעותי שעה שמדובר בקטינים הצורכים סם ובכך מסכנים את בריאותם ועתידם; לצד ההיכרות עם הקטין כנסיבה מקילה, נדמה כי המעשים נועדו למען השגת רווח כספי, וזאת כנסיבה מחמירה; יש משמעות לפער הגילאים שבין הנאשם לקטין הפועל לחובתו של הנאשם. </w:t>
      </w:r>
    </w:p>
    <w:p w14:paraId="43B8CCD1" w14:textId="77777777" w:rsidR="00BC690C" w:rsidRPr="00BC690C" w:rsidRDefault="00BC690C" w:rsidP="00BC690C">
      <w:pPr>
        <w:spacing w:after="160" w:line="360" w:lineRule="auto"/>
        <w:jc w:val="both"/>
        <w:rPr>
          <w:rFonts w:ascii="Calibri" w:hAnsi="Calibri" w:cs="FrankRuehl"/>
          <w:b/>
          <w:bCs/>
          <w:u w:val="single"/>
          <w:rtl/>
        </w:rPr>
      </w:pPr>
    </w:p>
    <w:p w14:paraId="239648D1" w14:textId="77777777" w:rsidR="00BC690C" w:rsidRPr="00BC690C" w:rsidRDefault="00BC690C" w:rsidP="00BC690C">
      <w:pPr>
        <w:spacing w:after="160" w:line="360" w:lineRule="auto"/>
        <w:jc w:val="both"/>
        <w:rPr>
          <w:rFonts w:ascii="Calibri" w:hAnsi="Calibri" w:cs="FrankRuehl"/>
          <w:b/>
          <w:bCs/>
          <w:rtl/>
        </w:rPr>
      </w:pPr>
      <w:r w:rsidRPr="00BC690C">
        <w:rPr>
          <w:rFonts w:ascii="Calibri" w:hAnsi="Calibri" w:cs="FrankRuehl" w:hint="cs"/>
          <w:b/>
          <w:bCs/>
          <w:u w:val="single"/>
          <w:rtl/>
        </w:rPr>
        <w:t>מדיניות הענישה הנוהגת</w:t>
      </w:r>
      <w:r w:rsidRPr="00BC690C">
        <w:rPr>
          <w:rFonts w:ascii="Calibri" w:hAnsi="Calibri" w:cs="FrankRuehl" w:hint="cs"/>
          <w:b/>
          <w:bCs/>
          <w:rtl/>
        </w:rPr>
        <w:t xml:space="preserve"> – </w:t>
      </w:r>
      <w:r w:rsidRPr="00BC690C">
        <w:rPr>
          <w:rFonts w:ascii="Calibri" w:hAnsi="Calibri" w:cs="FrankRuehl" w:hint="cs"/>
          <w:rtl/>
        </w:rPr>
        <w:t xml:space="preserve">המדינה היפנתה לע"פ (י-ם) </w:t>
      </w:r>
      <w:r w:rsidRPr="00BC690C">
        <w:rPr>
          <w:rFonts w:ascii="Calibri" w:hAnsi="Calibri" w:cs="FrankRuehl" w:hint="cs"/>
          <w:b/>
          <w:bCs/>
          <w:u w:val="single"/>
          <w:rtl/>
        </w:rPr>
        <w:t>פרץ</w:t>
      </w:r>
      <w:r w:rsidRPr="00BC690C">
        <w:rPr>
          <w:rFonts w:ascii="Calibri" w:hAnsi="Calibri" w:cs="FrankRuehl" w:hint="cs"/>
          <w:rtl/>
        </w:rPr>
        <w:t xml:space="preserve"> נ' </w:t>
      </w:r>
      <w:r w:rsidRPr="00BC690C">
        <w:rPr>
          <w:rFonts w:ascii="Calibri" w:hAnsi="Calibri" w:cs="FrankRuehl" w:hint="cs"/>
          <w:b/>
          <w:bCs/>
          <w:u w:val="single"/>
          <w:rtl/>
        </w:rPr>
        <w:t>מ"י</w:t>
      </w:r>
      <w:r w:rsidRPr="00BC690C">
        <w:rPr>
          <w:rFonts w:ascii="Calibri" w:hAnsi="Calibri" w:cs="FrankRuehl" w:hint="cs"/>
          <w:rtl/>
        </w:rPr>
        <w:t xml:space="preserve"> (מיום 20.6.2002), אלא שמדובר בגזר דין שאינו רלבנטי, הן לנוכח נסיבות המעשה (הדחה בסם מסוג </w:t>
      </w:r>
      <w:r w:rsidRPr="00BC690C">
        <w:rPr>
          <w:rFonts w:ascii="Calibri" w:hAnsi="Calibri" w:cs="FrankRuehl" w:hint="cs"/>
        </w:rPr>
        <w:t>MDMA</w:t>
      </w:r>
      <w:r w:rsidRPr="00BC690C">
        <w:rPr>
          <w:rFonts w:ascii="Calibri" w:hAnsi="Calibri" w:cs="FrankRuehl" w:hint="cs"/>
          <w:rtl/>
        </w:rPr>
        <w:t>) והן לנוכח נסיבות העושה (אדם בעל עבר פלילי עשיר שמאסרו המותנה עמד על 15 חודשים). ב-</w:t>
      </w:r>
      <w:hyperlink r:id="rId40" w:history="1">
        <w:r w:rsidR="006C4051" w:rsidRPr="006C4051">
          <w:rPr>
            <w:rFonts w:ascii="Calibri" w:hAnsi="Calibri" w:cs="FrankRuehl" w:hint="eastAsia"/>
            <w:color w:val="0000FF"/>
            <w:u w:val="single"/>
            <w:rtl/>
          </w:rPr>
          <w:t>ת</w:t>
        </w:r>
        <w:r w:rsidR="006C4051" w:rsidRPr="006C4051">
          <w:rPr>
            <w:rFonts w:ascii="Calibri" w:hAnsi="Calibri" w:cs="FrankRuehl"/>
            <w:color w:val="0000FF"/>
            <w:u w:val="single"/>
            <w:rtl/>
          </w:rPr>
          <w:t>"</w:t>
        </w:r>
        <w:r w:rsidR="006C4051" w:rsidRPr="006C4051">
          <w:rPr>
            <w:rFonts w:ascii="Calibri" w:hAnsi="Calibri" w:cs="FrankRuehl" w:hint="eastAsia"/>
            <w:color w:val="0000FF"/>
            <w:u w:val="single"/>
            <w:rtl/>
          </w:rPr>
          <w:t>פ</w:t>
        </w:r>
        <w:r w:rsidR="006C4051" w:rsidRPr="006C4051">
          <w:rPr>
            <w:rFonts w:ascii="Calibri" w:hAnsi="Calibri" w:cs="FrankRuehl"/>
            <w:color w:val="0000FF"/>
            <w:u w:val="single"/>
            <w:rtl/>
          </w:rPr>
          <w:t xml:space="preserve"> (</w:t>
        </w:r>
        <w:r w:rsidR="006C4051" w:rsidRPr="006C4051">
          <w:rPr>
            <w:rFonts w:ascii="Calibri" w:hAnsi="Calibri" w:cs="FrankRuehl" w:hint="eastAsia"/>
            <w:color w:val="0000FF"/>
            <w:u w:val="single"/>
            <w:rtl/>
          </w:rPr>
          <w:t>נצ</w:t>
        </w:r>
        <w:r w:rsidR="006C4051" w:rsidRPr="006C4051">
          <w:rPr>
            <w:rFonts w:ascii="Calibri" w:hAnsi="Calibri" w:cs="FrankRuehl"/>
            <w:color w:val="0000FF"/>
            <w:u w:val="single"/>
            <w:rtl/>
          </w:rPr>
          <w:t>') 1054-04-09</w:t>
        </w:r>
      </w:hyperlink>
      <w:r w:rsidRPr="00BC690C">
        <w:rPr>
          <w:rFonts w:ascii="Calibri" w:hAnsi="Calibri" w:cs="FrankRuehl" w:hint="cs"/>
          <w:rtl/>
        </w:rPr>
        <w:t xml:space="preserve"> (מיום 10.6.2009) דובר  בהסדר "סגור" ללא כל נימוק, ולכן לא ניתן לגזור ממנו דבר. הסניגור היפנה לעפ"ג (י-ם) </w:t>
      </w:r>
      <w:r w:rsidRPr="00BC690C">
        <w:rPr>
          <w:rFonts w:ascii="Calibri" w:hAnsi="Calibri" w:cs="FrankRuehl" w:hint="cs"/>
          <w:b/>
          <w:bCs/>
          <w:u w:val="single"/>
          <w:rtl/>
        </w:rPr>
        <w:t>מ"י</w:t>
      </w:r>
      <w:r w:rsidRPr="00BC690C">
        <w:rPr>
          <w:rFonts w:ascii="Calibri" w:hAnsi="Calibri" w:cs="FrankRuehl" w:hint="cs"/>
          <w:rtl/>
        </w:rPr>
        <w:t xml:space="preserve"> נ' </w:t>
      </w:r>
      <w:r w:rsidRPr="00BC690C">
        <w:rPr>
          <w:rFonts w:ascii="Calibri" w:hAnsi="Calibri" w:cs="FrankRuehl" w:hint="cs"/>
          <w:b/>
          <w:bCs/>
          <w:u w:val="single"/>
          <w:rtl/>
        </w:rPr>
        <w:t>דייני</w:t>
      </w:r>
      <w:r w:rsidRPr="00BC690C">
        <w:rPr>
          <w:rFonts w:ascii="Calibri" w:hAnsi="Calibri" w:cs="FrankRuehl" w:hint="cs"/>
          <w:rtl/>
        </w:rPr>
        <w:t xml:space="preserve"> (מיום 14.6.2016), שם נקבע מתחם שבין שמונה לעשרים חודשי מאסר בגין עבירת הדחת קטינים לשימוש בסמים, אלא שבית המשפט המחוזי סבר שניתן לקבוע מתחם נמוך יותר שעה שמדובר בשימוש משותף בסמים של בגיר וקטינים בעלי היכרות קודמת. כמו כן אושר שם גזר דינו של חברי, כב' השופט הרבסט, של חמישה חודשי מאסר לריצוי בעבודות שירות, לנוכח תהליך שיקומי שעבר הנאשם אף מבלי לחרוג ממתחם הענישה הראוי. יצוין, כי הנסיבות חמורות יותר מאשר מקרנו. ב</w:t>
      </w:r>
      <w:hyperlink r:id="rId41" w:history="1">
        <w:r w:rsidR="006C4051" w:rsidRPr="006C4051">
          <w:rPr>
            <w:rFonts w:ascii="Calibri" w:hAnsi="Calibri" w:cs="FrankRuehl" w:hint="eastAsia"/>
            <w:color w:val="0000FF"/>
            <w:u w:val="single"/>
            <w:rtl/>
          </w:rPr>
          <w:t>רע</w:t>
        </w:r>
        <w:r w:rsidR="006C4051" w:rsidRPr="006C4051">
          <w:rPr>
            <w:rFonts w:ascii="Calibri" w:hAnsi="Calibri" w:cs="FrankRuehl"/>
            <w:color w:val="0000FF"/>
            <w:u w:val="single"/>
            <w:rtl/>
          </w:rPr>
          <w:t>"</w:t>
        </w:r>
        <w:r w:rsidR="006C4051" w:rsidRPr="006C4051">
          <w:rPr>
            <w:rFonts w:ascii="Calibri" w:hAnsi="Calibri" w:cs="FrankRuehl" w:hint="eastAsia"/>
            <w:color w:val="0000FF"/>
            <w:u w:val="single"/>
            <w:rtl/>
          </w:rPr>
          <w:t>פ</w:t>
        </w:r>
        <w:r w:rsidR="006C4051" w:rsidRPr="006C4051">
          <w:rPr>
            <w:rFonts w:ascii="Calibri" w:hAnsi="Calibri" w:cs="FrankRuehl"/>
            <w:color w:val="0000FF"/>
            <w:u w:val="single"/>
            <w:rtl/>
          </w:rPr>
          <w:t xml:space="preserve"> 3245/08</w:t>
        </w:r>
      </w:hyperlink>
      <w:r w:rsidRPr="00BC690C">
        <w:rPr>
          <w:rFonts w:ascii="Calibri" w:hAnsi="Calibri" w:cs="FrankRuehl" w:hint="cs"/>
          <w:rtl/>
        </w:rPr>
        <w:t xml:space="preserve"> </w:t>
      </w:r>
      <w:r w:rsidRPr="00BC690C">
        <w:rPr>
          <w:rFonts w:ascii="Calibri" w:hAnsi="Calibri" w:cs="FrankRuehl" w:hint="cs"/>
          <w:b/>
          <w:bCs/>
          <w:u w:val="single"/>
          <w:rtl/>
        </w:rPr>
        <w:t>סולימאן</w:t>
      </w:r>
      <w:r w:rsidRPr="00BC690C">
        <w:rPr>
          <w:rFonts w:ascii="Calibri" w:hAnsi="Calibri" w:cs="FrankRuehl" w:hint="cs"/>
          <w:rtl/>
        </w:rPr>
        <w:t xml:space="preserve"> נ' </w:t>
      </w:r>
      <w:r w:rsidRPr="00BC690C">
        <w:rPr>
          <w:rFonts w:ascii="Calibri" w:hAnsi="Calibri" w:cs="FrankRuehl" w:hint="cs"/>
          <w:b/>
          <w:bCs/>
          <w:u w:val="single"/>
          <w:rtl/>
        </w:rPr>
        <w:t>מ"י</w:t>
      </w:r>
      <w:r w:rsidRPr="00BC690C">
        <w:rPr>
          <w:rFonts w:ascii="Calibri" w:hAnsi="Calibri" w:cs="FrankRuehl" w:hint="cs"/>
          <w:rtl/>
        </w:rPr>
        <w:t xml:space="preserve"> (מיום 13.4.2008) אושרה החמרה בענישתו של עבריין שנשלח ל-12 חודשי מאסר בפועל (חלף מאסר בעבודות שירות) לאחר שהורשע לאחר ניהול הוכחות, בעבירות של הדחת קטין, החזקת סם שלא לצריכה עצמית וניסיון הספקת שם, שעה שהכניס לכלא באמצעות קטין 24 גרם הירואין. ההחמרה היתה לנוכח כמות הסם ובעיקר סוג הסם, החמור בהרבה מהסם בענייננו, ולדעתי ניתן ללמוד מפסיקה זו על המידה שבה צריך להקל עם הנאשם ביחס לנסיבות העבירות. ב</w:t>
      </w:r>
      <w:hyperlink r:id="rId42" w:history="1">
        <w:r w:rsidR="006C4051" w:rsidRPr="006C4051">
          <w:rPr>
            <w:rFonts w:ascii="Calibri" w:hAnsi="Calibri" w:cs="FrankRuehl" w:hint="eastAsia"/>
            <w:color w:val="0000FF"/>
            <w:u w:val="single"/>
            <w:rtl/>
          </w:rPr>
          <w:t>עפ</w:t>
        </w:r>
        <w:r w:rsidR="006C4051" w:rsidRPr="006C4051">
          <w:rPr>
            <w:rFonts w:ascii="Calibri" w:hAnsi="Calibri" w:cs="FrankRuehl"/>
            <w:color w:val="0000FF"/>
            <w:u w:val="single"/>
            <w:rtl/>
          </w:rPr>
          <w:t>"</w:t>
        </w:r>
        <w:r w:rsidR="006C4051" w:rsidRPr="006C4051">
          <w:rPr>
            <w:rFonts w:ascii="Calibri" w:hAnsi="Calibri" w:cs="FrankRuehl" w:hint="eastAsia"/>
            <w:color w:val="0000FF"/>
            <w:u w:val="single"/>
            <w:rtl/>
          </w:rPr>
          <w:t>ג</w:t>
        </w:r>
        <w:r w:rsidR="006C4051" w:rsidRPr="006C4051">
          <w:rPr>
            <w:rFonts w:ascii="Calibri" w:hAnsi="Calibri" w:cs="FrankRuehl"/>
            <w:color w:val="0000FF"/>
            <w:u w:val="single"/>
            <w:rtl/>
          </w:rPr>
          <w:t xml:space="preserve"> (</w:t>
        </w:r>
        <w:r w:rsidR="006C4051" w:rsidRPr="006C4051">
          <w:rPr>
            <w:rFonts w:ascii="Calibri" w:hAnsi="Calibri" w:cs="FrankRuehl" w:hint="eastAsia"/>
            <w:color w:val="0000FF"/>
            <w:u w:val="single"/>
            <w:rtl/>
          </w:rPr>
          <w:t>י</w:t>
        </w:r>
        <w:r w:rsidR="006C4051" w:rsidRPr="006C4051">
          <w:rPr>
            <w:rFonts w:ascii="Calibri" w:hAnsi="Calibri" w:cs="FrankRuehl"/>
            <w:color w:val="0000FF"/>
            <w:u w:val="single"/>
            <w:rtl/>
          </w:rPr>
          <w:t>-</w:t>
        </w:r>
        <w:r w:rsidR="006C4051" w:rsidRPr="006C4051">
          <w:rPr>
            <w:rFonts w:ascii="Calibri" w:hAnsi="Calibri" w:cs="FrankRuehl" w:hint="eastAsia"/>
            <w:color w:val="0000FF"/>
            <w:u w:val="single"/>
            <w:rtl/>
          </w:rPr>
          <w:t>ם</w:t>
        </w:r>
        <w:r w:rsidR="006C4051" w:rsidRPr="006C4051">
          <w:rPr>
            <w:rFonts w:ascii="Calibri" w:hAnsi="Calibri" w:cs="FrankRuehl"/>
            <w:color w:val="0000FF"/>
            <w:u w:val="single"/>
            <w:rtl/>
          </w:rPr>
          <w:t>) 21958-07-16</w:t>
        </w:r>
      </w:hyperlink>
      <w:r w:rsidRPr="00BC690C">
        <w:rPr>
          <w:rFonts w:ascii="Calibri" w:hAnsi="Calibri" w:cs="FrankRuehl" w:hint="cs"/>
          <w:rtl/>
        </w:rPr>
        <w:t xml:space="preserve"> </w:t>
      </w:r>
      <w:r w:rsidRPr="00BC690C">
        <w:rPr>
          <w:rFonts w:ascii="Calibri" w:hAnsi="Calibri" w:cs="FrankRuehl" w:hint="cs"/>
          <w:b/>
          <w:bCs/>
          <w:u w:val="single"/>
          <w:rtl/>
        </w:rPr>
        <w:t>שם טוב</w:t>
      </w:r>
      <w:r w:rsidRPr="00BC690C">
        <w:rPr>
          <w:rFonts w:ascii="Calibri" w:hAnsi="Calibri" w:cs="FrankRuehl" w:hint="cs"/>
          <w:rtl/>
        </w:rPr>
        <w:t xml:space="preserve"> נ' </w:t>
      </w:r>
      <w:r w:rsidRPr="00BC690C">
        <w:rPr>
          <w:rFonts w:ascii="Calibri" w:hAnsi="Calibri" w:cs="FrankRuehl" w:hint="cs"/>
          <w:b/>
          <w:bCs/>
          <w:u w:val="single"/>
          <w:rtl/>
        </w:rPr>
        <w:t>מ"י</w:t>
      </w:r>
      <w:r w:rsidRPr="00BC690C">
        <w:rPr>
          <w:rFonts w:ascii="Calibri" w:hAnsi="Calibri" w:cs="FrankRuehl" w:hint="cs"/>
          <w:rtl/>
        </w:rPr>
        <w:t xml:space="preserve"> (מיום 9.4.2018) דובר בנסיבות דומות למקרנו, שם סיפק הנאשם סם לקטינה על-רקע הכרות חברית וכן סחר עם נוספים, שגם עמם הייתה לו היכרות חברית. כב' השופט קורנהאוזר קבע מתחם ענישה שבין 10 ל-30 חודשי מאסר, והיה נכון לבחון הטלת מאסר בעבודות שירות, אלא שבשל התנהלות הנאשם שם, הדבר לא התאפשר ולכן הוטל עליו מאסר בפועל לתקופה של 10 חודשים. בעת הערעור התברר כי האפיק השיקומי רלבנטי ובשל כך, חרג בית המשפט המחוזי ממתחם הענישה, אותו אישר, והטיל על הנאשם מאסר לריצוי בעבודות שירות למלוא התקופה ע"פ חוק.</w:t>
      </w:r>
    </w:p>
    <w:p w14:paraId="57743A10" w14:textId="77777777" w:rsidR="00BC690C" w:rsidRPr="00BC690C" w:rsidRDefault="00BC690C" w:rsidP="00BC690C">
      <w:pPr>
        <w:spacing w:after="160" w:line="360" w:lineRule="auto"/>
        <w:jc w:val="both"/>
        <w:rPr>
          <w:rFonts w:ascii="Calibri" w:hAnsi="Calibri" w:cs="FrankRuehl"/>
          <w:b/>
          <w:bCs/>
          <w:u w:val="single"/>
          <w:rtl/>
        </w:rPr>
      </w:pPr>
    </w:p>
    <w:p w14:paraId="20E4643C"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b/>
          <w:bCs/>
          <w:u w:val="single"/>
          <w:rtl/>
        </w:rPr>
        <w:t>מתחם הענישה</w:t>
      </w:r>
      <w:r w:rsidRPr="00BC690C">
        <w:rPr>
          <w:rFonts w:ascii="Calibri" w:hAnsi="Calibri" w:cs="FrankRuehl" w:hint="cs"/>
          <w:rtl/>
        </w:rPr>
        <w:t xml:space="preserve"> – לפיכך, מתחם הענישה צריך לעמוד על 6 חודש מאסר, שיכול וירוצו בעבודות שירות, ועד 20 חודשי מאסר. יצוין, כי המאשימה הסכימה לראות במכלול האישומים "אירוע אחד" לצורך קביעת המתחם ולכן אין להידרש לעניין זה, הגם שעמדתה ראויה לציון באשר איננה מובנת מאליה. </w:t>
      </w:r>
    </w:p>
    <w:p w14:paraId="74E62544" w14:textId="77777777" w:rsidR="00BC690C" w:rsidRPr="00BC690C" w:rsidRDefault="00BC690C" w:rsidP="00BC690C">
      <w:pPr>
        <w:spacing w:after="160" w:line="360" w:lineRule="auto"/>
        <w:jc w:val="both"/>
        <w:rPr>
          <w:rFonts w:ascii="Calibri" w:hAnsi="Calibri" w:cs="FrankRuehl"/>
          <w:b/>
          <w:bCs/>
          <w:rtl/>
        </w:rPr>
      </w:pPr>
    </w:p>
    <w:p w14:paraId="3C3088E1"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b/>
          <w:bCs/>
          <w:u w:val="single"/>
          <w:rtl/>
        </w:rPr>
        <w:t xml:space="preserve">נסיבות שאינן קשורות בביצוע העבירה לפי </w:t>
      </w:r>
      <w:hyperlink r:id="rId43" w:history="1">
        <w:r w:rsidR="00AD17D4" w:rsidRPr="00AD17D4">
          <w:rPr>
            <w:rFonts w:ascii="Calibri" w:hAnsi="Calibri" w:cs="FrankRuehl" w:hint="eastAsia"/>
            <w:b/>
            <w:bCs/>
            <w:color w:val="0000FF"/>
            <w:u w:val="single"/>
            <w:rtl/>
          </w:rPr>
          <w:t>סעיף</w:t>
        </w:r>
        <w:r w:rsidR="00AD17D4" w:rsidRPr="00AD17D4">
          <w:rPr>
            <w:rFonts w:ascii="Calibri" w:hAnsi="Calibri" w:cs="FrankRuehl"/>
            <w:b/>
            <w:bCs/>
            <w:color w:val="0000FF"/>
            <w:u w:val="single"/>
            <w:rtl/>
          </w:rPr>
          <w:t xml:space="preserve"> 40</w:t>
        </w:r>
        <w:r w:rsidR="00AD17D4" w:rsidRPr="00AD17D4">
          <w:rPr>
            <w:rFonts w:ascii="Calibri" w:hAnsi="Calibri" w:cs="FrankRuehl" w:hint="eastAsia"/>
            <w:b/>
            <w:bCs/>
            <w:color w:val="0000FF"/>
            <w:u w:val="single"/>
            <w:rtl/>
          </w:rPr>
          <w:t>י</w:t>
        </w:r>
        <w:r w:rsidR="00AD17D4" w:rsidRPr="00AD17D4">
          <w:rPr>
            <w:rFonts w:ascii="Calibri" w:hAnsi="Calibri" w:cs="FrankRuehl"/>
            <w:b/>
            <w:bCs/>
            <w:color w:val="0000FF"/>
            <w:u w:val="single"/>
            <w:rtl/>
          </w:rPr>
          <w:t>"</w:t>
        </w:r>
        <w:r w:rsidR="00AD17D4" w:rsidRPr="00AD17D4">
          <w:rPr>
            <w:rFonts w:ascii="Calibri" w:hAnsi="Calibri" w:cs="FrankRuehl" w:hint="eastAsia"/>
            <w:b/>
            <w:bCs/>
            <w:color w:val="0000FF"/>
            <w:u w:val="single"/>
            <w:rtl/>
          </w:rPr>
          <w:t>א</w:t>
        </w:r>
      </w:hyperlink>
      <w:r w:rsidRPr="00BC690C">
        <w:rPr>
          <w:rFonts w:ascii="Calibri" w:hAnsi="Calibri" w:cs="FrankRuehl" w:hint="cs"/>
          <w:b/>
          <w:bCs/>
          <w:u w:val="single"/>
          <w:rtl/>
        </w:rPr>
        <w:t xml:space="preserve"> ל</w:t>
      </w:r>
      <w:hyperlink r:id="rId44" w:history="1">
        <w:r w:rsidR="006C4051" w:rsidRPr="006C4051">
          <w:rPr>
            <w:rFonts w:ascii="Calibri" w:hAnsi="Calibri" w:cs="FrankRuehl" w:hint="eastAsia"/>
            <w:b/>
            <w:bCs/>
            <w:color w:val="0000FF"/>
            <w:u w:val="single"/>
            <w:rtl/>
          </w:rPr>
          <w:t>חוק</w:t>
        </w:r>
        <w:r w:rsidR="006C4051" w:rsidRPr="006C4051">
          <w:rPr>
            <w:rFonts w:ascii="Calibri" w:hAnsi="Calibri" w:cs="FrankRuehl"/>
            <w:b/>
            <w:bCs/>
            <w:color w:val="0000FF"/>
            <w:u w:val="single"/>
            <w:rtl/>
          </w:rPr>
          <w:t xml:space="preserve"> </w:t>
        </w:r>
        <w:r w:rsidR="006C4051" w:rsidRPr="006C4051">
          <w:rPr>
            <w:rFonts w:ascii="Calibri" w:hAnsi="Calibri" w:cs="FrankRuehl" w:hint="eastAsia"/>
            <w:b/>
            <w:bCs/>
            <w:color w:val="0000FF"/>
            <w:u w:val="single"/>
            <w:rtl/>
          </w:rPr>
          <w:t>העונשין</w:t>
        </w:r>
      </w:hyperlink>
      <w:r w:rsidRPr="00BC690C">
        <w:rPr>
          <w:rFonts w:ascii="Calibri" w:hAnsi="Calibri" w:cs="FrankRuehl" w:hint="cs"/>
          <w:b/>
          <w:bCs/>
          <w:rtl/>
        </w:rPr>
        <w:t xml:space="preserve"> – </w:t>
      </w:r>
      <w:r w:rsidRPr="00BC690C">
        <w:rPr>
          <w:rFonts w:ascii="Calibri" w:hAnsi="Calibri" w:cs="FrankRuehl" w:hint="cs"/>
          <w:rtl/>
        </w:rPr>
        <w:t xml:space="preserve">ניתן  לתת משקל לנסיבות הבאות שאינן קשורות בביצוע העבירה, במסגרת גזירת העונש בתוך המתחם: הנאשם כבן 24 שנים, ומלבד תקופת מעצרו בתיק זה לא ידע מעצר או מאסר, ולכן הטלת מאסר בפועל תפגע בהכרח בנאשם; הנאשם זוכה לתמיכה קרובה של בני משפחתו למרות הבדלי אורחות חייהם, ולבטח שהטלת מאסר תפגע במשפחה אם כי לא בפרנסתה; הנאשם היה עצור בפועל תקופה לא מבוטלת למי שזהו מעצרו הראשון והיה נתון בתנאים מגבילים תקופה לא קצרה; הנאשם נטל אחריות בבית המשפט, אך שירות המבחן מתרשם כי אין מדובר בנטילת אחריות שלמה; הנאשם עבר תהליך שיקומי בליווי שירות המבחן עד שמיצה אותו, ולאורך תקופה ארוכה מסר בדיקות שתן שנמצאו נקיות; לנאשם עבר פלילי שאינו רלבנטי וממילא התיישן. </w:t>
      </w:r>
    </w:p>
    <w:p w14:paraId="2CFFFE39" w14:textId="77777777" w:rsidR="00BC690C" w:rsidRPr="00BC690C" w:rsidRDefault="00BC690C" w:rsidP="00BC690C">
      <w:pPr>
        <w:spacing w:after="160" w:line="360" w:lineRule="auto"/>
        <w:jc w:val="both"/>
        <w:rPr>
          <w:rFonts w:ascii="Calibri" w:hAnsi="Calibri" w:cs="FrankRuehl"/>
          <w:rtl/>
        </w:rPr>
      </w:pPr>
    </w:p>
    <w:p w14:paraId="73C8AC6B"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b/>
          <w:bCs/>
          <w:u w:val="single"/>
          <w:rtl/>
        </w:rPr>
        <w:t>המיקום במתחם</w:t>
      </w:r>
      <w:r w:rsidRPr="00BC690C">
        <w:rPr>
          <w:rFonts w:ascii="Calibri" w:hAnsi="Calibri" w:cs="FrankRuehl" w:hint="cs"/>
          <w:rtl/>
        </w:rPr>
        <w:t xml:space="preserve"> </w:t>
      </w:r>
      <w:r w:rsidRPr="00BC690C">
        <w:rPr>
          <w:rFonts w:ascii="Calibri" w:hAnsi="Calibri" w:cs="FrankRuehl"/>
          <w:rtl/>
        </w:rPr>
        <w:t>–</w:t>
      </w:r>
      <w:r w:rsidRPr="00BC690C">
        <w:rPr>
          <w:rFonts w:ascii="Calibri" w:hAnsi="Calibri" w:cs="FrankRuehl" w:hint="cs"/>
          <w:rtl/>
        </w:rPr>
        <w:t xml:space="preserve"> בנסיבות האמורות, יש מקום למקם את הנאשם בחלקו התחתון של המתחם.  הואיל וסברתי כי מאסר בעבודות שירות יכול להוות חלק ממתחם הענישה, אינני נדרש לחרוג מן המתחם בשל שיקולי שיקום. אציין, כי הנאשם היה מעורב בתהליך לא קצר של טיפול בשירות המבחן עד למיצויו. לנאשם לא נפתחו תיקים חדשים והוא שמר על התנאים לכל אורך הדרך, ומשמעות הדבר שהנאשם רכש כלים להפיכתו לאדם אחראי יותר, המסוגל לרסן את רצונותיו ולהכפיף עצמו לכללים המקובלים. כברת דרך משמעותית זו של התבגרות נזקפת לזכותו ולכן מאפשרת למקמו בתחתית המתחם. עם זאת, יש מקום להטיל על הנאשם את מלוא התקופה האפשרית לריצוי עבודות שירות כעונש משמעותי, המהווה גמול נכון למעשים הפסולים שבביצועם הודה.</w:t>
      </w:r>
    </w:p>
    <w:p w14:paraId="748B6B4C" w14:textId="77777777" w:rsidR="00BC690C" w:rsidRPr="00BC690C" w:rsidRDefault="00BC690C" w:rsidP="00BC690C">
      <w:pPr>
        <w:spacing w:after="160" w:line="360" w:lineRule="auto"/>
        <w:jc w:val="both"/>
        <w:rPr>
          <w:rFonts w:ascii="Calibri" w:hAnsi="Calibri" w:cs="FrankRuehl"/>
          <w:rtl/>
        </w:rPr>
      </w:pPr>
    </w:p>
    <w:p w14:paraId="23A02824" w14:textId="77777777" w:rsidR="00BC690C" w:rsidRPr="00BC690C" w:rsidRDefault="00BC690C" w:rsidP="00BC690C">
      <w:pPr>
        <w:spacing w:after="160" w:line="360" w:lineRule="auto"/>
        <w:jc w:val="both"/>
        <w:rPr>
          <w:rFonts w:ascii="Calibri" w:hAnsi="Calibri" w:cs="FrankRuehl"/>
          <w:rtl/>
        </w:rPr>
      </w:pPr>
      <w:r w:rsidRPr="00BC690C">
        <w:rPr>
          <w:rFonts w:ascii="Calibri" w:hAnsi="Calibri" w:cs="FrankRuehl" w:hint="cs"/>
          <w:rtl/>
        </w:rPr>
        <w:t>לפיכך, אני מחליט לגזור על הנאשם את העונשים הבאים:</w:t>
      </w:r>
    </w:p>
    <w:p w14:paraId="5230A559" w14:textId="77777777" w:rsidR="00BC690C" w:rsidRPr="00BC690C" w:rsidRDefault="00BC690C" w:rsidP="00BC690C">
      <w:pPr>
        <w:numPr>
          <w:ilvl w:val="0"/>
          <w:numId w:val="1"/>
        </w:numPr>
        <w:spacing w:after="160" w:line="360" w:lineRule="auto"/>
        <w:contextualSpacing/>
        <w:jc w:val="both"/>
        <w:rPr>
          <w:rFonts w:ascii="Calibri" w:hAnsi="Calibri" w:cs="FrankRuehl"/>
        </w:rPr>
      </w:pPr>
      <w:r w:rsidRPr="00BC690C">
        <w:rPr>
          <w:rFonts w:ascii="Calibri" w:hAnsi="Calibri" w:cs="FrankRuehl" w:hint="cs"/>
          <w:rtl/>
        </w:rPr>
        <w:t xml:space="preserve">שישה (6) חודשי מאסר, אשר ירוצו בעבודות שירות, החל מיום  21.8.2018, אשר ירוצו בחברה קדישא לעדות הבבלים בירושלים ברח' שערי צדק, ירושלים, וזאת על פי חוות דעת הממונה על עבודות השירות. מובהר בזה כי הפרת הוראות הממונה ואי עמידה בכללים הנוגעים לריצוי עבודות השירות עלולים להביא להפקעת העבודות ולהמרת העונש בעונש מאסר של ממש. ביום 21.8.2018 עד השעה 08:00 על הנאשם להתייצב אצל הממונה על עבודות השירות במחוז דרום (מתחם כלא באר שבע). </w:t>
      </w:r>
    </w:p>
    <w:p w14:paraId="2F4430FB" w14:textId="77777777" w:rsidR="00BC690C" w:rsidRPr="00BC690C" w:rsidRDefault="00BC690C" w:rsidP="00BC690C">
      <w:pPr>
        <w:numPr>
          <w:ilvl w:val="0"/>
          <w:numId w:val="1"/>
        </w:numPr>
        <w:spacing w:after="160" w:line="360" w:lineRule="auto"/>
        <w:contextualSpacing/>
        <w:jc w:val="both"/>
        <w:rPr>
          <w:rFonts w:ascii="Calibri" w:hAnsi="Calibri" w:cs="FrankRuehl"/>
        </w:rPr>
      </w:pPr>
      <w:r w:rsidRPr="00BC690C">
        <w:rPr>
          <w:rFonts w:ascii="Calibri" w:hAnsi="Calibri" w:cs="FrankRuehl" w:hint="cs"/>
          <w:rtl/>
        </w:rPr>
        <w:t>3 חודשי מאסר, שלא ירוצו אלא אם יעבור הנאשם עבירה של שימוש עצמי בסמים או החזקת כלי סמים לצריכה עצמית וזאת בתוך שנתיים מהיום;</w:t>
      </w:r>
    </w:p>
    <w:p w14:paraId="6617EB5E" w14:textId="77777777" w:rsidR="00BC690C" w:rsidRPr="00BC690C" w:rsidRDefault="00BC690C" w:rsidP="00BC690C">
      <w:pPr>
        <w:numPr>
          <w:ilvl w:val="0"/>
          <w:numId w:val="1"/>
        </w:numPr>
        <w:spacing w:after="160" w:line="360" w:lineRule="auto"/>
        <w:contextualSpacing/>
        <w:jc w:val="both"/>
        <w:rPr>
          <w:rFonts w:ascii="Calibri" w:hAnsi="Calibri" w:cs="FrankRuehl"/>
          <w:rtl/>
        </w:rPr>
      </w:pPr>
      <w:r w:rsidRPr="00BC690C">
        <w:rPr>
          <w:rFonts w:ascii="Calibri" w:hAnsi="Calibri" w:cs="FrankRuehl" w:hint="cs"/>
          <w:rtl/>
        </w:rPr>
        <w:t>6 חודשי מאסר, שלא ירוצו אלא אם יעבור הנאשם את העבירות בהן הורשע (למעט שימוש עצמי והחזקת כלים לשימוש עצמי) וזאת בתוך שנתיים מהיום, לרבות ניסיון לעברן;</w:t>
      </w:r>
    </w:p>
    <w:p w14:paraId="3EAD5B5A" w14:textId="77777777" w:rsidR="00BC690C" w:rsidRPr="00BC690C" w:rsidRDefault="00BC690C" w:rsidP="00BC690C">
      <w:pPr>
        <w:numPr>
          <w:ilvl w:val="0"/>
          <w:numId w:val="1"/>
        </w:numPr>
        <w:spacing w:after="160" w:line="360" w:lineRule="auto"/>
        <w:contextualSpacing/>
        <w:jc w:val="both"/>
        <w:rPr>
          <w:rFonts w:ascii="Calibri" w:hAnsi="Calibri" w:cs="FrankRuehl"/>
        </w:rPr>
      </w:pPr>
      <w:r w:rsidRPr="00BC690C">
        <w:rPr>
          <w:rFonts w:ascii="Calibri" w:hAnsi="Calibri" w:cs="FrankRuehl" w:hint="cs"/>
          <w:rtl/>
        </w:rPr>
        <w:t xml:space="preserve">קנס בסך 6,000  ₪. סך של 3,000 </w:t>
      </w:r>
      <w:r w:rsidRPr="00BC690C">
        <w:rPr>
          <w:rFonts w:ascii="Calibri" w:hAnsi="Calibri" w:cs="FrankRuehl" w:hint="eastAsia"/>
          <w:rtl/>
        </w:rPr>
        <w:t>₪</w:t>
      </w:r>
      <w:r w:rsidRPr="00BC690C">
        <w:rPr>
          <w:rFonts w:ascii="Calibri" w:hAnsi="Calibri" w:cs="FrankRuehl" w:hint="cs"/>
          <w:rtl/>
        </w:rPr>
        <w:t xml:space="preserve"> ינוכה מהפקידון בתיק המעצר (</w:t>
      </w:r>
      <w:hyperlink r:id="rId45" w:history="1">
        <w:r w:rsidR="006C4051" w:rsidRPr="006C4051">
          <w:rPr>
            <w:rFonts w:ascii="Calibri" w:hAnsi="Calibri" w:cs="FrankRuehl" w:hint="eastAsia"/>
            <w:color w:val="0000FF"/>
            <w:u w:val="single"/>
            <w:rtl/>
          </w:rPr>
          <w:t>מ</w:t>
        </w:r>
        <w:r w:rsidR="006C4051" w:rsidRPr="006C4051">
          <w:rPr>
            <w:rFonts w:ascii="Calibri" w:hAnsi="Calibri" w:cs="FrankRuehl"/>
            <w:color w:val="0000FF"/>
            <w:u w:val="single"/>
            <w:rtl/>
          </w:rPr>
          <w:t>"</w:t>
        </w:r>
        <w:r w:rsidR="006C4051" w:rsidRPr="006C4051">
          <w:rPr>
            <w:rFonts w:ascii="Calibri" w:hAnsi="Calibri" w:cs="FrankRuehl" w:hint="eastAsia"/>
            <w:color w:val="0000FF"/>
            <w:u w:val="single"/>
            <w:rtl/>
          </w:rPr>
          <w:t>ת</w:t>
        </w:r>
        <w:r w:rsidR="006C4051" w:rsidRPr="006C4051">
          <w:rPr>
            <w:rFonts w:ascii="Calibri" w:hAnsi="Calibri" w:cs="FrankRuehl"/>
            <w:color w:val="0000FF"/>
            <w:u w:val="single"/>
            <w:rtl/>
          </w:rPr>
          <w:t xml:space="preserve"> 37477-02-17</w:t>
        </w:r>
      </w:hyperlink>
      <w:r w:rsidRPr="00BC690C">
        <w:rPr>
          <w:rFonts w:ascii="Calibri" w:hAnsi="Calibri" w:cs="FrankRuehl" w:hint="cs"/>
          <w:rtl/>
        </w:rPr>
        <w:t>) והיתרה תחולק ל-6 תשלומים לתשלום ב-1 לכל חודש, החל מיום 1.10.2018 ובכל חודש עוקב שלאחריו. לא ישולם תשלום במועד או לא ישולם כלל, יעמוד הקנס לפירעון מיידי.</w:t>
      </w:r>
    </w:p>
    <w:p w14:paraId="1B965C3F" w14:textId="77777777" w:rsidR="00BC690C" w:rsidRPr="00BC690C" w:rsidRDefault="00BC690C" w:rsidP="00BC690C">
      <w:pPr>
        <w:numPr>
          <w:ilvl w:val="0"/>
          <w:numId w:val="1"/>
        </w:numPr>
        <w:spacing w:after="160" w:line="360" w:lineRule="auto"/>
        <w:contextualSpacing/>
        <w:jc w:val="both"/>
        <w:rPr>
          <w:rFonts w:ascii="Calibri" w:hAnsi="Calibri" w:cs="FrankRuehl"/>
        </w:rPr>
      </w:pPr>
      <w:r w:rsidRPr="00BC690C">
        <w:rPr>
          <w:rFonts w:ascii="Calibri" w:hAnsi="Calibri" w:cs="FrankRuehl" w:hint="cs"/>
          <w:rtl/>
        </w:rPr>
        <w:t xml:space="preserve">צו מבחן לתקופה של 12 חודשים. במהלך תקופה זו הנאשם מחויב בשיתוף פעולה עם שירות המבחן, כאשר מובהר כי הפרת  הצו תוכל להביא לפתיחה מחודשת של המשפט וגזירת עונשו של הנאשם, לרבות עונש מאסר. מבחינתי ולנוכח האמור בתסקיר לעניין מיצוי האפיק הטיפולי, הפעילות במסגרת הצו יכולה להסתכם בביצוע בדיקות שתן בתדירות שלא תפחת מאחת ל-10 ימים. מובהר לנאשם, כי מציאת בדיקת שתן 'מלוכלכת' או שיבוש במתן הבדיקות או סירוב לתיתן, עלול להביא לגזירת דינו מחדש. </w:t>
      </w:r>
    </w:p>
    <w:p w14:paraId="725D9A7A" w14:textId="77777777" w:rsidR="00BC690C" w:rsidRPr="00BC690C" w:rsidRDefault="00BC690C" w:rsidP="00BC690C">
      <w:pPr>
        <w:numPr>
          <w:ilvl w:val="0"/>
          <w:numId w:val="1"/>
        </w:numPr>
        <w:spacing w:after="160" w:line="360" w:lineRule="auto"/>
        <w:contextualSpacing/>
        <w:jc w:val="both"/>
        <w:rPr>
          <w:rFonts w:ascii="Calibri" w:hAnsi="Calibri" w:cs="FrankRuehl"/>
        </w:rPr>
      </w:pPr>
      <w:r w:rsidRPr="00BC690C">
        <w:rPr>
          <w:rFonts w:ascii="Calibri" w:hAnsi="Calibri" w:cs="FrankRuehl" w:hint="cs"/>
          <w:rtl/>
        </w:rPr>
        <w:t xml:space="preserve">התחייבות בסך 5,000 ₪ שלא לעבור כל עבירה סמים במשך שנתיים מהיום או 5 ימי מאסר תמורתה אם לא תיחתם. הובהר לנאשם שמשמעות ההתחייבות היא, כי אם יעבור את העבירות הנ"ל או ינסה לעברן בתוך התקופה שצוינה, בית המשפט שיגזור את הדין יהא חייב לחלט את ההתחייבות כקנס. </w:t>
      </w:r>
      <w:r w:rsidRPr="00BC690C">
        <w:rPr>
          <w:rFonts w:ascii="Calibri" w:hAnsi="Calibri" w:cs="FrankRuehl" w:hint="cs"/>
          <w:b/>
          <w:bCs/>
          <w:rtl/>
        </w:rPr>
        <w:t>הנאשם יחתום מיד לאחר סיום הדיון על ההתחייבות.</w:t>
      </w:r>
    </w:p>
    <w:p w14:paraId="0BFC2000" w14:textId="77777777" w:rsidR="00BC690C" w:rsidRDefault="00BC690C" w:rsidP="00BC690C">
      <w:pPr>
        <w:rPr>
          <w:rFonts w:cs="FrankRuehl"/>
          <w:rtl/>
        </w:rPr>
      </w:pPr>
    </w:p>
    <w:p w14:paraId="62646635" w14:textId="77777777" w:rsidR="00BC690C" w:rsidRDefault="00BC690C" w:rsidP="00BC690C">
      <w:pPr>
        <w:rPr>
          <w:rFonts w:cs="FrankRuehl"/>
          <w:rtl/>
        </w:rPr>
      </w:pPr>
    </w:p>
    <w:p w14:paraId="40B1E0A9" w14:textId="77777777" w:rsidR="00BC690C" w:rsidRDefault="00BC690C" w:rsidP="00BC690C">
      <w:pPr>
        <w:rPr>
          <w:rFonts w:cs="FrankRuehl"/>
          <w:rtl/>
        </w:rPr>
      </w:pPr>
      <w:r>
        <w:rPr>
          <w:rFonts w:cs="FrankRuehl" w:hint="cs"/>
          <w:rtl/>
        </w:rPr>
        <w:t>מורה על השמדת הסמים.</w:t>
      </w:r>
    </w:p>
    <w:p w14:paraId="03049255" w14:textId="77777777" w:rsidR="00BC690C" w:rsidRDefault="00BC690C" w:rsidP="00BC690C">
      <w:pPr>
        <w:rPr>
          <w:rFonts w:cs="FrankRuehl"/>
          <w:rtl/>
        </w:rPr>
      </w:pPr>
    </w:p>
    <w:p w14:paraId="616E7FAC" w14:textId="77777777" w:rsidR="00BC690C" w:rsidRDefault="00BC690C" w:rsidP="00BC690C">
      <w:pPr>
        <w:rPr>
          <w:rFonts w:cs="FrankRuehl"/>
          <w:rtl/>
        </w:rPr>
      </w:pPr>
      <w:r>
        <w:rPr>
          <w:rFonts w:cs="FrankRuehl" w:hint="cs"/>
          <w:rtl/>
        </w:rPr>
        <w:t>הפלאפון שנתפס יוחזר.</w:t>
      </w:r>
    </w:p>
    <w:p w14:paraId="6724DD8C" w14:textId="77777777" w:rsidR="00BC690C" w:rsidRDefault="00BC690C" w:rsidP="00BC690C">
      <w:pPr>
        <w:rPr>
          <w:rFonts w:cs="FrankRuehl"/>
        </w:rPr>
      </w:pPr>
    </w:p>
    <w:p w14:paraId="0C544291" w14:textId="77777777" w:rsidR="00BC690C" w:rsidRDefault="00BC690C" w:rsidP="00BC690C">
      <w:pPr>
        <w:rPr>
          <w:rFonts w:cs="FrankRuehl"/>
          <w:rtl/>
        </w:rPr>
      </w:pPr>
      <w:r>
        <w:rPr>
          <w:rFonts w:cs="FrankRuehl" w:hint="cs"/>
          <w:rtl/>
        </w:rPr>
        <w:t>יש לשלוח לשירות המבחן ולממונה על עבודות השירות.</w:t>
      </w:r>
    </w:p>
    <w:p w14:paraId="178A6E13" w14:textId="77777777" w:rsidR="00BC690C" w:rsidRPr="006C4051" w:rsidRDefault="006C4051" w:rsidP="00BC690C">
      <w:pPr>
        <w:rPr>
          <w:rFonts w:cs="FrankRuehl"/>
          <w:color w:val="FFFFFF"/>
          <w:sz w:val="2"/>
          <w:szCs w:val="2"/>
          <w:rtl/>
        </w:rPr>
      </w:pPr>
      <w:r w:rsidRPr="006C4051">
        <w:rPr>
          <w:rFonts w:cs="FrankRuehl"/>
          <w:color w:val="FFFFFF"/>
          <w:sz w:val="2"/>
          <w:szCs w:val="2"/>
          <w:rtl/>
        </w:rPr>
        <w:t>5129371</w:t>
      </w:r>
    </w:p>
    <w:p w14:paraId="34AD87A0" w14:textId="77777777" w:rsidR="00BC690C" w:rsidRPr="006C4051" w:rsidRDefault="006C4051" w:rsidP="00BC690C">
      <w:pPr>
        <w:rPr>
          <w:color w:val="FFFFFF"/>
          <w:sz w:val="2"/>
          <w:szCs w:val="2"/>
          <w:rtl/>
        </w:rPr>
      </w:pPr>
      <w:r w:rsidRPr="006C4051">
        <w:rPr>
          <w:color w:val="FFFFFF"/>
          <w:sz w:val="2"/>
          <w:szCs w:val="2"/>
          <w:rtl/>
        </w:rPr>
        <w:t>54678313</w:t>
      </w:r>
    </w:p>
    <w:p w14:paraId="0038CBDD" w14:textId="77777777" w:rsidR="00BC690C" w:rsidRDefault="006C4051" w:rsidP="00BC690C">
      <w:pPr>
        <w:rPr>
          <w:rFonts w:cs="FrankRuehl"/>
          <w:sz w:val="28"/>
          <w:szCs w:val="28"/>
          <w:rtl/>
        </w:rPr>
      </w:pPr>
      <w:r>
        <w:rPr>
          <w:rFonts w:ascii="Arial" w:hAnsi="Arial"/>
          <w:rtl/>
        </w:rPr>
        <w:t xml:space="preserve">ניתן היום,  י"ז סיוון תשע"ח, 31 מאי 2018, במעמד הצדדים. </w:t>
      </w:r>
    </w:p>
    <w:p w14:paraId="1DF17C62" w14:textId="77777777" w:rsidR="00BC690C" w:rsidRDefault="00BC690C" w:rsidP="00BC690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43D7DB0" w14:textId="77777777" w:rsidR="00BC690C" w:rsidRDefault="00BC690C" w:rsidP="00BC690C">
      <w:pPr>
        <w:jc w:val="center"/>
        <w:rPr>
          <w:rFonts w:ascii="Arial" w:hAnsi="Arial" w:cs="FrankRuehl"/>
          <w:sz w:val="28"/>
          <w:szCs w:val="28"/>
          <w:rtl/>
        </w:rPr>
      </w:pPr>
    </w:p>
    <w:p w14:paraId="560BB91B" w14:textId="77777777" w:rsidR="00BC690C" w:rsidRPr="00AD17D4" w:rsidRDefault="00AD17D4" w:rsidP="00BC690C">
      <w:pPr>
        <w:rPr>
          <w:rFonts w:cs="FrankRuehl"/>
          <w:color w:val="FFFFFF"/>
          <w:sz w:val="2"/>
          <w:szCs w:val="2"/>
          <w:rtl/>
        </w:rPr>
      </w:pPr>
      <w:r w:rsidRPr="00AD17D4">
        <w:rPr>
          <w:rFonts w:cs="FrankRuehl"/>
          <w:color w:val="FFFFFF"/>
          <w:sz w:val="2"/>
          <w:szCs w:val="2"/>
          <w:rtl/>
        </w:rPr>
        <w:t>5129371</w:t>
      </w:r>
    </w:p>
    <w:p w14:paraId="1AC9176E" w14:textId="77777777" w:rsidR="003C0D36" w:rsidRPr="00AD17D4" w:rsidRDefault="00AD17D4" w:rsidP="006C4051">
      <w:pPr>
        <w:keepNext/>
        <w:rPr>
          <w:rFonts w:ascii="David" w:hAnsi="David"/>
          <w:color w:val="FFFFFF"/>
          <w:sz w:val="2"/>
          <w:szCs w:val="2"/>
          <w:rtl/>
        </w:rPr>
      </w:pPr>
      <w:r w:rsidRPr="00AD17D4">
        <w:rPr>
          <w:rFonts w:ascii="David" w:hAnsi="David"/>
          <w:color w:val="FFFFFF"/>
          <w:sz w:val="2"/>
          <w:szCs w:val="2"/>
          <w:rtl/>
        </w:rPr>
        <w:t>54678313</w:t>
      </w:r>
    </w:p>
    <w:p w14:paraId="2F94898A" w14:textId="77777777" w:rsidR="006C4051" w:rsidRPr="006C4051" w:rsidRDefault="006C4051" w:rsidP="006C4051">
      <w:pPr>
        <w:keepNext/>
        <w:rPr>
          <w:rFonts w:ascii="David" w:hAnsi="David"/>
          <w:color w:val="000000"/>
          <w:sz w:val="22"/>
          <w:szCs w:val="22"/>
          <w:rtl/>
        </w:rPr>
      </w:pPr>
      <w:r w:rsidRPr="006C4051">
        <w:rPr>
          <w:rFonts w:ascii="David" w:hAnsi="David"/>
          <w:color w:val="000000"/>
          <w:sz w:val="22"/>
          <w:szCs w:val="22"/>
          <w:rtl/>
        </w:rPr>
        <w:t>דוד שאול גבאי ריכטר 54678313</w:t>
      </w:r>
    </w:p>
    <w:p w14:paraId="706D3DE9" w14:textId="77777777" w:rsidR="006C4051" w:rsidRDefault="006C4051" w:rsidP="006C4051">
      <w:r w:rsidRPr="006C4051">
        <w:rPr>
          <w:color w:val="000000"/>
          <w:rtl/>
        </w:rPr>
        <w:t>נוסח מסמך זה כפוף לשינויי ניסוח ועריכה</w:t>
      </w:r>
    </w:p>
    <w:p w14:paraId="29ECF820" w14:textId="77777777" w:rsidR="006C4051" w:rsidRDefault="006C4051" w:rsidP="006C4051">
      <w:pPr>
        <w:rPr>
          <w:rtl/>
        </w:rPr>
      </w:pPr>
    </w:p>
    <w:p w14:paraId="02F7AD6F" w14:textId="77777777" w:rsidR="006C4051" w:rsidRPr="006C4051" w:rsidRDefault="006C4051" w:rsidP="00AD17D4">
      <w:pPr>
        <w:jc w:val="center"/>
        <w:rPr>
          <w:rFonts w:hint="cs"/>
          <w:color w:val="0000FF"/>
          <w:u w:val="single"/>
        </w:rPr>
      </w:pPr>
      <w:hyperlink r:id="rId46" w:history="1">
        <w:r>
          <w:rPr>
            <w:color w:val="0000FF"/>
            <w:u w:val="single"/>
            <w:rtl/>
          </w:rPr>
          <w:t>בעניין עריכה ושינויים במסמכי פסיקה, חקיקה ועוד באתר נבו – הקש כאן</w:t>
        </w:r>
      </w:hyperlink>
      <w:r w:rsidR="000C74E1">
        <w:rPr>
          <w:rFonts w:hint="cs"/>
          <w:color w:val="0000FF"/>
          <w:u w:val="single"/>
          <w:rtl/>
        </w:rPr>
        <w:t xml:space="preserve"> </w:t>
      </w:r>
    </w:p>
    <w:sectPr w:rsidR="006C4051" w:rsidRPr="006C4051" w:rsidSect="00AD17D4">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3C611" w14:textId="77777777" w:rsidR="00393C7B" w:rsidRDefault="00393C7B" w:rsidP="009776CF">
      <w:r>
        <w:separator/>
      </w:r>
    </w:p>
  </w:endnote>
  <w:endnote w:type="continuationSeparator" w:id="0">
    <w:p w14:paraId="100E77CF" w14:textId="77777777" w:rsidR="00393C7B" w:rsidRDefault="00393C7B" w:rsidP="0097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4AEF3" w14:textId="77777777" w:rsidR="00AD17D4" w:rsidRDefault="00AD17D4" w:rsidP="00AD1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D8808F" w14:textId="77777777" w:rsidR="00B778E1" w:rsidRPr="00AD17D4" w:rsidRDefault="00AD17D4" w:rsidP="00AD17D4">
    <w:pPr>
      <w:pStyle w:val="a5"/>
      <w:pBdr>
        <w:top w:val="single" w:sz="4" w:space="1" w:color="auto"/>
        <w:between w:val="single" w:sz="4" w:space="0" w:color="auto"/>
      </w:pBdr>
      <w:spacing w:after="60"/>
      <w:jc w:val="center"/>
      <w:rPr>
        <w:rFonts w:ascii="FrankRuehl" w:hAnsi="FrankRuehl" w:cs="FrankRuehl"/>
        <w:color w:val="000000"/>
      </w:rPr>
    </w:pPr>
    <w:r w:rsidRPr="00AD17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E2706" w14:textId="77777777" w:rsidR="00AD17D4" w:rsidRDefault="00AD17D4" w:rsidP="00AD1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D11">
      <w:rPr>
        <w:rFonts w:ascii="FrankRuehl" w:hAnsi="FrankRuehl" w:cs="FrankRuehl"/>
        <w:noProof/>
        <w:rtl/>
      </w:rPr>
      <w:t>2</w:t>
    </w:r>
    <w:r>
      <w:rPr>
        <w:rFonts w:ascii="FrankRuehl" w:hAnsi="FrankRuehl" w:cs="FrankRuehl"/>
        <w:rtl/>
      </w:rPr>
      <w:fldChar w:fldCharType="end"/>
    </w:r>
  </w:p>
  <w:p w14:paraId="1D2BFFA0" w14:textId="77777777" w:rsidR="00B778E1" w:rsidRPr="00AD17D4" w:rsidRDefault="00AD17D4" w:rsidP="00AD17D4">
    <w:pPr>
      <w:pStyle w:val="a5"/>
      <w:pBdr>
        <w:top w:val="single" w:sz="4" w:space="1" w:color="auto"/>
        <w:between w:val="single" w:sz="4" w:space="0" w:color="auto"/>
      </w:pBdr>
      <w:spacing w:after="60"/>
      <w:jc w:val="center"/>
      <w:rPr>
        <w:rFonts w:ascii="FrankRuehl" w:hAnsi="FrankRuehl" w:cs="FrankRuehl"/>
        <w:color w:val="000000"/>
      </w:rPr>
    </w:pPr>
    <w:r w:rsidRPr="00AD17D4">
      <w:rPr>
        <w:rFonts w:ascii="FrankRuehl" w:hAnsi="FrankRuehl" w:cs="FrankRuehl"/>
        <w:color w:val="000000"/>
      </w:rPr>
      <w:pict w14:anchorId="33BDE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A5B6" w14:textId="77777777" w:rsidR="00393C7B" w:rsidRDefault="00393C7B" w:rsidP="009776CF">
      <w:r>
        <w:separator/>
      </w:r>
    </w:p>
  </w:footnote>
  <w:footnote w:type="continuationSeparator" w:id="0">
    <w:p w14:paraId="452F4D2F" w14:textId="77777777" w:rsidR="00393C7B" w:rsidRDefault="00393C7B" w:rsidP="00977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EDBA" w14:textId="77777777" w:rsidR="006C4051" w:rsidRPr="00AD17D4" w:rsidRDefault="00AD17D4" w:rsidP="00AD17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37480-02-17</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FCB4B" w14:textId="77777777" w:rsidR="006C4051" w:rsidRPr="00AD17D4" w:rsidRDefault="00AD17D4" w:rsidP="00AD17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37480-02-17</w:t>
    </w:r>
    <w:r>
      <w:rPr>
        <w:rFonts w:ascii="David" w:hAnsi="David"/>
        <w:color w:val="000000"/>
        <w:sz w:val="22"/>
        <w:szCs w:val="22"/>
        <w:rtl/>
      </w:rPr>
      <w:tab/>
      <w:t xml:space="preserve"> מדינת ישראל נ' פלוני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50962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90C"/>
    <w:rsid w:val="000A742D"/>
    <w:rsid w:val="000C74E1"/>
    <w:rsid w:val="00211B32"/>
    <w:rsid w:val="00393C7B"/>
    <w:rsid w:val="003C0D36"/>
    <w:rsid w:val="00692560"/>
    <w:rsid w:val="006C4051"/>
    <w:rsid w:val="009776CF"/>
    <w:rsid w:val="00A06D11"/>
    <w:rsid w:val="00AD17D4"/>
    <w:rsid w:val="00B778E1"/>
    <w:rsid w:val="00BB0276"/>
    <w:rsid w:val="00BC690C"/>
    <w:rsid w:val="00EB1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DC13E7"/>
  <w15:chartTrackingRefBased/>
  <w15:docId w15:val="{190E0C75-40FB-493F-9AC3-4BA08C76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9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90C"/>
    <w:pPr>
      <w:tabs>
        <w:tab w:val="center" w:pos="4153"/>
        <w:tab w:val="right" w:pos="8306"/>
      </w:tabs>
    </w:pPr>
  </w:style>
  <w:style w:type="character" w:customStyle="1" w:styleId="a4">
    <w:name w:val="כותרת עליונה תו"/>
    <w:link w:val="a3"/>
    <w:rsid w:val="00BC690C"/>
    <w:rPr>
      <w:rFonts w:ascii="Times New Roman" w:eastAsia="Times New Roman" w:hAnsi="Times New Roman" w:cs="David"/>
      <w:sz w:val="24"/>
      <w:szCs w:val="24"/>
    </w:rPr>
  </w:style>
  <w:style w:type="paragraph" w:styleId="a5">
    <w:name w:val="footer"/>
    <w:basedOn w:val="a"/>
    <w:link w:val="a6"/>
    <w:rsid w:val="00BC690C"/>
    <w:pPr>
      <w:tabs>
        <w:tab w:val="center" w:pos="4153"/>
        <w:tab w:val="right" w:pos="8306"/>
      </w:tabs>
    </w:pPr>
  </w:style>
  <w:style w:type="character" w:customStyle="1" w:styleId="a6">
    <w:name w:val="כותרת תחתונה תו"/>
    <w:link w:val="a5"/>
    <w:rsid w:val="00BC690C"/>
    <w:rPr>
      <w:rFonts w:ascii="Times New Roman" w:eastAsia="Times New Roman" w:hAnsi="Times New Roman" w:cs="David"/>
      <w:sz w:val="24"/>
      <w:szCs w:val="24"/>
    </w:rPr>
  </w:style>
  <w:style w:type="table" w:styleId="a7">
    <w:name w:val="Table Grid"/>
    <w:basedOn w:val="a1"/>
    <w:rsid w:val="00BC69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690C"/>
  </w:style>
  <w:style w:type="character" w:styleId="Hyperlink">
    <w:name w:val="Hyperlink"/>
    <w:rsid w:val="006C40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5" TargetMode="External"/><Relationship Id="rId18" Type="http://schemas.openxmlformats.org/officeDocument/2006/relationships/hyperlink" Target="http://www.nevo.co.il/law/4216/21.a" TargetMode="External"/><Relationship Id="rId26" Type="http://schemas.openxmlformats.org/officeDocument/2006/relationships/hyperlink" Target="http://www.nevo.co.il/law/4216/21.a.1.;21.a.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21.a" TargetMode="External"/><Relationship Id="rId34" Type="http://schemas.openxmlformats.org/officeDocument/2006/relationships/hyperlink" Target="http://www.nevo.co.il/law/4216/14" TargetMode="External"/><Relationship Id="rId42" Type="http://schemas.openxmlformats.org/officeDocument/2006/relationships/hyperlink" Target="http://www.nevo.co.il/case/2198045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4216/21.a.1." TargetMode="External"/><Relationship Id="rId24" Type="http://schemas.openxmlformats.org/officeDocument/2006/relationships/hyperlink" Target="http://www.nevo.co.il/law/4216/14"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70301/25" TargetMode="External"/><Relationship Id="rId40" Type="http://schemas.openxmlformats.org/officeDocument/2006/relationships/hyperlink" Target="http://www.nevo.co.il/case/4422401" TargetMode="External"/><Relationship Id="rId45" Type="http://schemas.openxmlformats.org/officeDocument/2006/relationships/hyperlink" Target="http://www.nevo.co.il/case/22253779" TargetMode="Externa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4" TargetMode="External"/><Relationship Id="rId36" Type="http://schemas.openxmlformats.org/officeDocument/2006/relationships/hyperlink" Target="http://www.nevo.co.il/law/4216/21.a.1.;21.a.3" TargetMode="External"/><Relationship Id="rId49" Type="http://schemas.openxmlformats.org/officeDocument/2006/relationships/footer" Target="footer1.xml"/><Relationship Id="rId10" Type="http://schemas.openxmlformats.org/officeDocument/2006/relationships/hyperlink" Target="http://www.nevo.co.il/law/4216/21.a"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4216/21.a.1.;21.a.3" TargetMode="External"/><Relationship Id="rId35" Type="http://schemas.openxmlformats.org/officeDocument/2006/relationships/hyperlink" Target="http://www.nevo.co.il/law/70301/25" TargetMode="External"/><Relationship Id="rId43" Type="http://schemas.openxmlformats.org/officeDocument/2006/relationships/hyperlink" Target="http://www.nevo.co.il/law/70301/40ja" TargetMode="External"/><Relationship Id="rId48"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21.a.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25" TargetMode="External"/><Relationship Id="rId33" Type="http://schemas.openxmlformats.org/officeDocument/2006/relationships/hyperlink" Target="http://www.nevo.co.il/law/4216/21.a.1.;21.a.3" TargetMode="External"/><Relationship Id="rId38" Type="http://schemas.openxmlformats.org/officeDocument/2006/relationships/hyperlink" Target="http://www.nevo.co.il/law/70301/40i"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14" TargetMode="External"/><Relationship Id="rId41" Type="http://schemas.openxmlformats.org/officeDocument/2006/relationships/hyperlink" Target="http://www.nevo.co.il/case/588499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2223</Words>
  <Characters>11120</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13317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3407988</vt:i4>
      </vt:variant>
      <vt:variant>
        <vt:i4>114</vt:i4>
      </vt:variant>
      <vt:variant>
        <vt:i4>0</vt:i4>
      </vt:variant>
      <vt:variant>
        <vt:i4>5</vt:i4>
      </vt:variant>
      <vt:variant>
        <vt:lpwstr>http://www.nevo.co.il/case/22253779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4063353</vt:i4>
      </vt:variant>
      <vt:variant>
        <vt:i4>105</vt:i4>
      </vt:variant>
      <vt:variant>
        <vt:i4>0</vt:i4>
      </vt:variant>
      <vt:variant>
        <vt:i4>5</vt:i4>
      </vt:variant>
      <vt:variant>
        <vt:lpwstr>http://www.nevo.co.il/case/21980458</vt:lpwstr>
      </vt:variant>
      <vt:variant>
        <vt:lpwstr/>
      </vt:variant>
      <vt:variant>
        <vt:i4>3539057</vt:i4>
      </vt:variant>
      <vt:variant>
        <vt:i4>102</vt:i4>
      </vt:variant>
      <vt:variant>
        <vt:i4>0</vt:i4>
      </vt:variant>
      <vt:variant>
        <vt:i4>5</vt:i4>
      </vt:variant>
      <vt:variant>
        <vt:lpwstr>http://www.nevo.co.il/case/5884992</vt:lpwstr>
      </vt:variant>
      <vt:variant>
        <vt:lpwstr/>
      </vt:variant>
      <vt:variant>
        <vt:i4>3342450</vt:i4>
      </vt:variant>
      <vt:variant>
        <vt:i4>99</vt:i4>
      </vt:variant>
      <vt:variant>
        <vt:i4>0</vt:i4>
      </vt:variant>
      <vt:variant>
        <vt:i4>5</vt:i4>
      </vt:variant>
      <vt:variant>
        <vt:lpwstr>http://www.nevo.co.il/case/4422401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5242944</vt:i4>
      </vt:variant>
      <vt:variant>
        <vt:i4>87</vt:i4>
      </vt:variant>
      <vt:variant>
        <vt:i4>0</vt:i4>
      </vt:variant>
      <vt:variant>
        <vt:i4>5</vt:i4>
      </vt:variant>
      <vt:variant>
        <vt:lpwstr>http://www.nevo.co.il/law/4216/21.a.1.;21.a.3</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5177418</vt:i4>
      </vt:variant>
      <vt:variant>
        <vt:i4>81</vt:i4>
      </vt:variant>
      <vt:variant>
        <vt:i4>0</vt:i4>
      </vt:variant>
      <vt:variant>
        <vt:i4>5</vt:i4>
      </vt:variant>
      <vt:variant>
        <vt:lpwstr>http://www.nevo.co.il/law/4216/14</vt:lpwstr>
      </vt:variant>
      <vt:variant>
        <vt:lpwstr/>
      </vt:variant>
      <vt:variant>
        <vt:i4>5242944</vt:i4>
      </vt:variant>
      <vt:variant>
        <vt:i4>78</vt:i4>
      </vt:variant>
      <vt:variant>
        <vt:i4>0</vt:i4>
      </vt:variant>
      <vt:variant>
        <vt:i4>5</vt:i4>
      </vt:variant>
      <vt:variant>
        <vt:lpwstr>http://www.nevo.co.il/law/4216/21.a.1.;21.a.3</vt:lpwstr>
      </vt:variant>
      <vt:variant>
        <vt:lpwstr/>
      </vt:variant>
      <vt:variant>
        <vt:i4>5177418</vt:i4>
      </vt:variant>
      <vt:variant>
        <vt:i4>75</vt:i4>
      </vt:variant>
      <vt:variant>
        <vt:i4>0</vt:i4>
      </vt:variant>
      <vt:variant>
        <vt:i4>5</vt:i4>
      </vt:variant>
      <vt:variant>
        <vt:lpwstr>http://www.nevo.co.il/law/4216/13</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5242944</vt:i4>
      </vt:variant>
      <vt:variant>
        <vt:i4>69</vt:i4>
      </vt:variant>
      <vt:variant>
        <vt:i4>0</vt:i4>
      </vt:variant>
      <vt:variant>
        <vt:i4>5</vt:i4>
      </vt:variant>
      <vt:variant>
        <vt:lpwstr>http://www.nevo.co.il/law/4216/21.a.1.;21.a.3</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5177418</vt:i4>
      </vt:variant>
      <vt:variant>
        <vt:i4>63</vt:i4>
      </vt:variant>
      <vt:variant>
        <vt:i4>0</vt:i4>
      </vt:variant>
      <vt:variant>
        <vt:i4>5</vt:i4>
      </vt:variant>
      <vt:variant>
        <vt:lpwstr>http://www.nevo.co.il/law/4216/14</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5242944</vt:i4>
      </vt:variant>
      <vt:variant>
        <vt:i4>57</vt:i4>
      </vt:variant>
      <vt:variant>
        <vt:i4>0</vt:i4>
      </vt:variant>
      <vt:variant>
        <vt:i4>5</vt:i4>
      </vt:variant>
      <vt:variant>
        <vt:lpwstr>http://www.nevo.co.il/law/4216/21.a.1.;21.a.3</vt:lpwstr>
      </vt:variant>
      <vt:variant>
        <vt:lpwstr/>
      </vt:variant>
      <vt:variant>
        <vt:i4>4980810</vt:i4>
      </vt:variant>
      <vt:variant>
        <vt:i4>54</vt:i4>
      </vt:variant>
      <vt:variant>
        <vt:i4>0</vt:i4>
      </vt:variant>
      <vt:variant>
        <vt:i4>5</vt:i4>
      </vt:variant>
      <vt:variant>
        <vt:lpwstr>http://www.nevo.co.il/law/4216/25</vt:lpwstr>
      </vt:variant>
      <vt:variant>
        <vt:lpwstr/>
      </vt:variant>
      <vt:variant>
        <vt:i4>5177418</vt:i4>
      </vt:variant>
      <vt:variant>
        <vt:i4>51</vt:i4>
      </vt:variant>
      <vt:variant>
        <vt:i4>0</vt:i4>
      </vt:variant>
      <vt:variant>
        <vt:i4>5</vt:i4>
      </vt:variant>
      <vt:variant>
        <vt:lpwstr>http://www.nevo.co.il/law/4216/14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6422651</vt:i4>
      </vt:variant>
      <vt:variant>
        <vt:i4>42</vt:i4>
      </vt:variant>
      <vt:variant>
        <vt:i4>0</vt:i4>
      </vt:variant>
      <vt:variant>
        <vt:i4>5</vt:i4>
      </vt:variant>
      <vt:variant>
        <vt:lpwstr>http://www.nevo.co.il/law/4216/21.a</vt:lpwstr>
      </vt:variant>
      <vt:variant>
        <vt:lpwstr/>
      </vt:variant>
      <vt:variant>
        <vt:i4>5177418</vt:i4>
      </vt:variant>
      <vt:variant>
        <vt:i4>39</vt:i4>
      </vt:variant>
      <vt:variant>
        <vt:i4>0</vt:i4>
      </vt:variant>
      <vt:variant>
        <vt:i4>5</vt:i4>
      </vt:variant>
      <vt:variant>
        <vt:lpwstr>http://www.nevo.co.il/law/4216/14</vt:lpwstr>
      </vt:variant>
      <vt:variant>
        <vt:lpwstr/>
      </vt:variant>
      <vt:variant>
        <vt:i4>8257637</vt:i4>
      </vt:variant>
      <vt:variant>
        <vt:i4>36</vt:i4>
      </vt:variant>
      <vt:variant>
        <vt:i4>0</vt:i4>
      </vt:variant>
      <vt:variant>
        <vt:i4>5</vt:i4>
      </vt:variant>
      <vt:variant>
        <vt:lpwstr>http://www.nevo.co.il/law/4216</vt:lpwstr>
      </vt:variant>
      <vt:variant>
        <vt:lpwstr/>
      </vt:variant>
      <vt:variant>
        <vt:i4>6422651</vt:i4>
      </vt:variant>
      <vt:variant>
        <vt:i4>33</vt:i4>
      </vt:variant>
      <vt:variant>
        <vt:i4>0</vt:i4>
      </vt:variant>
      <vt:variant>
        <vt:i4>5</vt:i4>
      </vt:variant>
      <vt:variant>
        <vt:lpwstr>http://www.nevo.co.il/law/4216/21.a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4980810</vt:i4>
      </vt:variant>
      <vt:variant>
        <vt:i4>18</vt:i4>
      </vt:variant>
      <vt:variant>
        <vt:i4>0</vt:i4>
      </vt:variant>
      <vt:variant>
        <vt:i4>5</vt:i4>
      </vt:variant>
      <vt:variant>
        <vt:lpwstr>http://www.nevo.co.il/law/4216/25</vt:lpwstr>
      </vt:variant>
      <vt:variant>
        <vt:lpwstr/>
      </vt:variant>
      <vt:variant>
        <vt:i4>4980762</vt:i4>
      </vt:variant>
      <vt:variant>
        <vt:i4>15</vt:i4>
      </vt:variant>
      <vt:variant>
        <vt:i4>0</vt:i4>
      </vt:variant>
      <vt:variant>
        <vt:i4>5</vt:i4>
      </vt:variant>
      <vt:variant>
        <vt:lpwstr>http://www.nevo.co.il/law/4216/21.a.3</vt:lpwstr>
      </vt:variant>
      <vt:variant>
        <vt:lpwstr/>
      </vt:variant>
      <vt:variant>
        <vt:i4>6422571</vt:i4>
      </vt:variant>
      <vt:variant>
        <vt:i4>12</vt:i4>
      </vt:variant>
      <vt:variant>
        <vt:i4>0</vt:i4>
      </vt:variant>
      <vt:variant>
        <vt:i4>5</vt:i4>
      </vt:variant>
      <vt:variant>
        <vt:lpwstr>http://www.nevo.co.il/law/4216/21.a.1.</vt:lpwstr>
      </vt:variant>
      <vt:variant>
        <vt:lpwstr/>
      </vt:variant>
      <vt:variant>
        <vt:i4>6422651</vt:i4>
      </vt:variant>
      <vt:variant>
        <vt:i4>9</vt:i4>
      </vt:variant>
      <vt:variant>
        <vt:i4>0</vt:i4>
      </vt:variant>
      <vt:variant>
        <vt:i4>5</vt:i4>
      </vt:variant>
      <vt:variant>
        <vt:lpwstr>http://www.nevo.co.il/law/4216/21.a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37480</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פלוני </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20180531</vt:lpwstr>
  </property>
  <property fmtid="{D5CDD505-2E9C-101B-9397-08002B2CF9AE}" pid="14" name="TYPE_N_DATE">
    <vt:lpwstr>38020180531</vt:lpwstr>
  </property>
  <property fmtid="{D5CDD505-2E9C-101B-9397-08002B2CF9AE}" pid="15" name="CASESLISTTMP1">
    <vt:lpwstr>4422401;5884992;21980458;22253779</vt:lpwstr>
  </property>
  <property fmtid="{D5CDD505-2E9C-101B-9397-08002B2CF9AE}" pid="16" name="WORDNUMPAGES">
    <vt:lpwstr>6</vt:lpwstr>
  </property>
  <property fmtid="{D5CDD505-2E9C-101B-9397-08002B2CF9AE}" pid="17" name="TYPE_ABS_DATE">
    <vt:lpwstr>380020180531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4216/021.a:2;014:4;025;021.a.1:4;021.a.3:4;013</vt:lpwstr>
  </property>
  <property fmtid="{D5CDD505-2E9C-101B-9397-08002B2CF9AE}" pid="37" name="LAWLISTTMP2">
    <vt:lpwstr>70301/025:6;040i;40ja</vt:lpwstr>
  </property>
</Properties>
</file>