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F83064" w:rsidRPr="003606C6" w14:paraId="1C893585" w14:textId="77777777" w:rsidTr="00134A08">
        <w:trPr>
          <w:trHeight w:hRule="exact" w:val="418"/>
          <w:jc w:val="center"/>
        </w:trPr>
        <w:tc>
          <w:tcPr>
            <w:tcW w:w="8721" w:type="dxa"/>
            <w:gridSpan w:val="2"/>
          </w:tcPr>
          <w:p w14:paraId="765B02D9" w14:textId="77777777" w:rsidR="00F83064" w:rsidRPr="003606C6" w:rsidRDefault="00F83064" w:rsidP="00EE273D">
            <w:pPr>
              <w:pStyle w:val="a3"/>
              <w:jc w:val="center"/>
              <w:rPr>
                <w:rFonts w:ascii="Tahoma" w:hAnsi="Tahoma" w:cs="Tahoma"/>
                <w:color w:val="000080"/>
                <w:rtl/>
              </w:rPr>
            </w:pPr>
            <w:bookmarkStart w:id="0" w:name="LastJudge"/>
            <w:r w:rsidRPr="003606C6">
              <w:rPr>
                <w:rFonts w:ascii="Tahoma" w:hAnsi="Tahoma" w:cs="Tahoma"/>
                <w:b/>
                <w:bCs/>
                <w:color w:val="000080"/>
                <w:rtl/>
              </w:rPr>
              <w:t>בית משפט השלום בקריות</w:t>
            </w:r>
          </w:p>
        </w:tc>
      </w:tr>
      <w:tr w:rsidR="00F83064" w:rsidRPr="003606C6" w14:paraId="18928C30" w14:textId="77777777" w:rsidTr="00134A08">
        <w:trPr>
          <w:trHeight w:val="337"/>
          <w:jc w:val="center"/>
        </w:trPr>
        <w:tc>
          <w:tcPr>
            <w:tcW w:w="5056" w:type="dxa"/>
          </w:tcPr>
          <w:p w14:paraId="56D6FE5D" w14:textId="77777777" w:rsidR="00F83064" w:rsidRPr="003606C6" w:rsidRDefault="00F83064" w:rsidP="00EE273D">
            <w:pPr>
              <w:rPr>
                <w:rFonts w:cs="FrankRuehl"/>
                <w:sz w:val="28"/>
                <w:szCs w:val="28"/>
                <w:rtl/>
              </w:rPr>
            </w:pPr>
            <w:r w:rsidRPr="003606C6">
              <w:rPr>
                <w:rFonts w:cs="FrankRuehl"/>
                <w:sz w:val="28"/>
                <w:szCs w:val="28"/>
                <w:rtl/>
              </w:rPr>
              <w:t>ת"פ</w:t>
            </w:r>
            <w:r w:rsidRPr="003606C6">
              <w:rPr>
                <w:rFonts w:cs="FrankRuehl" w:hint="cs"/>
                <w:sz w:val="28"/>
                <w:szCs w:val="28"/>
                <w:rtl/>
              </w:rPr>
              <w:t xml:space="preserve"> </w:t>
            </w:r>
            <w:r w:rsidRPr="003606C6">
              <w:rPr>
                <w:rFonts w:cs="FrankRuehl"/>
                <w:sz w:val="28"/>
                <w:szCs w:val="28"/>
                <w:rtl/>
              </w:rPr>
              <w:t>51354-02-17</w:t>
            </w:r>
            <w:r w:rsidRPr="003606C6">
              <w:rPr>
                <w:rFonts w:cs="FrankRuehl" w:hint="cs"/>
                <w:sz w:val="28"/>
                <w:szCs w:val="28"/>
                <w:rtl/>
              </w:rPr>
              <w:t xml:space="preserve"> </w:t>
            </w:r>
            <w:r w:rsidRPr="003606C6">
              <w:rPr>
                <w:rFonts w:cs="FrankRuehl"/>
                <w:sz w:val="28"/>
                <w:szCs w:val="28"/>
                <w:rtl/>
              </w:rPr>
              <w:t>מדינת ישראל נ' בן חמו(עציר)</w:t>
            </w:r>
          </w:p>
          <w:p w14:paraId="10E927D4" w14:textId="77777777" w:rsidR="00F83064" w:rsidRPr="003606C6" w:rsidRDefault="00F83064" w:rsidP="00EE273D">
            <w:pPr>
              <w:pStyle w:val="a3"/>
              <w:rPr>
                <w:rFonts w:cs="FrankRuehl"/>
                <w:sz w:val="28"/>
                <w:szCs w:val="28"/>
                <w:rtl/>
              </w:rPr>
            </w:pPr>
          </w:p>
        </w:tc>
        <w:tc>
          <w:tcPr>
            <w:tcW w:w="3665" w:type="dxa"/>
          </w:tcPr>
          <w:p w14:paraId="5BA9B506" w14:textId="77777777" w:rsidR="00F83064" w:rsidRPr="003606C6" w:rsidRDefault="00F83064" w:rsidP="00EE273D">
            <w:pPr>
              <w:pStyle w:val="a3"/>
              <w:jc w:val="right"/>
              <w:rPr>
                <w:rFonts w:cs="FrankRuehl"/>
                <w:sz w:val="28"/>
                <w:szCs w:val="28"/>
                <w:rtl/>
              </w:rPr>
            </w:pPr>
          </w:p>
        </w:tc>
      </w:tr>
    </w:tbl>
    <w:p w14:paraId="4918BB38" w14:textId="77777777" w:rsidR="00F83064" w:rsidRPr="003606C6" w:rsidRDefault="00F83064" w:rsidP="00F83064">
      <w:pPr>
        <w:pStyle w:val="a3"/>
        <w:rPr>
          <w:rtl/>
        </w:rPr>
      </w:pPr>
      <w:r w:rsidRPr="003606C6">
        <w:rPr>
          <w:rFonts w:hint="cs"/>
          <w:rtl/>
        </w:rPr>
        <w:t xml:space="preserve"> </w:t>
      </w:r>
    </w:p>
    <w:p w14:paraId="54D32C82" w14:textId="77777777" w:rsidR="00F83064" w:rsidRPr="003606C6" w:rsidRDefault="00F83064" w:rsidP="00F830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83064" w:rsidRPr="003606C6" w14:paraId="1364F35D" w14:textId="77777777" w:rsidTr="00F83064">
        <w:trPr>
          <w:trHeight w:val="295"/>
          <w:jc w:val="center"/>
        </w:trPr>
        <w:tc>
          <w:tcPr>
            <w:tcW w:w="923" w:type="dxa"/>
            <w:tcBorders>
              <w:top w:val="nil"/>
              <w:left w:val="nil"/>
              <w:bottom w:val="nil"/>
              <w:right w:val="nil"/>
            </w:tcBorders>
            <w:shd w:val="clear" w:color="auto" w:fill="auto"/>
          </w:tcPr>
          <w:p w14:paraId="445F56E9" w14:textId="77777777" w:rsidR="00F83064" w:rsidRPr="003606C6" w:rsidRDefault="00F83064" w:rsidP="00F83064">
            <w:pPr>
              <w:jc w:val="both"/>
              <w:rPr>
                <w:rFonts w:ascii="Arial" w:hAnsi="Arial"/>
                <w:b/>
                <w:bCs/>
              </w:rPr>
            </w:pPr>
            <w:r w:rsidRPr="003606C6">
              <w:rPr>
                <w:rFonts w:ascii="Arial" w:hAnsi="Arial" w:hint="cs"/>
                <w:b/>
                <w:bCs/>
                <w:rtl/>
              </w:rPr>
              <w:t>ב</w:t>
            </w:r>
            <w:r w:rsidRPr="003606C6">
              <w:rPr>
                <w:rFonts w:ascii="Arial" w:hAnsi="Arial"/>
                <w:b/>
                <w:bCs/>
                <w:rtl/>
              </w:rPr>
              <w:t xml:space="preserve">פני </w:t>
            </w:r>
          </w:p>
        </w:tc>
        <w:tc>
          <w:tcPr>
            <w:tcW w:w="7897" w:type="dxa"/>
            <w:gridSpan w:val="2"/>
            <w:tcBorders>
              <w:top w:val="nil"/>
              <w:left w:val="nil"/>
              <w:bottom w:val="nil"/>
              <w:right w:val="nil"/>
            </w:tcBorders>
            <w:shd w:val="clear" w:color="auto" w:fill="auto"/>
          </w:tcPr>
          <w:p w14:paraId="189600C3" w14:textId="77777777" w:rsidR="00F83064" w:rsidRPr="003606C6" w:rsidRDefault="00F83064" w:rsidP="00EE273D">
            <w:pPr>
              <w:rPr>
                <w:rFonts w:ascii="Arial" w:hAnsi="Arial"/>
                <w:b/>
                <w:bCs/>
                <w:rtl/>
              </w:rPr>
            </w:pPr>
            <w:r w:rsidRPr="003606C6">
              <w:rPr>
                <w:rFonts w:ascii="Arial" w:hAnsi="Arial" w:hint="cs"/>
                <w:b/>
                <w:bCs/>
                <w:rtl/>
              </w:rPr>
              <w:t>כבוד ה</w:t>
            </w:r>
            <w:r w:rsidRPr="003606C6">
              <w:rPr>
                <w:rFonts w:ascii="Arial" w:hAnsi="Arial"/>
                <w:b/>
                <w:bCs/>
                <w:rtl/>
              </w:rPr>
              <w:t>שופט</w:t>
            </w:r>
            <w:r w:rsidRPr="003606C6">
              <w:rPr>
                <w:rFonts w:ascii="Arial" w:hAnsi="Arial" w:hint="cs"/>
                <w:b/>
                <w:bCs/>
                <w:rtl/>
              </w:rPr>
              <w:t xml:space="preserve">  </w:t>
            </w:r>
            <w:r w:rsidRPr="003606C6">
              <w:rPr>
                <w:rFonts w:ascii="Arial" w:hAnsi="Arial"/>
                <w:b/>
                <w:bCs/>
                <w:rtl/>
              </w:rPr>
              <w:t>יוסי טורס</w:t>
            </w:r>
          </w:p>
          <w:p w14:paraId="4DA803B1" w14:textId="77777777" w:rsidR="00F83064" w:rsidRPr="003606C6" w:rsidRDefault="00F83064" w:rsidP="00EE273D">
            <w:pPr>
              <w:rPr>
                <w:b/>
                <w:bCs/>
                <w:rtl/>
              </w:rPr>
            </w:pPr>
          </w:p>
          <w:p w14:paraId="41A288C0" w14:textId="77777777" w:rsidR="00F83064" w:rsidRPr="003606C6" w:rsidRDefault="00F83064" w:rsidP="00F83064">
            <w:pPr>
              <w:jc w:val="both"/>
              <w:rPr>
                <w:rFonts w:ascii="Arial" w:hAnsi="Arial"/>
                <w:b/>
                <w:bCs/>
              </w:rPr>
            </w:pPr>
          </w:p>
        </w:tc>
      </w:tr>
      <w:tr w:rsidR="00F83064" w:rsidRPr="003606C6" w14:paraId="049A1C80" w14:textId="77777777" w:rsidTr="00F83064">
        <w:trPr>
          <w:trHeight w:val="355"/>
          <w:jc w:val="center"/>
        </w:trPr>
        <w:tc>
          <w:tcPr>
            <w:tcW w:w="923" w:type="dxa"/>
            <w:tcBorders>
              <w:top w:val="nil"/>
              <w:left w:val="nil"/>
              <w:bottom w:val="nil"/>
              <w:right w:val="nil"/>
            </w:tcBorders>
            <w:shd w:val="clear" w:color="auto" w:fill="auto"/>
          </w:tcPr>
          <w:p w14:paraId="22D8E073" w14:textId="77777777" w:rsidR="00F83064" w:rsidRPr="003606C6" w:rsidRDefault="00F83064" w:rsidP="00F83064">
            <w:pPr>
              <w:jc w:val="both"/>
              <w:rPr>
                <w:rFonts w:ascii="Arial" w:hAnsi="Arial"/>
                <w:b/>
                <w:bCs/>
              </w:rPr>
            </w:pPr>
            <w:bookmarkStart w:id="1" w:name="FirstAppellant"/>
            <w:r w:rsidRPr="003606C6">
              <w:rPr>
                <w:rFonts w:ascii="Arial" w:hAnsi="Arial" w:hint="cs"/>
                <w:b/>
                <w:bCs/>
                <w:rtl/>
              </w:rPr>
              <w:t>בעניין:</w:t>
            </w:r>
          </w:p>
        </w:tc>
        <w:tc>
          <w:tcPr>
            <w:tcW w:w="4126" w:type="dxa"/>
            <w:tcBorders>
              <w:top w:val="nil"/>
              <w:left w:val="nil"/>
              <w:bottom w:val="nil"/>
              <w:right w:val="nil"/>
            </w:tcBorders>
            <w:shd w:val="clear" w:color="auto" w:fill="auto"/>
          </w:tcPr>
          <w:p w14:paraId="75274EF3" w14:textId="77777777" w:rsidR="00F83064" w:rsidRPr="003606C6" w:rsidRDefault="00F83064" w:rsidP="00EE273D">
            <w:pPr>
              <w:rPr>
                <w:b/>
                <w:bCs/>
              </w:rPr>
            </w:pPr>
            <w:r w:rsidRPr="003606C6">
              <w:rPr>
                <w:rFonts w:ascii="Arial" w:hAnsi="Arial"/>
                <w:b/>
                <w:bCs/>
                <w:rtl/>
              </w:rPr>
              <w:t>מדינת ישראל</w:t>
            </w:r>
          </w:p>
        </w:tc>
        <w:tc>
          <w:tcPr>
            <w:tcW w:w="3771" w:type="dxa"/>
            <w:tcBorders>
              <w:top w:val="nil"/>
              <w:left w:val="nil"/>
              <w:bottom w:val="nil"/>
              <w:right w:val="nil"/>
            </w:tcBorders>
            <w:shd w:val="clear" w:color="auto" w:fill="auto"/>
          </w:tcPr>
          <w:p w14:paraId="000CC2CF" w14:textId="77777777" w:rsidR="00F83064" w:rsidRPr="003606C6" w:rsidRDefault="00F83064" w:rsidP="00F83064">
            <w:pPr>
              <w:jc w:val="both"/>
              <w:rPr>
                <w:rFonts w:ascii="Arial" w:hAnsi="Arial"/>
                <w:b/>
                <w:bCs/>
              </w:rPr>
            </w:pPr>
          </w:p>
        </w:tc>
      </w:tr>
      <w:bookmarkEnd w:id="1"/>
      <w:tr w:rsidR="00F83064" w:rsidRPr="003606C6" w14:paraId="28626E65" w14:textId="77777777" w:rsidTr="00F83064">
        <w:trPr>
          <w:trHeight w:val="355"/>
          <w:jc w:val="center"/>
        </w:trPr>
        <w:tc>
          <w:tcPr>
            <w:tcW w:w="923" w:type="dxa"/>
            <w:tcBorders>
              <w:top w:val="nil"/>
              <w:left w:val="nil"/>
              <w:bottom w:val="nil"/>
              <w:right w:val="nil"/>
            </w:tcBorders>
            <w:shd w:val="clear" w:color="auto" w:fill="auto"/>
          </w:tcPr>
          <w:p w14:paraId="27440ECE" w14:textId="77777777" w:rsidR="00F83064" w:rsidRPr="003606C6" w:rsidRDefault="00F83064" w:rsidP="00F83064">
            <w:pPr>
              <w:jc w:val="both"/>
              <w:rPr>
                <w:rFonts w:ascii="Arial" w:hAnsi="Arial"/>
                <w:b/>
                <w:bCs/>
                <w:rtl/>
              </w:rPr>
            </w:pPr>
          </w:p>
        </w:tc>
        <w:tc>
          <w:tcPr>
            <w:tcW w:w="4126" w:type="dxa"/>
            <w:tcBorders>
              <w:top w:val="nil"/>
              <w:left w:val="nil"/>
              <w:bottom w:val="nil"/>
              <w:right w:val="nil"/>
            </w:tcBorders>
            <w:shd w:val="clear" w:color="auto" w:fill="auto"/>
          </w:tcPr>
          <w:p w14:paraId="78F8ADB9" w14:textId="77777777" w:rsidR="00F83064" w:rsidRPr="003606C6" w:rsidRDefault="00F83064" w:rsidP="00F83064">
            <w:pPr>
              <w:jc w:val="both"/>
              <w:rPr>
                <w:b/>
                <w:bCs/>
                <w:rtl/>
              </w:rPr>
            </w:pPr>
          </w:p>
        </w:tc>
        <w:tc>
          <w:tcPr>
            <w:tcW w:w="3771" w:type="dxa"/>
            <w:tcBorders>
              <w:top w:val="nil"/>
              <w:left w:val="nil"/>
              <w:bottom w:val="nil"/>
              <w:right w:val="nil"/>
            </w:tcBorders>
            <w:shd w:val="clear" w:color="auto" w:fill="auto"/>
          </w:tcPr>
          <w:p w14:paraId="772D855E" w14:textId="77777777" w:rsidR="00F83064" w:rsidRPr="003606C6" w:rsidRDefault="00F83064" w:rsidP="00F83064">
            <w:pPr>
              <w:jc w:val="right"/>
              <w:rPr>
                <w:rFonts w:ascii="Arial" w:hAnsi="Arial"/>
                <w:b/>
                <w:bCs/>
                <w:rtl/>
              </w:rPr>
            </w:pPr>
            <w:r w:rsidRPr="003606C6">
              <w:rPr>
                <w:rFonts w:ascii="Arial" w:hAnsi="Arial" w:hint="cs"/>
                <w:b/>
                <w:bCs/>
                <w:rtl/>
              </w:rPr>
              <w:t>ה</w:t>
            </w:r>
            <w:r w:rsidRPr="003606C6">
              <w:rPr>
                <w:rFonts w:ascii="Arial" w:hAnsi="Arial"/>
                <w:b/>
                <w:bCs/>
                <w:rtl/>
              </w:rPr>
              <w:t>מאשימה</w:t>
            </w:r>
          </w:p>
        </w:tc>
      </w:tr>
      <w:tr w:rsidR="00F83064" w:rsidRPr="003606C6" w14:paraId="39B523E6" w14:textId="77777777" w:rsidTr="00F83064">
        <w:trPr>
          <w:trHeight w:val="355"/>
          <w:jc w:val="center"/>
        </w:trPr>
        <w:tc>
          <w:tcPr>
            <w:tcW w:w="923" w:type="dxa"/>
            <w:tcBorders>
              <w:top w:val="nil"/>
              <w:left w:val="nil"/>
              <w:bottom w:val="nil"/>
              <w:right w:val="nil"/>
            </w:tcBorders>
            <w:shd w:val="clear" w:color="auto" w:fill="auto"/>
          </w:tcPr>
          <w:p w14:paraId="6331ED49" w14:textId="77777777" w:rsidR="00F83064" w:rsidRPr="003606C6" w:rsidRDefault="00F83064" w:rsidP="00F83064">
            <w:pPr>
              <w:jc w:val="both"/>
              <w:rPr>
                <w:rFonts w:ascii="Arial" w:hAnsi="Arial"/>
                <w:b/>
                <w:bCs/>
                <w:rtl/>
              </w:rPr>
            </w:pPr>
          </w:p>
        </w:tc>
        <w:tc>
          <w:tcPr>
            <w:tcW w:w="7897" w:type="dxa"/>
            <w:gridSpan w:val="2"/>
            <w:tcBorders>
              <w:top w:val="nil"/>
              <w:left w:val="nil"/>
              <w:bottom w:val="nil"/>
              <w:right w:val="nil"/>
            </w:tcBorders>
            <w:shd w:val="clear" w:color="auto" w:fill="auto"/>
          </w:tcPr>
          <w:p w14:paraId="0D68E622" w14:textId="77777777" w:rsidR="00F83064" w:rsidRPr="003606C6" w:rsidRDefault="00F83064" w:rsidP="00F83064">
            <w:pPr>
              <w:jc w:val="center"/>
              <w:rPr>
                <w:rFonts w:ascii="Arial" w:hAnsi="Arial"/>
                <w:b/>
                <w:bCs/>
                <w:rtl/>
              </w:rPr>
            </w:pPr>
          </w:p>
          <w:p w14:paraId="0C516D50" w14:textId="77777777" w:rsidR="00F83064" w:rsidRPr="003606C6" w:rsidRDefault="00F83064" w:rsidP="00F83064">
            <w:pPr>
              <w:jc w:val="center"/>
              <w:rPr>
                <w:rFonts w:ascii="Arial" w:hAnsi="Arial"/>
                <w:b/>
                <w:bCs/>
                <w:rtl/>
              </w:rPr>
            </w:pPr>
            <w:r w:rsidRPr="003606C6">
              <w:rPr>
                <w:rFonts w:ascii="Arial" w:hAnsi="Arial"/>
                <w:b/>
                <w:bCs/>
                <w:rtl/>
              </w:rPr>
              <w:t>נגד</w:t>
            </w:r>
          </w:p>
          <w:p w14:paraId="2ADB4A10" w14:textId="77777777" w:rsidR="00F83064" w:rsidRPr="003606C6" w:rsidRDefault="00F83064" w:rsidP="00F83064">
            <w:pPr>
              <w:jc w:val="both"/>
              <w:rPr>
                <w:rFonts w:ascii="Arial" w:hAnsi="Arial"/>
                <w:b/>
                <w:bCs/>
              </w:rPr>
            </w:pPr>
          </w:p>
        </w:tc>
      </w:tr>
      <w:tr w:rsidR="00F83064" w:rsidRPr="003606C6" w14:paraId="14FB15FB" w14:textId="77777777" w:rsidTr="00F83064">
        <w:trPr>
          <w:trHeight w:val="355"/>
          <w:jc w:val="center"/>
        </w:trPr>
        <w:tc>
          <w:tcPr>
            <w:tcW w:w="923" w:type="dxa"/>
            <w:tcBorders>
              <w:top w:val="nil"/>
              <w:left w:val="nil"/>
              <w:bottom w:val="nil"/>
              <w:right w:val="nil"/>
            </w:tcBorders>
            <w:shd w:val="clear" w:color="auto" w:fill="auto"/>
          </w:tcPr>
          <w:p w14:paraId="752F1175" w14:textId="77777777" w:rsidR="00F83064" w:rsidRPr="003606C6" w:rsidRDefault="00F83064" w:rsidP="00EE273D">
            <w:pPr>
              <w:rPr>
                <w:rFonts w:ascii="Arial" w:hAnsi="Arial"/>
                <w:b/>
                <w:bCs/>
                <w:rtl/>
              </w:rPr>
            </w:pPr>
          </w:p>
        </w:tc>
        <w:tc>
          <w:tcPr>
            <w:tcW w:w="4126" w:type="dxa"/>
            <w:tcBorders>
              <w:top w:val="nil"/>
              <w:left w:val="nil"/>
              <w:bottom w:val="nil"/>
              <w:right w:val="nil"/>
            </w:tcBorders>
            <w:shd w:val="clear" w:color="auto" w:fill="auto"/>
          </w:tcPr>
          <w:p w14:paraId="29BDACB7" w14:textId="77777777" w:rsidR="00F83064" w:rsidRPr="003606C6" w:rsidRDefault="00F83064" w:rsidP="00EE273D">
            <w:pPr>
              <w:rPr>
                <w:b/>
                <w:bCs/>
                <w:rtl/>
              </w:rPr>
            </w:pPr>
            <w:r w:rsidRPr="003606C6">
              <w:rPr>
                <w:rFonts w:ascii="Arial" w:hAnsi="Arial"/>
                <w:b/>
                <w:bCs/>
                <w:rtl/>
              </w:rPr>
              <w:t xml:space="preserve">אבירן בן חמו </w:t>
            </w:r>
          </w:p>
        </w:tc>
        <w:tc>
          <w:tcPr>
            <w:tcW w:w="3771" w:type="dxa"/>
            <w:tcBorders>
              <w:top w:val="nil"/>
              <w:left w:val="nil"/>
              <w:bottom w:val="nil"/>
              <w:right w:val="nil"/>
            </w:tcBorders>
            <w:shd w:val="clear" w:color="auto" w:fill="auto"/>
          </w:tcPr>
          <w:p w14:paraId="6C97C204" w14:textId="77777777" w:rsidR="00F83064" w:rsidRPr="003606C6" w:rsidRDefault="00F83064" w:rsidP="00F83064">
            <w:pPr>
              <w:jc w:val="right"/>
              <w:rPr>
                <w:rFonts w:ascii="Arial" w:hAnsi="Arial"/>
                <w:b/>
                <w:bCs/>
              </w:rPr>
            </w:pPr>
          </w:p>
        </w:tc>
      </w:tr>
      <w:tr w:rsidR="00F83064" w:rsidRPr="003606C6" w14:paraId="23506784" w14:textId="77777777" w:rsidTr="00F83064">
        <w:trPr>
          <w:trHeight w:val="355"/>
          <w:jc w:val="center"/>
        </w:trPr>
        <w:tc>
          <w:tcPr>
            <w:tcW w:w="923" w:type="dxa"/>
            <w:tcBorders>
              <w:top w:val="nil"/>
              <w:left w:val="nil"/>
              <w:bottom w:val="nil"/>
              <w:right w:val="nil"/>
            </w:tcBorders>
            <w:shd w:val="clear" w:color="auto" w:fill="auto"/>
          </w:tcPr>
          <w:p w14:paraId="7F8701D7" w14:textId="77777777" w:rsidR="00F83064" w:rsidRPr="003606C6" w:rsidRDefault="00F83064" w:rsidP="00F83064">
            <w:pPr>
              <w:jc w:val="both"/>
              <w:rPr>
                <w:rFonts w:ascii="Arial" w:hAnsi="Arial"/>
                <w:b/>
                <w:bCs/>
                <w:rtl/>
              </w:rPr>
            </w:pPr>
          </w:p>
        </w:tc>
        <w:tc>
          <w:tcPr>
            <w:tcW w:w="4126" w:type="dxa"/>
            <w:tcBorders>
              <w:top w:val="nil"/>
              <w:left w:val="nil"/>
              <w:bottom w:val="nil"/>
              <w:right w:val="nil"/>
            </w:tcBorders>
            <w:shd w:val="clear" w:color="auto" w:fill="auto"/>
          </w:tcPr>
          <w:p w14:paraId="795E9621" w14:textId="77777777" w:rsidR="00F83064" w:rsidRPr="003606C6" w:rsidRDefault="00F83064" w:rsidP="00F83064">
            <w:pPr>
              <w:jc w:val="both"/>
              <w:rPr>
                <w:b/>
                <w:bCs/>
                <w:rtl/>
              </w:rPr>
            </w:pPr>
          </w:p>
        </w:tc>
        <w:tc>
          <w:tcPr>
            <w:tcW w:w="3771" w:type="dxa"/>
            <w:tcBorders>
              <w:top w:val="nil"/>
              <w:left w:val="nil"/>
              <w:bottom w:val="nil"/>
              <w:right w:val="nil"/>
            </w:tcBorders>
            <w:shd w:val="clear" w:color="auto" w:fill="auto"/>
          </w:tcPr>
          <w:p w14:paraId="3CB26819" w14:textId="77777777" w:rsidR="00F83064" w:rsidRPr="003606C6" w:rsidRDefault="00F83064" w:rsidP="00F83064">
            <w:pPr>
              <w:jc w:val="right"/>
              <w:rPr>
                <w:rFonts w:ascii="Arial" w:hAnsi="Arial"/>
                <w:b/>
                <w:bCs/>
              </w:rPr>
            </w:pPr>
            <w:r w:rsidRPr="003606C6">
              <w:rPr>
                <w:rFonts w:ascii="Arial" w:hAnsi="Arial" w:hint="cs"/>
                <w:b/>
                <w:bCs/>
                <w:rtl/>
              </w:rPr>
              <w:t>ה</w:t>
            </w:r>
            <w:r w:rsidRPr="003606C6">
              <w:rPr>
                <w:rFonts w:ascii="Arial" w:hAnsi="Arial"/>
                <w:b/>
                <w:bCs/>
                <w:rtl/>
              </w:rPr>
              <w:t>נאש</w:t>
            </w:r>
            <w:r w:rsidRPr="003606C6">
              <w:rPr>
                <w:rFonts w:ascii="Arial" w:hAnsi="Arial" w:hint="cs"/>
                <w:b/>
                <w:bCs/>
                <w:rtl/>
              </w:rPr>
              <w:t>ם</w:t>
            </w:r>
          </w:p>
        </w:tc>
      </w:tr>
    </w:tbl>
    <w:p w14:paraId="5EA00406" w14:textId="77777777" w:rsidR="008314B0" w:rsidRDefault="008314B0" w:rsidP="00F83064">
      <w:pPr>
        <w:rPr>
          <w:rtl/>
        </w:rPr>
      </w:pPr>
      <w:bookmarkStart w:id="2" w:name="LawTable"/>
      <w:bookmarkEnd w:id="2"/>
    </w:p>
    <w:p w14:paraId="3BC7488D" w14:textId="77777777" w:rsidR="008314B0" w:rsidRPr="008314B0" w:rsidRDefault="008314B0" w:rsidP="008314B0">
      <w:pPr>
        <w:spacing w:after="120" w:line="240" w:lineRule="exact"/>
        <w:ind w:left="283" w:hanging="283"/>
        <w:jc w:val="both"/>
        <w:rPr>
          <w:rFonts w:ascii="FrankRuehl" w:hAnsi="FrankRuehl" w:cs="FrankRuehl"/>
          <w:rtl/>
        </w:rPr>
      </w:pPr>
    </w:p>
    <w:p w14:paraId="6737120D" w14:textId="77777777" w:rsidR="008314B0" w:rsidRPr="008314B0" w:rsidRDefault="008314B0" w:rsidP="008314B0">
      <w:pPr>
        <w:spacing w:after="120" w:line="240" w:lineRule="exact"/>
        <w:ind w:left="283" w:hanging="283"/>
        <w:jc w:val="both"/>
        <w:rPr>
          <w:rFonts w:ascii="FrankRuehl" w:hAnsi="FrankRuehl" w:cs="FrankRuehl"/>
          <w:rtl/>
        </w:rPr>
      </w:pPr>
      <w:r w:rsidRPr="008314B0">
        <w:rPr>
          <w:rFonts w:ascii="FrankRuehl" w:hAnsi="FrankRuehl" w:cs="FrankRuehl"/>
          <w:rtl/>
        </w:rPr>
        <w:t xml:space="preserve">חקיקה שאוזכרה: </w:t>
      </w:r>
    </w:p>
    <w:p w14:paraId="46BC6BD7" w14:textId="77777777" w:rsidR="008314B0" w:rsidRPr="008314B0" w:rsidRDefault="008314B0" w:rsidP="008314B0">
      <w:pPr>
        <w:spacing w:after="120" w:line="240" w:lineRule="exact"/>
        <w:ind w:left="283" w:hanging="283"/>
        <w:jc w:val="both"/>
        <w:rPr>
          <w:rFonts w:ascii="FrankRuehl" w:hAnsi="FrankRuehl" w:cs="FrankRuehl"/>
          <w:rtl/>
        </w:rPr>
      </w:pPr>
      <w:hyperlink r:id="rId6" w:history="1">
        <w:r w:rsidRPr="008314B0">
          <w:rPr>
            <w:rFonts w:ascii="FrankRuehl" w:hAnsi="FrankRuehl" w:cs="FrankRuehl"/>
            <w:color w:val="0000FF"/>
            <w:u w:val="single"/>
            <w:rtl/>
          </w:rPr>
          <w:t>פקודת הסמים המסוכנים [נוסח חדש], תשל"ג-1973</w:t>
        </w:r>
      </w:hyperlink>
      <w:r w:rsidRPr="008314B0">
        <w:rPr>
          <w:rFonts w:ascii="FrankRuehl" w:hAnsi="FrankRuehl" w:cs="FrankRuehl"/>
          <w:rtl/>
        </w:rPr>
        <w:t xml:space="preserve">: סע'  </w:t>
      </w:r>
      <w:hyperlink r:id="rId7" w:history="1">
        <w:r w:rsidRPr="008314B0">
          <w:rPr>
            <w:rFonts w:ascii="FrankRuehl" w:hAnsi="FrankRuehl" w:cs="FrankRuehl"/>
            <w:color w:val="0000FF"/>
            <w:u w:val="single"/>
            <w:rtl/>
          </w:rPr>
          <w:t>7.א.</w:t>
        </w:r>
      </w:hyperlink>
      <w:r w:rsidRPr="008314B0">
        <w:rPr>
          <w:rFonts w:ascii="FrankRuehl" w:hAnsi="FrankRuehl" w:cs="FrankRuehl"/>
          <w:rtl/>
        </w:rPr>
        <w:t xml:space="preserve">, </w:t>
      </w:r>
      <w:hyperlink r:id="rId8" w:history="1">
        <w:r w:rsidRPr="008314B0">
          <w:rPr>
            <w:rFonts w:ascii="FrankRuehl" w:hAnsi="FrankRuehl" w:cs="FrankRuehl"/>
            <w:color w:val="0000FF"/>
            <w:u w:val="single"/>
            <w:rtl/>
          </w:rPr>
          <w:t>7.ג</w:t>
        </w:r>
      </w:hyperlink>
    </w:p>
    <w:p w14:paraId="4581FF41" w14:textId="77777777" w:rsidR="008314B0" w:rsidRPr="008314B0" w:rsidRDefault="008314B0" w:rsidP="008314B0">
      <w:pPr>
        <w:spacing w:after="120" w:line="240" w:lineRule="exact"/>
        <w:ind w:left="283" w:hanging="283"/>
        <w:jc w:val="both"/>
        <w:rPr>
          <w:rFonts w:ascii="FrankRuehl" w:hAnsi="FrankRuehl" w:cs="FrankRuehl"/>
          <w:rtl/>
        </w:rPr>
      </w:pPr>
      <w:hyperlink r:id="rId9" w:history="1">
        <w:r w:rsidRPr="008314B0">
          <w:rPr>
            <w:rFonts w:ascii="FrankRuehl" w:hAnsi="FrankRuehl" w:cs="FrankRuehl"/>
            <w:color w:val="0000FF"/>
            <w:u w:val="single"/>
            <w:rtl/>
          </w:rPr>
          <w:t>חוק העונשין, תשל"ז-1977</w:t>
        </w:r>
      </w:hyperlink>
      <w:r w:rsidRPr="008314B0">
        <w:rPr>
          <w:rFonts w:ascii="FrankRuehl" w:hAnsi="FrankRuehl" w:cs="FrankRuehl"/>
          <w:rtl/>
        </w:rPr>
        <w:t xml:space="preserve">: סע'  </w:t>
      </w:r>
      <w:hyperlink r:id="rId10" w:history="1">
        <w:r w:rsidRPr="008314B0">
          <w:rPr>
            <w:rFonts w:ascii="FrankRuehl" w:hAnsi="FrankRuehl" w:cs="FrankRuehl"/>
            <w:color w:val="0000FF"/>
            <w:u w:val="single"/>
            <w:rtl/>
          </w:rPr>
          <w:t>40ג'</w:t>
        </w:r>
      </w:hyperlink>
      <w:r w:rsidRPr="008314B0">
        <w:rPr>
          <w:rFonts w:ascii="FrankRuehl" w:hAnsi="FrankRuehl" w:cs="FrankRuehl"/>
          <w:rtl/>
        </w:rPr>
        <w:t xml:space="preserve">, </w:t>
      </w:r>
      <w:hyperlink r:id="rId11" w:history="1">
        <w:r w:rsidRPr="008314B0">
          <w:rPr>
            <w:rFonts w:ascii="FrankRuehl" w:hAnsi="FrankRuehl" w:cs="FrankRuehl"/>
            <w:color w:val="0000FF"/>
            <w:u w:val="single"/>
            <w:rtl/>
          </w:rPr>
          <w:t>45(ב)</w:t>
        </w:r>
      </w:hyperlink>
      <w:r w:rsidRPr="008314B0">
        <w:rPr>
          <w:rFonts w:ascii="FrankRuehl" w:hAnsi="FrankRuehl" w:cs="FrankRuehl"/>
          <w:rtl/>
        </w:rPr>
        <w:t xml:space="preserve">, </w:t>
      </w:r>
      <w:hyperlink r:id="rId12" w:history="1">
        <w:r w:rsidRPr="008314B0">
          <w:rPr>
            <w:rFonts w:ascii="FrankRuehl" w:hAnsi="FrankRuehl" w:cs="FrankRuehl"/>
            <w:color w:val="0000FF"/>
            <w:u w:val="single"/>
            <w:rtl/>
          </w:rPr>
          <w:t>40יג'(א)</w:t>
        </w:r>
      </w:hyperlink>
      <w:r w:rsidRPr="008314B0">
        <w:rPr>
          <w:rFonts w:ascii="FrankRuehl" w:hAnsi="FrankRuehl" w:cs="FrankRuehl"/>
          <w:rtl/>
        </w:rPr>
        <w:t xml:space="preserve">, </w:t>
      </w:r>
      <w:hyperlink r:id="rId13" w:history="1">
        <w:r w:rsidRPr="008314B0">
          <w:rPr>
            <w:rFonts w:ascii="FrankRuehl" w:hAnsi="FrankRuehl" w:cs="FrankRuehl"/>
            <w:color w:val="0000FF"/>
            <w:u w:val="single"/>
            <w:rtl/>
          </w:rPr>
          <w:t>40יג(ב)</w:t>
        </w:r>
      </w:hyperlink>
    </w:p>
    <w:p w14:paraId="272A4CE3" w14:textId="77777777" w:rsidR="008314B0" w:rsidRPr="008314B0" w:rsidRDefault="008314B0" w:rsidP="008314B0">
      <w:pPr>
        <w:spacing w:after="120" w:line="240" w:lineRule="exact"/>
        <w:ind w:left="283" w:hanging="283"/>
        <w:jc w:val="both"/>
        <w:rPr>
          <w:rFonts w:ascii="FrankRuehl" w:hAnsi="FrankRuehl" w:cs="FrankRuehl"/>
          <w:rtl/>
        </w:rPr>
      </w:pPr>
      <w:hyperlink r:id="rId14" w:history="1">
        <w:r w:rsidRPr="008314B0">
          <w:rPr>
            <w:rFonts w:ascii="FrankRuehl" w:hAnsi="FrankRuehl" w:cs="FrankRuehl"/>
            <w:color w:val="0000FF"/>
            <w:u w:val="single"/>
            <w:rtl/>
          </w:rPr>
          <w:t>פקודת התעבורה [נוסח חדש]</w:t>
        </w:r>
      </w:hyperlink>
      <w:r w:rsidRPr="008314B0">
        <w:rPr>
          <w:rFonts w:ascii="FrankRuehl" w:hAnsi="FrankRuehl" w:cs="FrankRuehl"/>
          <w:rtl/>
        </w:rPr>
        <w:t xml:space="preserve">: סע'  </w:t>
      </w:r>
      <w:hyperlink r:id="rId15" w:history="1">
        <w:r w:rsidRPr="008314B0">
          <w:rPr>
            <w:rFonts w:ascii="FrankRuehl" w:hAnsi="FrankRuehl" w:cs="FrankRuehl"/>
            <w:color w:val="0000FF"/>
            <w:u w:val="single"/>
            <w:rtl/>
          </w:rPr>
          <w:t>42(ב)</w:t>
        </w:r>
      </w:hyperlink>
    </w:p>
    <w:p w14:paraId="1CD46600" w14:textId="77777777" w:rsidR="008314B0" w:rsidRPr="008314B0" w:rsidRDefault="008314B0" w:rsidP="008314B0">
      <w:pPr>
        <w:spacing w:after="120" w:line="240" w:lineRule="exact"/>
        <w:ind w:left="283" w:hanging="283"/>
        <w:jc w:val="both"/>
        <w:rPr>
          <w:rFonts w:ascii="FrankRuehl" w:hAnsi="FrankRuehl" w:cs="FrankRuehl"/>
          <w:rtl/>
        </w:rPr>
      </w:pPr>
    </w:p>
    <w:p w14:paraId="1B59D70F" w14:textId="77777777" w:rsidR="008314B0" w:rsidRPr="008314B0" w:rsidRDefault="008314B0" w:rsidP="00F83064">
      <w:pPr>
        <w:rPr>
          <w:rtl/>
        </w:rPr>
      </w:pPr>
      <w:bookmarkStart w:id="3" w:name="LawTable_End"/>
      <w:bookmarkEnd w:id="3"/>
    </w:p>
    <w:p w14:paraId="609C11BF" w14:textId="77777777" w:rsidR="00134A08" w:rsidRPr="00134A08" w:rsidRDefault="00134A08" w:rsidP="00F83064">
      <w:pPr>
        <w:rPr>
          <w:rtl/>
        </w:rPr>
      </w:pPr>
    </w:p>
    <w:p w14:paraId="5E61A82C" w14:textId="77777777" w:rsidR="003606C6" w:rsidRPr="003606C6" w:rsidRDefault="003606C6" w:rsidP="00F83064">
      <w:pPr>
        <w:rPr>
          <w:rtl/>
        </w:rPr>
      </w:pPr>
    </w:p>
    <w:p w14:paraId="637D8D61" w14:textId="77777777" w:rsidR="003606C6" w:rsidRPr="003606C6" w:rsidRDefault="003606C6" w:rsidP="00F830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3064" w14:paraId="788439A4" w14:textId="77777777" w:rsidTr="00F83064">
        <w:trPr>
          <w:trHeight w:val="355"/>
          <w:jc w:val="center"/>
        </w:trPr>
        <w:tc>
          <w:tcPr>
            <w:tcW w:w="8820" w:type="dxa"/>
            <w:tcBorders>
              <w:top w:val="nil"/>
              <w:left w:val="nil"/>
              <w:bottom w:val="nil"/>
              <w:right w:val="nil"/>
            </w:tcBorders>
            <w:shd w:val="clear" w:color="auto" w:fill="auto"/>
          </w:tcPr>
          <w:p w14:paraId="62A5A391" w14:textId="77777777" w:rsidR="003606C6" w:rsidRPr="003606C6" w:rsidRDefault="003606C6" w:rsidP="003606C6">
            <w:pPr>
              <w:jc w:val="center"/>
              <w:rPr>
                <w:rFonts w:ascii="Arial" w:hAnsi="Arial" w:cs="FrankRuehl"/>
                <w:b/>
                <w:bCs/>
                <w:sz w:val="32"/>
                <w:szCs w:val="32"/>
                <w:u w:val="single"/>
                <w:rtl/>
              </w:rPr>
            </w:pPr>
            <w:bookmarkStart w:id="4" w:name="PsakDin" w:colFirst="0" w:colLast="0"/>
            <w:bookmarkEnd w:id="0"/>
            <w:r w:rsidRPr="003606C6">
              <w:rPr>
                <w:rFonts w:ascii="Arial" w:hAnsi="Arial" w:cs="FrankRuehl"/>
                <w:b/>
                <w:bCs/>
                <w:sz w:val="32"/>
                <w:szCs w:val="32"/>
                <w:u w:val="single"/>
                <w:rtl/>
              </w:rPr>
              <w:t>גזר דין</w:t>
            </w:r>
          </w:p>
          <w:p w14:paraId="0780F002" w14:textId="77777777" w:rsidR="00F83064" w:rsidRPr="003606C6" w:rsidRDefault="00F83064" w:rsidP="003606C6">
            <w:pPr>
              <w:jc w:val="center"/>
              <w:rPr>
                <w:rFonts w:ascii="Arial" w:hAnsi="Arial" w:cs="FrankRuehl"/>
                <w:bCs/>
                <w:sz w:val="32"/>
                <w:szCs w:val="32"/>
                <w:u w:val="single"/>
                <w:rtl/>
              </w:rPr>
            </w:pPr>
          </w:p>
        </w:tc>
      </w:tr>
      <w:bookmarkEnd w:id="4"/>
    </w:tbl>
    <w:p w14:paraId="03A43C45" w14:textId="77777777" w:rsidR="00F83064" w:rsidRPr="00B05847" w:rsidRDefault="00F83064" w:rsidP="00F83064">
      <w:pPr>
        <w:rPr>
          <w:rFonts w:ascii="Arial" w:hAnsi="Arial"/>
          <w:rtl/>
        </w:rPr>
      </w:pPr>
    </w:p>
    <w:p w14:paraId="4EA8E7ED" w14:textId="77777777" w:rsidR="00F83064" w:rsidRDefault="00F83064" w:rsidP="00F83064">
      <w:pPr>
        <w:spacing w:line="360" w:lineRule="auto"/>
        <w:jc w:val="both"/>
        <w:rPr>
          <w:rFonts w:ascii="Arial" w:hAnsi="Arial"/>
          <w:b/>
          <w:bCs/>
          <w:u w:val="single"/>
          <w:rtl/>
        </w:rPr>
      </w:pPr>
    </w:p>
    <w:p w14:paraId="40D6462A" w14:textId="77777777" w:rsidR="00F83064" w:rsidRDefault="00F83064" w:rsidP="00F83064">
      <w:pPr>
        <w:spacing w:line="360" w:lineRule="auto"/>
        <w:jc w:val="both"/>
        <w:rPr>
          <w:rFonts w:ascii="Arial" w:hAnsi="Arial"/>
          <w:b/>
          <w:bCs/>
          <w:u w:val="single"/>
          <w:rtl/>
        </w:rPr>
      </w:pPr>
      <w:r>
        <w:rPr>
          <w:rFonts w:ascii="Arial" w:hAnsi="Arial" w:hint="cs"/>
          <w:b/>
          <w:bCs/>
          <w:u w:val="single"/>
          <w:rtl/>
        </w:rPr>
        <w:t>כתב האישום וההליכים</w:t>
      </w:r>
    </w:p>
    <w:p w14:paraId="774E95A4" w14:textId="77777777" w:rsidR="00F83064" w:rsidRDefault="00F83064" w:rsidP="00F83064">
      <w:pPr>
        <w:spacing w:line="360" w:lineRule="auto"/>
        <w:jc w:val="both"/>
        <w:rPr>
          <w:rFonts w:ascii="Arial" w:hAnsi="Arial"/>
          <w:b/>
          <w:bCs/>
          <w:u w:val="single"/>
          <w:rtl/>
        </w:rPr>
      </w:pPr>
    </w:p>
    <w:p w14:paraId="1CCFB35C" w14:textId="77777777" w:rsidR="00F83064" w:rsidRPr="009612DD" w:rsidRDefault="00F83064" w:rsidP="00F83064">
      <w:pPr>
        <w:spacing w:line="360" w:lineRule="auto"/>
        <w:jc w:val="both"/>
        <w:rPr>
          <w:rFonts w:ascii="Arial" w:hAnsi="Arial"/>
          <w:rtl/>
        </w:rPr>
      </w:pPr>
      <w:r>
        <w:rPr>
          <w:rFonts w:ascii="Arial" w:hAnsi="Arial" w:hint="cs"/>
          <w:rtl/>
        </w:rPr>
        <w:t xml:space="preserve">1. </w:t>
      </w:r>
      <w:bookmarkStart w:id="5" w:name="ABSTRACT_START"/>
      <w:bookmarkEnd w:id="5"/>
      <w:r>
        <w:rPr>
          <w:rFonts w:ascii="Arial" w:hAnsi="Arial"/>
          <w:rtl/>
        </w:rPr>
        <w:tab/>
      </w:r>
      <w:r>
        <w:rPr>
          <w:rFonts w:ascii="Arial" w:hAnsi="Arial" w:hint="cs"/>
          <w:rtl/>
        </w:rPr>
        <w:t xml:space="preserve">הנאשם הורשע, על פי הודאתו, בעבירות של החזקת סם מסוכן שלא לצריכה עצמית, לפי </w:t>
      </w:r>
      <w:hyperlink r:id="rId16" w:history="1">
        <w:r w:rsidR="00134A08" w:rsidRPr="00134A08">
          <w:rPr>
            <w:rFonts w:ascii="Arial" w:hAnsi="Arial"/>
            <w:color w:val="0000FF"/>
            <w:u w:val="single"/>
            <w:rtl/>
          </w:rPr>
          <w:t>סעיף 7(א)+(ג)</w:t>
        </w:r>
      </w:hyperlink>
      <w:r>
        <w:rPr>
          <w:rFonts w:ascii="Arial" w:hAnsi="Arial" w:hint="cs"/>
          <w:rtl/>
        </w:rPr>
        <w:t xml:space="preserve"> </w:t>
      </w:r>
      <w:hyperlink r:id="rId17" w:history="1">
        <w:r w:rsidR="00134A08" w:rsidRPr="00134A08">
          <w:rPr>
            <w:rFonts w:ascii="Arial" w:hAnsi="Arial"/>
            <w:color w:val="0000FF"/>
            <w:u w:val="single"/>
            <w:rtl/>
          </w:rPr>
          <w:t>רישא לפקודת הסמים [נוסח חדש], תשל"ג- 1973 (להלן – פקודת הסמים</w:t>
        </w:r>
      </w:hyperlink>
      <w:r>
        <w:rPr>
          <w:rFonts w:ascii="Arial" w:hAnsi="Arial" w:hint="cs"/>
          <w:rtl/>
        </w:rPr>
        <w:t>) וכן החזקת כלים,  לפי סעיף 10 רישא לפקודת הסמים. על פי עובדות כתב האישום, בתאריך 8.2.17 החזיק הנאשם בתוך ארון מחוץ לדלת הדירה בה התגורר עם בני משפחתו, סם מסוכן מסוג קוקאין במשקל כולל של 27.98 גרם נטו, כשחלק מהכמות מחולק ל-21 אריזות (להלן-</w:t>
      </w:r>
      <w:r>
        <w:rPr>
          <w:rFonts w:ascii="Arial" w:hAnsi="Arial" w:cs="Miriam" w:hint="cs"/>
          <w:rtl/>
        </w:rPr>
        <w:t>התיק העיקרי</w:t>
      </w:r>
      <w:r>
        <w:rPr>
          <w:rFonts w:ascii="Arial" w:hAnsi="Arial" w:hint="cs"/>
          <w:rtl/>
        </w:rPr>
        <w:t>).</w:t>
      </w:r>
    </w:p>
    <w:p w14:paraId="672090C9" w14:textId="77777777" w:rsidR="00F83064" w:rsidRDefault="00F83064" w:rsidP="00F83064">
      <w:pPr>
        <w:spacing w:line="360" w:lineRule="auto"/>
        <w:jc w:val="both"/>
        <w:rPr>
          <w:rFonts w:ascii="Arial" w:hAnsi="Arial"/>
          <w:rtl/>
        </w:rPr>
      </w:pPr>
    </w:p>
    <w:p w14:paraId="675F49FB" w14:textId="77777777" w:rsidR="00F83064" w:rsidRDefault="00F83064" w:rsidP="00F83064">
      <w:pPr>
        <w:spacing w:line="360" w:lineRule="auto"/>
        <w:jc w:val="both"/>
        <w:rPr>
          <w:rFonts w:ascii="Arial" w:hAnsi="Arial"/>
          <w:rtl/>
        </w:rPr>
      </w:pPr>
      <w:bookmarkStart w:id="6" w:name="ABSTRACT_END"/>
      <w:bookmarkEnd w:id="6"/>
      <w:r>
        <w:rPr>
          <w:rFonts w:ascii="Arial" w:hAnsi="Arial"/>
          <w:rtl/>
        </w:rPr>
        <w:tab/>
      </w:r>
      <w:r>
        <w:rPr>
          <w:rFonts w:ascii="Arial" w:hAnsi="Arial" w:hint="cs"/>
          <w:rtl/>
        </w:rPr>
        <w:t xml:space="preserve">הנאשם צירף תיק נוסף (פל"א 412302/2016) שעניינו החזקת סם מסוכן מסוג קוקאין במשקל כולל של 3.1982 גרם נטו, המחולק ל-4 אריזות, וזאת שלא לצריכתו העצמית (להלן- </w:t>
      </w:r>
      <w:r>
        <w:rPr>
          <w:rFonts w:ascii="Arial" w:hAnsi="Arial" w:cs="Miriam" w:hint="cs"/>
          <w:rtl/>
        </w:rPr>
        <w:t xml:space="preserve">התיק </w:t>
      </w:r>
      <w:r>
        <w:rPr>
          <w:rFonts w:ascii="Arial" w:hAnsi="Arial" w:cs="Miriam" w:hint="cs"/>
          <w:rtl/>
        </w:rPr>
        <w:lastRenderedPageBreak/>
        <w:t>המצורף</w:t>
      </w:r>
      <w:r>
        <w:rPr>
          <w:rFonts w:ascii="Arial" w:hAnsi="Arial" w:hint="cs"/>
          <w:rtl/>
        </w:rPr>
        <w:t xml:space="preserve">). בשל התיק המצורף, הורשע הנאשם בעבירה של החזקת סם מסוכן שלא לצריכתו העצמית, לפי </w:t>
      </w:r>
      <w:hyperlink r:id="rId18" w:history="1">
        <w:r w:rsidR="00134A08" w:rsidRPr="00134A08">
          <w:rPr>
            <w:rFonts w:ascii="Arial" w:hAnsi="Arial"/>
            <w:color w:val="0000FF"/>
            <w:u w:val="single"/>
            <w:rtl/>
          </w:rPr>
          <w:t>סעיף 7(א)+(ג)</w:t>
        </w:r>
      </w:hyperlink>
      <w:r>
        <w:rPr>
          <w:rFonts w:ascii="Arial" w:hAnsi="Arial" w:hint="cs"/>
          <w:rtl/>
        </w:rPr>
        <w:t xml:space="preserve"> לפקודת הסמים.</w:t>
      </w:r>
    </w:p>
    <w:p w14:paraId="4DA60FA7" w14:textId="77777777" w:rsidR="00F83064" w:rsidRDefault="00F83064" w:rsidP="00F83064">
      <w:pPr>
        <w:spacing w:line="360" w:lineRule="auto"/>
        <w:jc w:val="both"/>
        <w:rPr>
          <w:rFonts w:ascii="Arial" w:hAnsi="Arial"/>
          <w:rtl/>
        </w:rPr>
      </w:pPr>
    </w:p>
    <w:p w14:paraId="76B361F7" w14:textId="77777777" w:rsidR="00F83064" w:rsidRDefault="00F83064" w:rsidP="00F83064">
      <w:pPr>
        <w:spacing w:line="360" w:lineRule="auto"/>
        <w:jc w:val="both"/>
        <w:rPr>
          <w:rFonts w:ascii="Arial" w:hAnsi="Arial"/>
          <w:rtl/>
        </w:rPr>
      </w:pPr>
      <w:r>
        <w:rPr>
          <w:rFonts w:ascii="Arial" w:hAnsi="Arial" w:hint="cs"/>
          <w:rtl/>
        </w:rPr>
        <w:t xml:space="preserve">2. </w:t>
      </w:r>
      <w:r>
        <w:rPr>
          <w:rFonts w:ascii="Arial" w:hAnsi="Arial"/>
          <w:rtl/>
        </w:rPr>
        <w:tab/>
      </w:r>
      <w:r>
        <w:rPr>
          <w:rFonts w:ascii="Arial" w:hAnsi="Arial" w:hint="cs"/>
          <w:rtl/>
        </w:rPr>
        <w:t>להשלמת התמונה יצוין כי בתחילה כפר הנאשם בתיק העיקרי, אך טרם תחילת שמיעת הראיות, חזר בו מכפירתו והודה בעובדות כתב האישום ואף ביקש, כאמור, לצרף תיק נוסף. עוד אציין כי בין לבין, הוגש נגד הנאשם כתב אישום נוסף וביום 15.5.18 הוא הורשע בו במסגרת הסדר טיעון ונידון לשנת מאסר.</w:t>
      </w:r>
    </w:p>
    <w:p w14:paraId="5AC23AF0" w14:textId="77777777" w:rsidR="00F83064" w:rsidRDefault="00F83064" w:rsidP="00F83064">
      <w:pPr>
        <w:spacing w:line="360" w:lineRule="auto"/>
        <w:jc w:val="both"/>
        <w:rPr>
          <w:rFonts w:ascii="Arial" w:hAnsi="Arial"/>
          <w:rtl/>
        </w:rPr>
      </w:pPr>
      <w:r>
        <w:rPr>
          <w:rFonts w:ascii="Arial" w:hAnsi="Arial" w:hint="cs"/>
          <w:rtl/>
        </w:rPr>
        <w:t xml:space="preserve"> </w:t>
      </w:r>
    </w:p>
    <w:p w14:paraId="685BECEA" w14:textId="77777777" w:rsidR="00F83064" w:rsidRDefault="00F83064" w:rsidP="00F83064">
      <w:pPr>
        <w:spacing w:line="360" w:lineRule="auto"/>
        <w:jc w:val="both"/>
        <w:rPr>
          <w:rFonts w:ascii="Arial" w:hAnsi="Arial"/>
          <w:b/>
          <w:bCs/>
          <w:u w:val="single"/>
          <w:rtl/>
        </w:rPr>
      </w:pPr>
    </w:p>
    <w:p w14:paraId="299CC425" w14:textId="77777777" w:rsidR="00F83064" w:rsidRDefault="00F83064" w:rsidP="00F83064">
      <w:pPr>
        <w:spacing w:line="360" w:lineRule="auto"/>
        <w:jc w:val="both"/>
        <w:rPr>
          <w:rFonts w:ascii="Arial" w:hAnsi="Arial"/>
          <w:b/>
          <w:bCs/>
          <w:u w:val="single"/>
          <w:rtl/>
        </w:rPr>
      </w:pPr>
    </w:p>
    <w:p w14:paraId="7E1D91EF" w14:textId="77777777" w:rsidR="00F83064" w:rsidRDefault="00F83064" w:rsidP="00F83064">
      <w:pPr>
        <w:spacing w:line="360" w:lineRule="auto"/>
        <w:jc w:val="both"/>
        <w:rPr>
          <w:rFonts w:ascii="Arial" w:hAnsi="Arial"/>
          <w:b/>
          <w:bCs/>
          <w:u w:val="single"/>
          <w:rtl/>
        </w:rPr>
      </w:pPr>
    </w:p>
    <w:p w14:paraId="4F747D80" w14:textId="77777777" w:rsidR="00F83064" w:rsidRDefault="00F83064" w:rsidP="00F83064">
      <w:pPr>
        <w:spacing w:line="360" w:lineRule="auto"/>
        <w:jc w:val="both"/>
        <w:rPr>
          <w:rFonts w:ascii="Arial" w:hAnsi="Arial"/>
          <w:b/>
          <w:bCs/>
          <w:u w:val="single"/>
          <w:rtl/>
        </w:rPr>
      </w:pPr>
      <w:r>
        <w:rPr>
          <w:rFonts w:ascii="Arial" w:hAnsi="Arial" w:hint="cs"/>
          <w:b/>
          <w:bCs/>
          <w:u w:val="single"/>
          <w:rtl/>
        </w:rPr>
        <w:t>טיעוני הצדדים לעונש</w:t>
      </w:r>
    </w:p>
    <w:p w14:paraId="42FF851F" w14:textId="77777777" w:rsidR="00F83064" w:rsidRDefault="00F83064" w:rsidP="00F83064">
      <w:pPr>
        <w:spacing w:line="360" w:lineRule="auto"/>
        <w:jc w:val="both"/>
        <w:rPr>
          <w:rFonts w:ascii="Arial" w:hAnsi="Arial"/>
          <w:b/>
          <w:bCs/>
          <w:u w:val="single"/>
          <w:rtl/>
        </w:rPr>
      </w:pPr>
    </w:p>
    <w:p w14:paraId="5FA2C622" w14:textId="77777777" w:rsidR="00F83064" w:rsidRDefault="00F83064" w:rsidP="00F83064">
      <w:pPr>
        <w:spacing w:line="360" w:lineRule="auto"/>
        <w:jc w:val="both"/>
        <w:rPr>
          <w:rFonts w:ascii="Arial" w:hAnsi="Arial"/>
          <w:rtl/>
        </w:rPr>
      </w:pPr>
      <w:r>
        <w:rPr>
          <w:rFonts w:ascii="Arial" w:hAnsi="Arial" w:hint="cs"/>
          <w:rtl/>
        </w:rPr>
        <w:t xml:space="preserve">3. </w:t>
      </w:r>
      <w:r>
        <w:rPr>
          <w:rFonts w:ascii="Arial" w:hAnsi="Arial"/>
          <w:rtl/>
        </w:rPr>
        <w:tab/>
      </w:r>
      <w:r>
        <w:rPr>
          <w:rFonts w:hint="cs"/>
          <w:rtl/>
        </w:rPr>
        <w:t>ב"כ המאשימה הפנה לעובדות כתב האישום וציין כי הערך המוגן שנפגע בשל מעשי הנאשם הוא שמירה על בטחון הציבור מפני נגעי הסמים. כן נטען</w:t>
      </w:r>
      <w:r>
        <w:rPr>
          <w:rFonts w:ascii="David" w:hAnsi="David" w:hint="cs"/>
          <w:rtl/>
        </w:rPr>
        <w:t xml:space="preserve"> כי </w:t>
      </w:r>
      <w:r w:rsidRPr="000C4C99">
        <w:rPr>
          <w:rFonts w:ascii="David" w:hAnsi="David" w:hint="eastAsia"/>
          <w:rtl/>
        </w:rPr>
        <w:t>עבירה</w:t>
      </w:r>
      <w:r w:rsidRPr="000C4C99">
        <w:rPr>
          <w:rFonts w:ascii="David" w:hAnsi="David"/>
          <w:rtl/>
        </w:rPr>
        <w:t xml:space="preserve"> </w:t>
      </w:r>
      <w:r w:rsidRPr="000C4C99">
        <w:rPr>
          <w:rFonts w:ascii="David" w:hAnsi="David" w:hint="eastAsia"/>
          <w:rtl/>
        </w:rPr>
        <w:t>זו</w:t>
      </w:r>
      <w:r w:rsidRPr="000C4C99">
        <w:rPr>
          <w:rFonts w:ascii="David" w:hAnsi="David"/>
          <w:rtl/>
        </w:rPr>
        <w:t xml:space="preserve"> </w:t>
      </w:r>
      <w:r w:rsidRPr="000C4C99">
        <w:rPr>
          <w:rFonts w:ascii="David" w:hAnsi="David" w:hint="eastAsia"/>
          <w:rtl/>
        </w:rPr>
        <w:t>מסבה</w:t>
      </w:r>
      <w:r w:rsidRPr="000C4C99">
        <w:rPr>
          <w:rFonts w:ascii="David" w:hAnsi="David"/>
          <w:rtl/>
        </w:rPr>
        <w:t xml:space="preserve"> </w:t>
      </w:r>
      <w:r w:rsidRPr="000C4C99">
        <w:rPr>
          <w:rFonts w:ascii="David" w:hAnsi="David" w:hint="eastAsia"/>
          <w:rtl/>
        </w:rPr>
        <w:t>נזקים</w:t>
      </w:r>
      <w:r w:rsidRPr="000C4C99">
        <w:rPr>
          <w:rFonts w:ascii="David" w:hAnsi="David"/>
          <w:rtl/>
        </w:rPr>
        <w:t xml:space="preserve"> </w:t>
      </w:r>
      <w:r w:rsidRPr="000C4C99">
        <w:rPr>
          <w:rFonts w:ascii="David" w:hAnsi="David" w:hint="eastAsia"/>
          <w:rtl/>
        </w:rPr>
        <w:t>חמורים</w:t>
      </w:r>
      <w:r w:rsidRPr="000C4C99">
        <w:rPr>
          <w:rFonts w:ascii="David" w:hAnsi="David"/>
          <w:rtl/>
        </w:rPr>
        <w:t xml:space="preserve"> </w:t>
      </w:r>
      <w:r>
        <w:rPr>
          <w:rFonts w:ascii="David" w:hAnsi="David" w:hint="eastAsia"/>
          <w:rtl/>
        </w:rPr>
        <w:t>לציבו</w:t>
      </w:r>
      <w:r>
        <w:rPr>
          <w:rFonts w:ascii="David" w:hAnsi="David" w:hint="cs"/>
          <w:rtl/>
        </w:rPr>
        <w:t>ר וזאת בשים לב ל</w:t>
      </w:r>
      <w:r>
        <w:rPr>
          <w:rFonts w:ascii="Arial" w:hAnsi="Arial" w:hint="cs"/>
          <w:rtl/>
        </w:rPr>
        <w:t xml:space="preserve">סוג הסם והכמויות הגדולות שהחזיק הנאשם. ב"כ המאשימה הגיש את גיליונות הרישום הפלילי והתעבורתי של הנאשם (ע/1 ו-ע2) מהם עולה כי לחובתו הרשעה אחת קודמת לאירועים מושא כתבי האישום שלפנינו, וכיום הוא נושא עונש מאסר בפועל בגין עבירה שבוצעה לאחר האירועים מושא כתבי האישום שלפנינו (גזר הדין וכתב האישום הוגשו וסומנו ע/2). </w:t>
      </w:r>
    </w:p>
    <w:p w14:paraId="0297F852" w14:textId="77777777" w:rsidR="00F83064" w:rsidRDefault="00F83064" w:rsidP="00F83064">
      <w:pPr>
        <w:spacing w:line="360" w:lineRule="auto"/>
        <w:jc w:val="both"/>
        <w:rPr>
          <w:rFonts w:ascii="Arial" w:hAnsi="Arial"/>
          <w:rtl/>
        </w:rPr>
      </w:pPr>
    </w:p>
    <w:p w14:paraId="1B1E1FD5" w14:textId="77777777" w:rsidR="00F83064" w:rsidRDefault="00F83064" w:rsidP="00F83064">
      <w:pPr>
        <w:spacing w:line="360" w:lineRule="auto"/>
        <w:ind w:firstLine="720"/>
        <w:jc w:val="both"/>
        <w:rPr>
          <w:rFonts w:ascii="Arial" w:hAnsi="Arial"/>
          <w:rtl/>
        </w:rPr>
      </w:pPr>
      <w:r>
        <w:rPr>
          <w:rFonts w:ascii="Arial" w:hAnsi="Arial" w:hint="cs"/>
          <w:rtl/>
        </w:rPr>
        <w:t>ביחס למתחם העונש ההולם נטען כי מדובר בעבירות שבוצעו בשני מועדים שונים ובהפרש של חודשים בודדים האחד מהשני ולפיכך ביקשה המאשימה לקבוע שני מתחמים נפרדים, באופן שישקף את עקרון הגמול. המאשימה טענה למתחם שנע בין 18 חודשי מאסר ועד 36 חודשי מאסר ביחס לתיק העיקרי, ובתיק המצורף, עתרה למתחם הנע בין 8 חודשי מאסר בפועל ועד ל-18 חודשי מאסר. נטען כי המתחם הכולל לשני כתבי האישום צריך לנוע בין 24 חודשי מאסר בפועל ועד 48 חודשי מאסר בפועל ואעיר כבר עתה כי עמדה זו הייתה בלתי מובנת (כפי שהערתי בעת הדיון) שהרי כאשר נקבעים מספר מתחמים, אין לבצע "שקלול מתחמים", אלא לכל היותר ניתן להורות על עונש כולל (</w:t>
      </w:r>
      <w:hyperlink r:id="rId19" w:history="1">
        <w:r w:rsidR="00134A08" w:rsidRPr="00134A08">
          <w:rPr>
            <w:rFonts w:ascii="Arial" w:hAnsi="Arial"/>
            <w:color w:val="0000FF"/>
            <w:u w:val="single"/>
            <w:rtl/>
          </w:rPr>
          <w:t>סעיף 40יג(ב)</w:t>
        </w:r>
      </w:hyperlink>
      <w:r>
        <w:rPr>
          <w:rFonts w:ascii="Arial" w:hAnsi="Arial" w:hint="cs"/>
          <w:rtl/>
        </w:rPr>
        <w:t xml:space="preserve"> ל</w:t>
      </w:r>
      <w:hyperlink r:id="rId20" w:history="1">
        <w:r w:rsidR="003606C6" w:rsidRPr="003606C6">
          <w:rPr>
            <w:rFonts w:ascii="Arial" w:hAnsi="Arial"/>
            <w:color w:val="0000FF"/>
            <w:u w:val="single"/>
            <w:rtl/>
          </w:rPr>
          <w:t>חוק העונשין</w:t>
        </w:r>
      </w:hyperlink>
      <w:r>
        <w:rPr>
          <w:rFonts w:ascii="Arial" w:hAnsi="Arial" w:hint="cs"/>
          <w:rtl/>
        </w:rPr>
        <w:t xml:space="preserve">). </w:t>
      </w:r>
    </w:p>
    <w:p w14:paraId="6DB7F124" w14:textId="77777777" w:rsidR="00F83064" w:rsidRDefault="00F83064" w:rsidP="00F83064">
      <w:pPr>
        <w:spacing w:line="360" w:lineRule="auto"/>
        <w:ind w:firstLine="720"/>
        <w:jc w:val="both"/>
        <w:rPr>
          <w:rFonts w:ascii="Arial" w:hAnsi="Arial"/>
          <w:rtl/>
        </w:rPr>
      </w:pPr>
    </w:p>
    <w:p w14:paraId="44AADCDA" w14:textId="77777777" w:rsidR="00F83064" w:rsidRPr="0014034B" w:rsidRDefault="00F83064" w:rsidP="00F83064">
      <w:pPr>
        <w:spacing w:line="360" w:lineRule="auto"/>
        <w:ind w:firstLine="720"/>
        <w:jc w:val="both"/>
        <w:rPr>
          <w:rFonts w:ascii="Arial" w:hAnsi="Arial"/>
          <w:rtl/>
        </w:rPr>
      </w:pPr>
      <w:r>
        <w:rPr>
          <w:rFonts w:ascii="Arial" w:hAnsi="Arial" w:hint="cs"/>
          <w:rtl/>
        </w:rPr>
        <w:t xml:space="preserve">לשיטת המאשימה, לאור ריבוי העבירות וסמיכות הזמנים ביניהם, יש צורך בהרתעת היחיד ונטען כי מאחר ולא התבקש תסקיר שירות המבחן חסרים נתונים על אודות הנאשם. בסיכומו של דבר, עתרה המאשימה להשית עונש מאסר במרכזו של "המתחם המשוקלל" (שכאמור אינו נתון אמיתי, אלא מדובר בשני מתחמים שונים) , היינו 36 חודשי מאסר בפועל. ביחס לאופן הנשיאה בעונש, ביחס לעונש המאסר בו נושא הנאשם כיום, ביקשה המאשימה כי שישה חודשים יחפפו </w:t>
      </w:r>
      <w:r>
        <w:rPr>
          <w:rFonts w:ascii="Arial" w:hAnsi="Arial" w:hint="cs"/>
          <w:rtl/>
        </w:rPr>
        <w:lastRenderedPageBreak/>
        <w:t xml:space="preserve">לעונש המאסר בו נושא אותו מרצה כיום הנאשם, והיתרה תצטבר. כן התבקש מאסר על תנאי, קנס ופסילת רישיון. </w:t>
      </w:r>
    </w:p>
    <w:p w14:paraId="69E76AE3" w14:textId="77777777" w:rsidR="00F83064" w:rsidRDefault="00F83064" w:rsidP="00F83064">
      <w:pPr>
        <w:spacing w:line="360" w:lineRule="auto"/>
        <w:jc w:val="both"/>
        <w:rPr>
          <w:rtl/>
        </w:rPr>
      </w:pPr>
    </w:p>
    <w:p w14:paraId="6DFC828B" w14:textId="77777777" w:rsidR="00F83064" w:rsidRDefault="00F83064" w:rsidP="00F83064">
      <w:pPr>
        <w:spacing w:line="360" w:lineRule="auto"/>
        <w:jc w:val="both"/>
        <w:rPr>
          <w:rtl/>
        </w:rPr>
      </w:pPr>
      <w:r>
        <w:rPr>
          <w:rFonts w:hint="cs"/>
          <w:rtl/>
        </w:rPr>
        <w:t xml:space="preserve">4. </w:t>
      </w:r>
      <w:r>
        <w:rPr>
          <w:rtl/>
        </w:rPr>
        <w:tab/>
      </w:r>
      <w:r>
        <w:rPr>
          <w:rFonts w:hint="cs"/>
          <w:rtl/>
        </w:rPr>
        <w:t>ב"כ הנאשם הפנה לגילו הצעיר של הנאשם,</w:t>
      </w:r>
      <w:r w:rsidRPr="00076056">
        <w:rPr>
          <w:rFonts w:hint="cs"/>
          <w:rtl/>
        </w:rPr>
        <w:t xml:space="preserve"> </w:t>
      </w:r>
      <w:r>
        <w:rPr>
          <w:rFonts w:hint="cs"/>
          <w:rtl/>
        </w:rPr>
        <w:t>לכך שהודה בעבירות המיוחסות לו וקיבל אחריות על מעשיו ונטען כי ברצונו "</w:t>
      </w:r>
      <w:r w:rsidRPr="00730153">
        <w:rPr>
          <w:rFonts w:cs="Miriam" w:hint="cs"/>
          <w:rtl/>
        </w:rPr>
        <w:t>לפתוח פרק חדש בחייו</w:t>
      </w:r>
      <w:r>
        <w:rPr>
          <w:rFonts w:hint="cs"/>
          <w:rtl/>
        </w:rPr>
        <w:t xml:space="preserve">". כן נטען כי הנאשם שהה במעצר משך 51 יום (בשני התיקים) ולאחר מכן שהה בתנאים מגבילים תקופה ארוכה. ביחס למתחם העונש ההולם בתיק העיקרי נטען כי הוא נע בין 6 חודשי מאסר בפועל ועד 12 חודשי מאסר, ואילו ביחס לתיק המצורף הוצע מתחם הנע בין מאסר על תנאי ועד 6 חודשי מאסר בפועל. בסיכומו של דבר ביקשה ההגנה להטיל עונש מאסר שלא יעלה על 8 חודשים, וזאת בחופף לעונש המאסר בו נושא כיום הנאשם. כן ביקשה ההגנה להימנע מהטלת קנס, כמו גם מפסילת רישיון. </w:t>
      </w:r>
    </w:p>
    <w:p w14:paraId="0B2906E9" w14:textId="77777777" w:rsidR="00F83064" w:rsidRDefault="00F83064" w:rsidP="00F83064">
      <w:pPr>
        <w:spacing w:line="360" w:lineRule="auto"/>
        <w:jc w:val="both"/>
        <w:rPr>
          <w:rtl/>
        </w:rPr>
      </w:pPr>
    </w:p>
    <w:p w14:paraId="3FFAC839" w14:textId="77777777" w:rsidR="00F83064" w:rsidRDefault="00F83064" w:rsidP="00F83064">
      <w:pPr>
        <w:spacing w:line="360" w:lineRule="auto"/>
        <w:jc w:val="both"/>
        <w:rPr>
          <w:rtl/>
        </w:rPr>
      </w:pPr>
      <w:r>
        <w:rPr>
          <w:rFonts w:hint="cs"/>
          <w:rtl/>
        </w:rPr>
        <w:t xml:space="preserve">5. </w:t>
      </w:r>
      <w:r>
        <w:rPr>
          <w:rtl/>
        </w:rPr>
        <w:tab/>
      </w:r>
      <w:r>
        <w:rPr>
          <w:rFonts w:hint="cs"/>
          <w:rtl/>
        </w:rPr>
        <w:t xml:space="preserve">הנאשם בדברו האחרון הביע חרטה על מעשיו, סיפר כי הוא משמש כאסיר תומך וביקש לתקן דרכיו ולאפשר לו לעבור תהליך שיקום. </w:t>
      </w:r>
    </w:p>
    <w:p w14:paraId="12E019A9" w14:textId="77777777" w:rsidR="00F83064" w:rsidRDefault="00F83064" w:rsidP="00F83064">
      <w:pPr>
        <w:spacing w:line="360" w:lineRule="auto"/>
        <w:jc w:val="both"/>
        <w:rPr>
          <w:rtl/>
        </w:rPr>
      </w:pPr>
    </w:p>
    <w:p w14:paraId="3A4531E6" w14:textId="77777777" w:rsidR="00F83064" w:rsidRDefault="00F83064" w:rsidP="00F83064">
      <w:pPr>
        <w:spacing w:line="360" w:lineRule="auto"/>
        <w:jc w:val="both"/>
        <w:rPr>
          <w:b/>
          <w:bCs/>
          <w:u w:val="single"/>
          <w:rtl/>
        </w:rPr>
      </w:pPr>
      <w:r>
        <w:rPr>
          <w:rFonts w:hint="cs"/>
          <w:b/>
          <w:bCs/>
          <w:u w:val="single"/>
          <w:rtl/>
        </w:rPr>
        <w:t>דיון והכרעה</w:t>
      </w:r>
    </w:p>
    <w:p w14:paraId="0B9825AA" w14:textId="77777777" w:rsidR="00F83064" w:rsidRDefault="00F83064" w:rsidP="00F83064">
      <w:pPr>
        <w:spacing w:line="360" w:lineRule="auto"/>
        <w:jc w:val="both"/>
        <w:rPr>
          <w:b/>
          <w:bCs/>
          <w:u w:val="single"/>
          <w:rtl/>
        </w:rPr>
      </w:pPr>
      <w:r>
        <w:rPr>
          <w:rFonts w:hint="cs"/>
          <w:b/>
          <w:bCs/>
          <w:u w:val="single"/>
          <w:rtl/>
        </w:rPr>
        <w:t>קביעת מתחם הענישה</w:t>
      </w:r>
    </w:p>
    <w:p w14:paraId="66E9ADD1" w14:textId="77777777" w:rsidR="00F83064" w:rsidRDefault="00F83064" w:rsidP="00F83064">
      <w:pPr>
        <w:spacing w:line="360" w:lineRule="auto"/>
        <w:jc w:val="both"/>
        <w:rPr>
          <w:b/>
          <w:bCs/>
          <w:u w:val="single"/>
          <w:rtl/>
        </w:rPr>
      </w:pPr>
    </w:p>
    <w:p w14:paraId="2DBE1A92" w14:textId="77777777" w:rsidR="00F83064" w:rsidRDefault="00F83064" w:rsidP="00F83064">
      <w:pPr>
        <w:spacing w:line="360" w:lineRule="auto"/>
        <w:jc w:val="both"/>
        <w:rPr>
          <w:rtl/>
        </w:rPr>
      </w:pPr>
      <w:r>
        <w:rPr>
          <w:rFonts w:hint="cs"/>
          <w:rtl/>
        </w:rPr>
        <w:t>6.</w:t>
      </w:r>
      <w:r>
        <w:rPr>
          <w:rtl/>
        </w:rPr>
        <w:tab/>
      </w:r>
      <w:r w:rsidRPr="00BA3544">
        <w:rPr>
          <w:rFonts w:ascii="David" w:hAnsi="David" w:hint="eastAsia"/>
          <w:rtl/>
        </w:rPr>
        <w:t>בהתאם</w:t>
      </w:r>
      <w:r w:rsidRPr="00BA3544">
        <w:rPr>
          <w:rFonts w:ascii="David" w:hAnsi="David"/>
          <w:rtl/>
        </w:rPr>
        <w:t xml:space="preserve"> </w:t>
      </w:r>
      <w:r w:rsidRPr="00BA3544">
        <w:rPr>
          <w:rFonts w:ascii="David" w:hAnsi="David" w:hint="eastAsia"/>
          <w:rtl/>
        </w:rPr>
        <w:t>לתיקון</w:t>
      </w:r>
      <w:r w:rsidRPr="00BA3544">
        <w:rPr>
          <w:rFonts w:ascii="David" w:hAnsi="David"/>
          <w:rtl/>
        </w:rPr>
        <w:t xml:space="preserve"> 113 </w:t>
      </w:r>
      <w:r>
        <w:rPr>
          <w:rFonts w:ascii="David" w:hAnsi="David" w:hint="cs"/>
          <w:rtl/>
        </w:rPr>
        <w:t>ל</w:t>
      </w:r>
      <w:hyperlink r:id="rId21" w:history="1">
        <w:r w:rsidR="003606C6" w:rsidRPr="003606C6">
          <w:rPr>
            <w:rFonts w:ascii="David" w:hAnsi="David"/>
            <w:color w:val="0000FF"/>
            <w:u w:val="single"/>
            <w:rtl/>
          </w:rPr>
          <w:t>חוק העונשין</w:t>
        </w:r>
      </w:hyperlink>
      <w:r>
        <w:rPr>
          <w:rFonts w:ascii="David" w:hAnsi="David" w:hint="cs"/>
          <w:rtl/>
        </w:rPr>
        <w:t xml:space="preserve"> </w:t>
      </w:r>
      <w:r w:rsidRPr="00BA3544">
        <w:rPr>
          <w:rFonts w:ascii="David" w:hAnsi="David" w:hint="eastAsia"/>
          <w:rtl/>
        </w:rPr>
        <w:t>על</w:t>
      </w:r>
      <w:r w:rsidRPr="00BA3544">
        <w:rPr>
          <w:rFonts w:ascii="David" w:hAnsi="David"/>
          <w:rtl/>
        </w:rPr>
        <w:t xml:space="preserve"> </w:t>
      </w:r>
      <w:r w:rsidRPr="00BA3544">
        <w:rPr>
          <w:rFonts w:ascii="David" w:hAnsi="David" w:hint="eastAsia"/>
          <w:rtl/>
        </w:rPr>
        <w:t>בית</w:t>
      </w:r>
      <w:r w:rsidRPr="00BA3544">
        <w:rPr>
          <w:rFonts w:ascii="David" w:hAnsi="David"/>
          <w:rtl/>
        </w:rPr>
        <w:t xml:space="preserve"> </w:t>
      </w:r>
      <w:r w:rsidRPr="00BA3544">
        <w:rPr>
          <w:rFonts w:ascii="David" w:hAnsi="David" w:hint="eastAsia"/>
          <w:rtl/>
        </w:rPr>
        <w:t>המשפט</w:t>
      </w:r>
      <w:r w:rsidRPr="00BA3544">
        <w:rPr>
          <w:rFonts w:ascii="David" w:hAnsi="David"/>
          <w:rtl/>
        </w:rPr>
        <w:t xml:space="preserve"> </w:t>
      </w:r>
      <w:r w:rsidRPr="00BA3544">
        <w:rPr>
          <w:rFonts w:ascii="David" w:hAnsi="David" w:hint="eastAsia"/>
          <w:rtl/>
        </w:rPr>
        <w:t>לגזור</w:t>
      </w:r>
      <w:r w:rsidRPr="00BA3544">
        <w:rPr>
          <w:rFonts w:ascii="David" w:hAnsi="David"/>
          <w:rtl/>
        </w:rPr>
        <w:t xml:space="preserve"> </w:t>
      </w:r>
      <w:r w:rsidRPr="00BA3544">
        <w:rPr>
          <w:rFonts w:ascii="David" w:hAnsi="David" w:hint="eastAsia"/>
          <w:rtl/>
        </w:rPr>
        <w:t>את</w:t>
      </w:r>
      <w:r w:rsidRPr="00BA3544">
        <w:rPr>
          <w:rFonts w:ascii="David" w:hAnsi="David"/>
          <w:rtl/>
        </w:rPr>
        <w:t xml:space="preserve"> </w:t>
      </w:r>
      <w:r w:rsidRPr="00BA3544">
        <w:rPr>
          <w:rFonts w:ascii="David" w:hAnsi="David" w:hint="eastAsia"/>
          <w:rtl/>
        </w:rPr>
        <w:t>הדין</w:t>
      </w:r>
      <w:r w:rsidRPr="00BA3544">
        <w:rPr>
          <w:rFonts w:ascii="David" w:hAnsi="David"/>
          <w:rtl/>
        </w:rPr>
        <w:t xml:space="preserve"> </w:t>
      </w:r>
      <w:r w:rsidRPr="00BA3544">
        <w:rPr>
          <w:rFonts w:ascii="David" w:hAnsi="David" w:hint="eastAsia"/>
          <w:rtl/>
        </w:rPr>
        <w:t>לאחר</w:t>
      </w:r>
      <w:r w:rsidRPr="00BA3544">
        <w:rPr>
          <w:rFonts w:ascii="David" w:hAnsi="David"/>
          <w:rtl/>
        </w:rPr>
        <w:t xml:space="preserve"> </w:t>
      </w:r>
      <w:r w:rsidRPr="00BA3544">
        <w:rPr>
          <w:rFonts w:ascii="David" w:hAnsi="David" w:hint="eastAsia"/>
          <w:rtl/>
        </w:rPr>
        <w:t>קביעת</w:t>
      </w:r>
      <w:r w:rsidRPr="00BA3544">
        <w:rPr>
          <w:rFonts w:ascii="David" w:hAnsi="David"/>
          <w:rtl/>
        </w:rPr>
        <w:t xml:space="preserve"> </w:t>
      </w:r>
      <w:r w:rsidRPr="00BA3544">
        <w:rPr>
          <w:rFonts w:ascii="David" w:hAnsi="David" w:hint="eastAsia"/>
          <w:rtl/>
        </w:rPr>
        <w:t>מתחם</w:t>
      </w:r>
      <w:r w:rsidRPr="00BA3544">
        <w:rPr>
          <w:rFonts w:ascii="David" w:hAnsi="David"/>
          <w:rtl/>
        </w:rPr>
        <w:t xml:space="preserve"> </w:t>
      </w:r>
      <w:r w:rsidRPr="00BA3544">
        <w:rPr>
          <w:rFonts w:ascii="David" w:hAnsi="David" w:hint="eastAsia"/>
          <w:rtl/>
        </w:rPr>
        <w:t>ענישה</w:t>
      </w:r>
      <w:r w:rsidRPr="00BA3544">
        <w:rPr>
          <w:rFonts w:ascii="David" w:hAnsi="David"/>
          <w:rtl/>
        </w:rPr>
        <w:t xml:space="preserve"> </w:t>
      </w:r>
      <w:r w:rsidRPr="00BA3544">
        <w:rPr>
          <w:rFonts w:ascii="David" w:hAnsi="David" w:hint="eastAsia"/>
          <w:rtl/>
        </w:rPr>
        <w:t>ההולם</w:t>
      </w:r>
      <w:r w:rsidRPr="00BA3544">
        <w:rPr>
          <w:rFonts w:ascii="David" w:hAnsi="David"/>
          <w:rtl/>
        </w:rPr>
        <w:t xml:space="preserve"> </w:t>
      </w:r>
      <w:r w:rsidRPr="00BA3544">
        <w:rPr>
          <w:rFonts w:ascii="David" w:hAnsi="David" w:hint="eastAsia"/>
          <w:rtl/>
        </w:rPr>
        <w:t>את</w:t>
      </w:r>
      <w:r w:rsidRPr="00BA3544">
        <w:rPr>
          <w:rFonts w:ascii="David" w:hAnsi="David"/>
          <w:rtl/>
        </w:rPr>
        <w:t xml:space="preserve"> </w:t>
      </w:r>
      <w:r w:rsidRPr="00BA3544">
        <w:rPr>
          <w:rFonts w:ascii="David" w:hAnsi="David" w:hint="eastAsia"/>
          <w:rtl/>
        </w:rPr>
        <w:t>העבירה</w:t>
      </w:r>
      <w:r w:rsidRPr="00BA3544">
        <w:rPr>
          <w:rFonts w:ascii="David" w:hAnsi="David"/>
          <w:rtl/>
        </w:rPr>
        <w:t xml:space="preserve"> </w:t>
      </w:r>
      <w:r w:rsidRPr="00BA3544">
        <w:rPr>
          <w:rFonts w:ascii="David" w:hAnsi="David" w:hint="eastAsia"/>
          <w:rtl/>
        </w:rPr>
        <w:t>בנסיבותיה</w:t>
      </w:r>
      <w:r w:rsidRPr="00BA3544">
        <w:rPr>
          <w:rFonts w:ascii="David" w:hAnsi="David"/>
          <w:rtl/>
        </w:rPr>
        <w:t xml:space="preserve">. </w:t>
      </w:r>
      <w:r w:rsidRPr="00BA3544">
        <w:rPr>
          <w:rFonts w:ascii="David" w:hAnsi="David" w:hint="eastAsia"/>
          <w:rtl/>
        </w:rPr>
        <w:t>טרם</w:t>
      </w:r>
      <w:r w:rsidRPr="00BA3544">
        <w:rPr>
          <w:rFonts w:ascii="David" w:hAnsi="David"/>
          <w:rtl/>
        </w:rPr>
        <w:t xml:space="preserve"> </w:t>
      </w:r>
      <w:r w:rsidRPr="00BA3544">
        <w:rPr>
          <w:rFonts w:ascii="David" w:hAnsi="David" w:hint="eastAsia"/>
          <w:rtl/>
        </w:rPr>
        <w:t>שיעשה</w:t>
      </w:r>
      <w:r w:rsidRPr="00BA3544">
        <w:rPr>
          <w:rFonts w:ascii="David" w:hAnsi="David"/>
          <w:rtl/>
        </w:rPr>
        <w:t xml:space="preserve"> </w:t>
      </w:r>
      <w:r w:rsidRPr="00BA3544">
        <w:rPr>
          <w:rFonts w:ascii="David" w:hAnsi="David" w:hint="eastAsia"/>
          <w:rtl/>
        </w:rPr>
        <w:t>כן</w:t>
      </w:r>
      <w:r w:rsidRPr="00BA3544">
        <w:rPr>
          <w:rFonts w:ascii="David" w:hAnsi="David"/>
          <w:rtl/>
        </w:rPr>
        <w:t xml:space="preserve">, </w:t>
      </w:r>
      <w:r w:rsidRPr="00BA3544">
        <w:rPr>
          <w:rFonts w:ascii="David" w:hAnsi="David" w:hint="eastAsia"/>
          <w:rtl/>
        </w:rPr>
        <w:t>עליו</w:t>
      </w:r>
      <w:r w:rsidRPr="00BA3544">
        <w:rPr>
          <w:rFonts w:ascii="David" w:hAnsi="David"/>
          <w:rtl/>
        </w:rPr>
        <w:t xml:space="preserve"> </w:t>
      </w:r>
      <w:r w:rsidRPr="00BA3544">
        <w:rPr>
          <w:rFonts w:ascii="David" w:hAnsi="David" w:hint="eastAsia"/>
          <w:rtl/>
        </w:rPr>
        <w:t>לקבוע</w:t>
      </w:r>
      <w:r w:rsidRPr="00BA3544">
        <w:rPr>
          <w:rFonts w:ascii="David" w:hAnsi="David"/>
          <w:rtl/>
        </w:rPr>
        <w:t xml:space="preserve"> </w:t>
      </w:r>
      <w:r w:rsidRPr="00BA3544">
        <w:rPr>
          <w:rFonts w:ascii="David" w:hAnsi="David" w:hint="eastAsia"/>
          <w:rtl/>
        </w:rPr>
        <w:t>האם</w:t>
      </w:r>
      <w:r w:rsidRPr="00BA3544">
        <w:rPr>
          <w:rFonts w:ascii="David" w:hAnsi="David"/>
          <w:rtl/>
        </w:rPr>
        <w:t xml:space="preserve"> </w:t>
      </w:r>
      <w:r w:rsidRPr="00BA3544">
        <w:rPr>
          <w:rFonts w:ascii="David" w:hAnsi="David" w:hint="eastAsia"/>
          <w:rtl/>
        </w:rPr>
        <w:t>העבירות</w:t>
      </w:r>
      <w:r w:rsidRPr="00BA3544">
        <w:rPr>
          <w:rFonts w:ascii="David" w:hAnsi="David"/>
          <w:rtl/>
        </w:rPr>
        <w:t xml:space="preserve"> </w:t>
      </w:r>
      <w:r w:rsidRPr="00BA3544">
        <w:rPr>
          <w:rFonts w:ascii="David" w:hAnsi="David" w:hint="eastAsia"/>
          <w:rtl/>
        </w:rPr>
        <w:t>בהן</w:t>
      </w:r>
      <w:r w:rsidRPr="00BA3544">
        <w:rPr>
          <w:rFonts w:ascii="David" w:hAnsi="David"/>
          <w:rtl/>
        </w:rPr>
        <w:t xml:space="preserve"> </w:t>
      </w:r>
      <w:r w:rsidRPr="00BA3544">
        <w:rPr>
          <w:rFonts w:ascii="David" w:hAnsi="David" w:hint="eastAsia"/>
          <w:rtl/>
        </w:rPr>
        <w:t>הורשע</w:t>
      </w:r>
      <w:r w:rsidRPr="00BA3544">
        <w:rPr>
          <w:rFonts w:ascii="David" w:hAnsi="David"/>
          <w:rtl/>
        </w:rPr>
        <w:t xml:space="preserve"> </w:t>
      </w:r>
      <w:r w:rsidRPr="00BA3544">
        <w:rPr>
          <w:rFonts w:ascii="David" w:hAnsi="David" w:hint="eastAsia"/>
          <w:rtl/>
        </w:rPr>
        <w:t>הנאשם</w:t>
      </w:r>
      <w:r w:rsidRPr="00BA3544">
        <w:rPr>
          <w:rFonts w:ascii="David" w:hAnsi="David"/>
          <w:rtl/>
        </w:rPr>
        <w:t xml:space="preserve"> </w:t>
      </w:r>
      <w:r w:rsidRPr="00BA3544">
        <w:rPr>
          <w:rFonts w:ascii="David" w:hAnsi="David" w:hint="eastAsia"/>
          <w:rtl/>
        </w:rPr>
        <w:t>מהוות</w:t>
      </w:r>
      <w:r w:rsidRPr="00BA3544">
        <w:rPr>
          <w:rFonts w:ascii="David" w:hAnsi="David"/>
          <w:rtl/>
        </w:rPr>
        <w:t xml:space="preserve"> </w:t>
      </w:r>
      <w:r w:rsidRPr="00BA3544">
        <w:rPr>
          <w:rFonts w:ascii="David" w:hAnsi="David" w:hint="eastAsia"/>
          <w:rtl/>
        </w:rPr>
        <w:t>אירוע</w:t>
      </w:r>
      <w:r w:rsidRPr="00BA3544">
        <w:rPr>
          <w:rFonts w:ascii="David" w:hAnsi="David"/>
          <w:rtl/>
        </w:rPr>
        <w:t xml:space="preserve"> </w:t>
      </w:r>
      <w:r w:rsidRPr="00BA3544">
        <w:rPr>
          <w:rFonts w:ascii="David" w:hAnsi="David" w:hint="eastAsia"/>
          <w:rtl/>
        </w:rPr>
        <w:t>אחד</w:t>
      </w:r>
      <w:r w:rsidRPr="00BA3544">
        <w:rPr>
          <w:rFonts w:ascii="David" w:hAnsi="David"/>
          <w:rtl/>
        </w:rPr>
        <w:t xml:space="preserve">, </w:t>
      </w:r>
      <w:r w:rsidRPr="00BA3544">
        <w:rPr>
          <w:rFonts w:ascii="David" w:hAnsi="David" w:hint="eastAsia"/>
          <w:rtl/>
        </w:rPr>
        <w:t>או</w:t>
      </w:r>
      <w:r w:rsidRPr="00BA3544">
        <w:rPr>
          <w:rFonts w:ascii="David" w:hAnsi="David"/>
          <w:rtl/>
        </w:rPr>
        <w:t xml:space="preserve"> </w:t>
      </w:r>
      <w:r w:rsidRPr="00BA3544">
        <w:rPr>
          <w:rFonts w:ascii="David" w:hAnsi="David" w:hint="eastAsia"/>
          <w:rtl/>
        </w:rPr>
        <w:t>שמא</w:t>
      </w:r>
      <w:r w:rsidRPr="00BA3544">
        <w:rPr>
          <w:rFonts w:ascii="David" w:hAnsi="David"/>
          <w:rtl/>
        </w:rPr>
        <w:t xml:space="preserve"> </w:t>
      </w:r>
      <w:r w:rsidRPr="00BA3544">
        <w:rPr>
          <w:rFonts w:ascii="David" w:hAnsi="David" w:hint="eastAsia"/>
          <w:rtl/>
        </w:rPr>
        <w:t>מספר</w:t>
      </w:r>
      <w:r w:rsidRPr="00BA3544">
        <w:rPr>
          <w:rFonts w:ascii="David" w:hAnsi="David"/>
          <w:rtl/>
        </w:rPr>
        <w:t xml:space="preserve"> </w:t>
      </w:r>
      <w:r w:rsidRPr="00BA3544">
        <w:rPr>
          <w:rFonts w:ascii="David" w:hAnsi="David" w:hint="eastAsia"/>
          <w:rtl/>
        </w:rPr>
        <w:t>אירועים</w:t>
      </w:r>
      <w:r w:rsidRPr="00BA3544">
        <w:rPr>
          <w:rFonts w:ascii="David" w:hAnsi="David"/>
          <w:rtl/>
        </w:rPr>
        <w:t xml:space="preserve"> </w:t>
      </w:r>
      <w:r w:rsidRPr="00BA3544">
        <w:rPr>
          <w:rFonts w:ascii="David" w:hAnsi="David" w:hint="eastAsia"/>
          <w:rtl/>
        </w:rPr>
        <w:t>בהתאם</w:t>
      </w:r>
      <w:r w:rsidRPr="00BA3544">
        <w:rPr>
          <w:rFonts w:ascii="David" w:hAnsi="David"/>
          <w:rtl/>
        </w:rPr>
        <w:t xml:space="preserve"> </w:t>
      </w:r>
      <w:hyperlink r:id="rId22" w:history="1">
        <w:r w:rsidR="00134A08" w:rsidRPr="00134A08">
          <w:rPr>
            <w:rFonts w:ascii="David" w:hAnsi="David"/>
            <w:color w:val="0000FF"/>
            <w:u w:val="single"/>
            <w:rtl/>
          </w:rPr>
          <w:t>לסעיף 40יג'(א)</w:t>
        </w:r>
      </w:hyperlink>
      <w:r w:rsidRPr="00BA3544">
        <w:rPr>
          <w:rFonts w:ascii="David" w:hAnsi="David"/>
          <w:rtl/>
        </w:rPr>
        <w:t xml:space="preserve"> </w:t>
      </w:r>
      <w:r w:rsidRPr="00BA3544">
        <w:rPr>
          <w:rFonts w:ascii="David" w:hAnsi="David" w:hint="eastAsia"/>
          <w:rtl/>
        </w:rPr>
        <w:t>ל</w:t>
      </w:r>
      <w:hyperlink r:id="rId23" w:history="1">
        <w:r w:rsidR="003606C6" w:rsidRPr="003606C6">
          <w:rPr>
            <w:rFonts w:ascii="David" w:hAnsi="David"/>
            <w:color w:val="0000FF"/>
            <w:u w:val="single"/>
            <w:rtl/>
          </w:rPr>
          <w:t>חוק העונשין</w:t>
        </w:r>
      </w:hyperlink>
      <w:r w:rsidRPr="00BA3544">
        <w:rPr>
          <w:rFonts w:ascii="David" w:hAnsi="David"/>
          <w:rtl/>
        </w:rPr>
        <w:t xml:space="preserve">. </w:t>
      </w:r>
      <w:r w:rsidRPr="00083FA7">
        <w:rPr>
          <w:rtl/>
        </w:rPr>
        <w:t xml:space="preserve">לאחר קביעת המתחם יש להחליט אם ראוי לסטות ממנו, לקולה או לחומרה, שאחרת ייגזר העונש בגדרי המתחם שנקבע. בעת קביעת </w:t>
      </w:r>
      <w:r>
        <w:rPr>
          <w:rtl/>
        </w:rPr>
        <w:t xml:space="preserve">מתחם </w:t>
      </w:r>
      <w:r w:rsidRPr="00083FA7">
        <w:rPr>
          <w:rtl/>
        </w:rPr>
        <w:t xml:space="preserve">העונש ההולם מתחשב בית המשפט </w:t>
      </w:r>
      <w:r>
        <w:rPr>
          <w:rtl/>
        </w:rPr>
        <w:t xml:space="preserve">בעקרון המנחה בענישה – הלימה, </w:t>
      </w:r>
      <w:r w:rsidRPr="00083FA7">
        <w:rPr>
          <w:rtl/>
        </w:rPr>
        <w:t xml:space="preserve">בערך החברתי שנפגע, במידת הפגיעה בו, במדיניות הענישה הנוהגת ובנסיבות הקשורות בביצוע העבירה, על פי </w:t>
      </w:r>
      <w:hyperlink r:id="rId24" w:history="1">
        <w:r w:rsidR="00134A08" w:rsidRPr="00134A08">
          <w:rPr>
            <w:rFonts w:ascii="David" w:hAnsi="David"/>
            <w:color w:val="0000FF"/>
            <w:u w:val="single"/>
            <w:rtl/>
          </w:rPr>
          <w:t>סעיף 40ג'</w:t>
        </w:r>
      </w:hyperlink>
      <w:r w:rsidRPr="00EF6ABE">
        <w:rPr>
          <w:rFonts w:ascii="David" w:hAnsi="David"/>
          <w:rtl/>
        </w:rPr>
        <w:t xml:space="preserve"> ל</w:t>
      </w:r>
      <w:hyperlink r:id="rId25" w:history="1">
        <w:r w:rsidR="003606C6" w:rsidRPr="003606C6">
          <w:rPr>
            <w:rFonts w:ascii="David" w:hAnsi="David"/>
            <w:color w:val="0000FF"/>
            <w:u w:val="single"/>
            <w:rtl/>
          </w:rPr>
          <w:t>חוק העונשין</w:t>
        </w:r>
      </w:hyperlink>
      <w:r w:rsidRPr="00EF6ABE">
        <w:rPr>
          <w:rFonts w:ascii="David" w:hAnsi="David"/>
          <w:rtl/>
        </w:rPr>
        <w:t>.</w:t>
      </w:r>
    </w:p>
    <w:p w14:paraId="710E1F3D" w14:textId="77777777" w:rsidR="00F83064" w:rsidRDefault="00F83064" w:rsidP="00F83064">
      <w:pPr>
        <w:spacing w:line="360" w:lineRule="auto"/>
        <w:jc w:val="both"/>
        <w:rPr>
          <w:rtl/>
        </w:rPr>
      </w:pPr>
    </w:p>
    <w:p w14:paraId="45D15CF3" w14:textId="77777777" w:rsidR="00F83064" w:rsidRDefault="00F83064" w:rsidP="00F83064">
      <w:pPr>
        <w:spacing w:line="360" w:lineRule="auto"/>
        <w:jc w:val="both"/>
        <w:rPr>
          <w:rtl/>
        </w:rPr>
      </w:pPr>
      <w:r>
        <w:rPr>
          <w:rtl/>
        </w:rPr>
        <w:tab/>
      </w:r>
      <w:r>
        <w:rPr>
          <w:rFonts w:hint="cs"/>
          <w:rtl/>
        </w:rPr>
        <w:t xml:space="preserve">שני הצדדים ביקשו לקבוע מתחמים נפרדים ואכן ברי שמדובר בשני אירועים נפרדים מבחינת סמיכות הזמנים והמקום וכי לא קיים קשר הדוק וברור בין שני האירועים, חרף העובדה שמדובר בשני המקרים בעבירות סמים </w:t>
      </w:r>
      <w:r w:rsidRPr="008563ED">
        <w:rPr>
          <w:rtl/>
        </w:rPr>
        <w:t>(</w:t>
      </w:r>
      <w:hyperlink r:id="rId26" w:history="1">
        <w:r w:rsidR="003606C6" w:rsidRPr="003606C6">
          <w:rPr>
            <w:color w:val="0000FF"/>
            <w:u w:val="single"/>
            <w:rtl/>
          </w:rPr>
          <w:t>ע"פ 4910/13</w:t>
        </w:r>
      </w:hyperlink>
      <w:r w:rsidRPr="008563ED">
        <w:rPr>
          <w:rtl/>
        </w:rPr>
        <w:t xml:space="preserve"> </w:t>
      </w:r>
      <w:r w:rsidRPr="00582B53">
        <w:rPr>
          <w:b/>
          <w:bCs/>
          <w:rtl/>
        </w:rPr>
        <w:t>ג'אבר נ' מדינת ישראל</w:t>
      </w:r>
      <w:r w:rsidRPr="008563ED">
        <w:rPr>
          <w:rtl/>
        </w:rPr>
        <w:t xml:space="preserve"> (29.10.14); </w:t>
      </w:r>
      <w:hyperlink r:id="rId27" w:history="1">
        <w:r w:rsidR="003606C6" w:rsidRPr="003606C6">
          <w:rPr>
            <w:color w:val="0000FF"/>
            <w:u w:val="single"/>
            <w:rtl/>
          </w:rPr>
          <w:t>ע"פ 2519/14</w:t>
        </w:r>
      </w:hyperlink>
      <w:r w:rsidRPr="008563ED">
        <w:rPr>
          <w:rtl/>
        </w:rPr>
        <w:t xml:space="preserve"> </w:t>
      </w:r>
      <w:r w:rsidRPr="00582B53">
        <w:rPr>
          <w:b/>
          <w:bCs/>
          <w:rtl/>
        </w:rPr>
        <w:t>קיעאן נ' מדינת ישראל</w:t>
      </w:r>
      <w:r w:rsidRPr="008563ED">
        <w:rPr>
          <w:rtl/>
        </w:rPr>
        <w:t xml:space="preserve"> (29.12.14); </w:t>
      </w:r>
      <w:hyperlink r:id="rId28" w:history="1">
        <w:r w:rsidR="003606C6" w:rsidRPr="003606C6">
          <w:rPr>
            <w:color w:val="0000FF"/>
            <w:u w:val="single"/>
            <w:rtl/>
          </w:rPr>
          <w:t>רע"פ 4760/14</w:t>
        </w:r>
      </w:hyperlink>
      <w:r w:rsidRPr="008563ED">
        <w:rPr>
          <w:rtl/>
        </w:rPr>
        <w:t xml:space="preserve"> </w:t>
      </w:r>
      <w:r w:rsidRPr="00582B53">
        <w:rPr>
          <w:b/>
          <w:bCs/>
          <w:rtl/>
        </w:rPr>
        <w:t>קיסלמן נ' מדינת ישראל</w:t>
      </w:r>
      <w:r w:rsidRPr="008563ED">
        <w:rPr>
          <w:rtl/>
        </w:rPr>
        <w:t xml:space="preserve"> (7.5.15); </w:t>
      </w:r>
      <w:hyperlink r:id="rId29" w:history="1">
        <w:r w:rsidR="003606C6" w:rsidRPr="003606C6">
          <w:rPr>
            <w:color w:val="0000FF"/>
            <w:u w:val="single"/>
            <w:rtl/>
          </w:rPr>
          <w:t>ע"פ 5643/14</w:t>
        </w:r>
      </w:hyperlink>
      <w:r w:rsidRPr="008563ED">
        <w:rPr>
          <w:rtl/>
        </w:rPr>
        <w:t xml:space="preserve"> </w:t>
      </w:r>
      <w:r w:rsidRPr="00582B53">
        <w:rPr>
          <w:b/>
          <w:bCs/>
          <w:rtl/>
        </w:rPr>
        <w:t>אחמד עיסא ואח' נ' מדינת ישראל</w:t>
      </w:r>
      <w:r w:rsidRPr="008563ED">
        <w:rPr>
          <w:rtl/>
        </w:rPr>
        <w:t xml:space="preserve"> (23.6.15); </w:t>
      </w:r>
      <w:hyperlink r:id="rId30" w:history="1">
        <w:r w:rsidR="003606C6" w:rsidRPr="003606C6">
          <w:rPr>
            <w:color w:val="0000FF"/>
            <w:u w:val="single"/>
            <w:rtl/>
          </w:rPr>
          <w:t>ע"פ 1261/15</w:t>
        </w:r>
      </w:hyperlink>
      <w:r w:rsidRPr="008563ED">
        <w:rPr>
          <w:rtl/>
        </w:rPr>
        <w:t xml:space="preserve"> </w:t>
      </w:r>
      <w:r w:rsidRPr="00582B53">
        <w:rPr>
          <w:b/>
          <w:bCs/>
          <w:rtl/>
        </w:rPr>
        <w:t>מדינת ישראל נ' יוסף דלאל</w:t>
      </w:r>
      <w:r w:rsidRPr="008563ED">
        <w:rPr>
          <w:rtl/>
        </w:rPr>
        <w:t xml:space="preserve"> (3.9.15)).</w:t>
      </w:r>
    </w:p>
    <w:p w14:paraId="0BE79E70" w14:textId="77777777" w:rsidR="00F83064" w:rsidRDefault="00F83064" w:rsidP="00F83064">
      <w:pPr>
        <w:spacing w:line="360" w:lineRule="auto"/>
        <w:jc w:val="both"/>
        <w:rPr>
          <w:rtl/>
        </w:rPr>
      </w:pPr>
    </w:p>
    <w:p w14:paraId="4FB5DF17" w14:textId="77777777" w:rsidR="00F83064" w:rsidRPr="008563ED" w:rsidRDefault="00F83064" w:rsidP="00F83064">
      <w:pPr>
        <w:spacing w:line="360" w:lineRule="auto"/>
        <w:jc w:val="both"/>
        <w:rPr>
          <w:rtl/>
        </w:rPr>
      </w:pPr>
      <w:r>
        <w:rPr>
          <w:rtl/>
        </w:rPr>
        <w:tab/>
      </w:r>
      <w:r>
        <w:rPr>
          <w:rFonts w:hint="cs"/>
          <w:rtl/>
        </w:rPr>
        <w:t>עם זאת אומר כבר עתה כי בכוונתי לקבוע עונש כולל אחד ביחס לכל העבירות בהן הורשע הנאשם, שכן ענישה נפרדת בגין כל אירוע, נראית בעיני מלאכותית בנסיבות העניין, ואילו עונש כולל ישקף נכונה יותר את נסיבות העניין הכוללות (</w:t>
      </w:r>
      <w:hyperlink r:id="rId31" w:history="1">
        <w:r w:rsidR="00134A08" w:rsidRPr="00134A08">
          <w:rPr>
            <w:color w:val="0000FF"/>
            <w:u w:val="single"/>
            <w:rtl/>
          </w:rPr>
          <w:t>סעיף 40יג'(ב)</w:t>
        </w:r>
      </w:hyperlink>
      <w:r>
        <w:rPr>
          <w:rFonts w:hint="cs"/>
          <w:rtl/>
        </w:rPr>
        <w:t xml:space="preserve"> ל</w:t>
      </w:r>
      <w:hyperlink r:id="rId32" w:history="1">
        <w:r w:rsidR="003606C6" w:rsidRPr="003606C6">
          <w:rPr>
            <w:color w:val="0000FF"/>
            <w:u w:val="single"/>
            <w:rtl/>
          </w:rPr>
          <w:t>חוק העונשין</w:t>
        </w:r>
      </w:hyperlink>
      <w:r>
        <w:rPr>
          <w:rFonts w:hint="cs"/>
          <w:rtl/>
        </w:rPr>
        <w:t>).</w:t>
      </w:r>
      <w:r w:rsidRPr="008563ED">
        <w:rPr>
          <w:rtl/>
        </w:rPr>
        <w:t xml:space="preserve"> </w:t>
      </w:r>
    </w:p>
    <w:p w14:paraId="0F3C5C3C" w14:textId="77777777" w:rsidR="00F83064" w:rsidRDefault="00F83064" w:rsidP="00F83064">
      <w:pPr>
        <w:spacing w:line="360" w:lineRule="auto"/>
        <w:jc w:val="both"/>
        <w:rPr>
          <w:rtl/>
        </w:rPr>
      </w:pPr>
    </w:p>
    <w:p w14:paraId="19AB2C56" w14:textId="77777777" w:rsidR="00F83064" w:rsidRDefault="00F83064" w:rsidP="00F83064">
      <w:pPr>
        <w:spacing w:line="360" w:lineRule="auto"/>
        <w:jc w:val="both"/>
        <w:rPr>
          <w:rFonts w:ascii="David" w:hAnsi="David"/>
          <w:rtl/>
        </w:rPr>
      </w:pPr>
      <w:r>
        <w:rPr>
          <w:rFonts w:hint="cs"/>
          <w:rtl/>
        </w:rPr>
        <w:t xml:space="preserve">7. </w:t>
      </w:r>
      <w:r>
        <w:rPr>
          <w:rtl/>
        </w:rPr>
        <w:tab/>
      </w:r>
      <w:r w:rsidRPr="000C4C99">
        <w:rPr>
          <w:rFonts w:ascii="David" w:hAnsi="David" w:hint="eastAsia"/>
          <w:b/>
          <w:bCs/>
          <w:rtl/>
        </w:rPr>
        <w:t>הערכים</w:t>
      </w:r>
      <w:r w:rsidRPr="000C4C99">
        <w:rPr>
          <w:rFonts w:ascii="David" w:hAnsi="David"/>
          <w:b/>
          <w:bCs/>
          <w:rtl/>
        </w:rPr>
        <w:t xml:space="preserve"> </w:t>
      </w:r>
      <w:r w:rsidRPr="000C4C99">
        <w:rPr>
          <w:rFonts w:ascii="David" w:hAnsi="David" w:hint="eastAsia"/>
          <w:b/>
          <w:bCs/>
          <w:rtl/>
        </w:rPr>
        <w:t>המוגנים</w:t>
      </w:r>
      <w:r w:rsidRPr="000C4C99">
        <w:rPr>
          <w:rFonts w:ascii="David" w:hAnsi="David"/>
          <w:b/>
          <w:bCs/>
          <w:rtl/>
        </w:rPr>
        <w:t xml:space="preserve"> </w:t>
      </w:r>
      <w:r w:rsidRPr="000C4C99">
        <w:rPr>
          <w:rFonts w:ascii="David" w:hAnsi="David" w:hint="eastAsia"/>
          <w:b/>
          <w:bCs/>
          <w:rtl/>
        </w:rPr>
        <w:t>בבסיס</w:t>
      </w:r>
      <w:r w:rsidRPr="000C4C99">
        <w:rPr>
          <w:rFonts w:ascii="David" w:hAnsi="David"/>
          <w:b/>
          <w:bCs/>
          <w:rtl/>
        </w:rPr>
        <w:t xml:space="preserve"> </w:t>
      </w:r>
      <w:r w:rsidRPr="000C4C99">
        <w:rPr>
          <w:rFonts w:ascii="David" w:hAnsi="David" w:hint="eastAsia"/>
          <w:b/>
          <w:bCs/>
          <w:rtl/>
        </w:rPr>
        <w:t>העבירה</w:t>
      </w:r>
      <w:r w:rsidRPr="000C4C99">
        <w:rPr>
          <w:rFonts w:ascii="David" w:hAnsi="David"/>
          <w:b/>
          <w:bCs/>
          <w:rtl/>
        </w:rPr>
        <w:t>:</w:t>
      </w:r>
      <w:r w:rsidRPr="000C4C99">
        <w:rPr>
          <w:rFonts w:ascii="David" w:hAnsi="David"/>
          <w:rtl/>
        </w:rPr>
        <w:t xml:space="preserve"> </w:t>
      </w:r>
      <w:r w:rsidRPr="000C4C99">
        <w:rPr>
          <w:rFonts w:ascii="David" w:hAnsi="David" w:hint="eastAsia"/>
          <w:rtl/>
        </w:rPr>
        <w:t>במעשיו</w:t>
      </w:r>
      <w:r w:rsidRPr="000C4C99">
        <w:rPr>
          <w:rFonts w:ascii="David" w:hAnsi="David"/>
          <w:rtl/>
        </w:rPr>
        <w:t xml:space="preserve"> </w:t>
      </w:r>
      <w:r w:rsidRPr="000C4C99">
        <w:rPr>
          <w:rFonts w:ascii="David" w:hAnsi="David" w:hint="eastAsia"/>
          <w:rtl/>
        </w:rPr>
        <w:t>פגע</w:t>
      </w:r>
      <w:r w:rsidRPr="000C4C99">
        <w:rPr>
          <w:rFonts w:ascii="David" w:hAnsi="David"/>
          <w:rtl/>
        </w:rPr>
        <w:t xml:space="preserve"> </w:t>
      </w:r>
      <w:r w:rsidRPr="000C4C99">
        <w:rPr>
          <w:rFonts w:ascii="David" w:hAnsi="David" w:hint="eastAsia"/>
          <w:rtl/>
        </w:rPr>
        <w:t>הנאשם</w:t>
      </w:r>
      <w:r w:rsidRPr="000C4C99">
        <w:rPr>
          <w:rFonts w:ascii="David" w:hAnsi="David"/>
          <w:rtl/>
        </w:rPr>
        <w:t xml:space="preserve"> </w:t>
      </w:r>
      <w:r w:rsidRPr="000C4C99">
        <w:rPr>
          <w:rFonts w:ascii="David" w:hAnsi="David" w:hint="eastAsia"/>
          <w:rtl/>
        </w:rPr>
        <w:t>בערכים</w:t>
      </w:r>
      <w:r w:rsidRPr="000C4C99">
        <w:rPr>
          <w:rFonts w:ascii="David" w:hAnsi="David"/>
          <w:rtl/>
        </w:rPr>
        <w:t xml:space="preserve"> </w:t>
      </w:r>
      <w:r w:rsidRPr="000C4C99">
        <w:rPr>
          <w:rFonts w:ascii="David" w:hAnsi="David" w:hint="eastAsia"/>
          <w:rtl/>
        </w:rPr>
        <w:t>המוגנים</w:t>
      </w:r>
      <w:r w:rsidRPr="000C4C99">
        <w:rPr>
          <w:rFonts w:ascii="David" w:hAnsi="David"/>
          <w:rtl/>
        </w:rPr>
        <w:t xml:space="preserve"> </w:t>
      </w:r>
      <w:r w:rsidRPr="000C4C99">
        <w:rPr>
          <w:rFonts w:ascii="David" w:hAnsi="David" w:hint="eastAsia"/>
          <w:rtl/>
        </w:rPr>
        <w:t>של</w:t>
      </w:r>
      <w:r w:rsidRPr="000C4C99">
        <w:rPr>
          <w:rFonts w:ascii="David" w:hAnsi="David"/>
          <w:rtl/>
        </w:rPr>
        <w:t xml:space="preserve"> </w:t>
      </w:r>
      <w:r w:rsidRPr="000C4C99">
        <w:rPr>
          <w:rFonts w:ascii="David" w:hAnsi="David" w:hint="eastAsia"/>
          <w:rtl/>
        </w:rPr>
        <w:t>בטחון</w:t>
      </w:r>
      <w:r w:rsidRPr="000C4C99">
        <w:rPr>
          <w:rFonts w:ascii="David" w:hAnsi="David"/>
          <w:rtl/>
        </w:rPr>
        <w:t xml:space="preserve"> </w:t>
      </w:r>
      <w:r w:rsidRPr="000C4C99">
        <w:rPr>
          <w:rFonts w:ascii="David" w:hAnsi="David" w:hint="eastAsia"/>
          <w:rtl/>
        </w:rPr>
        <w:t>הציבור</w:t>
      </w:r>
      <w:r w:rsidRPr="000C4C99">
        <w:rPr>
          <w:rFonts w:ascii="David" w:hAnsi="David"/>
          <w:rtl/>
        </w:rPr>
        <w:t xml:space="preserve"> </w:t>
      </w:r>
      <w:r w:rsidRPr="000C4C99">
        <w:rPr>
          <w:rFonts w:ascii="David" w:hAnsi="David" w:hint="eastAsia"/>
          <w:rtl/>
        </w:rPr>
        <w:t>ושלומו</w:t>
      </w:r>
      <w:r w:rsidRPr="000C4C99">
        <w:rPr>
          <w:rFonts w:ascii="David" w:hAnsi="David"/>
          <w:rtl/>
        </w:rPr>
        <w:t xml:space="preserve">. </w:t>
      </w:r>
      <w:r w:rsidRPr="000C4C99">
        <w:rPr>
          <w:rFonts w:ascii="David" w:hAnsi="David" w:hint="eastAsia"/>
          <w:rtl/>
        </w:rPr>
        <w:t>הסכנות</w:t>
      </w:r>
      <w:r w:rsidRPr="000C4C99">
        <w:rPr>
          <w:rFonts w:ascii="David" w:hAnsi="David"/>
          <w:rtl/>
        </w:rPr>
        <w:t xml:space="preserve"> </w:t>
      </w:r>
      <w:r w:rsidRPr="000C4C99">
        <w:rPr>
          <w:rFonts w:ascii="David" w:hAnsi="David" w:hint="eastAsia"/>
          <w:rtl/>
        </w:rPr>
        <w:t>הטמונות</w:t>
      </w:r>
      <w:r w:rsidRPr="000C4C99">
        <w:rPr>
          <w:rFonts w:ascii="David" w:hAnsi="David"/>
          <w:rtl/>
        </w:rPr>
        <w:t xml:space="preserve"> </w:t>
      </w:r>
      <w:r w:rsidRPr="000C4C99">
        <w:rPr>
          <w:rFonts w:ascii="David" w:hAnsi="David" w:hint="eastAsia"/>
          <w:rtl/>
        </w:rPr>
        <w:t>בהחזקת</w:t>
      </w:r>
      <w:r w:rsidRPr="000C4C99">
        <w:rPr>
          <w:rFonts w:ascii="David" w:hAnsi="David"/>
          <w:rtl/>
        </w:rPr>
        <w:t xml:space="preserve"> </w:t>
      </w:r>
      <w:r w:rsidRPr="000C4C99">
        <w:rPr>
          <w:rFonts w:ascii="David" w:hAnsi="David" w:hint="eastAsia"/>
          <w:rtl/>
        </w:rPr>
        <w:t>סם</w:t>
      </w:r>
      <w:r w:rsidRPr="000C4C99">
        <w:rPr>
          <w:rFonts w:ascii="David" w:hAnsi="David"/>
          <w:rtl/>
        </w:rPr>
        <w:t xml:space="preserve"> </w:t>
      </w:r>
      <w:r w:rsidRPr="000C4C99">
        <w:rPr>
          <w:rFonts w:ascii="David" w:hAnsi="David" w:hint="eastAsia"/>
          <w:rtl/>
        </w:rPr>
        <w:t>מסוכן</w:t>
      </w:r>
      <w:r w:rsidRPr="000C4C99">
        <w:rPr>
          <w:rFonts w:ascii="David" w:hAnsi="David"/>
          <w:rtl/>
        </w:rPr>
        <w:t xml:space="preserve"> </w:t>
      </w:r>
      <w:r w:rsidRPr="000C4C99">
        <w:rPr>
          <w:rFonts w:ascii="David" w:hAnsi="David" w:hint="eastAsia"/>
          <w:rtl/>
        </w:rPr>
        <w:t>מסוג</w:t>
      </w:r>
      <w:r w:rsidRPr="000C4C99">
        <w:rPr>
          <w:rFonts w:ascii="David" w:hAnsi="David"/>
          <w:rtl/>
        </w:rPr>
        <w:t xml:space="preserve"> </w:t>
      </w:r>
      <w:r w:rsidRPr="000C4C99">
        <w:rPr>
          <w:rFonts w:ascii="David" w:hAnsi="David" w:hint="eastAsia"/>
          <w:rtl/>
        </w:rPr>
        <w:t>קוקאין</w:t>
      </w:r>
      <w:r w:rsidRPr="000C4C99">
        <w:rPr>
          <w:rFonts w:ascii="David" w:hAnsi="David"/>
          <w:rtl/>
        </w:rPr>
        <w:t xml:space="preserve">, </w:t>
      </w:r>
      <w:r w:rsidRPr="000C4C99">
        <w:rPr>
          <w:rFonts w:ascii="David" w:hAnsi="David" w:hint="eastAsia"/>
          <w:rtl/>
        </w:rPr>
        <w:t>שלא</w:t>
      </w:r>
      <w:r w:rsidRPr="000C4C99">
        <w:rPr>
          <w:rFonts w:ascii="David" w:hAnsi="David"/>
          <w:rtl/>
        </w:rPr>
        <w:t xml:space="preserve"> </w:t>
      </w:r>
      <w:r w:rsidRPr="000C4C99">
        <w:rPr>
          <w:rFonts w:ascii="David" w:hAnsi="David" w:hint="eastAsia"/>
          <w:rtl/>
        </w:rPr>
        <w:t>לשימוש</w:t>
      </w:r>
      <w:r w:rsidRPr="000C4C99">
        <w:rPr>
          <w:rFonts w:ascii="David" w:hAnsi="David"/>
          <w:rtl/>
        </w:rPr>
        <w:t xml:space="preserve"> </w:t>
      </w:r>
      <w:r w:rsidRPr="000C4C99">
        <w:rPr>
          <w:rFonts w:ascii="David" w:hAnsi="David" w:hint="eastAsia"/>
          <w:rtl/>
        </w:rPr>
        <w:t>עצמי</w:t>
      </w:r>
      <w:r w:rsidRPr="000C4C99">
        <w:rPr>
          <w:rFonts w:ascii="David" w:hAnsi="David"/>
          <w:rtl/>
        </w:rPr>
        <w:t xml:space="preserve"> </w:t>
      </w:r>
      <w:r w:rsidRPr="000C4C99">
        <w:rPr>
          <w:rFonts w:ascii="David" w:hAnsi="David" w:hint="eastAsia"/>
          <w:rtl/>
        </w:rPr>
        <w:t>בלבד</w:t>
      </w:r>
      <w:r w:rsidRPr="000C4C99">
        <w:rPr>
          <w:rFonts w:ascii="David" w:hAnsi="David"/>
          <w:rtl/>
        </w:rPr>
        <w:t xml:space="preserve">, </w:t>
      </w:r>
      <w:r w:rsidRPr="000C4C99">
        <w:rPr>
          <w:rFonts w:ascii="David" w:hAnsi="David" w:hint="eastAsia"/>
          <w:rtl/>
        </w:rPr>
        <w:t>ידועות</w:t>
      </w:r>
      <w:r w:rsidRPr="000C4C99">
        <w:rPr>
          <w:rFonts w:ascii="David" w:hAnsi="David"/>
          <w:rtl/>
        </w:rPr>
        <w:t xml:space="preserve"> </w:t>
      </w:r>
      <w:r w:rsidRPr="000C4C99">
        <w:rPr>
          <w:rFonts w:ascii="David" w:hAnsi="David" w:hint="eastAsia"/>
          <w:rtl/>
        </w:rPr>
        <w:t>ואין</w:t>
      </w:r>
      <w:r w:rsidRPr="000C4C99">
        <w:rPr>
          <w:rFonts w:ascii="David" w:hAnsi="David"/>
          <w:rtl/>
        </w:rPr>
        <w:t xml:space="preserve"> </w:t>
      </w:r>
      <w:r w:rsidRPr="000C4C99">
        <w:rPr>
          <w:rFonts w:ascii="David" w:hAnsi="David" w:hint="eastAsia"/>
          <w:rtl/>
        </w:rPr>
        <w:t>צורך</w:t>
      </w:r>
      <w:r w:rsidRPr="000C4C99">
        <w:rPr>
          <w:rFonts w:ascii="David" w:hAnsi="David"/>
          <w:rtl/>
        </w:rPr>
        <w:t xml:space="preserve"> </w:t>
      </w:r>
      <w:r w:rsidRPr="000C4C99">
        <w:rPr>
          <w:rFonts w:ascii="David" w:hAnsi="David" w:hint="eastAsia"/>
          <w:rtl/>
        </w:rPr>
        <w:t>להכביר</w:t>
      </w:r>
      <w:r w:rsidRPr="000C4C99">
        <w:rPr>
          <w:rFonts w:ascii="David" w:hAnsi="David"/>
          <w:rtl/>
        </w:rPr>
        <w:t xml:space="preserve"> </w:t>
      </w:r>
      <w:r w:rsidRPr="000C4C99">
        <w:rPr>
          <w:rFonts w:ascii="David" w:hAnsi="David" w:hint="eastAsia"/>
          <w:rtl/>
        </w:rPr>
        <w:t>מילים</w:t>
      </w:r>
      <w:r w:rsidRPr="000C4C99">
        <w:rPr>
          <w:rFonts w:ascii="David" w:hAnsi="David"/>
          <w:rtl/>
        </w:rPr>
        <w:t xml:space="preserve"> </w:t>
      </w:r>
      <w:r w:rsidRPr="000C4C99">
        <w:rPr>
          <w:rFonts w:ascii="David" w:hAnsi="David" w:hint="eastAsia"/>
          <w:rtl/>
        </w:rPr>
        <w:t>על</w:t>
      </w:r>
      <w:r w:rsidRPr="000C4C99">
        <w:rPr>
          <w:rFonts w:ascii="David" w:hAnsi="David"/>
          <w:rtl/>
        </w:rPr>
        <w:t xml:space="preserve"> </w:t>
      </w:r>
      <w:r w:rsidRPr="000C4C99">
        <w:rPr>
          <w:rFonts w:ascii="David" w:hAnsi="David" w:hint="eastAsia"/>
          <w:rtl/>
        </w:rPr>
        <w:t>הנזקים</w:t>
      </w:r>
      <w:r w:rsidRPr="000C4C99">
        <w:rPr>
          <w:rFonts w:ascii="David" w:hAnsi="David"/>
          <w:rtl/>
        </w:rPr>
        <w:t xml:space="preserve"> </w:t>
      </w:r>
      <w:r w:rsidRPr="000C4C99">
        <w:rPr>
          <w:rFonts w:ascii="David" w:hAnsi="David" w:hint="eastAsia"/>
          <w:rtl/>
        </w:rPr>
        <w:t>העקיפים</w:t>
      </w:r>
      <w:r w:rsidRPr="000C4C99">
        <w:rPr>
          <w:rFonts w:ascii="David" w:hAnsi="David"/>
          <w:rtl/>
        </w:rPr>
        <w:t xml:space="preserve"> </w:t>
      </w:r>
      <w:r w:rsidRPr="000C4C99">
        <w:rPr>
          <w:rFonts w:ascii="David" w:hAnsi="David" w:hint="eastAsia"/>
          <w:rtl/>
        </w:rPr>
        <w:t>והישירים</w:t>
      </w:r>
      <w:r w:rsidRPr="000C4C99">
        <w:rPr>
          <w:rFonts w:ascii="David" w:hAnsi="David"/>
          <w:rtl/>
        </w:rPr>
        <w:t xml:space="preserve"> </w:t>
      </w:r>
      <w:r w:rsidRPr="000C4C99">
        <w:rPr>
          <w:rFonts w:ascii="David" w:hAnsi="David" w:hint="eastAsia"/>
          <w:rtl/>
        </w:rPr>
        <w:t>שעלולים</w:t>
      </w:r>
      <w:r w:rsidRPr="000C4C99">
        <w:rPr>
          <w:rFonts w:ascii="David" w:hAnsi="David"/>
          <w:rtl/>
        </w:rPr>
        <w:t xml:space="preserve"> </w:t>
      </w:r>
      <w:r w:rsidRPr="000C4C99">
        <w:rPr>
          <w:rFonts w:ascii="David" w:hAnsi="David" w:hint="eastAsia"/>
          <w:rtl/>
        </w:rPr>
        <w:t>להיגרם</w:t>
      </w:r>
      <w:r w:rsidRPr="000C4C99">
        <w:rPr>
          <w:rFonts w:ascii="David" w:hAnsi="David"/>
          <w:rtl/>
        </w:rPr>
        <w:t xml:space="preserve"> </w:t>
      </w:r>
      <w:r w:rsidRPr="000C4C99">
        <w:rPr>
          <w:rFonts w:ascii="David" w:hAnsi="David" w:hint="eastAsia"/>
          <w:rtl/>
        </w:rPr>
        <w:t>לחברה</w:t>
      </w:r>
      <w:r w:rsidRPr="000C4C99">
        <w:rPr>
          <w:rFonts w:ascii="David" w:hAnsi="David"/>
          <w:rtl/>
        </w:rPr>
        <w:t xml:space="preserve"> </w:t>
      </w:r>
      <w:r w:rsidRPr="000C4C99">
        <w:rPr>
          <w:rFonts w:ascii="David" w:hAnsi="David" w:hint="eastAsia"/>
          <w:rtl/>
        </w:rPr>
        <w:t>ולפרט</w:t>
      </w:r>
      <w:r w:rsidRPr="000C4C99">
        <w:rPr>
          <w:rFonts w:ascii="David" w:hAnsi="David"/>
          <w:rtl/>
        </w:rPr>
        <w:t xml:space="preserve"> </w:t>
      </w:r>
      <w:r>
        <w:rPr>
          <w:rFonts w:ascii="David" w:hAnsi="David" w:hint="cs"/>
          <w:rtl/>
        </w:rPr>
        <w:t xml:space="preserve">מעבירות הסמים </w:t>
      </w:r>
      <w:r w:rsidRPr="000C4C99">
        <w:rPr>
          <w:rFonts w:ascii="David" w:hAnsi="David"/>
          <w:rtl/>
        </w:rPr>
        <w:t>(</w:t>
      </w:r>
      <w:r w:rsidRPr="000C4C99">
        <w:rPr>
          <w:rFonts w:ascii="David" w:hAnsi="David" w:hint="eastAsia"/>
          <w:rtl/>
        </w:rPr>
        <w:t>ראה</w:t>
      </w:r>
      <w:r w:rsidRPr="000C4C99">
        <w:rPr>
          <w:rFonts w:ascii="David" w:hAnsi="David"/>
          <w:rtl/>
        </w:rPr>
        <w:t xml:space="preserve">: </w:t>
      </w:r>
      <w:hyperlink r:id="rId33" w:history="1">
        <w:r w:rsidR="003606C6" w:rsidRPr="003606C6">
          <w:rPr>
            <w:rFonts w:ascii="David" w:hAnsi="David"/>
            <w:color w:val="0000FF"/>
            <w:u w:val="single"/>
            <w:rtl/>
          </w:rPr>
          <w:t>ע"פ 11220/03</w:t>
        </w:r>
      </w:hyperlink>
      <w:r w:rsidRPr="000C4C99">
        <w:rPr>
          <w:rFonts w:ascii="David" w:hAnsi="David"/>
          <w:rtl/>
        </w:rPr>
        <w:t xml:space="preserve"> </w:t>
      </w:r>
      <w:r w:rsidRPr="000C4C99">
        <w:rPr>
          <w:rFonts w:ascii="David" w:hAnsi="David" w:hint="eastAsia"/>
          <w:b/>
          <w:bCs/>
          <w:rtl/>
        </w:rPr>
        <w:t>פלוני</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rtl/>
        </w:rPr>
        <w:t xml:space="preserve"> (6.7.05); </w:t>
      </w:r>
      <w:hyperlink r:id="rId34" w:history="1">
        <w:r w:rsidR="003606C6" w:rsidRPr="003606C6">
          <w:rPr>
            <w:rFonts w:ascii="David" w:hAnsi="David"/>
            <w:color w:val="0000FF"/>
            <w:u w:val="single"/>
            <w:rtl/>
          </w:rPr>
          <w:t>ע"פ 4484/05</w:t>
        </w:r>
      </w:hyperlink>
      <w:r w:rsidRPr="000C4C99">
        <w:rPr>
          <w:rFonts w:ascii="David" w:hAnsi="David"/>
          <w:rtl/>
        </w:rPr>
        <w:t xml:space="preserve"> </w:t>
      </w:r>
      <w:r w:rsidRPr="000C4C99">
        <w:rPr>
          <w:rFonts w:ascii="David" w:hAnsi="David" w:hint="eastAsia"/>
          <w:b/>
          <w:bCs/>
          <w:rtl/>
        </w:rPr>
        <w:t>שגב</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rtl/>
        </w:rPr>
        <w:t xml:space="preserve"> (8.8.2006); </w:t>
      </w:r>
      <w:hyperlink r:id="rId35" w:history="1">
        <w:r w:rsidR="003606C6" w:rsidRPr="003606C6">
          <w:rPr>
            <w:rFonts w:ascii="David" w:hAnsi="David"/>
            <w:color w:val="0000FF"/>
            <w:u w:val="single"/>
            <w:rtl/>
          </w:rPr>
          <w:t>ע"פ 10228/05</w:t>
        </w:r>
      </w:hyperlink>
      <w:r w:rsidRPr="000C4C99">
        <w:rPr>
          <w:rFonts w:ascii="David" w:hAnsi="David"/>
          <w:rtl/>
        </w:rPr>
        <w:t xml:space="preserve"> </w:t>
      </w:r>
      <w:r w:rsidRPr="000C4C99">
        <w:rPr>
          <w:rFonts w:ascii="David" w:hAnsi="David" w:hint="eastAsia"/>
          <w:b/>
          <w:bCs/>
          <w:rtl/>
        </w:rPr>
        <w:t>רובאעי</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rtl/>
        </w:rPr>
        <w:t xml:space="preserve"> (26.6.2006); </w:t>
      </w:r>
      <w:hyperlink r:id="rId36" w:history="1">
        <w:r w:rsidR="003606C6" w:rsidRPr="003606C6">
          <w:rPr>
            <w:rFonts w:ascii="David" w:hAnsi="David"/>
            <w:color w:val="0000FF"/>
            <w:u w:val="single"/>
            <w:rtl/>
          </w:rPr>
          <w:t>ע"פ 3578/12</w:t>
        </w:r>
      </w:hyperlink>
      <w:r w:rsidRPr="000C4C99">
        <w:rPr>
          <w:rFonts w:ascii="David" w:hAnsi="David"/>
          <w:rtl/>
        </w:rPr>
        <w:t xml:space="preserve"> </w:t>
      </w:r>
      <w:r w:rsidRPr="000C4C99">
        <w:rPr>
          <w:rFonts w:ascii="David" w:hAnsi="David" w:hint="eastAsia"/>
          <w:b/>
          <w:bCs/>
          <w:rtl/>
        </w:rPr>
        <w:t>עזמה</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b/>
          <w:bCs/>
          <w:rtl/>
        </w:rPr>
        <w:t xml:space="preserve"> </w:t>
      </w:r>
      <w:r w:rsidRPr="000C4C99">
        <w:rPr>
          <w:rFonts w:ascii="David" w:hAnsi="David"/>
          <w:rtl/>
        </w:rPr>
        <w:t xml:space="preserve">(17.1.13); </w:t>
      </w:r>
      <w:hyperlink r:id="rId37" w:history="1">
        <w:r w:rsidR="003606C6" w:rsidRPr="003606C6">
          <w:rPr>
            <w:rFonts w:ascii="David" w:hAnsi="David"/>
            <w:color w:val="0000FF"/>
            <w:u w:val="single"/>
            <w:rtl/>
          </w:rPr>
          <w:t>רע"פ 7996/12</w:t>
        </w:r>
      </w:hyperlink>
      <w:r w:rsidRPr="000C4C99">
        <w:rPr>
          <w:rFonts w:ascii="David" w:hAnsi="David"/>
          <w:rtl/>
        </w:rPr>
        <w:t xml:space="preserve"> </w:t>
      </w:r>
      <w:r w:rsidRPr="000C4C99">
        <w:rPr>
          <w:rFonts w:ascii="David" w:hAnsi="David" w:hint="eastAsia"/>
          <w:b/>
          <w:bCs/>
          <w:rtl/>
        </w:rPr>
        <w:t>יוסף</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b/>
          <w:bCs/>
          <w:rtl/>
        </w:rPr>
        <w:t xml:space="preserve"> </w:t>
      </w:r>
      <w:r w:rsidRPr="000C4C99">
        <w:rPr>
          <w:rFonts w:ascii="David" w:hAnsi="David"/>
          <w:rtl/>
        </w:rPr>
        <w:t>( 23.1.13)).</w:t>
      </w:r>
      <w:r>
        <w:rPr>
          <w:rFonts w:ascii="David" w:hAnsi="David" w:hint="cs"/>
          <w:rtl/>
        </w:rPr>
        <w:t xml:space="preserve"> </w:t>
      </w:r>
    </w:p>
    <w:p w14:paraId="56D09E1B" w14:textId="77777777" w:rsidR="00F83064" w:rsidRDefault="00F83064" w:rsidP="00F83064">
      <w:pPr>
        <w:spacing w:line="360" w:lineRule="auto"/>
        <w:jc w:val="both"/>
        <w:rPr>
          <w:rFonts w:ascii="David" w:hAnsi="David"/>
          <w:rtl/>
        </w:rPr>
      </w:pPr>
    </w:p>
    <w:p w14:paraId="1C4E5ADC" w14:textId="77777777" w:rsidR="00F83064" w:rsidRDefault="00F83064" w:rsidP="00F83064">
      <w:pPr>
        <w:spacing w:line="360" w:lineRule="auto"/>
        <w:jc w:val="both"/>
        <w:rPr>
          <w:rtl/>
        </w:rPr>
      </w:pPr>
      <w:r>
        <w:rPr>
          <w:rFonts w:ascii="David" w:hAnsi="David" w:hint="cs"/>
          <w:rtl/>
        </w:rPr>
        <w:t xml:space="preserve">8. </w:t>
      </w:r>
      <w:r>
        <w:rPr>
          <w:rFonts w:ascii="David" w:hAnsi="David"/>
          <w:rtl/>
        </w:rPr>
        <w:tab/>
      </w:r>
      <w:r w:rsidRPr="00BA3544">
        <w:rPr>
          <w:b/>
          <w:bCs/>
          <w:rtl/>
        </w:rPr>
        <w:t xml:space="preserve">נסיבות </w:t>
      </w:r>
      <w:r>
        <w:rPr>
          <w:rFonts w:hint="cs"/>
          <w:b/>
          <w:bCs/>
          <w:rtl/>
        </w:rPr>
        <w:t>הקשורות ל</w:t>
      </w:r>
      <w:r w:rsidRPr="00BA3544">
        <w:rPr>
          <w:b/>
          <w:bCs/>
          <w:rtl/>
        </w:rPr>
        <w:t>ביצוע העבירה:</w:t>
      </w:r>
      <w:r>
        <w:rPr>
          <w:rFonts w:hint="cs"/>
          <w:rtl/>
        </w:rPr>
        <w:t xml:space="preserve"> מדובר באחד הסמים הקשים, אשר השפעותיו הרסניות (ראו: </w:t>
      </w:r>
      <w:hyperlink r:id="rId38" w:history="1">
        <w:r w:rsidR="003606C6" w:rsidRPr="003606C6">
          <w:rPr>
            <w:color w:val="0000FF"/>
            <w:u w:val="single"/>
            <w:rtl/>
          </w:rPr>
          <w:t>ע"פ 4008/11</w:t>
        </w:r>
      </w:hyperlink>
      <w:r w:rsidRPr="00C9208A">
        <w:rPr>
          <w:rtl/>
        </w:rPr>
        <w:t xml:space="preserve"> </w:t>
      </w:r>
      <w:r w:rsidRPr="00C9208A">
        <w:rPr>
          <w:b/>
          <w:bCs/>
          <w:rtl/>
        </w:rPr>
        <w:t>גוארדיה נ' מדינת ישראל</w:t>
      </w:r>
      <w:r w:rsidRPr="00C9208A">
        <w:rPr>
          <w:rtl/>
        </w:rPr>
        <w:t xml:space="preserve"> (</w:t>
      </w:r>
      <w:r>
        <w:rPr>
          <w:rFonts w:hint="cs"/>
          <w:rtl/>
        </w:rPr>
        <w:t>6</w:t>
      </w:r>
      <w:r w:rsidRPr="00C9208A">
        <w:rPr>
          <w:rtl/>
        </w:rPr>
        <w:t>.</w:t>
      </w:r>
      <w:r>
        <w:rPr>
          <w:rFonts w:hint="cs"/>
          <w:rtl/>
        </w:rPr>
        <w:t>3</w:t>
      </w:r>
      <w:r w:rsidRPr="00C9208A">
        <w:rPr>
          <w:rtl/>
        </w:rPr>
        <w:t>.</w:t>
      </w:r>
      <w:r>
        <w:rPr>
          <w:rFonts w:hint="cs"/>
          <w:rtl/>
        </w:rPr>
        <w:t>12</w:t>
      </w:r>
      <w:r w:rsidRPr="00C9208A">
        <w:rPr>
          <w:rtl/>
        </w:rPr>
        <w:t>)</w:t>
      </w:r>
      <w:r>
        <w:rPr>
          <w:rFonts w:hint="cs"/>
          <w:rtl/>
        </w:rPr>
        <w:t xml:space="preserve">; </w:t>
      </w:r>
      <w:hyperlink r:id="rId39" w:history="1">
        <w:r w:rsidR="003606C6" w:rsidRPr="003606C6">
          <w:rPr>
            <w:color w:val="0000FF"/>
            <w:u w:val="single"/>
            <w:rtl/>
          </w:rPr>
          <w:t>ת"פ 15357-08-11</w:t>
        </w:r>
      </w:hyperlink>
      <w:r w:rsidRPr="00EB17F9">
        <w:rPr>
          <w:rtl/>
        </w:rPr>
        <w:t xml:space="preserve"> </w:t>
      </w:r>
      <w:r w:rsidRPr="00A001D6">
        <w:rPr>
          <w:b/>
          <w:bCs/>
          <w:rtl/>
        </w:rPr>
        <w:t>מדינת ישראל נ' אברג'ל</w:t>
      </w:r>
      <w:r>
        <w:rPr>
          <w:rFonts w:hint="cs"/>
          <w:rtl/>
        </w:rPr>
        <w:t xml:space="preserve"> (23.5.12)). כמות הסם שהחזיק הנאשם בתיק העיקרי היא משמעותית (כ-28 ג') וכמחציתה חולקה ל-21 אריזות שונות. כן, נמצאו בדירתו שלושה משקלים דיגיטליים, המשמשים לשקילת סמים ועל כך נאמר כי "</w:t>
      </w:r>
      <w:r w:rsidRPr="00AC4CE2">
        <w:rPr>
          <w:rFonts w:cs="Miriam" w:hint="eastAsia"/>
          <w:rtl/>
        </w:rPr>
        <w:t>אין</w:t>
      </w:r>
      <w:r w:rsidRPr="00AC4CE2">
        <w:rPr>
          <w:rFonts w:cs="Miriam"/>
          <w:rtl/>
        </w:rPr>
        <w:t xml:space="preserve"> </w:t>
      </w:r>
      <w:r w:rsidRPr="00AC4CE2">
        <w:rPr>
          <w:rFonts w:cs="Miriam" w:hint="eastAsia"/>
          <w:rtl/>
        </w:rPr>
        <w:t>צורך</w:t>
      </w:r>
      <w:r w:rsidRPr="00AC4CE2">
        <w:rPr>
          <w:rFonts w:cs="Miriam"/>
          <w:rtl/>
        </w:rPr>
        <w:t xml:space="preserve"> </w:t>
      </w:r>
      <w:r w:rsidRPr="00AC4CE2">
        <w:rPr>
          <w:rFonts w:cs="Miriam" w:hint="eastAsia"/>
          <w:rtl/>
        </w:rPr>
        <w:t>בניחוש</w:t>
      </w:r>
      <w:r w:rsidRPr="00AC4CE2">
        <w:rPr>
          <w:rFonts w:cs="Miriam"/>
          <w:rtl/>
        </w:rPr>
        <w:t xml:space="preserve"> </w:t>
      </w:r>
      <w:r w:rsidRPr="00AC4CE2">
        <w:rPr>
          <w:rFonts w:cs="Miriam" w:hint="eastAsia"/>
          <w:rtl/>
        </w:rPr>
        <w:t>יתר</w:t>
      </w:r>
      <w:r w:rsidRPr="00AC4CE2">
        <w:rPr>
          <w:rFonts w:cs="Miriam"/>
          <w:rtl/>
        </w:rPr>
        <w:t xml:space="preserve"> </w:t>
      </w:r>
      <w:r w:rsidRPr="00AC4CE2">
        <w:rPr>
          <w:rFonts w:cs="Miriam" w:hint="eastAsia"/>
          <w:rtl/>
        </w:rPr>
        <w:t>כדי</w:t>
      </w:r>
      <w:r w:rsidRPr="00AC4CE2">
        <w:rPr>
          <w:rFonts w:cs="Miriam"/>
          <w:rtl/>
        </w:rPr>
        <w:t xml:space="preserve"> </w:t>
      </w:r>
      <w:r w:rsidRPr="00AC4CE2">
        <w:rPr>
          <w:rFonts w:cs="Miriam" w:hint="eastAsia"/>
          <w:rtl/>
        </w:rPr>
        <w:t>להניח</w:t>
      </w:r>
      <w:r w:rsidRPr="00AC4CE2">
        <w:rPr>
          <w:rFonts w:cs="Miriam"/>
          <w:rtl/>
        </w:rPr>
        <w:t xml:space="preserve"> </w:t>
      </w:r>
      <w:r w:rsidRPr="00AC4CE2">
        <w:rPr>
          <w:rFonts w:cs="Miriam" w:hint="eastAsia"/>
          <w:rtl/>
        </w:rPr>
        <w:t>כי</w:t>
      </w:r>
      <w:r w:rsidRPr="00AC4CE2">
        <w:rPr>
          <w:rFonts w:cs="Miriam"/>
          <w:rtl/>
        </w:rPr>
        <w:t xml:space="preserve"> </w:t>
      </w:r>
      <w:r w:rsidRPr="00AC4CE2">
        <w:rPr>
          <w:rFonts w:cs="Miriam" w:hint="eastAsia"/>
          <w:rtl/>
        </w:rPr>
        <w:t>הקוקאין</w:t>
      </w:r>
      <w:r w:rsidRPr="00AC4CE2">
        <w:rPr>
          <w:rFonts w:cs="Miriam"/>
          <w:rtl/>
        </w:rPr>
        <w:t xml:space="preserve"> </w:t>
      </w:r>
      <w:r w:rsidRPr="00AC4CE2">
        <w:rPr>
          <w:rFonts w:cs="Miriam" w:hint="eastAsia"/>
          <w:rtl/>
        </w:rPr>
        <w:t>שנתפס</w:t>
      </w:r>
      <w:r w:rsidRPr="00AC4CE2">
        <w:rPr>
          <w:rFonts w:cs="Miriam"/>
          <w:rtl/>
        </w:rPr>
        <w:t xml:space="preserve"> </w:t>
      </w:r>
      <w:r w:rsidRPr="00AC4CE2">
        <w:rPr>
          <w:rFonts w:cs="Miriam" w:hint="eastAsia"/>
          <w:rtl/>
        </w:rPr>
        <w:t>ולצדו</w:t>
      </w:r>
      <w:r w:rsidRPr="00AC4CE2">
        <w:rPr>
          <w:rFonts w:cs="Miriam"/>
          <w:rtl/>
        </w:rPr>
        <w:t xml:space="preserve"> </w:t>
      </w:r>
      <w:r w:rsidRPr="00AC4CE2">
        <w:rPr>
          <w:rFonts w:cs="Miriam" w:hint="eastAsia"/>
          <w:rtl/>
        </w:rPr>
        <w:t>שקיות</w:t>
      </w:r>
      <w:r w:rsidRPr="00AC4CE2">
        <w:rPr>
          <w:rFonts w:cs="Miriam"/>
          <w:rtl/>
        </w:rPr>
        <w:t xml:space="preserve"> </w:t>
      </w:r>
      <w:r w:rsidRPr="00AC4CE2">
        <w:rPr>
          <w:rFonts w:cs="Miriam" w:hint="eastAsia"/>
          <w:rtl/>
        </w:rPr>
        <w:t>הוכן</w:t>
      </w:r>
      <w:r w:rsidRPr="00AC4CE2">
        <w:rPr>
          <w:rFonts w:cs="Miriam"/>
          <w:rtl/>
        </w:rPr>
        <w:t xml:space="preserve"> </w:t>
      </w:r>
      <w:r w:rsidRPr="00AC4CE2">
        <w:rPr>
          <w:rFonts w:cs="Miriam" w:hint="eastAsia"/>
          <w:rtl/>
        </w:rPr>
        <w:t>למטרות</w:t>
      </w:r>
      <w:r w:rsidRPr="00AC4CE2">
        <w:rPr>
          <w:rFonts w:cs="Miriam"/>
          <w:rtl/>
        </w:rPr>
        <w:t xml:space="preserve"> </w:t>
      </w:r>
      <w:r w:rsidRPr="00AC4CE2">
        <w:rPr>
          <w:rFonts w:cs="Miriam" w:hint="eastAsia"/>
          <w:rtl/>
        </w:rPr>
        <w:t>מסחריות</w:t>
      </w:r>
      <w:r w:rsidRPr="00AC4CE2">
        <w:rPr>
          <w:rFonts w:cs="Miriam"/>
          <w:rtl/>
        </w:rPr>
        <w:t xml:space="preserve">, </w:t>
      </w:r>
      <w:r w:rsidRPr="00AC4CE2">
        <w:rPr>
          <w:rFonts w:cs="Miriam" w:hint="eastAsia"/>
          <w:rtl/>
        </w:rPr>
        <w:t>להרעיל</w:t>
      </w:r>
      <w:r w:rsidRPr="00AC4CE2">
        <w:rPr>
          <w:rFonts w:cs="Miriam"/>
          <w:rtl/>
        </w:rPr>
        <w:t xml:space="preserve"> </w:t>
      </w:r>
      <w:r w:rsidRPr="00AC4CE2">
        <w:rPr>
          <w:rFonts w:cs="Miriam" w:hint="eastAsia"/>
          <w:rtl/>
        </w:rPr>
        <w:t>את</w:t>
      </w:r>
      <w:r w:rsidRPr="00AC4CE2">
        <w:rPr>
          <w:rFonts w:cs="Miriam"/>
          <w:rtl/>
        </w:rPr>
        <w:t xml:space="preserve"> </w:t>
      </w:r>
      <w:r w:rsidRPr="00AC4CE2">
        <w:rPr>
          <w:rFonts w:cs="Miriam" w:hint="eastAsia"/>
          <w:rtl/>
        </w:rPr>
        <w:t>הזולת</w:t>
      </w:r>
      <w:r w:rsidRPr="00AC4CE2">
        <w:rPr>
          <w:rFonts w:cs="Miriam"/>
          <w:rtl/>
        </w:rPr>
        <w:t xml:space="preserve">, </w:t>
      </w:r>
      <w:r w:rsidRPr="00AC4CE2">
        <w:rPr>
          <w:rFonts w:cs="Miriam" w:hint="eastAsia"/>
          <w:rtl/>
        </w:rPr>
        <w:t>וזו</w:t>
      </w:r>
      <w:r w:rsidRPr="00AC4CE2">
        <w:rPr>
          <w:rFonts w:cs="Miriam"/>
          <w:rtl/>
        </w:rPr>
        <w:t xml:space="preserve"> </w:t>
      </w:r>
      <w:r w:rsidRPr="00AC4CE2">
        <w:rPr>
          <w:rFonts w:cs="Miriam" w:hint="eastAsia"/>
          <w:rtl/>
        </w:rPr>
        <w:t>גישת</w:t>
      </w:r>
      <w:r w:rsidRPr="00AC4CE2">
        <w:rPr>
          <w:rFonts w:cs="Miriam"/>
          <w:rtl/>
        </w:rPr>
        <w:t xml:space="preserve"> </w:t>
      </w:r>
      <w:r w:rsidRPr="00AC4CE2">
        <w:rPr>
          <w:rFonts w:cs="Miriam" w:hint="eastAsia"/>
          <w:rtl/>
        </w:rPr>
        <w:t>המחוקק</w:t>
      </w:r>
      <w:r w:rsidRPr="00AC4CE2">
        <w:rPr>
          <w:rFonts w:cs="Miriam"/>
          <w:rtl/>
        </w:rPr>
        <w:t xml:space="preserve"> </w:t>
      </w:r>
      <w:r w:rsidRPr="00AC4CE2">
        <w:rPr>
          <w:rFonts w:cs="Miriam" w:hint="eastAsia"/>
          <w:rtl/>
        </w:rPr>
        <w:t>בדברו</w:t>
      </w:r>
      <w:r w:rsidRPr="00AC4CE2">
        <w:rPr>
          <w:rFonts w:cs="Miriam"/>
          <w:rtl/>
        </w:rPr>
        <w:t xml:space="preserve"> </w:t>
      </w:r>
      <w:r w:rsidRPr="00AC4CE2">
        <w:rPr>
          <w:rFonts w:cs="Miriam" w:hint="eastAsia"/>
          <w:rtl/>
        </w:rPr>
        <w:t>בהחזקת</w:t>
      </w:r>
      <w:r w:rsidRPr="00AC4CE2">
        <w:rPr>
          <w:rFonts w:cs="Miriam"/>
          <w:rtl/>
        </w:rPr>
        <w:t xml:space="preserve"> </w:t>
      </w:r>
      <w:r w:rsidRPr="00AC4CE2">
        <w:rPr>
          <w:rFonts w:cs="Miriam" w:hint="eastAsia"/>
          <w:rtl/>
        </w:rPr>
        <w:t>סמים</w:t>
      </w:r>
      <w:r w:rsidRPr="00AC4CE2">
        <w:rPr>
          <w:rFonts w:cs="Miriam"/>
          <w:rtl/>
        </w:rPr>
        <w:t xml:space="preserve"> </w:t>
      </w:r>
      <w:r w:rsidRPr="00AC4CE2">
        <w:rPr>
          <w:rFonts w:cs="Miriam" w:hint="eastAsia"/>
          <w:rtl/>
        </w:rPr>
        <w:t>שלא</w:t>
      </w:r>
      <w:r w:rsidRPr="00AC4CE2">
        <w:rPr>
          <w:rFonts w:cs="Miriam"/>
          <w:rtl/>
        </w:rPr>
        <w:t xml:space="preserve"> </w:t>
      </w:r>
      <w:r w:rsidRPr="00AC4CE2">
        <w:rPr>
          <w:rFonts w:cs="Miriam" w:hint="eastAsia"/>
          <w:rtl/>
        </w:rPr>
        <w:t>לצריכה</w:t>
      </w:r>
      <w:r w:rsidRPr="00AC4CE2">
        <w:rPr>
          <w:rFonts w:cs="Miriam"/>
          <w:rtl/>
        </w:rPr>
        <w:t xml:space="preserve"> </w:t>
      </w:r>
      <w:r w:rsidRPr="00AC4CE2">
        <w:rPr>
          <w:rFonts w:cs="Miriam" w:hint="eastAsia"/>
          <w:rtl/>
        </w:rPr>
        <w:t>עצמית</w:t>
      </w:r>
      <w:r w:rsidRPr="00AC4CE2">
        <w:rPr>
          <w:rFonts w:cs="Miriam"/>
          <w:rtl/>
        </w:rPr>
        <w:t xml:space="preserve">, </w:t>
      </w:r>
      <w:r w:rsidRPr="00AC4CE2">
        <w:rPr>
          <w:rFonts w:cs="Miriam" w:hint="eastAsia"/>
          <w:rtl/>
        </w:rPr>
        <w:t>אשר</w:t>
      </w:r>
      <w:r w:rsidRPr="00AC4CE2">
        <w:rPr>
          <w:rFonts w:cs="Miriam"/>
          <w:rtl/>
        </w:rPr>
        <w:t xml:space="preserve"> </w:t>
      </w:r>
      <w:r w:rsidRPr="00AC4CE2">
        <w:rPr>
          <w:rFonts w:cs="Miriam" w:hint="eastAsia"/>
          <w:rtl/>
        </w:rPr>
        <w:t>העונש</w:t>
      </w:r>
      <w:r w:rsidRPr="00AC4CE2">
        <w:rPr>
          <w:rFonts w:cs="Miriam"/>
          <w:rtl/>
        </w:rPr>
        <w:t xml:space="preserve"> </w:t>
      </w:r>
      <w:r w:rsidRPr="00AC4CE2">
        <w:rPr>
          <w:rFonts w:cs="Miriam" w:hint="eastAsia"/>
          <w:rtl/>
        </w:rPr>
        <w:t>המירבי</w:t>
      </w:r>
      <w:r w:rsidRPr="00AC4CE2">
        <w:rPr>
          <w:rFonts w:cs="Miriam"/>
          <w:rtl/>
        </w:rPr>
        <w:t xml:space="preserve"> </w:t>
      </w:r>
      <w:r w:rsidRPr="00AC4CE2">
        <w:rPr>
          <w:rFonts w:cs="Miriam" w:hint="eastAsia"/>
          <w:rtl/>
        </w:rPr>
        <w:t>עליה</w:t>
      </w:r>
      <w:r w:rsidRPr="00AC4CE2">
        <w:rPr>
          <w:rFonts w:cs="Miriam"/>
          <w:rtl/>
        </w:rPr>
        <w:t xml:space="preserve"> </w:t>
      </w:r>
      <w:r w:rsidRPr="00AC4CE2">
        <w:rPr>
          <w:rFonts w:cs="Miriam" w:hint="eastAsia"/>
          <w:rtl/>
        </w:rPr>
        <w:t>הושוה</w:t>
      </w:r>
      <w:r w:rsidRPr="00AC4CE2">
        <w:rPr>
          <w:rFonts w:cs="Miriam"/>
          <w:rtl/>
        </w:rPr>
        <w:t xml:space="preserve"> </w:t>
      </w:r>
      <w:r w:rsidRPr="00AC4CE2">
        <w:rPr>
          <w:rFonts w:cs="Miriam" w:hint="eastAsia"/>
          <w:rtl/>
        </w:rPr>
        <w:t>לשל</w:t>
      </w:r>
      <w:r w:rsidRPr="00AC4CE2">
        <w:rPr>
          <w:rFonts w:cs="Miriam"/>
          <w:rtl/>
        </w:rPr>
        <w:t xml:space="preserve"> </w:t>
      </w:r>
      <w:r w:rsidRPr="00AC4CE2">
        <w:rPr>
          <w:rFonts w:cs="Miriam" w:hint="eastAsia"/>
          <w:rtl/>
        </w:rPr>
        <w:t>סחר</w:t>
      </w:r>
      <w:r>
        <w:rPr>
          <w:rFonts w:cs="Miriam" w:hint="cs"/>
          <w:rtl/>
        </w:rPr>
        <w:t>" (</w:t>
      </w:r>
      <w:hyperlink r:id="rId40" w:history="1">
        <w:r w:rsidR="003606C6" w:rsidRPr="003606C6">
          <w:rPr>
            <w:color w:val="0000FF"/>
            <w:u w:val="single"/>
            <w:rtl/>
          </w:rPr>
          <w:t>ע"פ 6277/14</w:t>
        </w:r>
      </w:hyperlink>
      <w:r>
        <w:rPr>
          <w:rFonts w:hint="cs"/>
          <w:rtl/>
        </w:rPr>
        <w:t xml:space="preserve"> </w:t>
      </w:r>
      <w:r w:rsidRPr="00DC6668">
        <w:rPr>
          <w:rFonts w:hint="cs"/>
          <w:b/>
          <w:bCs/>
          <w:rtl/>
        </w:rPr>
        <w:t>אברהם משלטי נגד מדינת ישראל</w:t>
      </w:r>
      <w:r>
        <w:rPr>
          <w:rFonts w:hint="cs"/>
          <w:rtl/>
        </w:rPr>
        <w:t xml:space="preserve"> (2.2.15)). הנאשם הודה בשני התיקים כי מדובר בהחזקה שלא לשימוש עצמי בלבד </w:t>
      </w:r>
      <w:r w:rsidRPr="0066453C">
        <w:rPr>
          <w:rtl/>
        </w:rPr>
        <w:t xml:space="preserve">ומכאן </w:t>
      </w:r>
      <w:r>
        <w:rPr>
          <w:rFonts w:hint="cs"/>
          <w:rtl/>
        </w:rPr>
        <w:t>ש</w:t>
      </w:r>
      <w:r w:rsidRPr="0066453C">
        <w:rPr>
          <w:rtl/>
        </w:rPr>
        <w:t xml:space="preserve">הנזק שצפוי להיגרם מביצוע העבירה גדול אף הוא. </w:t>
      </w:r>
    </w:p>
    <w:p w14:paraId="050076BA" w14:textId="77777777" w:rsidR="00F83064" w:rsidRDefault="00F83064" w:rsidP="00F83064">
      <w:pPr>
        <w:spacing w:line="360" w:lineRule="auto"/>
        <w:jc w:val="both"/>
        <w:rPr>
          <w:rtl/>
        </w:rPr>
      </w:pPr>
    </w:p>
    <w:p w14:paraId="7DD77803" w14:textId="77777777" w:rsidR="00F83064" w:rsidRDefault="00F83064" w:rsidP="00F83064">
      <w:pPr>
        <w:spacing w:before="240" w:line="360" w:lineRule="auto"/>
        <w:jc w:val="both"/>
        <w:rPr>
          <w:rtl/>
        </w:rPr>
      </w:pPr>
      <w:r>
        <w:rPr>
          <w:rFonts w:hint="cs"/>
          <w:rtl/>
        </w:rPr>
        <w:t xml:space="preserve">9. </w:t>
      </w:r>
      <w:r>
        <w:rPr>
          <w:rtl/>
        </w:rPr>
        <w:tab/>
      </w:r>
      <w:r>
        <w:rPr>
          <w:rFonts w:hint="cs"/>
          <w:b/>
          <w:bCs/>
          <w:rtl/>
        </w:rPr>
        <w:t>מדיניות הענישה:</w:t>
      </w:r>
      <w:r>
        <w:rPr>
          <w:rFonts w:hint="cs"/>
          <w:rtl/>
        </w:rPr>
        <w:t xml:space="preserve"> </w:t>
      </w:r>
      <w:r w:rsidRPr="000C4C99">
        <w:rPr>
          <w:rFonts w:ascii="David" w:hAnsi="David" w:hint="eastAsia"/>
          <w:rtl/>
        </w:rPr>
        <w:t>מדיניות</w:t>
      </w:r>
      <w:r w:rsidRPr="000C4C99">
        <w:rPr>
          <w:rFonts w:ascii="David" w:hAnsi="David"/>
          <w:rtl/>
        </w:rPr>
        <w:t xml:space="preserve"> </w:t>
      </w:r>
      <w:r w:rsidRPr="000C4C99">
        <w:rPr>
          <w:rFonts w:ascii="David" w:hAnsi="David" w:hint="eastAsia"/>
          <w:rtl/>
        </w:rPr>
        <w:t>הענישה</w:t>
      </w:r>
      <w:r w:rsidRPr="000C4C99">
        <w:rPr>
          <w:rFonts w:ascii="David" w:hAnsi="David"/>
          <w:rtl/>
        </w:rPr>
        <w:t xml:space="preserve"> </w:t>
      </w:r>
      <w:r w:rsidRPr="000C4C99">
        <w:rPr>
          <w:rtl/>
        </w:rPr>
        <w:t>ביחס לעבירה של החזקת סם שלא לצריכה עצמית משתנה ממקרה למקרה ותלויה בין היתר בסוג הסם, בכמות</w:t>
      </w:r>
      <w:r>
        <w:rPr>
          <w:rFonts w:hint="cs"/>
          <w:rtl/>
        </w:rPr>
        <w:t>,</w:t>
      </w:r>
      <w:r w:rsidRPr="000C4C99">
        <w:rPr>
          <w:rtl/>
        </w:rPr>
        <w:t xml:space="preserve"> ובנסיבותיו של הנאשם (עבר פלילי, שיקום</w:t>
      </w:r>
      <w:r>
        <w:rPr>
          <w:rFonts w:hint="cs"/>
          <w:rtl/>
        </w:rPr>
        <w:t>,</w:t>
      </w:r>
      <w:r w:rsidRPr="000C4C99">
        <w:rPr>
          <w:rtl/>
        </w:rPr>
        <w:t xml:space="preserve"> תסקיר</w:t>
      </w:r>
      <w:r>
        <w:rPr>
          <w:rFonts w:hint="cs"/>
          <w:rtl/>
        </w:rPr>
        <w:t xml:space="preserve"> וכיוצב</w:t>
      </w:r>
      <w:r w:rsidRPr="000C4C99">
        <w:rPr>
          <w:rtl/>
        </w:rPr>
        <w:t>).</w:t>
      </w:r>
      <w:r>
        <w:rPr>
          <w:rFonts w:hint="cs"/>
          <w:rtl/>
        </w:rPr>
        <w:t xml:space="preserve"> </w:t>
      </w:r>
      <w:r w:rsidRPr="00267B34">
        <w:rPr>
          <w:rtl/>
        </w:rPr>
        <w:t>לצורך בחינ</w:t>
      </w:r>
      <w:r>
        <w:rPr>
          <w:rtl/>
        </w:rPr>
        <w:t>ת מדיניות הענישה הנוהגת</w:t>
      </w:r>
      <w:r w:rsidRPr="00267B34">
        <w:rPr>
          <w:rtl/>
        </w:rPr>
        <w:t xml:space="preserve"> ניתן להפנות לפסקי הדין הבאים:</w:t>
      </w:r>
      <w:r>
        <w:rPr>
          <w:rFonts w:hint="cs"/>
          <w:rtl/>
        </w:rPr>
        <w:t xml:space="preserve"> </w:t>
      </w:r>
    </w:p>
    <w:p w14:paraId="4E23FF01" w14:textId="77777777" w:rsidR="00F83064" w:rsidRPr="004C7F28" w:rsidRDefault="00F83064" w:rsidP="00F83064">
      <w:pPr>
        <w:spacing w:before="240" w:line="360" w:lineRule="auto"/>
        <w:jc w:val="both"/>
        <w:rPr>
          <w:u w:val="single"/>
          <w:rtl/>
        </w:rPr>
      </w:pPr>
      <w:r w:rsidRPr="004C7F28">
        <w:rPr>
          <w:rFonts w:hint="cs"/>
          <w:u w:val="single"/>
          <w:rtl/>
        </w:rPr>
        <w:t>ביחס לתיק הע</w:t>
      </w:r>
      <w:r>
        <w:rPr>
          <w:rFonts w:hint="cs"/>
          <w:u w:val="single"/>
          <w:rtl/>
        </w:rPr>
        <w:t>י</w:t>
      </w:r>
      <w:r w:rsidRPr="004C7F28">
        <w:rPr>
          <w:rFonts w:hint="cs"/>
          <w:u w:val="single"/>
          <w:rtl/>
        </w:rPr>
        <w:t>קרי</w:t>
      </w:r>
    </w:p>
    <w:p w14:paraId="55FAA334" w14:textId="77777777" w:rsidR="00F83064" w:rsidRPr="003C6F12" w:rsidRDefault="003606C6" w:rsidP="00F83064">
      <w:pPr>
        <w:spacing w:before="240" w:line="360" w:lineRule="auto"/>
        <w:jc w:val="both"/>
      </w:pPr>
      <w:hyperlink r:id="rId41" w:history="1">
        <w:r w:rsidRPr="003606C6">
          <w:rPr>
            <w:color w:val="0000FF"/>
            <w:u w:val="single"/>
            <w:rtl/>
          </w:rPr>
          <w:t>רע"פ 894/16</w:t>
        </w:r>
      </w:hyperlink>
      <w:r w:rsidR="00F83064">
        <w:rPr>
          <w:rFonts w:hint="cs"/>
          <w:rtl/>
        </w:rPr>
        <w:t xml:space="preserve"> </w:t>
      </w:r>
      <w:r w:rsidR="00F83064" w:rsidRPr="00B7754D">
        <w:rPr>
          <w:rFonts w:hint="cs"/>
          <w:b/>
          <w:bCs/>
          <w:rtl/>
        </w:rPr>
        <w:t>שלום פרץ נ' מדינת ישראל</w:t>
      </w:r>
      <w:r w:rsidR="00F83064">
        <w:rPr>
          <w:rFonts w:hint="cs"/>
          <w:b/>
          <w:bCs/>
          <w:rtl/>
        </w:rPr>
        <w:t xml:space="preserve"> </w:t>
      </w:r>
      <w:r w:rsidR="00F83064">
        <w:rPr>
          <w:rFonts w:hint="cs"/>
          <w:rtl/>
        </w:rPr>
        <w:t>(10.2.16) בו נידון עניינו של נאשם שהורשע בעבירה של החזקת סם מסוג קוקאין במשקל של 31.05 גרם נטו, שלא לצריכה עצמית,  ונידון ל-15 חודשי מאסר בפועל. ערכאת הערעור מצאה את המתחם שנקבע בבית משפט השלום (15 חודשי מאסר ועד-36 חודשי מאסר) כמשקף נכונה את מדיניות הענישה הנוהגת, ובית המשפט העליון ציין כי מדובר בעונש ראוי ומאוזן</w:t>
      </w:r>
      <w:r w:rsidR="00F83064">
        <w:rPr>
          <w:rFonts w:hint="cs"/>
          <w:b/>
          <w:bCs/>
          <w:rtl/>
        </w:rPr>
        <w:t xml:space="preserve">; </w:t>
      </w:r>
      <w:hyperlink r:id="rId42" w:history="1">
        <w:r w:rsidRPr="003606C6">
          <w:rPr>
            <w:color w:val="0000FF"/>
            <w:u w:val="single"/>
            <w:rtl/>
          </w:rPr>
          <w:t>ע"פ 5374/12</w:t>
        </w:r>
      </w:hyperlink>
      <w:r w:rsidR="00F83064">
        <w:rPr>
          <w:rFonts w:hint="cs"/>
          <w:rtl/>
        </w:rPr>
        <w:t xml:space="preserve"> </w:t>
      </w:r>
      <w:r w:rsidR="00F83064">
        <w:rPr>
          <w:rFonts w:hint="cs"/>
          <w:b/>
          <w:bCs/>
          <w:rtl/>
        </w:rPr>
        <w:t>שלמה אברג'יל נגד מדינת ישראל</w:t>
      </w:r>
      <w:r w:rsidR="00F83064">
        <w:rPr>
          <w:rFonts w:hint="cs"/>
          <w:rtl/>
        </w:rPr>
        <w:t xml:space="preserve"> (9.1.13) בו נידון עניינו של נאשם שהורשע בהחזקת סם מסוג קוקאין במשקל של 43 גרם, שלא לצריכה עצמית, ונידון ל-36 חודשי מאסר בפועל. ערעורו נדחה ובית המשפט העליון קבע כי העונש אינו חורג ממדיניות הענישה; </w:t>
      </w:r>
      <w:hyperlink r:id="rId43" w:history="1">
        <w:r w:rsidRPr="003606C6">
          <w:rPr>
            <w:color w:val="0000FF"/>
            <w:u w:val="single"/>
            <w:rtl/>
          </w:rPr>
          <w:t>ע"פ 6277/14</w:t>
        </w:r>
      </w:hyperlink>
      <w:r w:rsidR="00F83064">
        <w:rPr>
          <w:rFonts w:hint="cs"/>
          <w:rtl/>
        </w:rPr>
        <w:t xml:space="preserve"> </w:t>
      </w:r>
      <w:r w:rsidR="00F83064" w:rsidRPr="00DC6668">
        <w:rPr>
          <w:rFonts w:hint="cs"/>
          <w:b/>
          <w:bCs/>
          <w:rtl/>
        </w:rPr>
        <w:t>אברהם משלטי נגד מדינת ישראל</w:t>
      </w:r>
      <w:r w:rsidR="00F83064">
        <w:rPr>
          <w:rFonts w:hint="cs"/>
          <w:rtl/>
        </w:rPr>
        <w:t xml:space="preserve"> (2.2.15) בו נידון עניינו של נאשם שהורשע בהחזקת סם מסוג קוקאין במשקל של 51.36 גרם, שלא לצריכה עצמית והחזקת כלים. בית המשפט המחוזי קבע מתחם ענישה הנע בין 3 שנות מאסר ועד 5 שנות מאסר, ולאור עבר פלילי מכביד ושיקולים נוספים נגזרו על הנאשם 4 שנות מאסר בפועל</w:t>
      </w:r>
      <w:r w:rsidR="00F83064">
        <w:rPr>
          <w:rFonts w:hint="cs"/>
        </w:rPr>
        <w:t xml:space="preserve"> </w:t>
      </w:r>
      <w:r w:rsidR="00F83064">
        <w:rPr>
          <w:rFonts w:hint="cs"/>
          <w:rtl/>
        </w:rPr>
        <w:t xml:space="preserve"> וכן הופעל מאסר על תנאי, כך שסה"כ הוטלו על הנאשם 5 שנות מאסר. הערעור לבית המשפט העליון נדחה, תוך שנקבע כי </w:t>
      </w:r>
      <w:r w:rsidR="00F83064">
        <w:rPr>
          <w:rFonts w:cs="Miriam" w:hint="cs"/>
          <w:rtl/>
        </w:rPr>
        <w:t>"</w:t>
      </w:r>
      <w:r w:rsidR="00F83064" w:rsidRPr="004C7F28">
        <w:rPr>
          <w:rFonts w:cs="Miriam" w:hint="eastAsia"/>
          <w:rtl/>
        </w:rPr>
        <w:t>המתחם</w:t>
      </w:r>
      <w:r w:rsidR="00F83064" w:rsidRPr="004C7F28">
        <w:rPr>
          <w:rFonts w:cs="Miriam"/>
          <w:rtl/>
        </w:rPr>
        <w:t xml:space="preserve"> </w:t>
      </w:r>
      <w:r w:rsidR="00F83064" w:rsidRPr="004C7F28">
        <w:rPr>
          <w:rFonts w:cs="Miriam" w:hint="eastAsia"/>
          <w:rtl/>
        </w:rPr>
        <w:t>שנקבע</w:t>
      </w:r>
      <w:r w:rsidR="00F83064" w:rsidRPr="004C7F28">
        <w:rPr>
          <w:rFonts w:cs="Miriam"/>
          <w:rtl/>
        </w:rPr>
        <w:t xml:space="preserve"> </w:t>
      </w:r>
      <w:r w:rsidR="00F83064" w:rsidRPr="004C7F28">
        <w:rPr>
          <w:rFonts w:cs="Miriam" w:hint="eastAsia"/>
          <w:rtl/>
        </w:rPr>
        <w:t>והעונש</w:t>
      </w:r>
      <w:r w:rsidR="00F83064" w:rsidRPr="004C7F28">
        <w:rPr>
          <w:rFonts w:cs="Miriam"/>
          <w:rtl/>
        </w:rPr>
        <w:t xml:space="preserve"> </w:t>
      </w:r>
      <w:r w:rsidR="00F83064" w:rsidRPr="004C7F28">
        <w:rPr>
          <w:rFonts w:cs="Miriam" w:hint="eastAsia"/>
          <w:rtl/>
        </w:rPr>
        <w:t>אינם</w:t>
      </w:r>
      <w:r w:rsidR="00F83064" w:rsidRPr="004C7F28">
        <w:rPr>
          <w:rFonts w:cs="Miriam"/>
          <w:rtl/>
        </w:rPr>
        <w:t xml:space="preserve"> </w:t>
      </w:r>
      <w:r w:rsidR="00F83064" w:rsidRPr="004C7F28">
        <w:rPr>
          <w:rFonts w:cs="Miriam" w:hint="eastAsia"/>
          <w:rtl/>
        </w:rPr>
        <w:t>חמורים</w:t>
      </w:r>
      <w:r w:rsidR="00F83064" w:rsidRPr="004C7F28">
        <w:rPr>
          <w:rFonts w:cs="Miriam"/>
          <w:rtl/>
        </w:rPr>
        <w:t xml:space="preserve"> </w:t>
      </w:r>
      <w:r w:rsidR="00F83064" w:rsidRPr="004C7F28">
        <w:rPr>
          <w:rFonts w:cs="Miriam" w:hint="eastAsia"/>
          <w:rtl/>
        </w:rPr>
        <w:t>יתר</w:t>
      </w:r>
      <w:r w:rsidR="00F83064" w:rsidRPr="004C7F28">
        <w:rPr>
          <w:rFonts w:cs="Miriam"/>
          <w:rtl/>
        </w:rPr>
        <w:t xml:space="preserve"> </w:t>
      </w:r>
      <w:r w:rsidR="00F83064" w:rsidRPr="004C7F28">
        <w:rPr>
          <w:rFonts w:cs="Miriam" w:hint="eastAsia"/>
          <w:rtl/>
        </w:rPr>
        <w:t>על</w:t>
      </w:r>
      <w:r w:rsidR="00F83064" w:rsidRPr="004C7F28">
        <w:rPr>
          <w:rFonts w:cs="Miriam"/>
          <w:rtl/>
        </w:rPr>
        <w:t xml:space="preserve"> </w:t>
      </w:r>
      <w:r w:rsidR="00F83064" w:rsidRPr="004C7F28">
        <w:rPr>
          <w:rFonts w:cs="Miriam" w:hint="eastAsia"/>
          <w:rtl/>
        </w:rPr>
        <w:t>המידה</w:t>
      </w:r>
      <w:r w:rsidR="00F83064">
        <w:rPr>
          <w:rFonts w:cs="Miriam" w:hint="cs"/>
          <w:rtl/>
        </w:rPr>
        <w:t>"</w:t>
      </w:r>
      <w:bookmarkStart w:id="7" w:name="Text1"/>
      <w:r w:rsidR="00F83064">
        <w:rPr>
          <w:rFonts w:hint="cs"/>
          <w:rtl/>
        </w:rPr>
        <w:t xml:space="preserve">; </w:t>
      </w:r>
      <w:hyperlink r:id="rId44" w:history="1">
        <w:r w:rsidRPr="003606C6">
          <w:rPr>
            <w:color w:val="0000FF"/>
            <w:u w:val="single"/>
            <w:rtl/>
          </w:rPr>
          <w:t>רע"פ 5354/12</w:t>
        </w:r>
      </w:hyperlink>
      <w:r w:rsidR="00F83064" w:rsidRPr="00C23298">
        <w:rPr>
          <w:rtl/>
        </w:rPr>
        <w:t xml:space="preserve"> </w:t>
      </w:r>
      <w:r w:rsidR="00F83064" w:rsidRPr="00C23298">
        <w:rPr>
          <w:rFonts w:hint="eastAsia"/>
          <w:b/>
          <w:bCs/>
          <w:rtl/>
        </w:rPr>
        <w:t>עופר</w:t>
      </w:r>
      <w:r w:rsidR="00F83064" w:rsidRPr="00C23298">
        <w:rPr>
          <w:b/>
          <w:bCs/>
          <w:rtl/>
        </w:rPr>
        <w:t xml:space="preserve"> </w:t>
      </w:r>
      <w:r w:rsidR="00F83064" w:rsidRPr="00C23298">
        <w:rPr>
          <w:rFonts w:hint="eastAsia"/>
          <w:b/>
          <w:bCs/>
          <w:rtl/>
        </w:rPr>
        <w:t>קובר</w:t>
      </w:r>
      <w:r w:rsidR="00F83064" w:rsidRPr="00C23298">
        <w:rPr>
          <w:b/>
          <w:bCs/>
          <w:rtl/>
        </w:rPr>
        <w:t xml:space="preserve"> </w:t>
      </w:r>
      <w:r w:rsidR="00F83064" w:rsidRPr="00C23298">
        <w:rPr>
          <w:rFonts w:hint="eastAsia"/>
          <w:b/>
          <w:bCs/>
          <w:rtl/>
        </w:rPr>
        <w:t>נ</w:t>
      </w:r>
      <w:r w:rsidR="00F83064" w:rsidRPr="00C23298">
        <w:rPr>
          <w:b/>
          <w:bCs/>
          <w:rtl/>
        </w:rPr>
        <w:t xml:space="preserve">' </w:t>
      </w:r>
      <w:r w:rsidR="00F83064" w:rsidRPr="00C23298">
        <w:rPr>
          <w:rFonts w:hint="eastAsia"/>
          <w:b/>
          <w:bCs/>
          <w:rtl/>
        </w:rPr>
        <w:t>מדינת</w:t>
      </w:r>
      <w:r w:rsidR="00F83064" w:rsidRPr="00C23298">
        <w:rPr>
          <w:b/>
          <w:bCs/>
          <w:rtl/>
        </w:rPr>
        <w:t xml:space="preserve"> </w:t>
      </w:r>
      <w:r w:rsidR="00F83064" w:rsidRPr="00C23298">
        <w:rPr>
          <w:rFonts w:hint="eastAsia"/>
          <w:b/>
          <w:bCs/>
          <w:rtl/>
        </w:rPr>
        <w:t>ישראל</w:t>
      </w:r>
      <w:bookmarkEnd w:id="7"/>
      <w:r w:rsidR="00F83064" w:rsidRPr="00AA5C5B">
        <w:rPr>
          <w:rFonts w:hint="cs"/>
          <w:b/>
          <w:bCs/>
          <w:rtl/>
        </w:rPr>
        <w:t xml:space="preserve"> </w:t>
      </w:r>
      <w:r w:rsidR="00F83064">
        <w:rPr>
          <w:rFonts w:hint="cs"/>
          <w:rtl/>
        </w:rPr>
        <w:t xml:space="preserve">(12.7.12), בו נידון נאשם שהחזיק כ-38 גרם סם מסוג קוקאין ל-14 חודשי מאסר חרף הליך שיקומי מוצלח. בית משפט השלום קבע מתחם עונש הנע בין 18 חודשי מאסר בפועל ועד 36 חודשי מאסר וכאמור חרג משיקולי שיקום לכדי עונש מאסר בן 14 חודשים. בית המשפט המחוזי דחה את ערעורו וכך גם בית המשפט העליון; </w:t>
      </w:r>
      <w:hyperlink r:id="rId45" w:history="1">
        <w:r w:rsidRPr="003606C6">
          <w:rPr>
            <w:color w:val="0000FF"/>
            <w:u w:val="single"/>
            <w:rtl/>
          </w:rPr>
          <w:t>עפ"ג 7474-09-17</w:t>
        </w:r>
      </w:hyperlink>
      <w:r w:rsidR="00F83064" w:rsidRPr="00B6146A">
        <w:rPr>
          <w:rtl/>
        </w:rPr>
        <w:t xml:space="preserve"> </w:t>
      </w:r>
      <w:r w:rsidR="00F83064" w:rsidRPr="00B6146A">
        <w:rPr>
          <w:b/>
          <w:bCs/>
          <w:rtl/>
        </w:rPr>
        <w:t>מדינת ישראל נ' שגב</w:t>
      </w:r>
      <w:r w:rsidR="00F83064">
        <w:rPr>
          <w:rFonts w:hint="cs"/>
          <w:rtl/>
        </w:rPr>
        <w:t xml:space="preserve"> (26.2.17) בו הורשע נאשם בעבירה של החזקת סם מסוג קוקאין במשקל של 31.37 גרם, ולאור הליך שיקום משמעותי נידון הנאשם ל-6 חודשי עבודות שירות;  </w:t>
      </w:r>
      <w:hyperlink r:id="rId46" w:history="1">
        <w:r w:rsidR="008314B0" w:rsidRPr="008314B0">
          <w:rPr>
            <w:color w:val="0000FF"/>
            <w:u w:val="single"/>
            <w:rtl/>
          </w:rPr>
          <w:t xml:space="preserve">עפ"ג 4757-09-12 </w:t>
        </w:r>
      </w:hyperlink>
      <w:r w:rsidR="00F83064">
        <w:rPr>
          <w:rFonts w:hint="cs"/>
          <w:rtl/>
        </w:rPr>
        <w:t xml:space="preserve"> </w:t>
      </w:r>
      <w:r w:rsidR="00F83064">
        <w:rPr>
          <w:rFonts w:hint="cs"/>
          <w:b/>
          <w:bCs/>
          <w:rtl/>
        </w:rPr>
        <w:t xml:space="preserve">דהן נ' מדינת ישראל </w:t>
      </w:r>
      <w:r w:rsidR="00F83064">
        <w:rPr>
          <w:rFonts w:hint="cs"/>
          <w:rtl/>
        </w:rPr>
        <w:t xml:space="preserve">(21.3.13) נידון עניינו של נאשם שהורשע בהחזקת סם מסוג קוקאין במשקל של 17.2 גרם נטו מחולק ל-6 אריזות ונידון ל-12 חודשי מאסר בפועל. </w:t>
      </w:r>
    </w:p>
    <w:p w14:paraId="0B53D391" w14:textId="77777777" w:rsidR="00F83064" w:rsidRDefault="00F83064" w:rsidP="00F83064">
      <w:pPr>
        <w:spacing w:line="360" w:lineRule="auto"/>
        <w:jc w:val="both"/>
        <w:rPr>
          <w:rtl/>
        </w:rPr>
      </w:pPr>
    </w:p>
    <w:p w14:paraId="29E814B4" w14:textId="77777777" w:rsidR="00F83064" w:rsidRDefault="00F83064" w:rsidP="00F83064">
      <w:pPr>
        <w:spacing w:line="360" w:lineRule="auto"/>
        <w:jc w:val="both"/>
        <w:rPr>
          <w:u w:val="single"/>
          <w:rtl/>
        </w:rPr>
      </w:pPr>
    </w:p>
    <w:p w14:paraId="476F0B9E" w14:textId="77777777" w:rsidR="00F83064" w:rsidRDefault="00F83064" w:rsidP="00F83064">
      <w:pPr>
        <w:spacing w:line="360" w:lineRule="auto"/>
        <w:jc w:val="both"/>
        <w:rPr>
          <w:u w:val="single"/>
          <w:rtl/>
        </w:rPr>
      </w:pPr>
    </w:p>
    <w:p w14:paraId="0A1D7828" w14:textId="77777777" w:rsidR="00F83064" w:rsidRPr="00D050D3" w:rsidRDefault="00F83064" w:rsidP="00F83064">
      <w:pPr>
        <w:spacing w:line="360" w:lineRule="auto"/>
        <w:jc w:val="both"/>
        <w:rPr>
          <w:u w:val="single"/>
          <w:rtl/>
        </w:rPr>
      </w:pPr>
      <w:r w:rsidRPr="00D050D3">
        <w:rPr>
          <w:rFonts w:hint="cs"/>
          <w:u w:val="single"/>
          <w:rtl/>
        </w:rPr>
        <w:t xml:space="preserve">ביחס לתיק המצורף </w:t>
      </w:r>
    </w:p>
    <w:p w14:paraId="27973C26" w14:textId="77777777" w:rsidR="00F83064" w:rsidRDefault="00F83064" w:rsidP="00F83064">
      <w:pPr>
        <w:spacing w:line="360" w:lineRule="auto"/>
        <w:jc w:val="both"/>
        <w:rPr>
          <w:rtl/>
        </w:rPr>
      </w:pPr>
    </w:p>
    <w:p w14:paraId="6FEB3852" w14:textId="77777777" w:rsidR="00F83064" w:rsidRDefault="003606C6" w:rsidP="00F83064">
      <w:pPr>
        <w:spacing w:line="360" w:lineRule="auto"/>
        <w:jc w:val="both"/>
        <w:rPr>
          <w:rtl/>
        </w:rPr>
      </w:pPr>
      <w:hyperlink r:id="rId47" w:history="1">
        <w:r w:rsidRPr="003606C6">
          <w:rPr>
            <w:color w:val="0000FF"/>
            <w:u w:val="single"/>
            <w:rtl/>
          </w:rPr>
          <w:t>ת"פ 22160-02-14</w:t>
        </w:r>
      </w:hyperlink>
      <w:r w:rsidR="00F83064">
        <w:rPr>
          <w:rFonts w:hint="cs"/>
          <w:rtl/>
        </w:rPr>
        <w:t xml:space="preserve"> </w:t>
      </w:r>
      <w:r w:rsidR="00F83064" w:rsidRPr="004C7F28">
        <w:rPr>
          <w:rFonts w:hint="cs"/>
          <w:b/>
          <w:bCs/>
          <w:rtl/>
        </w:rPr>
        <w:t xml:space="preserve">מדינת ישראל </w:t>
      </w:r>
      <w:r w:rsidR="00F83064">
        <w:rPr>
          <w:rFonts w:hint="cs"/>
          <w:b/>
          <w:bCs/>
          <w:rtl/>
        </w:rPr>
        <w:t>נ' מוטי אביקסיס</w:t>
      </w:r>
      <w:r w:rsidR="00F83064">
        <w:rPr>
          <w:rFonts w:hint="cs"/>
          <w:rtl/>
        </w:rPr>
        <w:t xml:space="preserve"> (11.11.14) בו הורשע נאשם בהחזקת סם מסוג קוקאין במשקל של 4 גרם ונידון ל-6 חודשי מאסר בעבודות שירות; </w:t>
      </w:r>
      <w:hyperlink r:id="rId48" w:history="1">
        <w:r w:rsidRPr="003606C6">
          <w:rPr>
            <w:color w:val="0000FF"/>
            <w:u w:val="single"/>
            <w:rtl/>
          </w:rPr>
          <w:t>עפ"ג 26655-04-14</w:t>
        </w:r>
      </w:hyperlink>
      <w:r w:rsidR="00F83064">
        <w:rPr>
          <w:rFonts w:hint="cs"/>
          <w:rtl/>
        </w:rPr>
        <w:t xml:space="preserve"> </w:t>
      </w:r>
      <w:r w:rsidR="00F83064">
        <w:rPr>
          <w:rFonts w:hint="cs"/>
          <w:b/>
          <w:bCs/>
          <w:rtl/>
        </w:rPr>
        <w:t>חמדאן</w:t>
      </w:r>
      <w:r w:rsidR="00F83064">
        <w:rPr>
          <w:rFonts w:hint="cs"/>
          <w:rtl/>
        </w:rPr>
        <w:t xml:space="preserve"> </w:t>
      </w:r>
      <w:r w:rsidR="00F83064">
        <w:rPr>
          <w:rFonts w:hint="cs"/>
          <w:b/>
          <w:bCs/>
          <w:rtl/>
        </w:rPr>
        <w:t xml:space="preserve">נ' מדינת ישראל </w:t>
      </w:r>
      <w:r w:rsidR="00F83064">
        <w:rPr>
          <w:rFonts w:hint="cs"/>
          <w:rtl/>
        </w:rPr>
        <w:t xml:space="preserve">(10.9.14) בו נידון עניינו של נאשם שהורשע בהחזקת סם מסוג קוקאין במשקל של 5.24 גרם נטו ונגזרו עליו 8 חודשי מאסר בפועל; </w:t>
      </w:r>
      <w:hyperlink r:id="rId49" w:history="1">
        <w:r w:rsidRPr="003606C6">
          <w:rPr>
            <w:color w:val="0000FF"/>
            <w:u w:val="single"/>
            <w:rtl/>
          </w:rPr>
          <w:t>ת.פ 46051-06-15</w:t>
        </w:r>
      </w:hyperlink>
      <w:r w:rsidR="00F83064">
        <w:rPr>
          <w:rFonts w:hint="cs"/>
          <w:rtl/>
        </w:rPr>
        <w:t xml:space="preserve"> </w:t>
      </w:r>
      <w:r w:rsidR="00F83064" w:rsidRPr="00756738">
        <w:rPr>
          <w:rFonts w:hint="cs"/>
          <w:b/>
          <w:bCs/>
          <w:rtl/>
        </w:rPr>
        <w:t>מדינת ישראל נ' יוסי בג'רנו</w:t>
      </w:r>
      <w:r w:rsidR="00F83064">
        <w:rPr>
          <w:rFonts w:hint="cs"/>
          <w:rtl/>
        </w:rPr>
        <w:t xml:space="preserve"> (20.9.16) בו נידון נאשם שהחזיק 5 גרם קוקאין שלא לשימוש עצמי ונקבע מתחם ענישה הנע בין 4 חודשי מאסר בפועל ועד 18 חודשי מאסר. </w:t>
      </w:r>
    </w:p>
    <w:p w14:paraId="2DDC9CAC" w14:textId="77777777" w:rsidR="00F83064" w:rsidRPr="004C7F28" w:rsidRDefault="00F83064" w:rsidP="00F83064">
      <w:pPr>
        <w:spacing w:line="360" w:lineRule="auto"/>
        <w:jc w:val="both"/>
        <w:rPr>
          <w:rtl/>
        </w:rPr>
      </w:pPr>
    </w:p>
    <w:p w14:paraId="03734822" w14:textId="77777777" w:rsidR="00F83064" w:rsidRDefault="00F83064" w:rsidP="00F83064">
      <w:pPr>
        <w:spacing w:line="360" w:lineRule="auto"/>
        <w:jc w:val="both"/>
        <w:rPr>
          <w:rtl/>
        </w:rPr>
      </w:pPr>
      <w:r>
        <w:rPr>
          <w:rFonts w:hint="cs"/>
          <w:rtl/>
        </w:rPr>
        <w:t>10.</w:t>
      </w:r>
      <w:r>
        <w:rPr>
          <w:rtl/>
        </w:rPr>
        <w:tab/>
      </w:r>
      <w:r>
        <w:rPr>
          <w:rFonts w:hint="cs"/>
          <w:rtl/>
        </w:rPr>
        <w:t>לאור כל זאת, אני בדעה כי מתחם העונש ההולם את העבירה נשוא התיק העיקרי נע בין 15 חודשי מאסר בפועל ועד 36 חודשי מאסר בפועל, וכי מתחם העונש ההולם את העבירה מושא התיק המצורף, נע בין מספר חודשי מאסר שניתן לשאת בהם בעבודות שירות ועד 18 חודשי מאסר בפועל.</w:t>
      </w:r>
    </w:p>
    <w:p w14:paraId="78A2E510" w14:textId="77777777" w:rsidR="00F83064" w:rsidRDefault="00F83064" w:rsidP="00F83064">
      <w:pPr>
        <w:spacing w:line="360" w:lineRule="auto"/>
        <w:jc w:val="both"/>
        <w:rPr>
          <w:rtl/>
        </w:rPr>
      </w:pPr>
    </w:p>
    <w:p w14:paraId="1C3A972B" w14:textId="77777777" w:rsidR="00F83064" w:rsidRDefault="00F83064" w:rsidP="00F83064">
      <w:pPr>
        <w:spacing w:line="360" w:lineRule="auto"/>
        <w:jc w:val="both"/>
        <w:rPr>
          <w:rFonts w:ascii="David" w:hAnsi="David"/>
          <w:b/>
          <w:bCs/>
          <w:u w:val="single"/>
          <w:rtl/>
        </w:rPr>
      </w:pPr>
      <w:r w:rsidRPr="0011085D">
        <w:rPr>
          <w:rFonts w:ascii="David" w:hAnsi="David" w:hint="eastAsia"/>
          <w:b/>
          <w:bCs/>
          <w:u w:val="single"/>
          <w:rtl/>
        </w:rPr>
        <w:t>קביעת</w:t>
      </w:r>
      <w:r w:rsidRPr="0011085D">
        <w:rPr>
          <w:rFonts w:ascii="David" w:hAnsi="David"/>
          <w:b/>
          <w:bCs/>
          <w:u w:val="single"/>
          <w:rtl/>
        </w:rPr>
        <w:t xml:space="preserve"> </w:t>
      </w:r>
      <w:r w:rsidRPr="0011085D">
        <w:rPr>
          <w:rFonts w:ascii="David" w:hAnsi="David" w:hint="eastAsia"/>
          <w:b/>
          <w:bCs/>
          <w:u w:val="single"/>
          <w:rtl/>
        </w:rPr>
        <w:t>עונשו</w:t>
      </w:r>
      <w:r w:rsidRPr="0011085D">
        <w:rPr>
          <w:rFonts w:ascii="David" w:hAnsi="David"/>
          <w:b/>
          <w:bCs/>
          <w:u w:val="single"/>
          <w:rtl/>
        </w:rPr>
        <w:t xml:space="preserve"> </w:t>
      </w:r>
      <w:r w:rsidRPr="0011085D">
        <w:rPr>
          <w:rFonts w:ascii="David" w:hAnsi="David" w:hint="eastAsia"/>
          <w:b/>
          <w:bCs/>
          <w:u w:val="single"/>
          <w:rtl/>
        </w:rPr>
        <w:t>של</w:t>
      </w:r>
      <w:r w:rsidRPr="0011085D">
        <w:rPr>
          <w:rFonts w:ascii="David" w:hAnsi="David"/>
          <w:b/>
          <w:bCs/>
          <w:u w:val="single"/>
          <w:rtl/>
        </w:rPr>
        <w:t xml:space="preserve"> </w:t>
      </w:r>
      <w:r w:rsidRPr="0011085D">
        <w:rPr>
          <w:rFonts w:ascii="David" w:hAnsi="David" w:hint="eastAsia"/>
          <w:b/>
          <w:bCs/>
          <w:u w:val="single"/>
          <w:rtl/>
        </w:rPr>
        <w:t>הנאשם</w:t>
      </w:r>
    </w:p>
    <w:p w14:paraId="0EC605F2" w14:textId="77777777" w:rsidR="00F83064" w:rsidRDefault="00F83064" w:rsidP="00F83064">
      <w:pPr>
        <w:spacing w:line="360" w:lineRule="auto"/>
        <w:jc w:val="both"/>
        <w:rPr>
          <w:rFonts w:ascii="David" w:hAnsi="David"/>
          <w:b/>
          <w:bCs/>
          <w:u w:val="single"/>
          <w:rtl/>
        </w:rPr>
      </w:pPr>
    </w:p>
    <w:p w14:paraId="5DDEC6AA" w14:textId="77777777" w:rsidR="00F83064" w:rsidRDefault="00F83064" w:rsidP="00F83064">
      <w:pPr>
        <w:spacing w:line="360" w:lineRule="auto"/>
        <w:jc w:val="both"/>
        <w:rPr>
          <w:rFonts w:ascii="David" w:hAnsi="David"/>
          <w:rtl/>
        </w:rPr>
      </w:pPr>
      <w:r>
        <w:rPr>
          <w:rFonts w:ascii="David" w:hAnsi="David" w:hint="cs"/>
          <w:rtl/>
        </w:rPr>
        <w:t xml:space="preserve">11. </w:t>
      </w:r>
      <w:r>
        <w:rPr>
          <w:rFonts w:ascii="David" w:hAnsi="David"/>
          <w:rtl/>
        </w:rPr>
        <w:tab/>
      </w:r>
      <w:r>
        <w:rPr>
          <w:rFonts w:ascii="David" w:hAnsi="David" w:hint="cs"/>
          <w:rtl/>
        </w:rPr>
        <w:t xml:space="preserve">לא הייתה מחלוקת בין הצדדים כי העונש אמור להיגזר בגדרי מתחמי הענישה. לא נטען דבר בעניין סיכויי השיקום של הנאשם, ואכן לא מצאתי הצדקה לחריגה לקולה ממתחם הענישה. בכל מקרה, אציין כי לא התבקש תסקיר בעניינו של הנאשם ולא הובאו בפני כל נתונים מהם ניתן להסיק כי לנאשם סיכוי שיקום ממשיים המצדיקים נקיטת הליכי שיקום בעניינו. </w:t>
      </w:r>
    </w:p>
    <w:p w14:paraId="467858F9" w14:textId="77777777" w:rsidR="00F83064" w:rsidRDefault="00F83064" w:rsidP="00F83064">
      <w:pPr>
        <w:spacing w:line="360" w:lineRule="auto"/>
        <w:jc w:val="both"/>
        <w:rPr>
          <w:rFonts w:ascii="David" w:hAnsi="David"/>
          <w:rtl/>
        </w:rPr>
      </w:pPr>
    </w:p>
    <w:p w14:paraId="11FA33E8" w14:textId="77777777" w:rsidR="00F83064" w:rsidRDefault="00F83064" w:rsidP="00F83064">
      <w:pPr>
        <w:spacing w:line="360" w:lineRule="auto"/>
        <w:jc w:val="both"/>
        <w:rPr>
          <w:rFonts w:ascii="David" w:hAnsi="David"/>
          <w:rtl/>
        </w:rPr>
      </w:pPr>
      <w:r>
        <w:rPr>
          <w:rFonts w:ascii="David" w:hAnsi="David" w:hint="cs"/>
          <w:rtl/>
        </w:rPr>
        <w:t xml:space="preserve">12. </w:t>
      </w:r>
      <w:r>
        <w:rPr>
          <w:rFonts w:ascii="David" w:hAnsi="David"/>
          <w:rtl/>
        </w:rPr>
        <w:tab/>
      </w:r>
      <w:r>
        <w:rPr>
          <w:rtl/>
        </w:rPr>
        <w:t>לצורך קביעת עונשו של הנאשם, הבאתי בחשבון</w:t>
      </w:r>
      <w:r>
        <w:rPr>
          <w:rFonts w:hint="cs"/>
          <w:rtl/>
        </w:rPr>
        <w:t xml:space="preserve"> לקולה </w:t>
      </w:r>
      <w:r>
        <w:rPr>
          <w:rtl/>
        </w:rPr>
        <w:t>את הודאתו בעבירות</w:t>
      </w:r>
      <w:r>
        <w:rPr>
          <w:rFonts w:hint="cs"/>
          <w:rtl/>
        </w:rPr>
        <w:t xml:space="preserve"> ואת החרטה כפי שביטא בפני</w:t>
      </w:r>
      <w:r>
        <w:rPr>
          <w:rtl/>
        </w:rPr>
        <w:t xml:space="preserve">. עוד הבאתי בחשבון את גילו הצעיר של הנאשם, אשר היה בעת ביצוע העבירות כבן </w:t>
      </w:r>
      <w:r>
        <w:rPr>
          <w:rFonts w:hint="cs"/>
          <w:rtl/>
        </w:rPr>
        <w:t xml:space="preserve">26 בלבד, את נסיבותיו האישיות כפי שהובאו בפני, וכן </w:t>
      </w:r>
      <w:r>
        <w:rPr>
          <w:rtl/>
        </w:rPr>
        <w:t xml:space="preserve">את </w:t>
      </w:r>
      <w:r>
        <w:rPr>
          <w:rFonts w:hint="cs"/>
          <w:rtl/>
        </w:rPr>
        <w:t>התקופה בה שהה בתנאים המגבילים (עד אשר נעצר בגין תיק אחר בעטיו הוא נושא כיום עונש מאסר). לחומרה,</w:t>
      </w:r>
      <w:r>
        <w:rPr>
          <w:rtl/>
        </w:rPr>
        <w:t xml:space="preserve"> </w:t>
      </w:r>
      <w:r>
        <w:rPr>
          <w:rFonts w:ascii="David" w:hAnsi="David" w:hint="cs"/>
          <w:rtl/>
        </w:rPr>
        <w:t xml:space="preserve">הבאתי בחשבון את עברו הפלילי של הנאשם, הכולל הרשעה בעבירות רכוש וכן הרשעה מאוחרת, בגין עבירות סמים חמורות,  ובגינה כאמור, הוא נתון כיום במאסר. </w:t>
      </w:r>
    </w:p>
    <w:p w14:paraId="46A610E4" w14:textId="77777777" w:rsidR="00F83064" w:rsidRDefault="00F83064" w:rsidP="00F83064">
      <w:pPr>
        <w:spacing w:line="360" w:lineRule="auto"/>
        <w:jc w:val="both"/>
        <w:rPr>
          <w:rFonts w:ascii="David" w:hAnsi="David"/>
          <w:rtl/>
        </w:rPr>
      </w:pPr>
    </w:p>
    <w:p w14:paraId="6BE2CAD9" w14:textId="77777777" w:rsidR="00F83064" w:rsidRPr="0056690B" w:rsidRDefault="00F83064" w:rsidP="00F83064">
      <w:pPr>
        <w:spacing w:line="360" w:lineRule="auto"/>
        <w:jc w:val="both"/>
        <w:rPr>
          <w:rFonts w:ascii="David" w:hAnsi="David"/>
          <w:rtl/>
        </w:rPr>
      </w:pPr>
      <w:r>
        <w:rPr>
          <w:rFonts w:ascii="David" w:hAnsi="David" w:hint="cs"/>
          <w:rtl/>
        </w:rPr>
        <w:t xml:space="preserve">13. </w:t>
      </w:r>
      <w:r>
        <w:rPr>
          <w:rFonts w:ascii="David" w:hAnsi="David"/>
          <w:rtl/>
        </w:rPr>
        <w:tab/>
      </w:r>
      <w:r w:rsidRPr="00756738">
        <w:rPr>
          <w:rFonts w:ascii="David" w:hAnsi="David" w:hint="cs"/>
          <w:b/>
          <w:bCs/>
          <w:rtl/>
        </w:rPr>
        <w:t>ביחס לשאלת צבירת העונש שיוטל בתיק זה</w:t>
      </w:r>
      <w:r>
        <w:rPr>
          <w:rFonts w:ascii="David" w:hAnsi="David" w:hint="cs"/>
          <w:b/>
          <w:bCs/>
          <w:rtl/>
        </w:rPr>
        <w:t>,</w:t>
      </w:r>
      <w:r w:rsidRPr="00756738">
        <w:rPr>
          <w:rFonts w:ascii="David" w:hAnsi="David" w:hint="cs"/>
          <w:b/>
          <w:bCs/>
          <w:rtl/>
        </w:rPr>
        <w:t xml:space="preserve"> לעונש בו נושא כיום הנאשם</w:t>
      </w:r>
      <w:r>
        <w:rPr>
          <w:rFonts w:ascii="David" w:hAnsi="David" w:hint="cs"/>
          <w:rtl/>
        </w:rPr>
        <w:t xml:space="preserve">: כידוע בנושא זה חל הכלל הקבוע </w:t>
      </w:r>
      <w:hyperlink r:id="rId50" w:history="1">
        <w:r w:rsidR="00134A08" w:rsidRPr="00134A08">
          <w:rPr>
            <w:rFonts w:ascii="David" w:hAnsi="David"/>
            <w:color w:val="0000FF"/>
            <w:u w:val="single"/>
            <w:rtl/>
          </w:rPr>
          <w:t>בסעיף 45(ב)</w:t>
        </w:r>
      </w:hyperlink>
      <w:r w:rsidRPr="00AD0187">
        <w:rPr>
          <w:rFonts w:ascii="David" w:hAnsi="David"/>
          <w:rtl/>
        </w:rPr>
        <w:t xml:space="preserve"> </w:t>
      </w:r>
      <w:r>
        <w:rPr>
          <w:rFonts w:ascii="David" w:hAnsi="David" w:hint="cs"/>
          <w:rtl/>
        </w:rPr>
        <w:t>ל</w:t>
      </w:r>
      <w:hyperlink r:id="rId51" w:history="1">
        <w:r w:rsidR="003606C6" w:rsidRPr="003606C6">
          <w:rPr>
            <w:rFonts w:ascii="David" w:hAnsi="David"/>
            <w:color w:val="0000FF"/>
            <w:u w:val="single"/>
            <w:rtl/>
          </w:rPr>
          <w:t>חוק העונשין</w:t>
        </w:r>
      </w:hyperlink>
      <w:r>
        <w:rPr>
          <w:rFonts w:ascii="David" w:hAnsi="David" w:hint="cs"/>
          <w:rtl/>
        </w:rPr>
        <w:t xml:space="preserve">, לפיו באם בית המשפט שגזר אחרון את הדין, נמנע  מקביעה, הרי שהנאשם יישא בעונש המאסר הארוך בלבד מבין השניים. בפסיקה נקבע כי מדובר בכלל פרשני בלבד למצבי ברירת מחדל, אשר אינו מבטא עמדה ערכית כלשהי. בעניין זה ראו </w:t>
      </w:r>
      <w:hyperlink r:id="rId52" w:history="1">
        <w:r w:rsidR="003606C6" w:rsidRPr="003606C6">
          <w:rPr>
            <w:rFonts w:ascii="David" w:hAnsi="David"/>
            <w:color w:val="0000FF"/>
            <w:u w:val="single"/>
            <w:rtl/>
          </w:rPr>
          <w:t>ע"פ 7907/14</w:t>
        </w:r>
      </w:hyperlink>
      <w:r>
        <w:rPr>
          <w:rFonts w:ascii="David" w:hAnsi="David"/>
          <w:rtl/>
        </w:rPr>
        <w:t xml:space="preserve"> ‏ </w:t>
      </w:r>
      <w:r w:rsidRPr="0056690B">
        <w:rPr>
          <w:rFonts w:ascii="David" w:hAnsi="David"/>
          <w:b/>
          <w:bCs/>
          <w:rtl/>
        </w:rPr>
        <w:t>‏עומרי ואזנה נ' מדינת ישראל</w:t>
      </w:r>
      <w:r>
        <w:rPr>
          <w:rFonts w:ascii="David" w:hAnsi="David" w:hint="cs"/>
          <w:rtl/>
        </w:rPr>
        <w:t xml:space="preserve"> (22.2.15) בו צוין כי:</w:t>
      </w:r>
    </w:p>
    <w:p w14:paraId="768CE6BB" w14:textId="77777777" w:rsidR="00F83064" w:rsidRDefault="00F83064" w:rsidP="00F83064">
      <w:pPr>
        <w:spacing w:line="360" w:lineRule="auto"/>
        <w:jc w:val="both"/>
        <w:rPr>
          <w:rFonts w:ascii="David" w:hAnsi="David"/>
          <w:rtl/>
        </w:rPr>
      </w:pPr>
    </w:p>
    <w:p w14:paraId="167C9689" w14:textId="77777777" w:rsidR="00F83064" w:rsidRPr="0056690B" w:rsidRDefault="00F83064" w:rsidP="00F83064">
      <w:pPr>
        <w:spacing w:line="360" w:lineRule="auto"/>
        <w:ind w:left="1134" w:right="1134"/>
        <w:jc w:val="both"/>
        <w:rPr>
          <w:rFonts w:ascii="David" w:hAnsi="David" w:cs="Miriam"/>
          <w:rtl/>
        </w:rPr>
      </w:pPr>
      <w:r>
        <w:rPr>
          <w:rFonts w:ascii="David" w:hAnsi="David" w:cs="Miriam" w:hint="cs"/>
          <w:rtl/>
        </w:rPr>
        <w:t>"</w:t>
      </w:r>
      <w:r w:rsidRPr="0056690B">
        <w:rPr>
          <w:rFonts w:ascii="David" w:hAnsi="David" w:cs="Miriam"/>
          <w:rtl/>
        </w:rPr>
        <w:t>מדובר בהוראה טכנית-פרשנית-ניטרלית, שנועדה אך למלא את החסר מקום שבית המשפט לא קבע במפורש אם העונשים ירוצו באופן חופף או במצטבר. הוראה זו אינה קובעת עקרון מנחה של חפיפת עונשים ולא הכרעה ערכית לפיה בנסיבות כאלה ראוי לקבוע עונשים באופן חופף</w:t>
      </w:r>
      <w:r>
        <w:rPr>
          <w:rFonts w:ascii="David" w:hAnsi="David" w:cs="Miriam" w:hint="cs"/>
          <w:rtl/>
        </w:rPr>
        <w:t>"</w:t>
      </w:r>
      <w:r w:rsidRPr="0056690B">
        <w:rPr>
          <w:rFonts w:ascii="David" w:hAnsi="David" w:cs="Miriam"/>
          <w:rtl/>
        </w:rPr>
        <w:t xml:space="preserve"> </w:t>
      </w:r>
    </w:p>
    <w:p w14:paraId="44A7D053" w14:textId="77777777" w:rsidR="00F83064" w:rsidRDefault="00F83064" w:rsidP="00F83064">
      <w:pPr>
        <w:spacing w:line="360" w:lineRule="auto"/>
        <w:jc w:val="both"/>
        <w:rPr>
          <w:rFonts w:ascii="David" w:hAnsi="David"/>
          <w:rtl/>
        </w:rPr>
      </w:pPr>
    </w:p>
    <w:p w14:paraId="74EFCFB9" w14:textId="77777777" w:rsidR="00F83064" w:rsidRDefault="00F83064" w:rsidP="00F83064">
      <w:pPr>
        <w:spacing w:line="360" w:lineRule="auto"/>
        <w:jc w:val="both"/>
        <w:rPr>
          <w:rFonts w:ascii="David" w:hAnsi="David"/>
          <w:rtl/>
        </w:rPr>
      </w:pPr>
      <w:r>
        <w:rPr>
          <w:rFonts w:ascii="David" w:hAnsi="David"/>
          <w:rtl/>
        </w:rPr>
        <w:tab/>
      </w:r>
      <w:r w:rsidRPr="00AD0187">
        <w:rPr>
          <w:rFonts w:ascii="David" w:hAnsi="David"/>
          <w:rtl/>
        </w:rPr>
        <w:t>(ראו</w:t>
      </w:r>
      <w:r>
        <w:rPr>
          <w:rFonts w:ascii="David" w:hAnsi="David" w:hint="cs"/>
          <w:rtl/>
        </w:rPr>
        <w:t xml:space="preserve"> גם</w:t>
      </w:r>
      <w:r w:rsidRPr="00AD0187">
        <w:rPr>
          <w:rFonts w:ascii="David" w:hAnsi="David"/>
          <w:rtl/>
        </w:rPr>
        <w:t xml:space="preserve"> </w:t>
      </w:r>
      <w:hyperlink r:id="rId53" w:history="1">
        <w:r w:rsidR="003606C6" w:rsidRPr="003606C6">
          <w:rPr>
            <w:rFonts w:ascii="David" w:hAnsi="David"/>
            <w:color w:val="0000FF"/>
            <w:u w:val="single"/>
            <w:rtl/>
          </w:rPr>
          <w:t>בג"ץ 423/10</w:t>
        </w:r>
      </w:hyperlink>
      <w:r w:rsidRPr="00AD0187">
        <w:rPr>
          <w:rFonts w:ascii="David" w:hAnsi="David"/>
          <w:rtl/>
        </w:rPr>
        <w:t xml:space="preserve"> </w:t>
      </w:r>
      <w:r w:rsidRPr="0056690B">
        <w:rPr>
          <w:rFonts w:ascii="David" w:hAnsi="David"/>
          <w:b/>
          <w:bCs/>
          <w:rtl/>
        </w:rPr>
        <w:t>יגרמן נ' מדינת ישראל</w:t>
      </w:r>
      <w:r>
        <w:rPr>
          <w:rFonts w:ascii="David" w:hAnsi="David" w:hint="cs"/>
          <w:rtl/>
        </w:rPr>
        <w:t xml:space="preserve"> </w:t>
      </w:r>
      <w:r w:rsidRPr="00AD0187">
        <w:rPr>
          <w:rFonts w:ascii="David" w:hAnsi="David"/>
          <w:rtl/>
        </w:rPr>
        <w:t>(30.6.</w:t>
      </w:r>
      <w:r>
        <w:rPr>
          <w:rFonts w:ascii="David" w:hAnsi="David" w:hint="cs"/>
          <w:rtl/>
        </w:rPr>
        <w:t>10</w:t>
      </w:r>
      <w:r w:rsidRPr="00AD0187">
        <w:rPr>
          <w:rFonts w:ascii="David" w:hAnsi="David"/>
          <w:rtl/>
        </w:rPr>
        <w:t>)</w:t>
      </w:r>
      <w:r>
        <w:rPr>
          <w:rFonts w:ascii="David" w:hAnsi="David" w:hint="cs"/>
          <w:rtl/>
        </w:rPr>
        <w:t>;</w:t>
      </w:r>
      <w:r w:rsidRPr="00AD0187">
        <w:rPr>
          <w:rFonts w:ascii="David" w:hAnsi="David"/>
          <w:rtl/>
        </w:rPr>
        <w:t xml:space="preserve"> יורם רבין ויניב ואקי</w:t>
      </w:r>
      <w:r>
        <w:rPr>
          <w:rFonts w:ascii="David" w:hAnsi="David" w:hint="cs"/>
          <w:rtl/>
        </w:rPr>
        <w:t>:</w:t>
      </w:r>
      <w:r w:rsidRPr="00AD0187">
        <w:rPr>
          <w:rFonts w:ascii="David" w:hAnsi="David"/>
          <w:rtl/>
        </w:rPr>
        <w:t xml:space="preserve"> </w:t>
      </w:r>
      <w:r w:rsidRPr="00C25A87">
        <w:rPr>
          <w:rFonts w:ascii="David" w:hAnsi="David"/>
          <w:b/>
          <w:bCs/>
          <w:rtl/>
        </w:rPr>
        <w:t>דיני עונשין,</w:t>
      </w:r>
      <w:r w:rsidRPr="00AD0187">
        <w:rPr>
          <w:rFonts w:ascii="David" w:hAnsi="David"/>
          <w:rtl/>
        </w:rPr>
        <w:t xml:space="preserve"> כרך ג' 1607 (מהדורה שלישית, 2014)).</w:t>
      </w:r>
      <w:r>
        <w:rPr>
          <w:rFonts w:ascii="David" w:hAnsi="David" w:hint="cs"/>
          <w:rtl/>
        </w:rPr>
        <w:t xml:space="preserve"> </w:t>
      </w:r>
    </w:p>
    <w:p w14:paraId="2F00E8AA" w14:textId="77777777" w:rsidR="00F83064" w:rsidRDefault="00F83064" w:rsidP="00F83064">
      <w:pPr>
        <w:spacing w:line="360" w:lineRule="auto"/>
        <w:jc w:val="both"/>
        <w:rPr>
          <w:rFonts w:ascii="David" w:hAnsi="David"/>
          <w:rtl/>
        </w:rPr>
      </w:pPr>
    </w:p>
    <w:p w14:paraId="50EA905B" w14:textId="77777777" w:rsidR="00F83064" w:rsidRDefault="00F83064" w:rsidP="00F83064">
      <w:pPr>
        <w:spacing w:line="360" w:lineRule="auto"/>
        <w:jc w:val="both"/>
        <w:rPr>
          <w:rFonts w:ascii="David" w:hAnsi="David"/>
          <w:rtl/>
        </w:rPr>
      </w:pPr>
      <w:r>
        <w:rPr>
          <w:rFonts w:ascii="David" w:hAnsi="David" w:hint="cs"/>
          <w:rtl/>
        </w:rPr>
        <w:t>14.</w:t>
      </w:r>
      <w:r>
        <w:rPr>
          <w:rFonts w:ascii="David" w:hAnsi="David" w:hint="cs"/>
          <w:rtl/>
        </w:rPr>
        <w:tab/>
        <w:t>בעניין זה הבאתי בחשבון כי מדובר בעבירות שבוצעו במסגרת פרשות שונות, במרווחי זמן משמעותיים וכי מדובר בכל אחת מהפרשות בעבירות חמורות הראויות לענישה נפרדת, אשר הוראה על חפיפת העונשים המוטלים בגינם, תאיין את תכלית הענישה, והרי "</w:t>
      </w:r>
      <w:r w:rsidRPr="00A62E71">
        <w:rPr>
          <w:rFonts w:ascii="David" w:hAnsi="David" w:cs="Miriam" w:hint="cs"/>
          <w:rtl/>
        </w:rPr>
        <w:t>כידוע, ההחלטה אם לחפוף או לצבור עונשים נטועה בליבם של דיני הענישה ונועדה לאפשר לבית המשפט להתאים עונש למעשה</w:t>
      </w:r>
      <w:r w:rsidRPr="00A62E71">
        <w:rPr>
          <w:rFonts w:ascii="David" w:hAnsi="David" w:hint="cs"/>
          <w:rtl/>
        </w:rPr>
        <w:t>" (</w:t>
      </w:r>
      <w:hyperlink r:id="rId54" w:history="1">
        <w:r w:rsidR="003606C6" w:rsidRPr="003606C6">
          <w:rPr>
            <w:rFonts w:ascii="David" w:hAnsi="David"/>
            <w:color w:val="0000FF"/>
            <w:u w:val="single"/>
            <w:rtl/>
          </w:rPr>
          <w:t>ע"פ 8080/12</w:t>
        </w:r>
      </w:hyperlink>
      <w:r w:rsidRPr="00A62E71">
        <w:rPr>
          <w:rFonts w:ascii="David" w:hAnsi="David" w:hint="cs"/>
          <w:rtl/>
        </w:rPr>
        <w:t xml:space="preserve"> </w:t>
      </w:r>
      <w:r w:rsidRPr="00A62E71">
        <w:rPr>
          <w:rFonts w:ascii="David" w:hAnsi="David" w:hint="cs"/>
          <w:b/>
          <w:bCs/>
          <w:rtl/>
        </w:rPr>
        <w:t>מדינת ישראל נ' אהוד אולמרט</w:t>
      </w:r>
      <w:r w:rsidRPr="00A62E71">
        <w:rPr>
          <w:rFonts w:ascii="David" w:hAnsi="David" w:hint="cs"/>
          <w:rtl/>
        </w:rPr>
        <w:t xml:space="preserve"> (28.9.16), פסקה 147)</w:t>
      </w:r>
      <w:r>
        <w:rPr>
          <w:rFonts w:ascii="David" w:hAnsi="David" w:hint="cs"/>
          <w:rtl/>
        </w:rPr>
        <w:t xml:space="preserve">. עוד אציין כי הגם שבשני התיקים מדובר בעבירות סמים (ומכאן שניתן לומר שקיים קשר ביניהם), אין להתעלם מחומרת העבירות וכן מכך שהעבירות בגינן נושא כיום הנאשם עונש מאסר, היו חמורות במיוחד ולמרות זאת נערך עמו הסדר טיעון מקל יחסית. שיקולים אלו תומכים בצבירת עונשים. עם זאת, הנאשם הוא אדם צעיר הנתון במאסר לראשונה בחייו. יש לאפשר לו פתח תקווה, בדמות חפיפה חלקית בין העונשים. המאשימה הסכימה לחפיפה של שישה חודשים שהם מחצית העונש בתיק בו נושא כיום הנאשם עונש מאסר ומצאתי עתירה זו כראויה המאזנת נכונה את השיקולים השונים. </w:t>
      </w:r>
    </w:p>
    <w:p w14:paraId="51B0E1A7" w14:textId="77777777" w:rsidR="00F83064" w:rsidRDefault="00F83064" w:rsidP="00F83064">
      <w:pPr>
        <w:spacing w:line="360" w:lineRule="auto"/>
        <w:jc w:val="both"/>
        <w:rPr>
          <w:rFonts w:ascii="David" w:hAnsi="David"/>
          <w:rtl/>
        </w:rPr>
      </w:pPr>
    </w:p>
    <w:p w14:paraId="09CDA168" w14:textId="77777777" w:rsidR="00F83064" w:rsidRDefault="00F83064" w:rsidP="00F83064">
      <w:pPr>
        <w:spacing w:line="360" w:lineRule="auto"/>
        <w:jc w:val="both"/>
        <w:rPr>
          <w:rFonts w:ascii="David" w:hAnsi="David"/>
          <w:rtl/>
        </w:rPr>
      </w:pPr>
      <w:r>
        <w:rPr>
          <w:rFonts w:ascii="David" w:hAnsi="David" w:hint="cs"/>
          <w:rtl/>
        </w:rPr>
        <w:t xml:space="preserve">15. </w:t>
      </w:r>
      <w:r>
        <w:rPr>
          <w:rFonts w:ascii="David" w:hAnsi="David"/>
          <w:rtl/>
        </w:rPr>
        <w:tab/>
      </w:r>
      <w:r>
        <w:rPr>
          <w:rFonts w:ascii="David" w:hAnsi="David" w:hint="cs"/>
          <w:rtl/>
        </w:rPr>
        <w:t>לאור כל האמור לעיל, לאחר שבחנתי את מכלול השיקולים לקולה ולחומרה, אני גוזר על הנאשם את העונשים הבאים:</w:t>
      </w:r>
    </w:p>
    <w:p w14:paraId="30B5CF2D" w14:textId="77777777" w:rsidR="00F83064" w:rsidRDefault="00F83064" w:rsidP="00F83064">
      <w:pPr>
        <w:spacing w:line="360" w:lineRule="auto"/>
        <w:jc w:val="both"/>
        <w:rPr>
          <w:rFonts w:ascii="David" w:hAnsi="David"/>
          <w:rtl/>
        </w:rPr>
      </w:pPr>
    </w:p>
    <w:p w14:paraId="49D9B442" w14:textId="77777777" w:rsidR="00F83064" w:rsidRDefault="00F83064" w:rsidP="00F83064">
      <w:pPr>
        <w:spacing w:line="360" w:lineRule="auto"/>
        <w:jc w:val="both"/>
        <w:rPr>
          <w:rFonts w:ascii="David" w:hAnsi="David"/>
          <w:rtl/>
        </w:rPr>
      </w:pPr>
      <w:r>
        <w:rPr>
          <w:rFonts w:ascii="David" w:hAnsi="David"/>
          <w:rtl/>
        </w:rPr>
        <w:tab/>
      </w:r>
      <w:r>
        <w:rPr>
          <w:rFonts w:ascii="David" w:hAnsi="David" w:hint="cs"/>
          <w:rtl/>
        </w:rPr>
        <w:t xml:space="preserve">א. </w:t>
      </w:r>
      <w:r>
        <w:rPr>
          <w:rFonts w:ascii="David" w:hAnsi="David"/>
          <w:rtl/>
        </w:rPr>
        <w:tab/>
      </w:r>
      <w:r w:rsidRPr="00EB283E">
        <w:rPr>
          <w:rFonts w:ascii="David" w:hAnsi="David" w:hint="cs"/>
          <w:b/>
          <w:bCs/>
          <w:rtl/>
        </w:rPr>
        <w:t>מאסר למשך 18 חודשים</w:t>
      </w:r>
      <w:r>
        <w:rPr>
          <w:rFonts w:ascii="David" w:hAnsi="David" w:hint="cs"/>
          <w:rtl/>
        </w:rPr>
        <w:t>, בניכוי תקופות מעצרו: 8.2.17-27.3.17, 20.9.16-22.9.16.</w:t>
      </w:r>
    </w:p>
    <w:p w14:paraId="3FE529AF" w14:textId="77777777" w:rsidR="00F83064" w:rsidRDefault="00F83064" w:rsidP="00F83064">
      <w:pPr>
        <w:spacing w:line="360" w:lineRule="auto"/>
        <w:jc w:val="both"/>
        <w:rPr>
          <w:rFonts w:ascii="David" w:hAnsi="David"/>
          <w:rtl/>
        </w:rPr>
      </w:pPr>
      <w:r>
        <w:rPr>
          <w:rFonts w:ascii="David" w:hAnsi="David"/>
          <w:rtl/>
        </w:rPr>
        <w:tab/>
      </w:r>
      <w:r>
        <w:rPr>
          <w:rFonts w:ascii="David" w:hAnsi="David"/>
          <w:rtl/>
        </w:rPr>
        <w:tab/>
      </w:r>
    </w:p>
    <w:p w14:paraId="557CF304" w14:textId="77777777" w:rsidR="00F83064" w:rsidRDefault="00F83064" w:rsidP="00F83064">
      <w:pPr>
        <w:spacing w:line="360" w:lineRule="auto"/>
        <w:ind w:left="1440"/>
        <w:jc w:val="both"/>
        <w:rPr>
          <w:rFonts w:ascii="David" w:hAnsi="David"/>
          <w:rtl/>
        </w:rPr>
      </w:pPr>
      <w:r>
        <w:rPr>
          <w:rFonts w:ascii="David" w:hAnsi="David" w:hint="cs"/>
          <w:rtl/>
        </w:rPr>
        <w:t xml:space="preserve">לאור הוראת </w:t>
      </w:r>
      <w:hyperlink r:id="rId55" w:history="1">
        <w:r w:rsidR="00134A08" w:rsidRPr="00134A08">
          <w:rPr>
            <w:rFonts w:ascii="David" w:hAnsi="David"/>
            <w:color w:val="0000FF"/>
            <w:u w:val="single"/>
            <w:rtl/>
          </w:rPr>
          <w:t>סעיף 45(ב)</w:t>
        </w:r>
      </w:hyperlink>
      <w:r>
        <w:rPr>
          <w:rFonts w:ascii="David" w:hAnsi="David" w:hint="cs"/>
          <w:rtl/>
        </w:rPr>
        <w:t xml:space="preserve"> ל</w:t>
      </w:r>
      <w:hyperlink r:id="rId56" w:history="1">
        <w:r w:rsidR="003606C6" w:rsidRPr="003606C6">
          <w:rPr>
            <w:rFonts w:ascii="David" w:hAnsi="David"/>
            <w:color w:val="0000FF"/>
            <w:u w:val="single"/>
            <w:rtl/>
          </w:rPr>
          <w:t>חוק העונשין</w:t>
        </w:r>
      </w:hyperlink>
      <w:r>
        <w:rPr>
          <w:rFonts w:ascii="David" w:hAnsi="David" w:hint="cs"/>
          <w:rtl/>
        </w:rPr>
        <w:t xml:space="preserve">, אני מורה כי הנאשם יישא בשישה חודשים מתוך העונש שהטלתי בחופף לעונש בו הוא נושא, והיתרה תצטבר לו. </w:t>
      </w:r>
    </w:p>
    <w:p w14:paraId="3583D57E" w14:textId="77777777" w:rsidR="00F83064" w:rsidRDefault="00F83064" w:rsidP="00F83064">
      <w:pPr>
        <w:spacing w:line="360" w:lineRule="auto"/>
        <w:jc w:val="both"/>
        <w:rPr>
          <w:rFonts w:ascii="David" w:hAnsi="David"/>
          <w:rtl/>
        </w:rPr>
      </w:pPr>
    </w:p>
    <w:p w14:paraId="1DA211FA" w14:textId="77777777" w:rsidR="00F83064" w:rsidRDefault="00F83064" w:rsidP="00F83064">
      <w:pPr>
        <w:spacing w:line="360" w:lineRule="auto"/>
        <w:contextualSpacing/>
        <w:jc w:val="both"/>
        <w:rPr>
          <w:rtl/>
        </w:rPr>
      </w:pPr>
      <w:r>
        <w:rPr>
          <w:rtl/>
        </w:rPr>
        <w:tab/>
      </w:r>
      <w:r>
        <w:rPr>
          <w:rFonts w:hint="cs"/>
          <w:rtl/>
        </w:rPr>
        <w:t xml:space="preserve">ב. </w:t>
      </w:r>
      <w:r>
        <w:rPr>
          <w:rtl/>
        </w:rPr>
        <w:tab/>
      </w:r>
      <w:r w:rsidRPr="00310127">
        <w:rPr>
          <w:rtl/>
        </w:rPr>
        <w:t xml:space="preserve">מאסר על תנאי למשך </w:t>
      </w:r>
      <w:r>
        <w:rPr>
          <w:rFonts w:hint="cs"/>
          <w:rtl/>
        </w:rPr>
        <w:t>8</w:t>
      </w:r>
      <w:r w:rsidRPr="00310127">
        <w:rPr>
          <w:rtl/>
        </w:rPr>
        <w:t xml:space="preserve"> חודשים והתנאי הוא שהנאשם לא יעבור במשך 3 שנים </w:t>
      </w:r>
      <w:r>
        <w:rPr>
          <w:rtl/>
        </w:rPr>
        <w:tab/>
      </w:r>
      <w:r>
        <w:rPr>
          <w:rtl/>
        </w:rPr>
        <w:tab/>
      </w:r>
      <w:r>
        <w:rPr>
          <w:rtl/>
        </w:rPr>
        <w:tab/>
      </w:r>
      <w:r w:rsidRPr="00310127">
        <w:rPr>
          <w:rtl/>
        </w:rPr>
        <w:t>מיום שחרורו, כל עביר</w:t>
      </w:r>
      <w:r>
        <w:rPr>
          <w:rFonts w:hint="cs"/>
          <w:rtl/>
        </w:rPr>
        <w:t>ה על פקודת</w:t>
      </w:r>
      <w:r w:rsidRPr="00310127">
        <w:rPr>
          <w:rtl/>
        </w:rPr>
        <w:t xml:space="preserve"> </w:t>
      </w:r>
      <w:r>
        <w:rPr>
          <w:rFonts w:hint="cs"/>
          <w:rtl/>
        </w:rPr>
        <w:t>ה</w:t>
      </w:r>
      <w:r w:rsidRPr="00310127">
        <w:rPr>
          <w:rtl/>
        </w:rPr>
        <w:t xml:space="preserve">סמים שהיא פשע. </w:t>
      </w:r>
    </w:p>
    <w:p w14:paraId="6D985712" w14:textId="77777777" w:rsidR="00F83064" w:rsidRPr="00310127" w:rsidRDefault="00F83064" w:rsidP="00F83064">
      <w:pPr>
        <w:spacing w:line="360" w:lineRule="auto"/>
        <w:contextualSpacing/>
        <w:jc w:val="both"/>
      </w:pPr>
    </w:p>
    <w:p w14:paraId="085130AC" w14:textId="77777777" w:rsidR="00F83064" w:rsidRDefault="00F83064" w:rsidP="00F83064">
      <w:pPr>
        <w:spacing w:line="360" w:lineRule="auto"/>
        <w:ind w:left="1440" w:hanging="720"/>
        <w:contextualSpacing/>
        <w:jc w:val="both"/>
        <w:rPr>
          <w:rtl/>
        </w:rPr>
      </w:pPr>
      <w:r>
        <w:rPr>
          <w:rFonts w:hint="cs"/>
          <w:rtl/>
        </w:rPr>
        <w:t xml:space="preserve">ג. </w:t>
      </w:r>
      <w:r>
        <w:rPr>
          <w:rtl/>
        </w:rPr>
        <w:tab/>
      </w:r>
      <w:r w:rsidRPr="00310127">
        <w:rPr>
          <w:rtl/>
        </w:rPr>
        <w:t xml:space="preserve">קנס בסך 8,000 ש"ח או 25 ימי מאסר תמורתו. הקנס ישולם ב-8 תשלומים שווים ורצופים </w:t>
      </w:r>
      <w:r>
        <w:rPr>
          <w:rFonts w:hint="cs"/>
          <w:rtl/>
        </w:rPr>
        <w:t xml:space="preserve">החל מיום 1.1.19 ובכל 1 לחודש שלאחריו. </w:t>
      </w:r>
      <w:r w:rsidRPr="00310127">
        <w:rPr>
          <w:rtl/>
        </w:rPr>
        <w:t>אי עמידה באחד התשלומים במועד, תעמיד את יתרת הסכום לפירעון מידי.</w:t>
      </w:r>
    </w:p>
    <w:p w14:paraId="2DC4F5F3" w14:textId="77777777" w:rsidR="00F83064" w:rsidRDefault="00F83064" w:rsidP="00F83064">
      <w:pPr>
        <w:spacing w:line="360" w:lineRule="auto"/>
        <w:contextualSpacing/>
        <w:jc w:val="both"/>
        <w:rPr>
          <w:rtl/>
        </w:rPr>
      </w:pPr>
    </w:p>
    <w:p w14:paraId="781C3F58" w14:textId="77777777" w:rsidR="00F83064" w:rsidRDefault="00F83064" w:rsidP="00F83064">
      <w:pPr>
        <w:spacing w:line="360" w:lineRule="auto"/>
        <w:ind w:left="1440" w:hanging="720"/>
        <w:contextualSpacing/>
        <w:jc w:val="both"/>
        <w:rPr>
          <w:rtl/>
        </w:rPr>
      </w:pPr>
      <w:r>
        <w:rPr>
          <w:rFonts w:hint="cs"/>
          <w:rtl/>
        </w:rPr>
        <w:t xml:space="preserve">ד. </w:t>
      </w:r>
      <w:r>
        <w:rPr>
          <w:rtl/>
        </w:rPr>
        <w:tab/>
      </w:r>
      <w:r>
        <w:rPr>
          <w:rFonts w:hint="cs"/>
          <w:rtl/>
        </w:rPr>
        <w:t xml:space="preserve">אני פוסל את הנאשם מלקבל את להחזיק רישיון נהיגה לתקופה של 12 חודשים, וזאת במצטבר לכל פסילה אחרת שהוטלה עליו. מובהר לנאשם כי עליו להפקיד את רישיון הנהיגה שברשותו, או תחליף, על מנת שמניין הפסילה יחל, וזאת בכפוף להוראות </w:t>
      </w:r>
      <w:hyperlink r:id="rId57" w:history="1">
        <w:r w:rsidR="00134A08" w:rsidRPr="00134A08">
          <w:rPr>
            <w:color w:val="0000FF"/>
            <w:u w:val="single"/>
            <w:rtl/>
          </w:rPr>
          <w:t>סעיף 42(ב)</w:t>
        </w:r>
      </w:hyperlink>
      <w:r>
        <w:rPr>
          <w:rFonts w:hint="cs"/>
          <w:rtl/>
        </w:rPr>
        <w:t xml:space="preserve"> ל</w:t>
      </w:r>
      <w:hyperlink r:id="rId58" w:history="1">
        <w:r w:rsidR="003606C6" w:rsidRPr="003606C6">
          <w:rPr>
            <w:color w:val="0000FF"/>
            <w:u w:val="single"/>
            <w:rtl/>
          </w:rPr>
          <w:t>פקודת התעבורה</w:t>
        </w:r>
      </w:hyperlink>
      <w:r>
        <w:rPr>
          <w:rFonts w:hint="cs"/>
          <w:rtl/>
        </w:rPr>
        <w:t xml:space="preserve">. </w:t>
      </w:r>
    </w:p>
    <w:p w14:paraId="6EB70B87" w14:textId="77777777" w:rsidR="00F83064" w:rsidRDefault="00F83064" w:rsidP="00F83064">
      <w:pPr>
        <w:spacing w:line="360" w:lineRule="auto"/>
        <w:contextualSpacing/>
        <w:jc w:val="both"/>
        <w:rPr>
          <w:rtl/>
        </w:rPr>
      </w:pPr>
    </w:p>
    <w:p w14:paraId="7F421DEB" w14:textId="77777777" w:rsidR="00F83064" w:rsidRPr="00310127" w:rsidRDefault="003606C6" w:rsidP="00F83064">
      <w:pPr>
        <w:spacing w:line="360" w:lineRule="auto"/>
        <w:contextualSpacing/>
        <w:jc w:val="both"/>
        <w:rPr>
          <w:b/>
          <w:bCs/>
          <w:u w:val="single"/>
          <w:rtl/>
        </w:rPr>
      </w:pPr>
      <w:r w:rsidRPr="003606C6">
        <w:rPr>
          <w:color w:val="FFFFFF"/>
          <w:sz w:val="2"/>
          <w:szCs w:val="2"/>
          <w:rtl/>
        </w:rPr>
        <w:t>5129371</w:t>
      </w:r>
      <w:r w:rsidR="00F83064">
        <w:rPr>
          <w:rtl/>
        </w:rPr>
        <w:tab/>
      </w:r>
      <w:r w:rsidR="00F83064" w:rsidRPr="00DC260A">
        <w:rPr>
          <w:rFonts w:hint="cs"/>
          <w:b/>
          <w:bCs/>
          <w:u w:val="single"/>
          <w:rtl/>
        </w:rPr>
        <w:t>זכות ערעור בתוך 45 יום.</w:t>
      </w:r>
    </w:p>
    <w:p w14:paraId="2682C585" w14:textId="77777777" w:rsidR="00F83064" w:rsidRPr="003606C6" w:rsidRDefault="003606C6" w:rsidP="00F83064">
      <w:pPr>
        <w:spacing w:line="360" w:lineRule="auto"/>
        <w:jc w:val="both"/>
        <w:rPr>
          <w:rFonts w:ascii="David" w:hAnsi="David"/>
          <w:color w:val="FFFFFF"/>
          <w:sz w:val="2"/>
          <w:szCs w:val="2"/>
          <w:rtl/>
        </w:rPr>
      </w:pPr>
      <w:r w:rsidRPr="003606C6">
        <w:rPr>
          <w:rFonts w:ascii="David" w:hAnsi="David"/>
          <w:color w:val="FFFFFF"/>
          <w:sz w:val="2"/>
          <w:szCs w:val="2"/>
          <w:rtl/>
        </w:rPr>
        <w:t>54678313</w:t>
      </w:r>
    </w:p>
    <w:p w14:paraId="01E0509E" w14:textId="77777777" w:rsidR="00F83064" w:rsidRPr="00B05847" w:rsidRDefault="00F83064" w:rsidP="00F83064">
      <w:pPr>
        <w:rPr>
          <w:rtl/>
        </w:rPr>
      </w:pPr>
    </w:p>
    <w:p w14:paraId="158173F3" w14:textId="77777777" w:rsidR="00F83064" w:rsidRDefault="003606C6" w:rsidP="00F83064">
      <w:pPr>
        <w:rPr>
          <w:rFonts w:cs="FrankRuehl"/>
          <w:sz w:val="28"/>
          <w:szCs w:val="28"/>
          <w:rtl/>
        </w:rPr>
      </w:pPr>
      <w:r>
        <w:rPr>
          <w:rFonts w:ascii="Arial" w:hAnsi="Arial"/>
          <w:rtl/>
        </w:rPr>
        <w:t xml:space="preserve">ניתן היום,  ו' אב תשע"ח, 18 יולי 2018, במעמד הצדדים. </w:t>
      </w:r>
    </w:p>
    <w:p w14:paraId="2249EDC0" w14:textId="77777777" w:rsidR="00F83064" w:rsidRDefault="00F83064" w:rsidP="00F8306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9329946" w14:textId="77777777" w:rsidR="00F83064" w:rsidRDefault="00F83064" w:rsidP="00F83064">
      <w:pPr>
        <w:jc w:val="center"/>
        <w:rPr>
          <w:rFonts w:ascii="Arial" w:hAnsi="Arial" w:cs="FrankRuehl"/>
          <w:sz w:val="28"/>
          <w:szCs w:val="28"/>
          <w:rtl/>
        </w:rPr>
      </w:pPr>
    </w:p>
    <w:p w14:paraId="752EC095" w14:textId="77777777" w:rsidR="00401ACB" w:rsidRPr="003606C6" w:rsidRDefault="00401ACB" w:rsidP="003606C6">
      <w:pPr>
        <w:keepNext/>
        <w:rPr>
          <w:rFonts w:ascii="David" w:hAnsi="David"/>
          <w:color w:val="000000"/>
          <w:sz w:val="22"/>
          <w:szCs w:val="22"/>
          <w:rtl/>
        </w:rPr>
      </w:pPr>
    </w:p>
    <w:p w14:paraId="1D9F1023" w14:textId="77777777" w:rsidR="003606C6" w:rsidRPr="003606C6" w:rsidRDefault="003606C6" w:rsidP="003606C6">
      <w:pPr>
        <w:keepNext/>
        <w:rPr>
          <w:rFonts w:ascii="David" w:hAnsi="David"/>
          <w:color w:val="000000"/>
          <w:sz w:val="22"/>
          <w:szCs w:val="22"/>
          <w:rtl/>
        </w:rPr>
      </w:pPr>
      <w:r w:rsidRPr="003606C6">
        <w:rPr>
          <w:rFonts w:ascii="David" w:hAnsi="David"/>
          <w:color w:val="000000"/>
          <w:sz w:val="22"/>
          <w:szCs w:val="22"/>
          <w:rtl/>
        </w:rPr>
        <w:t>יוסי טורס 54678313</w:t>
      </w:r>
    </w:p>
    <w:p w14:paraId="7A3AD9DD" w14:textId="77777777" w:rsidR="003606C6" w:rsidRDefault="003606C6" w:rsidP="003606C6">
      <w:r w:rsidRPr="003606C6">
        <w:rPr>
          <w:color w:val="000000"/>
          <w:rtl/>
        </w:rPr>
        <w:t>נוסח מסמך זה כפוף לשינויי ניסוח ועריכה</w:t>
      </w:r>
    </w:p>
    <w:p w14:paraId="3EC4FA9B" w14:textId="77777777" w:rsidR="003606C6" w:rsidRDefault="003606C6" w:rsidP="003606C6">
      <w:pPr>
        <w:rPr>
          <w:rtl/>
        </w:rPr>
      </w:pPr>
    </w:p>
    <w:p w14:paraId="25CEE7F3" w14:textId="77777777" w:rsidR="003606C6" w:rsidRDefault="003606C6" w:rsidP="003606C6">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r w:rsidR="008314B0">
        <w:rPr>
          <w:rFonts w:hint="cs"/>
          <w:color w:val="0000FF"/>
          <w:u w:val="single"/>
          <w:rtl/>
        </w:rPr>
        <w:t xml:space="preserve"> </w:t>
      </w:r>
    </w:p>
    <w:p w14:paraId="0DA50E60" w14:textId="77777777" w:rsidR="003606C6" w:rsidRPr="003606C6" w:rsidRDefault="003606C6" w:rsidP="003606C6">
      <w:pPr>
        <w:jc w:val="center"/>
        <w:rPr>
          <w:color w:val="0000FF"/>
          <w:u w:val="single"/>
        </w:rPr>
      </w:pPr>
    </w:p>
    <w:sectPr w:rsidR="003606C6" w:rsidRPr="003606C6" w:rsidSect="003606C6">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D6891" w14:textId="77777777" w:rsidR="00E4748E" w:rsidRDefault="00E4748E" w:rsidP="00B90844">
      <w:r>
        <w:separator/>
      </w:r>
    </w:p>
  </w:endnote>
  <w:endnote w:type="continuationSeparator" w:id="0">
    <w:p w14:paraId="56294802" w14:textId="77777777" w:rsidR="00E4748E" w:rsidRDefault="00E4748E" w:rsidP="00B9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F2FA0" w14:textId="77777777" w:rsidR="003606C6" w:rsidRDefault="003606C6" w:rsidP="003606C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082E325" w14:textId="77777777" w:rsidR="00EE273D" w:rsidRPr="003606C6" w:rsidRDefault="003606C6" w:rsidP="003606C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22763" w14:textId="77777777" w:rsidR="003606C6" w:rsidRDefault="003606C6" w:rsidP="003606C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3143">
      <w:rPr>
        <w:rFonts w:ascii="FrankRuehl" w:hAnsi="FrankRuehl" w:cs="FrankRuehl"/>
        <w:noProof/>
        <w:rtl/>
      </w:rPr>
      <w:t>2</w:t>
    </w:r>
    <w:r>
      <w:rPr>
        <w:rFonts w:ascii="FrankRuehl" w:hAnsi="FrankRuehl" w:cs="FrankRuehl"/>
        <w:rtl/>
      </w:rPr>
      <w:fldChar w:fldCharType="end"/>
    </w:r>
  </w:p>
  <w:p w14:paraId="368DBC16" w14:textId="77777777" w:rsidR="00EE273D" w:rsidRPr="003606C6" w:rsidRDefault="003606C6" w:rsidP="003606C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74F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EEF35" w14:textId="77777777" w:rsidR="00E4748E" w:rsidRDefault="00E4748E" w:rsidP="00B90844">
      <w:r>
        <w:separator/>
      </w:r>
    </w:p>
  </w:footnote>
  <w:footnote w:type="continuationSeparator" w:id="0">
    <w:p w14:paraId="2C553404" w14:textId="77777777" w:rsidR="00E4748E" w:rsidRDefault="00E4748E" w:rsidP="00B90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AE89D" w14:textId="77777777" w:rsidR="003606C6" w:rsidRPr="003606C6" w:rsidRDefault="003606C6" w:rsidP="003606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51354-02-17</w:t>
    </w:r>
    <w:r>
      <w:rPr>
        <w:rFonts w:ascii="David" w:hAnsi="David"/>
        <w:color w:val="000000"/>
        <w:sz w:val="22"/>
        <w:szCs w:val="22"/>
        <w:rtl/>
      </w:rPr>
      <w:tab/>
      <w:t xml:space="preserve"> מדינת ישראל נ' אבירן בן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164C8" w14:textId="77777777" w:rsidR="003606C6" w:rsidRPr="003606C6" w:rsidRDefault="003606C6" w:rsidP="003606C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51354-02-17</w:t>
    </w:r>
    <w:r>
      <w:rPr>
        <w:rFonts w:ascii="David" w:hAnsi="David"/>
        <w:color w:val="000000"/>
        <w:sz w:val="22"/>
        <w:szCs w:val="22"/>
        <w:rtl/>
      </w:rPr>
      <w:tab/>
      <w:t xml:space="preserve"> מדינת ישראל נ' אבירן בן חמו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3064"/>
    <w:rsid w:val="000C6A2F"/>
    <w:rsid w:val="00134A08"/>
    <w:rsid w:val="00325097"/>
    <w:rsid w:val="003606C6"/>
    <w:rsid w:val="00401ACB"/>
    <w:rsid w:val="005361BE"/>
    <w:rsid w:val="00713143"/>
    <w:rsid w:val="008314B0"/>
    <w:rsid w:val="00B8589F"/>
    <w:rsid w:val="00B90844"/>
    <w:rsid w:val="00E4748E"/>
    <w:rsid w:val="00EE273D"/>
    <w:rsid w:val="00F77E8A"/>
    <w:rsid w:val="00F830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BE2101E"/>
  <w15:chartTrackingRefBased/>
  <w15:docId w15:val="{3F3F369C-E3EA-46A9-B1C3-234E0F79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306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3064"/>
    <w:pPr>
      <w:tabs>
        <w:tab w:val="center" w:pos="4153"/>
        <w:tab w:val="right" w:pos="8306"/>
      </w:tabs>
    </w:pPr>
  </w:style>
  <w:style w:type="character" w:customStyle="1" w:styleId="a4">
    <w:name w:val="כותרת עליונה תו"/>
    <w:link w:val="a3"/>
    <w:rsid w:val="00F83064"/>
    <w:rPr>
      <w:rFonts w:ascii="Times New Roman" w:eastAsia="Times New Roman" w:hAnsi="Times New Roman" w:cs="David"/>
      <w:sz w:val="24"/>
      <w:szCs w:val="24"/>
    </w:rPr>
  </w:style>
  <w:style w:type="paragraph" w:styleId="a5">
    <w:name w:val="footer"/>
    <w:basedOn w:val="a"/>
    <w:link w:val="a6"/>
    <w:rsid w:val="00F83064"/>
    <w:pPr>
      <w:tabs>
        <w:tab w:val="center" w:pos="4153"/>
        <w:tab w:val="right" w:pos="8306"/>
      </w:tabs>
    </w:pPr>
  </w:style>
  <w:style w:type="character" w:customStyle="1" w:styleId="a6">
    <w:name w:val="כותרת תחתונה תו"/>
    <w:link w:val="a5"/>
    <w:rsid w:val="00F83064"/>
    <w:rPr>
      <w:rFonts w:ascii="Times New Roman" w:eastAsia="Times New Roman" w:hAnsi="Times New Roman" w:cs="David"/>
      <w:sz w:val="24"/>
      <w:szCs w:val="24"/>
    </w:rPr>
  </w:style>
  <w:style w:type="table" w:styleId="a7">
    <w:name w:val="Table Grid"/>
    <w:basedOn w:val="a1"/>
    <w:rsid w:val="00F830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3064"/>
  </w:style>
  <w:style w:type="character" w:styleId="Hyperlink">
    <w:name w:val="Hyperlink"/>
    <w:rsid w:val="003606C6"/>
    <w:rPr>
      <w:color w:val="0563C1"/>
      <w:u w:val="single"/>
    </w:rPr>
  </w:style>
  <w:style w:type="character" w:styleId="a9">
    <w:name w:val="Unresolved Mention"/>
    <w:uiPriority w:val="99"/>
    <w:semiHidden/>
    <w:unhideWhenUsed/>
    <w:rsid w:val="00831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309372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753269" TargetMode="External"/><Relationship Id="rId42" Type="http://schemas.openxmlformats.org/officeDocument/2006/relationships/hyperlink" Target="http://www.nevo.co.il/case/5590128" TargetMode="External"/><Relationship Id="rId47" Type="http://schemas.openxmlformats.org/officeDocument/2006/relationships/hyperlink" Target="http://www.nevo.co.il/case/11311174" TargetMode="External"/><Relationship Id="rId50" Type="http://schemas.openxmlformats.org/officeDocument/2006/relationships/hyperlink" Target="http://www.nevo.co.il/law/70301/45.b" TargetMode="External"/><Relationship Id="rId55" Type="http://schemas.openxmlformats.org/officeDocument/2006/relationships/hyperlink" Target="http://www.nevo.co.il/law/70301/45.b" TargetMode="External"/><Relationship Id="rId63"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7.a.;7.c" TargetMode="External"/><Relationship Id="rId29" Type="http://schemas.openxmlformats.org/officeDocument/2006/relationships/hyperlink" Target="http://www.nevo.co.il/case/17954235" TargetMode="External"/><Relationship Id="rId11" Type="http://schemas.openxmlformats.org/officeDocument/2006/relationships/hyperlink" Target="http://www.nevo.co.il/law/70301/45.b" TargetMode="External"/><Relationship Id="rId24" Type="http://schemas.openxmlformats.org/officeDocument/2006/relationships/hyperlink" Target="http://www.nevo.co.il/law/70301/40c"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605484" TargetMode="External"/><Relationship Id="rId40" Type="http://schemas.openxmlformats.org/officeDocument/2006/relationships/hyperlink" Target="http://www.nevo.co.il/case/17947582" TargetMode="External"/><Relationship Id="rId45" Type="http://schemas.openxmlformats.org/officeDocument/2006/relationships/hyperlink" Target="http://www.nevo.co.il/case/22956321" TargetMode="External"/><Relationship Id="rId53" Type="http://schemas.openxmlformats.org/officeDocument/2006/relationships/hyperlink" Target="http://www.nevo.co.il/case/5701249" TargetMode="External"/><Relationship Id="rId58" Type="http://schemas.openxmlformats.org/officeDocument/2006/relationships/hyperlink" Target="http://www.nevo.co.il/law/5227" TargetMode="Externa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hyperlink" Target="http://www.nevo.co.il/law/70301/40jc.b"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40jc.a" TargetMode="External"/><Relationship Id="rId27" Type="http://schemas.openxmlformats.org/officeDocument/2006/relationships/hyperlink" Target="http://www.nevo.co.il/case/13101134" TargetMode="External"/><Relationship Id="rId30" Type="http://schemas.openxmlformats.org/officeDocument/2006/relationships/hyperlink" Target="http://www.nevo.co.il/case/20033641" TargetMode="External"/><Relationship Id="rId35" Type="http://schemas.openxmlformats.org/officeDocument/2006/relationships/hyperlink" Target="http://www.nevo.co.il/case/6166988" TargetMode="External"/><Relationship Id="rId43" Type="http://schemas.openxmlformats.org/officeDocument/2006/relationships/hyperlink" Target="http://www.nevo.co.il/case/17947582" TargetMode="External"/><Relationship Id="rId48" Type="http://schemas.openxmlformats.org/officeDocument/2006/relationships/hyperlink" Target="http://www.nevo.co.il/case/16879489" TargetMode="External"/><Relationship Id="rId56" Type="http://schemas.openxmlformats.org/officeDocument/2006/relationships/hyperlink" Target="http://www.nevo.co.il/law/70301" TargetMode="External"/><Relationship Id="rId64" Type="http://schemas.openxmlformats.org/officeDocument/2006/relationships/fontTable" Target="fontTable.xml"/><Relationship Id="rId8" Type="http://schemas.openxmlformats.org/officeDocument/2006/relationships/hyperlink" Target="http://www.nevo.co.il/law/4216/7.c"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40jc.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6241434" TargetMode="External"/><Relationship Id="rId38" Type="http://schemas.openxmlformats.org/officeDocument/2006/relationships/hyperlink" Target="http://www.nevo.co.il/case/5931190" TargetMode="External"/><Relationship Id="rId46" Type="http://schemas.openxmlformats.org/officeDocument/2006/relationships/hyperlink" Target="http://www.nevo.co.il/case/4140033"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0956295" TargetMode="External"/><Relationship Id="rId54" Type="http://schemas.openxmlformats.org/officeDocument/2006/relationships/hyperlink" Target="http://www.nevo.co.il/case/5605747"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5227/42.b"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7023776" TargetMode="External"/><Relationship Id="rId36" Type="http://schemas.openxmlformats.org/officeDocument/2006/relationships/hyperlink" Target="http://www.nevo.co.il/case/5583835" TargetMode="External"/><Relationship Id="rId49" Type="http://schemas.openxmlformats.org/officeDocument/2006/relationships/hyperlink" Target="http://www.nevo.co.il/case/20374629" TargetMode="External"/><Relationship Id="rId57" Type="http://schemas.openxmlformats.org/officeDocument/2006/relationships/hyperlink" Target="http://www.nevo.co.il/law/5227/42.b"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40jc.b" TargetMode="External"/><Relationship Id="rId44" Type="http://schemas.openxmlformats.org/officeDocument/2006/relationships/hyperlink" Target="http://www.nevo.co.il/case/5590169" TargetMode="External"/><Relationship Id="rId52" Type="http://schemas.openxmlformats.org/officeDocument/2006/relationships/hyperlink" Target="http://www.nevo.co.il/case/18654248"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40jc.b" TargetMode="External"/><Relationship Id="rId18" Type="http://schemas.openxmlformats.org/officeDocument/2006/relationships/hyperlink" Target="http://www.nevo.co.il/law/4216/7.a.;7.c" TargetMode="External"/><Relationship Id="rId39" Type="http://schemas.openxmlformats.org/officeDocument/2006/relationships/hyperlink" Target="http://www.nevo.co.il/case/35398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2532</Words>
  <Characters>12664</Characters>
  <Application>Microsoft Office Word</Application>
  <DocSecurity>0</DocSecurity>
  <Lines>105</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15166</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8323175</vt:i4>
      </vt:variant>
      <vt:variant>
        <vt:i4>156</vt:i4>
      </vt:variant>
      <vt:variant>
        <vt:i4>0</vt:i4>
      </vt:variant>
      <vt:variant>
        <vt:i4>5</vt:i4>
      </vt:variant>
      <vt:variant>
        <vt:lpwstr>http://www.nevo.co.il/law/5227</vt:lpwstr>
      </vt:variant>
      <vt:variant>
        <vt:lpwstr/>
      </vt:variant>
      <vt:variant>
        <vt:i4>6619258</vt:i4>
      </vt:variant>
      <vt:variant>
        <vt:i4>153</vt:i4>
      </vt:variant>
      <vt:variant>
        <vt:i4>0</vt:i4>
      </vt:variant>
      <vt:variant>
        <vt:i4>5</vt:i4>
      </vt:variant>
      <vt:variant>
        <vt:lpwstr>http://www.nevo.co.il/law/5227/42.b</vt:lpwstr>
      </vt:variant>
      <vt:variant>
        <vt:lpwstr/>
      </vt:variant>
      <vt:variant>
        <vt:i4>7995492</vt:i4>
      </vt:variant>
      <vt:variant>
        <vt:i4>150</vt:i4>
      </vt:variant>
      <vt:variant>
        <vt:i4>0</vt:i4>
      </vt:variant>
      <vt:variant>
        <vt:i4>5</vt:i4>
      </vt:variant>
      <vt:variant>
        <vt:lpwstr>http://www.nevo.co.il/law/70301</vt:lpwstr>
      </vt:variant>
      <vt:variant>
        <vt:lpwstr/>
      </vt:variant>
      <vt:variant>
        <vt:i4>131151</vt:i4>
      </vt:variant>
      <vt:variant>
        <vt:i4>147</vt:i4>
      </vt:variant>
      <vt:variant>
        <vt:i4>0</vt:i4>
      </vt:variant>
      <vt:variant>
        <vt:i4>5</vt:i4>
      </vt:variant>
      <vt:variant>
        <vt:lpwstr>http://www.nevo.co.il/law/70301/45.b</vt:lpwstr>
      </vt:variant>
      <vt:variant>
        <vt:lpwstr/>
      </vt:variant>
      <vt:variant>
        <vt:i4>3473523</vt:i4>
      </vt:variant>
      <vt:variant>
        <vt:i4>144</vt:i4>
      </vt:variant>
      <vt:variant>
        <vt:i4>0</vt:i4>
      </vt:variant>
      <vt:variant>
        <vt:i4>5</vt:i4>
      </vt:variant>
      <vt:variant>
        <vt:lpwstr>http://www.nevo.co.il/case/5605747</vt:lpwstr>
      </vt:variant>
      <vt:variant>
        <vt:lpwstr/>
      </vt:variant>
      <vt:variant>
        <vt:i4>4063350</vt:i4>
      </vt:variant>
      <vt:variant>
        <vt:i4>141</vt:i4>
      </vt:variant>
      <vt:variant>
        <vt:i4>0</vt:i4>
      </vt:variant>
      <vt:variant>
        <vt:i4>5</vt:i4>
      </vt:variant>
      <vt:variant>
        <vt:lpwstr>http://www.nevo.co.il/case/5701249</vt:lpwstr>
      </vt:variant>
      <vt:variant>
        <vt:lpwstr/>
      </vt:variant>
      <vt:variant>
        <vt:i4>3604603</vt:i4>
      </vt:variant>
      <vt:variant>
        <vt:i4>138</vt:i4>
      </vt:variant>
      <vt:variant>
        <vt:i4>0</vt:i4>
      </vt:variant>
      <vt:variant>
        <vt:i4>5</vt:i4>
      </vt:variant>
      <vt:variant>
        <vt:lpwstr>http://www.nevo.co.il/case/18654248</vt:lpwstr>
      </vt:variant>
      <vt:variant>
        <vt:lpwstr/>
      </vt:variant>
      <vt:variant>
        <vt:i4>7995492</vt:i4>
      </vt:variant>
      <vt:variant>
        <vt:i4>135</vt:i4>
      </vt:variant>
      <vt:variant>
        <vt:i4>0</vt:i4>
      </vt:variant>
      <vt:variant>
        <vt:i4>5</vt:i4>
      </vt:variant>
      <vt:variant>
        <vt:lpwstr>http://www.nevo.co.il/law/70301</vt:lpwstr>
      </vt:variant>
      <vt:variant>
        <vt:lpwstr/>
      </vt:variant>
      <vt:variant>
        <vt:i4>131151</vt:i4>
      </vt:variant>
      <vt:variant>
        <vt:i4>132</vt:i4>
      </vt:variant>
      <vt:variant>
        <vt:i4>0</vt:i4>
      </vt:variant>
      <vt:variant>
        <vt:i4>5</vt:i4>
      </vt:variant>
      <vt:variant>
        <vt:lpwstr>http://www.nevo.co.il/law/70301/45.b</vt:lpwstr>
      </vt:variant>
      <vt:variant>
        <vt:lpwstr/>
      </vt:variant>
      <vt:variant>
        <vt:i4>3604597</vt:i4>
      </vt:variant>
      <vt:variant>
        <vt:i4>129</vt:i4>
      </vt:variant>
      <vt:variant>
        <vt:i4>0</vt:i4>
      </vt:variant>
      <vt:variant>
        <vt:i4>5</vt:i4>
      </vt:variant>
      <vt:variant>
        <vt:lpwstr>http://www.nevo.co.il/case/20374629</vt:lpwstr>
      </vt:variant>
      <vt:variant>
        <vt:lpwstr/>
      </vt:variant>
      <vt:variant>
        <vt:i4>3670129</vt:i4>
      </vt:variant>
      <vt:variant>
        <vt:i4>126</vt:i4>
      </vt:variant>
      <vt:variant>
        <vt:i4>0</vt:i4>
      </vt:variant>
      <vt:variant>
        <vt:i4>5</vt:i4>
      </vt:variant>
      <vt:variant>
        <vt:lpwstr>http://www.nevo.co.il/case/16879489</vt:lpwstr>
      </vt:variant>
      <vt:variant>
        <vt:lpwstr/>
      </vt:variant>
      <vt:variant>
        <vt:i4>3407989</vt:i4>
      </vt:variant>
      <vt:variant>
        <vt:i4>123</vt:i4>
      </vt:variant>
      <vt:variant>
        <vt:i4>0</vt:i4>
      </vt:variant>
      <vt:variant>
        <vt:i4>5</vt:i4>
      </vt:variant>
      <vt:variant>
        <vt:lpwstr>http://www.nevo.co.il/case/11311174</vt:lpwstr>
      </vt:variant>
      <vt:variant>
        <vt:lpwstr/>
      </vt:variant>
      <vt:variant>
        <vt:i4>3342454</vt:i4>
      </vt:variant>
      <vt:variant>
        <vt:i4>120</vt:i4>
      </vt:variant>
      <vt:variant>
        <vt:i4>0</vt:i4>
      </vt:variant>
      <vt:variant>
        <vt:i4>5</vt:i4>
      </vt:variant>
      <vt:variant>
        <vt:lpwstr>http://www.nevo.co.il/case/4140033</vt:lpwstr>
      </vt:variant>
      <vt:variant>
        <vt:lpwstr/>
      </vt:variant>
      <vt:variant>
        <vt:i4>4128880</vt:i4>
      </vt:variant>
      <vt:variant>
        <vt:i4>117</vt:i4>
      </vt:variant>
      <vt:variant>
        <vt:i4>0</vt:i4>
      </vt:variant>
      <vt:variant>
        <vt:i4>5</vt:i4>
      </vt:variant>
      <vt:variant>
        <vt:lpwstr>http://www.nevo.co.il/case/22956321</vt:lpwstr>
      </vt:variant>
      <vt:variant>
        <vt:lpwstr/>
      </vt:variant>
      <vt:variant>
        <vt:i4>3407991</vt:i4>
      </vt:variant>
      <vt:variant>
        <vt:i4>114</vt:i4>
      </vt:variant>
      <vt:variant>
        <vt:i4>0</vt:i4>
      </vt:variant>
      <vt:variant>
        <vt:i4>5</vt:i4>
      </vt:variant>
      <vt:variant>
        <vt:lpwstr>http://www.nevo.co.il/case/5590169</vt:lpwstr>
      </vt:variant>
      <vt:variant>
        <vt:lpwstr/>
      </vt:variant>
      <vt:variant>
        <vt:i4>3604594</vt:i4>
      </vt:variant>
      <vt:variant>
        <vt:i4>111</vt:i4>
      </vt:variant>
      <vt:variant>
        <vt:i4>0</vt:i4>
      </vt:variant>
      <vt:variant>
        <vt:i4>5</vt:i4>
      </vt:variant>
      <vt:variant>
        <vt:lpwstr>http://www.nevo.co.il/case/17947582</vt:lpwstr>
      </vt:variant>
      <vt:variant>
        <vt:lpwstr/>
      </vt:variant>
      <vt:variant>
        <vt:i4>3473523</vt:i4>
      </vt:variant>
      <vt:variant>
        <vt:i4>108</vt:i4>
      </vt:variant>
      <vt:variant>
        <vt:i4>0</vt:i4>
      </vt:variant>
      <vt:variant>
        <vt:i4>5</vt:i4>
      </vt:variant>
      <vt:variant>
        <vt:lpwstr>http://www.nevo.co.il/case/5590128</vt:lpwstr>
      </vt:variant>
      <vt:variant>
        <vt:lpwstr/>
      </vt:variant>
      <vt:variant>
        <vt:i4>3407987</vt:i4>
      </vt:variant>
      <vt:variant>
        <vt:i4>105</vt:i4>
      </vt:variant>
      <vt:variant>
        <vt:i4>0</vt:i4>
      </vt:variant>
      <vt:variant>
        <vt:i4>5</vt:i4>
      </vt:variant>
      <vt:variant>
        <vt:lpwstr>http://www.nevo.co.il/case/20956295</vt:lpwstr>
      </vt:variant>
      <vt:variant>
        <vt:lpwstr/>
      </vt:variant>
      <vt:variant>
        <vt:i4>3604594</vt:i4>
      </vt:variant>
      <vt:variant>
        <vt:i4>102</vt:i4>
      </vt:variant>
      <vt:variant>
        <vt:i4>0</vt:i4>
      </vt:variant>
      <vt:variant>
        <vt:i4>5</vt:i4>
      </vt:variant>
      <vt:variant>
        <vt:lpwstr>http://www.nevo.co.il/case/17947582</vt:lpwstr>
      </vt:variant>
      <vt:variant>
        <vt:lpwstr/>
      </vt:variant>
      <vt:variant>
        <vt:i4>3997817</vt:i4>
      </vt:variant>
      <vt:variant>
        <vt:i4>99</vt:i4>
      </vt:variant>
      <vt:variant>
        <vt:i4>0</vt:i4>
      </vt:variant>
      <vt:variant>
        <vt:i4>5</vt:i4>
      </vt:variant>
      <vt:variant>
        <vt:lpwstr>http://www.nevo.co.il/case/3539815</vt:lpwstr>
      </vt:variant>
      <vt:variant>
        <vt:lpwstr/>
      </vt:variant>
      <vt:variant>
        <vt:i4>3604597</vt:i4>
      </vt:variant>
      <vt:variant>
        <vt:i4>96</vt:i4>
      </vt:variant>
      <vt:variant>
        <vt:i4>0</vt:i4>
      </vt:variant>
      <vt:variant>
        <vt:i4>5</vt:i4>
      </vt:variant>
      <vt:variant>
        <vt:lpwstr>http://www.nevo.co.il/case/5931190</vt:lpwstr>
      </vt:variant>
      <vt:variant>
        <vt:lpwstr/>
      </vt:variant>
      <vt:variant>
        <vt:i4>3473535</vt:i4>
      </vt:variant>
      <vt:variant>
        <vt:i4>93</vt:i4>
      </vt:variant>
      <vt:variant>
        <vt:i4>0</vt:i4>
      </vt:variant>
      <vt:variant>
        <vt:i4>5</vt:i4>
      </vt:variant>
      <vt:variant>
        <vt:lpwstr>http://www.nevo.co.il/case/5605484</vt:lpwstr>
      </vt:variant>
      <vt:variant>
        <vt:lpwstr/>
      </vt:variant>
      <vt:variant>
        <vt:i4>3145841</vt:i4>
      </vt:variant>
      <vt:variant>
        <vt:i4>90</vt:i4>
      </vt:variant>
      <vt:variant>
        <vt:i4>0</vt:i4>
      </vt:variant>
      <vt:variant>
        <vt:i4>5</vt:i4>
      </vt:variant>
      <vt:variant>
        <vt:lpwstr>http://www.nevo.co.il/case/5583835</vt:lpwstr>
      </vt:variant>
      <vt:variant>
        <vt:lpwstr/>
      </vt:variant>
      <vt:variant>
        <vt:i4>3211387</vt:i4>
      </vt:variant>
      <vt:variant>
        <vt:i4>87</vt:i4>
      </vt:variant>
      <vt:variant>
        <vt:i4>0</vt:i4>
      </vt:variant>
      <vt:variant>
        <vt:i4>5</vt:i4>
      </vt:variant>
      <vt:variant>
        <vt:lpwstr>http://www.nevo.co.il/case/6166988</vt:lpwstr>
      </vt:variant>
      <vt:variant>
        <vt:lpwstr/>
      </vt:variant>
      <vt:variant>
        <vt:i4>3866742</vt:i4>
      </vt:variant>
      <vt:variant>
        <vt:i4>84</vt:i4>
      </vt:variant>
      <vt:variant>
        <vt:i4>0</vt:i4>
      </vt:variant>
      <vt:variant>
        <vt:i4>5</vt:i4>
      </vt:variant>
      <vt:variant>
        <vt:lpwstr>http://www.nevo.co.il/case/5753269</vt:lpwstr>
      </vt:variant>
      <vt:variant>
        <vt:lpwstr/>
      </vt:variant>
      <vt:variant>
        <vt:i4>3276916</vt:i4>
      </vt:variant>
      <vt:variant>
        <vt:i4>81</vt:i4>
      </vt:variant>
      <vt:variant>
        <vt:i4>0</vt:i4>
      </vt:variant>
      <vt:variant>
        <vt:i4>5</vt:i4>
      </vt:variant>
      <vt:variant>
        <vt:lpwstr>http://www.nevo.co.il/case/6241434</vt:lpwstr>
      </vt:variant>
      <vt:variant>
        <vt:lpwstr/>
      </vt:variant>
      <vt:variant>
        <vt:i4>7995492</vt:i4>
      </vt:variant>
      <vt:variant>
        <vt:i4>78</vt:i4>
      </vt:variant>
      <vt:variant>
        <vt:i4>0</vt:i4>
      </vt:variant>
      <vt:variant>
        <vt:i4>5</vt:i4>
      </vt:variant>
      <vt:variant>
        <vt:lpwstr>http://www.nevo.co.il/law/70301</vt:lpwstr>
      </vt:variant>
      <vt:variant>
        <vt:lpwstr/>
      </vt:variant>
      <vt:variant>
        <vt:i4>6553637</vt:i4>
      </vt:variant>
      <vt:variant>
        <vt:i4>75</vt:i4>
      </vt:variant>
      <vt:variant>
        <vt:i4>0</vt:i4>
      </vt:variant>
      <vt:variant>
        <vt:i4>5</vt:i4>
      </vt:variant>
      <vt:variant>
        <vt:lpwstr>http://www.nevo.co.il/law/70301/40jc.b</vt:lpwstr>
      </vt:variant>
      <vt:variant>
        <vt:lpwstr/>
      </vt:variant>
      <vt:variant>
        <vt:i4>3473521</vt:i4>
      </vt:variant>
      <vt:variant>
        <vt:i4>72</vt:i4>
      </vt:variant>
      <vt:variant>
        <vt:i4>0</vt:i4>
      </vt:variant>
      <vt:variant>
        <vt:i4>5</vt:i4>
      </vt:variant>
      <vt:variant>
        <vt:lpwstr>http://www.nevo.co.il/case/20033641</vt:lpwstr>
      </vt:variant>
      <vt:variant>
        <vt:lpwstr/>
      </vt:variant>
      <vt:variant>
        <vt:i4>4128884</vt:i4>
      </vt:variant>
      <vt:variant>
        <vt:i4>69</vt:i4>
      </vt:variant>
      <vt:variant>
        <vt:i4>0</vt:i4>
      </vt:variant>
      <vt:variant>
        <vt:i4>5</vt:i4>
      </vt:variant>
      <vt:variant>
        <vt:lpwstr>http://www.nevo.co.il/case/17954235</vt:lpwstr>
      </vt:variant>
      <vt:variant>
        <vt:lpwstr/>
      </vt:variant>
      <vt:variant>
        <vt:i4>3473526</vt:i4>
      </vt:variant>
      <vt:variant>
        <vt:i4>66</vt:i4>
      </vt:variant>
      <vt:variant>
        <vt:i4>0</vt:i4>
      </vt:variant>
      <vt:variant>
        <vt:i4>5</vt:i4>
      </vt:variant>
      <vt:variant>
        <vt:lpwstr>http://www.nevo.co.il/case/17023776</vt:lpwstr>
      </vt:variant>
      <vt:variant>
        <vt:lpwstr/>
      </vt:variant>
      <vt:variant>
        <vt:i4>3276918</vt:i4>
      </vt:variant>
      <vt:variant>
        <vt:i4>63</vt:i4>
      </vt:variant>
      <vt:variant>
        <vt:i4>0</vt:i4>
      </vt:variant>
      <vt:variant>
        <vt:i4>5</vt:i4>
      </vt:variant>
      <vt:variant>
        <vt:lpwstr>http://www.nevo.co.il/case/13101134</vt:lpwstr>
      </vt:variant>
      <vt:variant>
        <vt:lpwstr/>
      </vt:variant>
      <vt:variant>
        <vt:i4>3145849</vt:i4>
      </vt:variant>
      <vt:variant>
        <vt:i4>60</vt:i4>
      </vt:variant>
      <vt:variant>
        <vt:i4>0</vt:i4>
      </vt:variant>
      <vt:variant>
        <vt:i4>5</vt:i4>
      </vt:variant>
      <vt:variant>
        <vt:lpwstr>http://www.nevo.co.il/case/13093721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6750245</vt:i4>
      </vt:variant>
      <vt:variant>
        <vt:i4>48</vt:i4>
      </vt:variant>
      <vt:variant>
        <vt:i4>0</vt:i4>
      </vt:variant>
      <vt:variant>
        <vt:i4>5</vt:i4>
      </vt:variant>
      <vt:variant>
        <vt:lpwstr>http://www.nevo.co.il/law/70301/40jc.a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6553637</vt:i4>
      </vt:variant>
      <vt:variant>
        <vt:i4>39</vt:i4>
      </vt:variant>
      <vt:variant>
        <vt:i4>0</vt:i4>
      </vt:variant>
      <vt:variant>
        <vt:i4>5</vt:i4>
      </vt:variant>
      <vt:variant>
        <vt:lpwstr>http://www.nevo.co.il/law/70301/40jc.b</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6619258</vt:i4>
      </vt:variant>
      <vt:variant>
        <vt:i4>27</vt:i4>
      </vt:variant>
      <vt:variant>
        <vt:i4>0</vt:i4>
      </vt:variant>
      <vt:variant>
        <vt:i4>5</vt:i4>
      </vt:variant>
      <vt:variant>
        <vt:lpwstr>http://www.nevo.co.il/law/5227/42.b</vt:lpwstr>
      </vt:variant>
      <vt:variant>
        <vt:lpwstr/>
      </vt:variant>
      <vt:variant>
        <vt:i4>8323175</vt:i4>
      </vt:variant>
      <vt:variant>
        <vt:i4>24</vt:i4>
      </vt:variant>
      <vt:variant>
        <vt:i4>0</vt:i4>
      </vt:variant>
      <vt:variant>
        <vt:i4>5</vt:i4>
      </vt:variant>
      <vt:variant>
        <vt:lpwstr>http://www.nevo.co.il/law/5227</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6750245</vt:i4>
      </vt:variant>
      <vt:variant>
        <vt:i4>18</vt:i4>
      </vt:variant>
      <vt:variant>
        <vt:i4>0</vt:i4>
      </vt:variant>
      <vt:variant>
        <vt:i4>5</vt:i4>
      </vt:variant>
      <vt:variant>
        <vt:lpwstr>http://www.nevo.co.il/law/70301/40jc.a</vt:lpwstr>
      </vt:variant>
      <vt:variant>
        <vt:lpwstr/>
      </vt:variant>
      <vt:variant>
        <vt:i4>131151</vt:i4>
      </vt:variant>
      <vt:variant>
        <vt:i4>15</vt:i4>
      </vt:variant>
      <vt:variant>
        <vt:i4>0</vt:i4>
      </vt:variant>
      <vt:variant>
        <vt:i4>5</vt:i4>
      </vt:variant>
      <vt:variant>
        <vt:lpwstr>http://www.nevo.co.il/law/70301/45.b</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2025-04-22T23:19:00Z</dcterms:created>
  <dcterms:modified xsi:type="dcterms:W3CDTF">2025-04-22T23:19:00Z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51354</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אבירן בן חמו</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20180718</vt:lpwstr>
  </property>
  <property fmtid="{D5CDD505-2E9C-101B-9397-08002B2CF9AE}" pid="13" name="TYPE_N_DATE">
    <vt:lpwstr>38020180718</vt:lpwstr>
  </property>
  <property fmtid="{D5CDD505-2E9C-101B-9397-08002B2CF9AE}" pid="14" name="WORDNUMPAGES">
    <vt:lpwstr>7</vt:lpwstr>
  </property>
  <property fmtid="{D5CDD505-2E9C-101B-9397-08002B2CF9AE}" pid="15" name="TYPE_ABS_DATE">
    <vt:lpwstr>380020180718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13093721;13101134;17023776;17954235;20033641;6241434;5753269;6166988;5583835;5605484;5931190;3539815;17947582:2;20956295;5590128;5590169;22956321;4140033;11311174;16879489;20374629;18654248;5701249;5605747</vt:lpwstr>
  </property>
  <property fmtid="{D5CDD505-2E9C-101B-9397-08002B2CF9AE}" pid="36" name="LAWLISTTMP1">
    <vt:lpwstr>4216/007.a:2;007.c:2</vt:lpwstr>
  </property>
  <property fmtid="{D5CDD505-2E9C-101B-9397-08002B2CF9AE}" pid="37" name="LAWLISTTMP2">
    <vt:lpwstr>70301/40jc.b:2;40jc.a;040c;045.b:2</vt:lpwstr>
  </property>
  <property fmtid="{D5CDD505-2E9C-101B-9397-08002B2CF9AE}" pid="38" name="LAWLISTTMP3">
    <vt:lpwstr>5227/042.b</vt:lpwstr>
  </property>
</Properties>
</file>