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C0AF1" w:rsidRPr="00E70863" w14:paraId="1FCC0EF5" w14:textId="77777777" w:rsidTr="00BD5767">
        <w:trPr>
          <w:trHeight w:hRule="exact" w:val="418"/>
          <w:jc w:val="center"/>
        </w:trPr>
        <w:tc>
          <w:tcPr>
            <w:tcW w:w="8721" w:type="dxa"/>
            <w:gridSpan w:val="2"/>
          </w:tcPr>
          <w:p w14:paraId="63ADDB89" w14:textId="77777777" w:rsidR="00FC0AF1" w:rsidRPr="00E70863" w:rsidRDefault="00FC0AF1" w:rsidP="000F4B3A">
            <w:pPr>
              <w:pStyle w:val="a3"/>
              <w:jc w:val="center"/>
              <w:rPr>
                <w:rFonts w:ascii="Tahoma" w:hAnsi="Tahoma"/>
                <w:color w:val="000080"/>
                <w:sz w:val="32"/>
                <w:szCs w:val="32"/>
                <w:rtl/>
              </w:rPr>
            </w:pPr>
            <w:bookmarkStart w:id="0" w:name="LastJudge"/>
            <w:r w:rsidRPr="00E70863">
              <w:rPr>
                <w:rFonts w:ascii="Tahoma" w:hAnsi="Tahoma"/>
                <w:b/>
                <w:bCs/>
                <w:color w:val="000080"/>
                <w:sz w:val="32"/>
                <w:szCs w:val="32"/>
                <w:rtl/>
              </w:rPr>
              <w:t>בית משפט השלום בתל אביב - יפו</w:t>
            </w:r>
          </w:p>
        </w:tc>
      </w:tr>
      <w:tr w:rsidR="00FC0AF1" w:rsidRPr="00E70863" w14:paraId="2171B0EB" w14:textId="77777777" w:rsidTr="00BD5767">
        <w:trPr>
          <w:trHeight w:val="337"/>
          <w:jc w:val="center"/>
        </w:trPr>
        <w:tc>
          <w:tcPr>
            <w:tcW w:w="5054" w:type="dxa"/>
          </w:tcPr>
          <w:p w14:paraId="72668DF7" w14:textId="77777777" w:rsidR="00FC0AF1" w:rsidRPr="00E70863" w:rsidRDefault="00FC0AF1" w:rsidP="000F4B3A">
            <w:pPr>
              <w:rPr>
                <w:sz w:val="26"/>
                <w:szCs w:val="26"/>
                <w:rtl/>
              </w:rPr>
            </w:pPr>
            <w:r w:rsidRPr="00E70863">
              <w:rPr>
                <w:sz w:val="26"/>
                <w:szCs w:val="26"/>
                <w:rtl/>
              </w:rPr>
              <w:t>ת"פ</w:t>
            </w:r>
            <w:r w:rsidRPr="00E70863">
              <w:rPr>
                <w:rFonts w:hint="cs"/>
                <w:sz w:val="26"/>
                <w:szCs w:val="26"/>
                <w:rtl/>
              </w:rPr>
              <w:t xml:space="preserve"> </w:t>
            </w:r>
            <w:r w:rsidRPr="00E70863">
              <w:rPr>
                <w:sz w:val="26"/>
                <w:szCs w:val="26"/>
                <w:rtl/>
              </w:rPr>
              <w:t>5581-02-17</w:t>
            </w:r>
            <w:r w:rsidRPr="00E70863">
              <w:rPr>
                <w:rFonts w:hint="cs"/>
                <w:sz w:val="26"/>
                <w:szCs w:val="26"/>
                <w:rtl/>
              </w:rPr>
              <w:t xml:space="preserve"> </w:t>
            </w:r>
            <w:r w:rsidRPr="00E70863">
              <w:rPr>
                <w:sz w:val="26"/>
                <w:szCs w:val="26"/>
                <w:rtl/>
              </w:rPr>
              <w:t>מדינת ישראל נ' מלכה</w:t>
            </w:r>
          </w:p>
        </w:tc>
        <w:tc>
          <w:tcPr>
            <w:tcW w:w="3667" w:type="dxa"/>
          </w:tcPr>
          <w:p w14:paraId="63612913" w14:textId="77777777" w:rsidR="00FC0AF1" w:rsidRPr="00E70863" w:rsidRDefault="00FC0AF1" w:rsidP="000F4B3A">
            <w:pPr>
              <w:pStyle w:val="a3"/>
              <w:jc w:val="right"/>
              <w:rPr>
                <w:rFonts w:cs="FrankRuehl"/>
                <w:sz w:val="28"/>
                <w:szCs w:val="28"/>
                <w:rtl/>
              </w:rPr>
            </w:pPr>
          </w:p>
        </w:tc>
      </w:tr>
    </w:tbl>
    <w:p w14:paraId="219CFA3E" w14:textId="77777777" w:rsidR="00FC0AF1" w:rsidRPr="00E70863" w:rsidRDefault="00FC0AF1" w:rsidP="00FC0AF1">
      <w:pPr>
        <w:pStyle w:val="a3"/>
        <w:rPr>
          <w:rtl/>
        </w:rPr>
      </w:pPr>
      <w:r w:rsidRPr="00E70863">
        <w:rPr>
          <w:rFonts w:hint="cs"/>
          <w:rtl/>
        </w:rPr>
        <w:t xml:space="preserve"> </w:t>
      </w:r>
    </w:p>
    <w:p w14:paraId="1E38F252" w14:textId="77777777" w:rsidR="00FC0AF1" w:rsidRPr="00E70863" w:rsidRDefault="00FC0AF1" w:rsidP="00FC0A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1"/>
        <w:gridCol w:w="3378"/>
      </w:tblGrid>
      <w:tr w:rsidR="00FC0AF1" w:rsidRPr="00E70863" w14:paraId="2650C878" w14:textId="77777777" w:rsidTr="00FC0AF1">
        <w:trPr>
          <w:trHeight w:val="295"/>
          <w:jc w:val="center"/>
        </w:trPr>
        <w:tc>
          <w:tcPr>
            <w:tcW w:w="8820" w:type="dxa"/>
            <w:gridSpan w:val="3"/>
            <w:tcBorders>
              <w:top w:val="nil"/>
              <w:left w:val="nil"/>
              <w:bottom w:val="nil"/>
              <w:right w:val="nil"/>
            </w:tcBorders>
            <w:shd w:val="clear" w:color="auto" w:fill="auto"/>
          </w:tcPr>
          <w:p w14:paraId="09B4E672" w14:textId="77777777" w:rsidR="00FC0AF1" w:rsidRPr="00E70863" w:rsidRDefault="00FC0AF1" w:rsidP="00FC0AF1">
            <w:pPr>
              <w:jc w:val="both"/>
              <w:rPr>
                <w:b/>
                <w:bCs/>
                <w:sz w:val="26"/>
                <w:szCs w:val="26"/>
                <w:rtl/>
              </w:rPr>
            </w:pPr>
            <w:r w:rsidRPr="00E70863">
              <w:rPr>
                <w:b/>
                <w:bCs/>
                <w:sz w:val="26"/>
                <w:szCs w:val="26"/>
                <w:rtl/>
              </w:rPr>
              <w:t>לפני כבוד השופט  עידו דרויאן-גמליאל</w:t>
            </w:r>
          </w:p>
          <w:p w14:paraId="7BF94ECB" w14:textId="77777777" w:rsidR="00FC0AF1" w:rsidRPr="00E70863" w:rsidRDefault="00FC0AF1" w:rsidP="00FC0AF1">
            <w:pPr>
              <w:jc w:val="both"/>
              <w:rPr>
                <w:sz w:val="26"/>
                <w:szCs w:val="26"/>
              </w:rPr>
            </w:pPr>
          </w:p>
        </w:tc>
      </w:tr>
      <w:tr w:rsidR="00FC0AF1" w:rsidRPr="00E70863" w14:paraId="52BD4270" w14:textId="77777777" w:rsidTr="00FC0AF1">
        <w:trPr>
          <w:trHeight w:val="355"/>
          <w:jc w:val="center"/>
        </w:trPr>
        <w:tc>
          <w:tcPr>
            <w:tcW w:w="885" w:type="dxa"/>
            <w:tcBorders>
              <w:top w:val="nil"/>
              <w:left w:val="nil"/>
              <w:bottom w:val="nil"/>
              <w:right w:val="nil"/>
            </w:tcBorders>
            <w:shd w:val="clear" w:color="auto" w:fill="auto"/>
          </w:tcPr>
          <w:p w14:paraId="04276DDA" w14:textId="77777777" w:rsidR="00FC0AF1" w:rsidRPr="00E70863" w:rsidRDefault="00FC0AF1" w:rsidP="00FC0AF1">
            <w:pPr>
              <w:jc w:val="both"/>
              <w:rPr>
                <w:b/>
                <w:bCs/>
                <w:sz w:val="26"/>
                <w:szCs w:val="26"/>
              </w:rPr>
            </w:pPr>
            <w:bookmarkStart w:id="1" w:name="FirstAppellant"/>
            <w:bookmarkStart w:id="2" w:name="FirstLawyer"/>
            <w:r w:rsidRPr="00E70863">
              <w:rPr>
                <w:b/>
                <w:bCs/>
                <w:sz w:val="26"/>
                <w:szCs w:val="26"/>
                <w:rtl/>
              </w:rPr>
              <w:t>המאשימה</w:t>
            </w:r>
          </w:p>
        </w:tc>
        <w:tc>
          <w:tcPr>
            <w:tcW w:w="4384" w:type="dxa"/>
            <w:tcBorders>
              <w:top w:val="nil"/>
              <w:left w:val="nil"/>
              <w:bottom w:val="nil"/>
              <w:right w:val="nil"/>
            </w:tcBorders>
            <w:shd w:val="clear" w:color="auto" w:fill="auto"/>
          </w:tcPr>
          <w:p w14:paraId="77ADF7E5" w14:textId="77777777" w:rsidR="00FC0AF1" w:rsidRPr="00E70863" w:rsidRDefault="00FC0AF1" w:rsidP="000F4B3A">
            <w:pPr>
              <w:rPr>
                <w:b/>
                <w:bCs/>
                <w:sz w:val="26"/>
                <w:szCs w:val="26"/>
                <w:rtl/>
              </w:rPr>
            </w:pPr>
            <w:r w:rsidRPr="00E70863">
              <w:rPr>
                <w:b/>
                <w:bCs/>
                <w:sz w:val="26"/>
                <w:szCs w:val="26"/>
                <w:rtl/>
              </w:rPr>
              <w:t>מדינת ישראל</w:t>
            </w:r>
          </w:p>
          <w:p w14:paraId="680BF2C4" w14:textId="77777777" w:rsidR="00FC0AF1" w:rsidRPr="00E70863" w:rsidRDefault="00FC0AF1" w:rsidP="000F4B3A">
            <w:pPr>
              <w:rPr>
                <w:sz w:val="26"/>
                <w:szCs w:val="26"/>
              </w:rPr>
            </w:pPr>
            <w:r w:rsidRPr="00E70863">
              <w:rPr>
                <w:sz w:val="26"/>
                <w:szCs w:val="26"/>
                <w:rtl/>
              </w:rPr>
              <w:t>ע"י ב"כ עו"ד</w:t>
            </w:r>
            <w:r w:rsidRPr="00E70863">
              <w:rPr>
                <w:rFonts w:hint="cs"/>
                <w:sz w:val="26"/>
                <w:szCs w:val="26"/>
                <w:rtl/>
              </w:rPr>
              <w:t xml:space="preserve"> הרצוג ובר טוב</w:t>
            </w:r>
          </w:p>
        </w:tc>
        <w:tc>
          <w:tcPr>
            <w:tcW w:w="3551" w:type="dxa"/>
            <w:tcBorders>
              <w:top w:val="nil"/>
              <w:left w:val="nil"/>
              <w:bottom w:val="nil"/>
              <w:right w:val="nil"/>
            </w:tcBorders>
            <w:shd w:val="clear" w:color="auto" w:fill="auto"/>
          </w:tcPr>
          <w:p w14:paraId="2D6D3CAB" w14:textId="77777777" w:rsidR="00FC0AF1" w:rsidRPr="00E70863" w:rsidRDefault="00FC0AF1" w:rsidP="00FC0AF1">
            <w:pPr>
              <w:jc w:val="both"/>
              <w:rPr>
                <w:sz w:val="26"/>
                <w:szCs w:val="26"/>
              </w:rPr>
            </w:pPr>
          </w:p>
        </w:tc>
      </w:tr>
      <w:bookmarkEnd w:id="1"/>
      <w:bookmarkEnd w:id="2"/>
      <w:tr w:rsidR="00FC0AF1" w:rsidRPr="00E70863" w14:paraId="6638DC30" w14:textId="77777777" w:rsidTr="00FC0AF1">
        <w:trPr>
          <w:trHeight w:val="355"/>
          <w:jc w:val="center"/>
        </w:trPr>
        <w:tc>
          <w:tcPr>
            <w:tcW w:w="885" w:type="dxa"/>
            <w:tcBorders>
              <w:top w:val="nil"/>
              <w:left w:val="nil"/>
              <w:bottom w:val="nil"/>
              <w:right w:val="nil"/>
            </w:tcBorders>
            <w:shd w:val="clear" w:color="auto" w:fill="auto"/>
          </w:tcPr>
          <w:p w14:paraId="41AAA61E" w14:textId="77777777" w:rsidR="00FC0AF1" w:rsidRPr="00E70863" w:rsidRDefault="00FC0AF1" w:rsidP="00FC0AF1">
            <w:pPr>
              <w:jc w:val="both"/>
              <w:rPr>
                <w:sz w:val="26"/>
                <w:szCs w:val="26"/>
                <w:rtl/>
              </w:rPr>
            </w:pPr>
          </w:p>
        </w:tc>
        <w:tc>
          <w:tcPr>
            <w:tcW w:w="4384" w:type="dxa"/>
            <w:tcBorders>
              <w:top w:val="nil"/>
              <w:left w:val="nil"/>
              <w:bottom w:val="nil"/>
              <w:right w:val="nil"/>
            </w:tcBorders>
            <w:shd w:val="clear" w:color="auto" w:fill="auto"/>
          </w:tcPr>
          <w:p w14:paraId="4AB3A829" w14:textId="77777777" w:rsidR="00FC0AF1" w:rsidRPr="00E70863" w:rsidRDefault="00FC0AF1" w:rsidP="000F4B3A">
            <w:pPr>
              <w:rPr>
                <w:sz w:val="26"/>
                <w:szCs w:val="26"/>
                <w:rtl/>
              </w:rPr>
            </w:pPr>
          </w:p>
        </w:tc>
        <w:tc>
          <w:tcPr>
            <w:tcW w:w="3551" w:type="dxa"/>
            <w:tcBorders>
              <w:top w:val="nil"/>
              <w:left w:val="nil"/>
              <w:bottom w:val="nil"/>
              <w:right w:val="nil"/>
            </w:tcBorders>
            <w:shd w:val="clear" w:color="auto" w:fill="auto"/>
          </w:tcPr>
          <w:p w14:paraId="69470FDF" w14:textId="77777777" w:rsidR="00FC0AF1" w:rsidRPr="00E70863" w:rsidRDefault="00FC0AF1" w:rsidP="00FC0AF1">
            <w:pPr>
              <w:jc w:val="right"/>
              <w:rPr>
                <w:sz w:val="26"/>
                <w:szCs w:val="26"/>
                <w:rtl/>
              </w:rPr>
            </w:pPr>
          </w:p>
        </w:tc>
      </w:tr>
      <w:tr w:rsidR="00FC0AF1" w:rsidRPr="00E70863" w14:paraId="20CB0373" w14:textId="77777777" w:rsidTr="00FC0AF1">
        <w:trPr>
          <w:trHeight w:val="373"/>
          <w:jc w:val="center"/>
        </w:trPr>
        <w:tc>
          <w:tcPr>
            <w:tcW w:w="885" w:type="dxa"/>
            <w:tcBorders>
              <w:top w:val="nil"/>
              <w:left w:val="nil"/>
              <w:bottom w:val="nil"/>
              <w:right w:val="nil"/>
            </w:tcBorders>
            <w:shd w:val="clear" w:color="auto" w:fill="auto"/>
          </w:tcPr>
          <w:p w14:paraId="2E641925" w14:textId="77777777" w:rsidR="00FC0AF1" w:rsidRPr="00E70863" w:rsidRDefault="00FC0AF1" w:rsidP="00FC0AF1">
            <w:pPr>
              <w:jc w:val="both"/>
              <w:rPr>
                <w:sz w:val="26"/>
                <w:szCs w:val="26"/>
                <w:rtl/>
              </w:rPr>
            </w:pPr>
          </w:p>
        </w:tc>
        <w:tc>
          <w:tcPr>
            <w:tcW w:w="7935" w:type="dxa"/>
            <w:gridSpan w:val="2"/>
            <w:tcBorders>
              <w:top w:val="nil"/>
              <w:left w:val="nil"/>
              <w:bottom w:val="nil"/>
              <w:right w:val="nil"/>
            </w:tcBorders>
            <w:shd w:val="clear" w:color="auto" w:fill="auto"/>
          </w:tcPr>
          <w:p w14:paraId="51257602" w14:textId="77777777" w:rsidR="00FC0AF1" w:rsidRPr="00E70863" w:rsidRDefault="00FC0AF1" w:rsidP="00FC0AF1">
            <w:pPr>
              <w:jc w:val="center"/>
              <w:rPr>
                <w:b/>
                <w:bCs/>
                <w:sz w:val="26"/>
                <w:szCs w:val="26"/>
                <w:rtl/>
              </w:rPr>
            </w:pPr>
          </w:p>
          <w:p w14:paraId="252D1534" w14:textId="77777777" w:rsidR="00FC0AF1" w:rsidRPr="00E70863" w:rsidRDefault="00FC0AF1" w:rsidP="00FC0AF1">
            <w:pPr>
              <w:jc w:val="center"/>
              <w:rPr>
                <w:b/>
                <w:bCs/>
                <w:sz w:val="26"/>
                <w:szCs w:val="26"/>
                <w:rtl/>
              </w:rPr>
            </w:pPr>
            <w:r w:rsidRPr="00E70863">
              <w:rPr>
                <w:b/>
                <w:bCs/>
                <w:sz w:val="26"/>
                <w:szCs w:val="26"/>
                <w:rtl/>
              </w:rPr>
              <w:t>נגד</w:t>
            </w:r>
          </w:p>
          <w:p w14:paraId="4D9323A3" w14:textId="77777777" w:rsidR="00FC0AF1" w:rsidRPr="00E70863" w:rsidRDefault="00FC0AF1" w:rsidP="00FC0AF1">
            <w:pPr>
              <w:jc w:val="both"/>
              <w:rPr>
                <w:sz w:val="26"/>
                <w:szCs w:val="26"/>
              </w:rPr>
            </w:pPr>
          </w:p>
        </w:tc>
      </w:tr>
      <w:tr w:rsidR="00FC0AF1" w:rsidRPr="00E70863" w14:paraId="6422413A" w14:textId="77777777" w:rsidTr="00FC0AF1">
        <w:trPr>
          <w:trHeight w:val="355"/>
          <w:jc w:val="center"/>
        </w:trPr>
        <w:tc>
          <w:tcPr>
            <w:tcW w:w="885" w:type="dxa"/>
            <w:tcBorders>
              <w:top w:val="nil"/>
              <w:left w:val="nil"/>
              <w:bottom w:val="nil"/>
              <w:right w:val="nil"/>
            </w:tcBorders>
            <w:shd w:val="clear" w:color="auto" w:fill="auto"/>
          </w:tcPr>
          <w:p w14:paraId="27502773" w14:textId="77777777" w:rsidR="00FC0AF1" w:rsidRPr="00E70863" w:rsidRDefault="00FC0AF1" w:rsidP="000F4B3A">
            <w:pPr>
              <w:rPr>
                <w:b/>
                <w:bCs/>
                <w:sz w:val="26"/>
                <w:szCs w:val="26"/>
                <w:rtl/>
              </w:rPr>
            </w:pPr>
            <w:r w:rsidRPr="00E70863">
              <w:rPr>
                <w:b/>
                <w:bCs/>
                <w:sz w:val="26"/>
                <w:szCs w:val="26"/>
                <w:rtl/>
              </w:rPr>
              <w:t>הנאשם</w:t>
            </w:r>
          </w:p>
        </w:tc>
        <w:tc>
          <w:tcPr>
            <w:tcW w:w="4384" w:type="dxa"/>
            <w:tcBorders>
              <w:top w:val="nil"/>
              <w:left w:val="nil"/>
              <w:bottom w:val="nil"/>
              <w:right w:val="nil"/>
            </w:tcBorders>
            <w:shd w:val="clear" w:color="auto" w:fill="auto"/>
          </w:tcPr>
          <w:p w14:paraId="490623FE" w14:textId="77777777" w:rsidR="00FC0AF1" w:rsidRPr="00E70863" w:rsidRDefault="00FC0AF1" w:rsidP="000F4B3A">
            <w:pPr>
              <w:rPr>
                <w:b/>
                <w:bCs/>
                <w:sz w:val="26"/>
                <w:szCs w:val="26"/>
                <w:rtl/>
              </w:rPr>
            </w:pPr>
            <w:r w:rsidRPr="00E70863">
              <w:rPr>
                <w:b/>
                <w:bCs/>
                <w:sz w:val="26"/>
                <w:szCs w:val="26"/>
                <w:rtl/>
              </w:rPr>
              <w:t>ניסים מלכה</w:t>
            </w:r>
          </w:p>
          <w:p w14:paraId="0B9FB07A" w14:textId="77777777" w:rsidR="00FC0AF1" w:rsidRPr="00E70863" w:rsidRDefault="00FC0AF1" w:rsidP="000F4B3A">
            <w:pPr>
              <w:rPr>
                <w:sz w:val="26"/>
                <w:szCs w:val="26"/>
                <w:rtl/>
              </w:rPr>
            </w:pPr>
            <w:r w:rsidRPr="00E70863">
              <w:rPr>
                <w:sz w:val="26"/>
                <w:szCs w:val="26"/>
                <w:rtl/>
              </w:rPr>
              <w:t>ע"י ב"כ עו"ד סרוגוביץ</w:t>
            </w:r>
          </w:p>
        </w:tc>
        <w:tc>
          <w:tcPr>
            <w:tcW w:w="3551" w:type="dxa"/>
            <w:tcBorders>
              <w:top w:val="nil"/>
              <w:left w:val="nil"/>
              <w:bottom w:val="nil"/>
              <w:right w:val="nil"/>
            </w:tcBorders>
            <w:shd w:val="clear" w:color="auto" w:fill="auto"/>
          </w:tcPr>
          <w:p w14:paraId="0841ECB3" w14:textId="77777777" w:rsidR="00FC0AF1" w:rsidRPr="00E70863" w:rsidRDefault="00FC0AF1" w:rsidP="00FC0AF1">
            <w:pPr>
              <w:jc w:val="right"/>
              <w:rPr>
                <w:sz w:val="26"/>
                <w:szCs w:val="26"/>
              </w:rPr>
            </w:pPr>
          </w:p>
        </w:tc>
      </w:tr>
      <w:tr w:rsidR="00FC0AF1" w:rsidRPr="00E70863" w14:paraId="610033BD" w14:textId="77777777" w:rsidTr="00FC0AF1">
        <w:trPr>
          <w:trHeight w:val="80"/>
          <w:jc w:val="center"/>
        </w:trPr>
        <w:tc>
          <w:tcPr>
            <w:tcW w:w="885" w:type="dxa"/>
            <w:tcBorders>
              <w:top w:val="nil"/>
              <w:left w:val="nil"/>
              <w:bottom w:val="nil"/>
              <w:right w:val="nil"/>
            </w:tcBorders>
            <w:shd w:val="clear" w:color="auto" w:fill="auto"/>
          </w:tcPr>
          <w:p w14:paraId="112D42BD" w14:textId="77777777" w:rsidR="00FC0AF1" w:rsidRPr="00E70863" w:rsidRDefault="00FC0AF1" w:rsidP="00FC0AF1">
            <w:pPr>
              <w:jc w:val="both"/>
              <w:rPr>
                <w:sz w:val="26"/>
                <w:szCs w:val="26"/>
                <w:rtl/>
              </w:rPr>
            </w:pPr>
          </w:p>
        </w:tc>
        <w:tc>
          <w:tcPr>
            <w:tcW w:w="4384" w:type="dxa"/>
            <w:tcBorders>
              <w:top w:val="nil"/>
              <w:left w:val="nil"/>
              <w:bottom w:val="nil"/>
              <w:right w:val="nil"/>
            </w:tcBorders>
            <w:shd w:val="clear" w:color="auto" w:fill="auto"/>
          </w:tcPr>
          <w:p w14:paraId="1065F905" w14:textId="77777777" w:rsidR="00FC0AF1" w:rsidRPr="00E70863" w:rsidRDefault="00FC0AF1" w:rsidP="000F4B3A">
            <w:pPr>
              <w:rPr>
                <w:sz w:val="26"/>
                <w:szCs w:val="26"/>
              </w:rPr>
            </w:pPr>
          </w:p>
        </w:tc>
        <w:tc>
          <w:tcPr>
            <w:tcW w:w="3551" w:type="dxa"/>
            <w:tcBorders>
              <w:top w:val="nil"/>
              <w:left w:val="nil"/>
              <w:bottom w:val="nil"/>
              <w:right w:val="nil"/>
            </w:tcBorders>
            <w:shd w:val="clear" w:color="auto" w:fill="auto"/>
          </w:tcPr>
          <w:p w14:paraId="330EFCAC" w14:textId="77777777" w:rsidR="00FC0AF1" w:rsidRPr="00E70863" w:rsidRDefault="00FC0AF1" w:rsidP="00FC0AF1">
            <w:pPr>
              <w:jc w:val="right"/>
              <w:rPr>
                <w:sz w:val="26"/>
                <w:szCs w:val="26"/>
              </w:rPr>
            </w:pPr>
          </w:p>
        </w:tc>
      </w:tr>
    </w:tbl>
    <w:p w14:paraId="5FCDD105" w14:textId="77777777" w:rsidR="00BD5767" w:rsidRDefault="00BD5767" w:rsidP="00FC0AF1">
      <w:pPr>
        <w:rPr>
          <w:rtl/>
        </w:rPr>
      </w:pPr>
      <w:bookmarkStart w:id="3" w:name="LawTable"/>
      <w:bookmarkEnd w:id="3"/>
    </w:p>
    <w:p w14:paraId="75D89437" w14:textId="77777777" w:rsidR="00BD5767" w:rsidRPr="00BD5767" w:rsidRDefault="00BD5767" w:rsidP="00BD5767">
      <w:pPr>
        <w:spacing w:after="120" w:line="240" w:lineRule="exact"/>
        <w:ind w:left="283" w:hanging="283"/>
        <w:jc w:val="both"/>
        <w:rPr>
          <w:rFonts w:ascii="FrankRuehl" w:hAnsi="FrankRuehl" w:cs="FrankRuehl"/>
          <w:rtl/>
        </w:rPr>
      </w:pPr>
    </w:p>
    <w:p w14:paraId="10BAF54C" w14:textId="77777777" w:rsidR="00BD5767" w:rsidRPr="00BD5767" w:rsidRDefault="00BD5767" w:rsidP="00BD5767">
      <w:pPr>
        <w:spacing w:after="120" w:line="240" w:lineRule="exact"/>
        <w:ind w:left="283" w:hanging="283"/>
        <w:jc w:val="both"/>
        <w:rPr>
          <w:rFonts w:ascii="FrankRuehl" w:hAnsi="FrankRuehl" w:cs="FrankRuehl"/>
          <w:rtl/>
        </w:rPr>
      </w:pPr>
      <w:r w:rsidRPr="00BD5767">
        <w:rPr>
          <w:rFonts w:ascii="FrankRuehl" w:hAnsi="FrankRuehl" w:cs="FrankRuehl"/>
          <w:rtl/>
        </w:rPr>
        <w:t xml:space="preserve">חקיקה שאוזכרה: </w:t>
      </w:r>
    </w:p>
    <w:p w14:paraId="6F612D10" w14:textId="77777777" w:rsidR="00BD5767" w:rsidRPr="00BD5767" w:rsidRDefault="00BD5767" w:rsidP="00BD5767">
      <w:pPr>
        <w:spacing w:after="120" w:line="240" w:lineRule="exact"/>
        <w:ind w:left="283" w:hanging="283"/>
        <w:jc w:val="both"/>
        <w:rPr>
          <w:rFonts w:ascii="FrankRuehl" w:hAnsi="FrankRuehl" w:cs="FrankRuehl"/>
          <w:rtl/>
        </w:rPr>
      </w:pPr>
      <w:hyperlink r:id="rId7" w:history="1">
        <w:r w:rsidRPr="00BD5767">
          <w:rPr>
            <w:rFonts w:ascii="FrankRuehl" w:hAnsi="FrankRuehl" w:cs="FrankRuehl"/>
            <w:color w:val="0000FF"/>
            <w:u w:val="single"/>
            <w:rtl/>
          </w:rPr>
          <w:t>חוק המאבק בתופעת השימוש בחומרים מסכנים, תשע"ג-2013</w:t>
        </w:r>
      </w:hyperlink>
      <w:r w:rsidRPr="00BD5767">
        <w:rPr>
          <w:rFonts w:ascii="FrankRuehl" w:hAnsi="FrankRuehl" w:cs="FrankRuehl"/>
          <w:rtl/>
        </w:rPr>
        <w:t xml:space="preserve">: סע'  </w:t>
      </w:r>
      <w:hyperlink r:id="rId8" w:history="1">
        <w:r w:rsidRPr="00BD5767">
          <w:rPr>
            <w:rFonts w:ascii="FrankRuehl" w:hAnsi="FrankRuehl" w:cs="FrankRuehl"/>
            <w:color w:val="0000FF"/>
            <w:u w:val="single"/>
            <w:rtl/>
          </w:rPr>
          <w:t>7(א)</w:t>
        </w:r>
      </w:hyperlink>
    </w:p>
    <w:p w14:paraId="7E0AB173" w14:textId="77777777" w:rsidR="00BD5767" w:rsidRPr="00BD5767" w:rsidRDefault="00BD5767" w:rsidP="00BD5767">
      <w:pPr>
        <w:spacing w:after="120" w:line="240" w:lineRule="exact"/>
        <w:ind w:left="283" w:hanging="283"/>
        <w:jc w:val="both"/>
        <w:rPr>
          <w:rFonts w:ascii="FrankRuehl" w:hAnsi="FrankRuehl" w:cs="FrankRuehl"/>
          <w:rtl/>
        </w:rPr>
      </w:pPr>
      <w:hyperlink r:id="rId9" w:history="1">
        <w:r w:rsidRPr="00BD5767">
          <w:rPr>
            <w:rFonts w:ascii="FrankRuehl" w:hAnsi="FrankRuehl" w:cs="FrankRuehl"/>
            <w:color w:val="0000FF"/>
            <w:u w:val="single"/>
            <w:rtl/>
          </w:rPr>
          <w:t>פקודת הסמים המסוכנים [נוסח חדש], תשל"ג-1973</w:t>
        </w:r>
      </w:hyperlink>
      <w:r w:rsidRPr="00BD5767">
        <w:rPr>
          <w:rFonts w:ascii="FrankRuehl" w:hAnsi="FrankRuehl" w:cs="FrankRuehl"/>
          <w:rtl/>
        </w:rPr>
        <w:t xml:space="preserve">: סע'  </w:t>
      </w:r>
      <w:hyperlink r:id="rId10" w:history="1">
        <w:r w:rsidRPr="00BD5767">
          <w:rPr>
            <w:rFonts w:ascii="FrankRuehl" w:hAnsi="FrankRuehl" w:cs="FrankRuehl"/>
            <w:color w:val="0000FF"/>
            <w:u w:val="single"/>
            <w:rtl/>
          </w:rPr>
          <w:t>7(א)</w:t>
        </w:r>
      </w:hyperlink>
      <w:r w:rsidRPr="00BD5767">
        <w:rPr>
          <w:rFonts w:ascii="FrankRuehl" w:hAnsi="FrankRuehl" w:cs="FrankRuehl"/>
          <w:rtl/>
        </w:rPr>
        <w:t xml:space="preserve">, </w:t>
      </w:r>
      <w:hyperlink r:id="rId11" w:history="1">
        <w:r w:rsidRPr="00BD5767">
          <w:rPr>
            <w:rFonts w:ascii="FrankRuehl" w:hAnsi="FrankRuehl" w:cs="FrankRuehl"/>
            <w:color w:val="0000FF"/>
            <w:u w:val="single"/>
            <w:rtl/>
          </w:rPr>
          <w:t>7(ג)</w:t>
        </w:r>
      </w:hyperlink>
    </w:p>
    <w:p w14:paraId="7B4685AE" w14:textId="77777777" w:rsidR="00BD5767" w:rsidRPr="00BD5767" w:rsidRDefault="00BD5767" w:rsidP="00BD5767">
      <w:pPr>
        <w:spacing w:after="120" w:line="240" w:lineRule="exact"/>
        <w:ind w:left="283" w:hanging="283"/>
        <w:jc w:val="both"/>
        <w:rPr>
          <w:rFonts w:ascii="FrankRuehl" w:hAnsi="FrankRuehl" w:cs="FrankRuehl"/>
          <w:rtl/>
        </w:rPr>
      </w:pPr>
      <w:hyperlink r:id="rId12" w:history="1">
        <w:r w:rsidRPr="00BD5767">
          <w:rPr>
            <w:rFonts w:ascii="FrankRuehl" w:hAnsi="FrankRuehl" w:cs="FrankRuehl"/>
            <w:color w:val="0000FF"/>
            <w:u w:val="single"/>
            <w:rtl/>
          </w:rPr>
          <w:t>פקודת התעבורה [נוסח חדש]</w:t>
        </w:r>
      </w:hyperlink>
    </w:p>
    <w:p w14:paraId="5B835C9F" w14:textId="77777777" w:rsidR="00BD5767" w:rsidRPr="00BD5767" w:rsidRDefault="00BD5767" w:rsidP="00BD5767">
      <w:pPr>
        <w:spacing w:after="120" w:line="240" w:lineRule="exact"/>
        <w:ind w:left="283" w:hanging="283"/>
        <w:jc w:val="both"/>
        <w:rPr>
          <w:rFonts w:ascii="FrankRuehl" w:hAnsi="FrankRuehl" w:cs="FrankRuehl"/>
          <w:rtl/>
        </w:rPr>
      </w:pPr>
    </w:p>
    <w:p w14:paraId="598515B4" w14:textId="77777777" w:rsidR="00BD5767" w:rsidRPr="00BD5767" w:rsidRDefault="00BD5767" w:rsidP="00FC0AF1">
      <w:pPr>
        <w:rPr>
          <w:rtl/>
        </w:rPr>
      </w:pPr>
      <w:bookmarkStart w:id="4" w:name="LawTable_End"/>
      <w:bookmarkEnd w:id="4"/>
    </w:p>
    <w:p w14:paraId="619E8157" w14:textId="77777777" w:rsidR="00E70863" w:rsidRPr="00E70863" w:rsidRDefault="00E70863" w:rsidP="00FC0AF1">
      <w:pPr>
        <w:rPr>
          <w:rtl/>
        </w:rPr>
      </w:pPr>
    </w:p>
    <w:p w14:paraId="18D4D67A" w14:textId="77777777" w:rsidR="00E70863" w:rsidRPr="00E70863" w:rsidRDefault="00E70863" w:rsidP="00FC0AF1">
      <w:pPr>
        <w:rPr>
          <w:rtl/>
        </w:rPr>
      </w:pPr>
    </w:p>
    <w:p w14:paraId="3834C111" w14:textId="77777777" w:rsidR="00FC0AF1" w:rsidRPr="00E70863" w:rsidRDefault="00FC0AF1" w:rsidP="00FC0AF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0AF1" w:rsidRPr="00CC53FF" w14:paraId="136AA042" w14:textId="77777777" w:rsidTr="00FC0AF1">
        <w:trPr>
          <w:trHeight w:val="355"/>
          <w:jc w:val="center"/>
        </w:trPr>
        <w:tc>
          <w:tcPr>
            <w:tcW w:w="8820" w:type="dxa"/>
            <w:tcBorders>
              <w:top w:val="nil"/>
              <w:left w:val="nil"/>
              <w:bottom w:val="nil"/>
              <w:right w:val="nil"/>
            </w:tcBorders>
            <w:shd w:val="clear" w:color="auto" w:fill="auto"/>
          </w:tcPr>
          <w:p w14:paraId="5ADF6C3C" w14:textId="77777777" w:rsidR="00E70863" w:rsidRPr="00E70863" w:rsidRDefault="00E70863" w:rsidP="00E70863">
            <w:pPr>
              <w:jc w:val="center"/>
              <w:rPr>
                <w:b/>
                <w:bCs/>
                <w:sz w:val="28"/>
                <w:szCs w:val="28"/>
                <w:u w:val="single"/>
                <w:rtl/>
              </w:rPr>
            </w:pPr>
            <w:bookmarkStart w:id="5" w:name="PsakDin" w:colFirst="0" w:colLast="0"/>
            <w:bookmarkEnd w:id="0"/>
            <w:r w:rsidRPr="00E70863">
              <w:rPr>
                <w:b/>
                <w:bCs/>
                <w:sz w:val="28"/>
                <w:szCs w:val="28"/>
                <w:u w:val="single"/>
                <w:rtl/>
              </w:rPr>
              <w:t>גזר דין</w:t>
            </w:r>
          </w:p>
          <w:p w14:paraId="48482971" w14:textId="77777777" w:rsidR="00FC0AF1" w:rsidRPr="00E70863" w:rsidRDefault="00FC0AF1" w:rsidP="00E70863">
            <w:pPr>
              <w:jc w:val="center"/>
              <w:rPr>
                <w:bCs/>
                <w:sz w:val="28"/>
                <w:szCs w:val="28"/>
                <w:u w:val="single"/>
                <w:rtl/>
              </w:rPr>
            </w:pPr>
          </w:p>
        </w:tc>
      </w:tr>
      <w:bookmarkEnd w:id="5"/>
    </w:tbl>
    <w:p w14:paraId="7C92AD09" w14:textId="77777777" w:rsidR="00FC0AF1" w:rsidRPr="00CC53FF" w:rsidRDefault="00FC0AF1" w:rsidP="00FC0AF1">
      <w:pPr>
        <w:spacing w:line="360" w:lineRule="auto"/>
        <w:jc w:val="both"/>
        <w:rPr>
          <w:rtl/>
        </w:rPr>
      </w:pPr>
    </w:p>
    <w:p w14:paraId="220520CA" w14:textId="77777777" w:rsidR="00FC0AF1" w:rsidRPr="00375F39" w:rsidRDefault="00FC0AF1" w:rsidP="00FC0AF1">
      <w:pPr>
        <w:spacing w:line="360" w:lineRule="auto"/>
        <w:jc w:val="both"/>
        <w:rPr>
          <w:b/>
          <w:bCs/>
          <w:u w:val="single"/>
          <w:rtl/>
        </w:rPr>
      </w:pPr>
      <w:r>
        <w:rPr>
          <w:rFonts w:hint="cs"/>
          <w:b/>
          <w:bCs/>
          <w:u w:val="single"/>
          <w:rtl/>
        </w:rPr>
        <w:t>השתלשלות ההליך:</w:t>
      </w:r>
    </w:p>
    <w:p w14:paraId="39C7BC3A" w14:textId="77777777" w:rsidR="00FC0AF1" w:rsidRPr="00CC53FF" w:rsidRDefault="00FC0AF1" w:rsidP="00FC0AF1">
      <w:pPr>
        <w:pStyle w:val="a9"/>
        <w:numPr>
          <w:ilvl w:val="0"/>
          <w:numId w:val="4"/>
        </w:numPr>
        <w:spacing w:line="360" w:lineRule="auto"/>
        <w:jc w:val="both"/>
        <w:rPr>
          <w:rtl/>
        </w:rPr>
      </w:pPr>
      <w:bookmarkStart w:id="6" w:name="ABSTRACT_START"/>
      <w:bookmarkEnd w:id="6"/>
      <w:r w:rsidRPr="00CC53FF">
        <w:rPr>
          <w:rtl/>
        </w:rPr>
        <w:t>ביום 11.6.17, במסגרת הסדר טיעון דיוני ללא הסכמות עונשיות, הודה הנאשם והורשע, לפי כתב אישום מתוקן, בעבירות הבאות:</w:t>
      </w:r>
    </w:p>
    <w:p w14:paraId="3E8CC48D" w14:textId="77777777" w:rsidR="00FC0AF1" w:rsidRPr="00CC53FF" w:rsidRDefault="00FC0AF1" w:rsidP="00FC0AF1">
      <w:pPr>
        <w:pStyle w:val="a9"/>
        <w:numPr>
          <w:ilvl w:val="1"/>
          <w:numId w:val="5"/>
        </w:numPr>
        <w:spacing w:line="360" w:lineRule="auto"/>
        <w:jc w:val="both"/>
        <w:rPr>
          <w:rtl/>
        </w:rPr>
      </w:pPr>
      <w:r w:rsidRPr="00CC53FF">
        <w:rPr>
          <w:rtl/>
        </w:rPr>
        <w:t>מסחר, החזק</w:t>
      </w:r>
      <w:r>
        <w:rPr>
          <w:rtl/>
        </w:rPr>
        <w:t xml:space="preserve">ה והפצה של חומר אסור לפי </w:t>
      </w:r>
      <w:hyperlink r:id="rId13" w:history="1">
        <w:r w:rsidR="00BD5767" w:rsidRPr="00BD5767">
          <w:rPr>
            <w:color w:val="0000FF"/>
            <w:u w:val="single"/>
            <w:rtl/>
          </w:rPr>
          <w:t>סעיף 7(א)</w:t>
        </w:r>
      </w:hyperlink>
      <w:r w:rsidRPr="00CC53FF">
        <w:rPr>
          <w:rtl/>
        </w:rPr>
        <w:t xml:space="preserve"> ל</w:t>
      </w:r>
      <w:hyperlink r:id="rId14" w:history="1">
        <w:r w:rsidR="00E70863" w:rsidRPr="00E70863">
          <w:rPr>
            <w:color w:val="0000FF"/>
            <w:u w:val="single"/>
            <w:rtl/>
          </w:rPr>
          <w:t>חוק המאבק בתופעת השימוש בחומרים מסכנים</w:t>
        </w:r>
      </w:hyperlink>
      <w:r w:rsidRPr="00CC53FF">
        <w:rPr>
          <w:rtl/>
        </w:rPr>
        <w:t>, תשע"ג-2013 (2 עבירות);</w:t>
      </w:r>
    </w:p>
    <w:p w14:paraId="395D3A00" w14:textId="77777777" w:rsidR="00FC0AF1" w:rsidRPr="00CC53FF" w:rsidRDefault="00FC0AF1" w:rsidP="00FC0AF1">
      <w:pPr>
        <w:pStyle w:val="a9"/>
        <w:numPr>
          <w:ilvl w:val="1"/>
          <w:numId w:val="5"/>
        </w:numPr>
        <w:spacing w:line="360" w:lineRule="auto"/>
        <w:jc w:val="both"/>
        <w:rPr>
          <w:rtl/>
        </w:rPr>
      </w:pPr>
      <w:r w:rsidRPr="00CC53FF">
        <w:rPr>
          <w:rtl/>
        </w:rPr>
        <w:t>החזקת סם</w:t>
      </w:r>
      <w:r>
        <w:rPr>
          <w:rtl/>
        </w:rPr>
        <w:t xml:space="preserve"> מסוכן לצריכה עצמית, לפי </w:t>
      </w:r>
      <w:hyperlink r:id="rId15" w:history="1">
        <w:r w:rsidR="00BD5767" w:rsidRPr="00BD5767">
          <w:rPr>
            <w:color w:val="0000FF"/>
            <w:u w:val="single"/>
            <w:rtl/>
          </w:rPr>
          <w:t>סעיף 7(א)</w:t>
        </w:r>
      </w:hyperlink>
      <w:r>
        <w:rPr>
          <w:rtl/>
        </w:rPr>
        <w:t xml:space="preserve"> בצירוף </w:t>
      </w:r>
      <w:hyperlink r:id="rId16" w:history="1">
        <w:r w:rsidR="00BD5767" w:rsidRPr="00BD5767">
          <w:rPr>
            <w:color w:val="0000FF"/>
            <w:u w:val="single"/>
            <w:rtl/>
          </w:rPr>
          <w:t>7(ג)</w:t>
        </w:r>
      </w:hyperlink>
      <w:r w:rsidRPr="00CC53FF">
        <w:rPr>
          <w:rtl/>
        </w:rPr>
        <w:t xml:space="preserve"> סיפא ל</w:t>
      </w:r>
      <w:hyperlink r:id="rId17" w:history="1">
        <w:r w:rsidR="00E70863" w:rsidRPr="00E70863">
          <w:rPr>
            <w:color w:val="0000FF"/>
            <w:u w:val="single"/>
            <w:rtl/>
          </w:rPr>
          <w:t>פקודת הסמים המסוכנים</w:t>
        </w:r>
      </w:hyperlink>
      <w:r w:rsidRPr="00CC53FF">
        <w:rPr>
          <w:rtl/>
        </w:rPr>
        <w:t>;</w:t>
      </w:r>
    </w:p>
    <w:p w14:paraId="4886F79A" w14:textId="77777777" w:rsidR="00FC0AF1" w:rsidRDefault="00FC0AF1" w:rsidP="00FC0AF1">
      <w:pPr>
        <w:pStyle w:val="a9"/>
        <w:numPr>
          <w:ilvl w:val="0"/>
          <w:numId w:val="4"/>
        </w:numPr>
        <w:spacing w:line="360" w:lineRule="auto"/>
        <w:jc w:val="both"/>
        <w:rPr>
          <w:rtl/>
        </w:rPr>
      </w:pPr>
      <w:bookmarkStart w:id="7" w:name="ABSTRACT_END"/>
      <w:bookmarkEnd w:id="7"/>
      <w:r w:rsidRPr="00CC53FF">
        <w:rPr>
          <w:rtl/>
        </w:rPr>
        <w:t>בעניינו של הנאשם התקבל</w:t>
      </w:r>
      <w:r>
        <w:rPr>
          <w:rFonts w:hint="cs"/>
          <w:rtl/>
        </w:rPr>
        <w:t>ו</w:t>
      </w:r>
      <w:r w:rsidRPr="00CC53FF">
        <w:rPr>
          <w:rtl/>
        </w:rPr>
        <w:t xml:space="preserve"> תסקיר שירות המבחן מיום 12.11.17</w:t>
      </w:r>
      <w:r>
        <w:rPr>
          <w:rFonts w:hint="cs"/>
          <w:rtl/>
        </w:rPr>
        <w:t xml:space="preserve"> וחוות דעתו של הממונה על עבודות השירות מיום 23.1.18</w:t>
      </w:r>
      <w:r w:rsidRPr="00CC53FF">
        <w:rPr>
          <w:rtl/>
        </w:rPr>
        <w:t>.</w:t>
      </w:r>
      <w:r>
        <w:rPr>
          <w:rFonts w:hint="cs"/>
          <w:rtl/>
        </w:rPr>
        <w:t xml:space="preserve"> עוד לפני תדפיס מידע פלילי [תע/1], ותלושי שכר ומסמכים לעניין מצבו הכלכלי של הנאשם [נע/1].</w:t>
      </w:r>
    </w:p>
    <w:p w14:paraId="7CD5B478" w14:textId="77777777" w:rsidR="00FC0AF1" w:rsidRDefault="00FC0AF1" w:rsidP="00FC0AF1">
      <w:pPr>
        <w:pStyle w:val="a9"/>
        <w:numPr>
          <w:ilvl w:val="0"/>
          <w:numId w:val="4"/>
        </w:numPr>
        <w:spacing w:line="360" w:lineRule="auto"/>
        <w:jc w:val="both"/>
      </w:pPr>
      <w:r>
        <w:rPr>
          <w:rFonts w:hint="cs"/>
          <w:rtl/>
        </w:rPr>
        <w:t>ביום 14.11.17 טענו הצדדים לעונש:</w:t>
      </w:r>
    </w:p>
    <w:p w14:paraId="2D796485" w14:textId="77777777" w:rsidR="00FC0AF1" w:rsidRDefault="00FC0AF1" w:rsidP="00FC0AF1">
      <w:pPr>
        <w:spacing w:line="360" w:lineRule="auto"/>
        <w:ind w:left="360"/>
        <w:jc w:val="both"/>
        <w:rPr>
          <w:rtl/>
        </w:rPr>
      </w:pPr>
      <w:r>
        <w:rPr>
          <w:rFonts w:hint="cs"/>
          <w:rtl/>
        </w:rPr>
        <w:lastRenderedPageBreak/>
        <w:t>התביעה טענה לקביעתו של מתחם העונש ההולם בין שבעה לבין 12 חודשי מאסר, ועתרה להשתת עונש עיקרי של שבעה חודשי מאסר בפועל, בתחתית המתחם;</w:t>
      </w:r>
    </w:p>
    <w:p w14:paraId="2511FEC9" w14:textId="77777777" w:rsidR="00FC0AF1" w:rsidRPr="00CC53FF" w:rsidRDefault="00FC0AF1" w:rsidP="00FC0AF1">
      <w:pPr>
        <w:spacing w:line="360" w:lineRule="auto"/>
        <w:ind w:left="360"/>
        <w:jc w:val="both"/>
        <w:rPr>
          <w:rtl/>
        </w:rPr>
      </w:pPr>
      <w:r>
        <w:rPr>
          <w:rFonts w:hint="cs"/>
          <w:rtl/>
        </w:rPr>
        <w:t>ההגנה טענה לקביעת מתחם שתחילתו במאסר מותנה או במאסר שניתן לרצותו בעבודות שירות, ועתרה להשתת עונש של מאסר קצר בעבודות שירות;</w:t>
      </w:r>
    </w:p>
    <w:p w14:paraId="3E682EE6" w14:textId="77777777" w:rsidR="00FC0AF1" w:rsidRPr="00CC53FF" w:rsidRDefault="00FC0AF1" w:rsidP="00FC0AF1">
      <w:pPr>
        <w:spacing w:line="360" w:lineRule="auto"/>
        <w:ind w:left="720" w:hanging="720"/>
        <w:jc w:val="both"/>
        <w:rPr>
          <w:rtl/>
        </w:rPr>
      </w:pPr>
    </w:p>
    <w:p w14:paraId="3DDC0B24" w14:textId="77777777" w:rsidR="00FC0AF1" w:rsidRPr="00CC53FF" w:rsidRDefault="00FC0AF1" w:rsidP="00FC0AF1">
      <w:pPr>
        <w:spacing w:line="360" w:lineRule="auto"/>
        <w:ind w:left="720" w:hanging="720"/>
        <w:jc w:val="both"/>
        <w:rPr>
          <w:rtl/>
        </w:rPr>
      </w:pPr>
      <w:r w:rsidRPr="00CC53FF">
        <w:rPr>
          <w:b/>
          <w:bCs/>
          <w:u w:val="single"/>
          <w:rtl/>
        </w:rPr>
        <w:t>מעשי הנאשם:</w:t>
      </w:r>
    </w:p>
    <w:p w14:paraId="3DA438E6" w14:textId="77777777" w:rsidR="00FC0AF1" w:rsidRPr="00CC53FF" w:rsidRDefault="00FC0AF1" w:rsidP="00FC0AF1">
      <w:pPr>
        <w:pStyle w:val="a9"/>
        <w:numPr>
          <w:ilvl w:val="0"/>
          <w:numId w:val="1"/>
        </w:numPr>
        <w:spacing w:line="360" w:lineRule="auto"/>
        <w:jc w:val="both"/>
        <w:rPr>
          <w:rtl/>
        </w:rPr>
      </w:pPr>
      <w:r w:rsidRPr="00CC53FF">
        <w:rPr>
          <w:rtl/>
        </w:rPr>
        <w:t>איי בי צ'מינקה (</w:t>
      </w:r>
      <w:r w:rsidRPr="00CC53FF">
        <w:t>AB-CHMINACA</w:t>
      </w:r>
      <w:r>
        <w:rPr>
          <w:rFonts w:hint="cs"/>
          <w:rtl/>
        </w:rPr>
        <w:t xml:space="preserve"> </w:t>
      </w:r>
      <w:r>
        <w:rPr>
          <w:rtl/>
        </w:rPr>
        <w:t>–</w:t>
      </w:r>
      <w:r>
        <w:rPr>
          <w:rFonts w:hint="cs"/>
          <w:rtl/>
        </w:rPr>
        <w:t xml:space="preserve"> להלן "צ'מינקה"</w:t>
      </w:r>
      <w:r w:rsidRPr="00CC53FF">
        <w:rPr>
          <w:rtl/>
        </w:rPr>
        <w:t xml:space="preserve">) ואף. יו. בי. פי. בי. </w:t>
      </w:r>
      <w:r w:rsidRPr="00CC53FF">
        <w:t>FUB-PB22) 22</w:t>
      </w:r>
      <w:r>
        <w:rPr>
          <w:rFonts w:hint="cs"/>
          <w:rtl/>
        </w:rPr>
        <w:t xml:space="preserve"> </w:t>
      </w:r>
      <w:r>
        <w:rPr>
          <w:rtl/>
        </w:rPr>
        <w:t>–</w:t>
      </w:r>
      <w:r>
        <w:rPr>
          <w:rFonts w:hint="cs"/>
          <w:rtl/>
        </w:rPr>
        <w:t xml:space="preserve"> להלן "פאב"</w:t>
      </w:r>
      <w:r w:rsidRPr="00CC53FF">
        <w:rPr>
          <w:rtl/>
        </w:rPr>
        <w:t>) הם קנאבואידים סינטטיים</w:t>
      </w:r>
      <w:r>
        <w:rPr>
          <w:rFonts w:hint="cs"/>
          <w:rtl/>
        </w:rPr>
        <w:t>,</w:t>
      </w:r>
      <w:r w:rsidRPr="00CC53FF">
        <w:rPr>
          <w:rtl/>
        </w:rPr>
        <w:t xml:space="preserve"> שבעת הרלוונטית לאישום הוכרז כל אחד מהם כחומר מ</w:t>
      </w:r>
      <w:r>
        <w:rPr>
          <w:rFonts w:hint="cs"/>
          <w:rtl/>
        </w:rPr>
        <w:t>ְ</w:t>
      </w:r>
      <w:r w:rsidRPr="00CC53FF">
        <w:rPr>
          <w:rtl/>
        </w:rPr>
        <w:t>ס</w:t>
      </w:r>
      <w:r>
        <w:rPr>
          <w:rFonts w:hint="cs"/>
          <w:rtl/>
        </w:rPr>
        <w:t>ַ</w:t>
      </w:r>
      <w:r w:rsidRPr="00CC53FF">
        <w:rPr>
          <w:rtl/>
        </w:rPr>
        <w:t>כ</w:t>
      </w:r>
      <w:r>
        <w:rPr>
          <w:rFonts w:hint="cs"/>
          <w:rtl/>
        </w:rPr>
        <w:t>ֶּ</w:t>
      </w:r>
      <w:r w:rsidRPr="00CC53FF">
        <w:rPr>
          <w:rtl/>
        </w:rPr>
        <w:t>ן</w:t>
      </w:r>
      <w:r>
        <w:rPr>
          <w:rFonts w:hint="cs"/>
          <w:rtl/>
        </w:rPr>
        <w:t>.</w:t>
      </w:r>
    </w:p>
    <w:p w14:paraId="60279AB5" w14:textId="77777777" w:rsidR="00FC0AF1" w:rsidRPr="00CC53FF" w:rsidRDefault="00FC0AF1" w:rsidP="00FC0AF1">
      <w:pPr>
        <w:pStyle w:val="a9"/>
        <w:numPr>
          <w:ilvl w:val="0"/>
          <w:numId w:val="1"/>
        </w:numPr>
        <w:spacing w:line="360" w:lineRule="auto"/>
        <w:jc w:val="both"/>
      </w:pPr>
      <w:r>
        <w:rPr>
          <w:rFonts w:hint="cs"/>
          <w:rtl/>
        </w:rPr>
        <w:t xml:space="preserve">ביום 15.7.14, בקיוסק אותו ניהל בתל-אביב, החזיק הנאשם בשבע-עשרה שקיות </w:t>
      </w:r>
      <w:r w:rsidRPr="00CC53FF">
        <w:rPr>
          <w:rtl/>
        </w:rPr>
        <w:t>צ'מינקה</w:t>
      </w:r>
      <w:r>
        <w:rPr>
          <w:rFonts w:hint="cs"/>
          <w:rtl/>
        </w:rPr>
        <w:t xml:space="preserve"> ובשמונה שקיות פאב, במטרה לסחור בהן.</w:t>
      </w:r>
    </w:p>
    <w:p w14:paraId="6A66F2B5" w14:textId="77777777" w:rsidR="00FC0AF1" w:rsidRDefault="00FC0AF1" w:rsidP="00FC0AF1">
      <w:pPr>
        <w:pStyle w:val="a9"/>
        <w:numPr>
          <w:ilvl w:val="0"/>
          <w:numId w:val="1"/>
        </w:numPr>
        <w:spacing w:line="360" w:lineRule="auto"/>
        <w:jc w:val="both"/>
      </w:pPr>
      <w:r>
        <w:rPr>
          <w:rFonts w:hint="cs"/>
          <w:rtl/>
        </w:rPr>
        <w:t>באותו יום בשעה 17:00</w:t>
      </w:r>
      <w:r w:rsidRPr="00CC53FF">
        <w:rPr>
          <w:rtl/>
        </w:rPr>
        <w:t xml:space="preserve">, בקיוסק </w:t>
      </w:r>
      <w:r>
        <w:rPr>
          <w:rFonts w:hint="cs"/>
          <w:rtl/>
        </w:rPr>
        <w:t>הנ"ל</w:t>
      </w:r>
      <w:r w:rsidRPr="00CC53FF">
        <w:rPr>
          <w:rtl/>
        </w:rPr>
        <w:t>, מכר הנאשם לאח</w:t>
      </w:r>
      <w:r>
        <w:rPr>
          <w:rFonts w:hint="cs"/>
          <w:rtl/>
        </w:rPr>
        <w:t>ֵ</w:t>
      </w:r>
      <w:r w:rsidRPr="00CC53FF">
        <w:rPr>
          <w:rtl/>
        </w:rPr>
        <w:t xml:space="preserve">ר חומר מסכן מסוג </w:t>
      </w:r>
      <w:r>
        <w:rPr>
          <w:rtl/>
        </w:rPr>
        <w:t>צ'מינקה</w:t>
      </w:r>
      <w:r>
        <w:rPr>
          <w:rFonts w:hint="cs"/>
          <w:rtl/>
        </w:rPr>
        <w:t xml:space="preserve"> תמורת ארבעים ₪. </w:t>
      </w:r>
    </w:p>
    <w:p w14:paraId="0A7A0B9C" w14:textId="77777777" w:rsidR="00FC0AF1" w:rsidRDefault="00FC0AF1" w:rsidP="00FC0AF1">
      <w:pPr>
        <w:pStyle w:val="a9"/>
        <w:numPr>
          <w:ilvl w:val="0"/>
          <w:numId w:val="1"/>
        </w:numPr>
        <w:spacing w:line="360" w:lineRule="auto"/>
        <w:jc w:val="both"/>
      </w:pPr>
      <w:r>
        <w:rPr>
          <w:rFonts w:hint="cs"/>
          <w:rtl/>
        </w:rPr>
        <w:t>באותו יום החזיק הנאשם בכיסו 3.6 גרם נטו קנבוס לצריכה עצמית.</w:t>
      </w:r>
    </w:p>
    <w:p w14:paraId="071C0AD6" w14:textId="77777777" w:rsidR="00FC0AF1" w:rsidRDefault="00FC0AF1" w:rsidP="00FC0AF1">
      <w:pPr>
        <w:spacing w:line="360" w:lineRule="auto"/>
        <w:jc w:val="both"/>
        <w:rPr>
          <w:rtl/>
        </w:rPr>
      </w:pPr>
    </w:p>
    <w:p w14:paraId="59D858D5" w14:textId="77777777" w:rsidR="00FC0AF1" w:rsidRDefault="00FC0AF1" w:rsidP="00FC0AF1">
      <w:pPr>
        <w:spacing w:line="360" w:lineRule="auto"/>
        <w:jc w:val="both"/>
        <w:rPr>
          <w:rtl/>
        </w:rPr>
      </w:pPr>
      <w:r>
        <w:rPr>
          <w:rFonts w:hint="cs"/>
          <w:b/>
          <w:bCs/>
          <w:u w:val="single"/>
          <w:rtl/>
        </w:rPr>
        <w:t xml:space="preserve">נסיבות העבירה </w:t>
      </w:r>
      <w:r>
        <w:rPr>
          <w:b/>
          <w:bCs/>
          <w:u w:val="single"/>
          <w:rtl/>
        </w:rPr>
        <w:t>–</w:t>
      </w:r>
      <w:r>
        <w:rPr>
          <w:rFonts w:hint="cs"/>
          <w:b/>
          <w:bCs/>
          <w:u w:val="single"/>
          <w:rtl/>
        </w:rPr>
        <w:t xml:space="preserve"> קביעת מתחם העונש ההולם:</w:t>
      </w:r>
    </w:p>
    <w:p w14:paraId="5BD4B9D8" w14:textId="77777777" w:rsidR="00FC0AF1" w:rsidRDefault="00FC0AF1" w:rsidP="00FC0AF1">
      <w:pPr>
        <w:pStyle w:val="a9"/>
        <w:numPr>
          <w:ilvl w:val="0"/>
          <w:numId w:val="2"/>
        </w:numPr>
        <w:spacing w:line="360" w:lineRule="auto"/>
        <w:jc w:val="both"/>
      </w:pPr>
      <w:r>
        <w:rPr>
          <w:rFonts w:hint="cs"/>
          <w:rtl/>
        </w:rPr>
        <w:t xml:space="preserve">מתחם העונש שייקבע יתייחס לשתי העבירות של </w:t>
      </w:r>
      <w:r w:rsidRPr="007C601A">
        <w:rPr>
          <w:rtl/>
        </w:rPr>
        <w:t>מסחר, החזקה והפצה של חומר אסור</w:t>
      </w:r>
      <w:r>
        <w:rPr>
          <w:rFonts w:hint="cs"/>
          <w:rtl/>
        </w:rPr>
        <w:t>, שבוצעו במסגרת "אירוע אחד" לפי מבחני הפסיקה. לעבירה של החזקת סם מסוכן לצריכה עצמית לא יינתן משקל בקביעת העונש העיקרי.</w:t>
      </w:r>
    </w:p>
    <w:p w14:paraId="0AEA84D7" w14:textId="77777777" w:rsidR="00FC0AF1" w:rsidRDefault="00FC0AF1" w:rsidP="00FC0AF1">
      <w:pPr>
        <w:pStyle w:val="a9"/>
        <w:numPr>
          <w:ilvl w:val="0"/>
          <w:numId w:val="2"/>
        </w:numPr>
        <w:spacing w:line="360" w:lineRule="auto"/>
        <w:jc w:val="both"/>
      </w:pPr>
      <w:r>
        <w:rPr>
          <w:rFonts w:hint="cs"/>
          <w:rtl/>
        </w:rPr>
        <w:t>הערכים המוגנים בעבירה הם הגנה על שלום הציבור ובריאותו; החוק שנחקק בשנת 2013 נועד לתת בידי גורמי האכיפה את האמצעים הנדרשים כדי להתמודד עם תופעה הרסנית ונפוצה של הכנה וסחר של חומרים משכרים, המדמים את פעולתם של סמים מסוכנים, תוך התחמקות מכלילתם ברשימת הסמים המסוכנים, על-דרך שינויים תכופים בהרכבים הכימיים של החומרים ("סמי פיצוציות"). מימדי תפוצתם ונזקיהם של חומרים אלו חייבו מענה אפקטיבי, של מניעה וענישה מרתיעה, עד להשלמת התהליך הארוך של כלילתם ברשימת הסמים המסוכנים שבתוספת ל</w:t>
      </w:r>
      <w:hyperlink r:id="rId18" w:history="1">
        <w:r w:rsidR="00E70863" w:rsidRPr="00E70863">
          <w:rPr>
            <w:color w:val="0000FF"/>
            <w:u w:val="single"/>
            <w:rtl/>
          </w:rPr>
          <w:t>פקודת הסמים המסוכנים</w:t>
        </w:r>
      </w:hyperlink>
      <w:r>
        <w:rPr>
          <w:rFonts w:hint="cs"/>
          <w:rtl/>
        </w:rPr>
        <w:t>.</w:t>
      </w:r>
    </w:p>
    <w:p w14:paraId="61F6D8C3" w14:textId="77777777" w:rsidR="00FC0AF1" w:rsidRDefault="00FC0AF1" w:rsidP="00FC0AF1">
      <w:pPr>
        <w:pStyle w:val="a9"/>
        <w:numPr>
          <w:ilvl w:val="0"/>
          <w:numId w:val="2"/>
        </w:numPr>
        <w:spacing w:line="360" w:lineRule="auto"/>
        <w:jc w:val="both"/>
      </w:pPr>
      <w:r>
        <w:rPr>
          <w:rFonts w:hint="cs"/>
          <w:rtl/>
        </w:rPr>
        <w:t xml:space="preserve">פגיעת הנאשם בערכים המוגנים היתה קשה וחמורה: בקיוסק בעיבורה של עיר החזיק הנאשם במלאי של חומרים מסכנים לצרכי סחר, משל היו ממתקים או חטיפים, מזומנים להפצה לכל דורש, ואף הדגים כוונתו במכירה-ממש. העבירות היו מתוכננות, מטרתן </w:t>
      </w:r>
      <w:r>
        <w:rPr>
          <w:rtl/>
        </w:rPr>
        <w:t>–</w:t>
      </w:r>
      <w:r>
        <w:rPr>
          <w:rFonts w:hint="cs"/>
          <w:rtl/>
        </w:rPr>
        <w:t xml:space="preserve"> בצע כסף, ולולא נלכד הנאשם היה הנזק הפוטנציאלי, שבהפצת החומרים, חמור עוד-יותר.</w:t>
      </w:r>
    </w:p>
    <w:p w14:paraId="55E69492" w14:textId="77777777" w:rsidR="00FC0AF1" w:rsidRDefault="00FC0AF1" w:rsidP="00FC0AF1">
      <w:pPr>
        <w:pStyle w:val="a9"/>
        <w:numPr>
          <w:ilvl w:val="0"/>
          <w:numId w:val="2"/>
        </w:numPr>
        <w:spacing w:line="360" w:lineRule="auto"/>
        <w:jc w:val="both"/>
      </w:pPr>
      <w:r>
        <w:rPr>
          <w:rFonts w:hint="cs"/>
          <w:rtl/>
        </w:rPr>
        <w:t>מדיניות הענישה מבטאת את חומרת המעשים בענישה מחמירה של מאסר, שבמקרים קלים מרוצה בעבודות שירות. מדיניות זו ראויה והולמת את כוונת המחוקק שקבע לצד עבירה זו עונש של שלוש שנות מאסר (וראו סקירת פסיקה מקיפה של ענישה נוהגת ב</w:t>
      </w:r>
      <w:hyperlink r:id="rId19" w:history="1">
        <w:r w:rsidR="00E70863" w:rsidRPr="00E70863">
          <w:rPr>
            <w:color w:val="0000FF"/>
            <w:u w:val="single"/>
            <w:rtl/>
          </w:rPr>
          <w:t>ת"פ 13793-08-15</w:t>
        </w:r>
      </w:hyperlink>
      <w:r w:rsidRPr="00C96FBF">
        <w:rPr>
          <w:rtl/>
        </w:rPr>
        <w:t xml:space="preserve"> </w:t>
      </w:r>
      <w:r w:rsidRPr="006C1938">
        <w:rPr>
          <w:rFonts w:hint="cs"/>
          <w:b/>
          <w:bCs/>
          <w:rtl/>
        </w:rPr>
        <w:t>מ.י.</w:t>
      </w:r>
      <w:r w:rsidRPr="006C1938">
        <w:rPr>
          <w:b/>
          <w:bCs/>
          <w:rtl/>
        </w:rPr>
        <w:t xml:space="preserve"> נ' מלול</w:t>
      </w:r>
      <w:r>
        <w:rPr>
          <w:rFonts w:hint="cs"/>
          <w:rtl/>
        </w:rPr>
        <w:t xml:space="preserve"> (2017) מפי חברי כב' הש' ד"ר קובו).</w:t>
      </w:r>
    </w:p>
    <w:p w14:paraId="09DE75D1" w14:textId="77777777" w:rsidR="00FC0AF1" w:rsidRDefault="00FC0AF1" w:rsidP="00FC0AF1">
      <w:pPr>
        <w:pStyle w:val="a9"/>
        <w:numPr>
          <w:ilvl w:val="0"/>
          <w:numId w:val="2"/>
        </w:numPr>
        <w:spacing w:line="360" w:lineRule="auto"/>
        <w:jc w:val="both"/>
      </w:pPr>
      <w:r>
        <w:rPr>
          <w:rFonts w:hint="cs"/>
          <w:rtl/>
        </w:rPr>
        <w:lastRenderedPageBreak/>
        <w:t xml:space="preserve">בנסיבות העניין ייקבע מתחם עונשי הולם שכל-כולו במאסר </w:t>
      </w:r>
      <w:r>
        <w:rPr>
          <w:rtl/>
        </w:rPr>
        <w:t>–</w:t>
      </w:r>
      <w:r>
        <w:rPr>
          <w:rFonts w:hint="cs"/>
          <w:rtl/>
        </w:rPr>
        <w:t xml:space="preserve"> תחתיתו במספר חודשים שניתן לרצותם בעבודות שירות, וסופו בחמישה-עשר חודשי כליאה, כעונש עיקרי (המתחם שהציעה התביעה מצומצם מאוד ואינו הולם).</w:t>
      </w:r>
    </w:p>
    <w:p w14:paraId="365A7F0F" w14:textId="77777777" w:rsidR="00FC0AF1" w:rsidRDefault="00FC0AF1" w:rsidP="00FC0AF1">
      <w:pPr>
        <w:spacing w:line="360" w:lineRule="auto"/>
        <w:jc w:val="both"/>
        <w:rPr>
          <w:rtl/>
        </w:rPr>
      </w:pPr>
    </w:p>
    <w:p w14:paraId="48C93BC3" w14:textId="77777777" w:rsidR="00FC0AF1" w:rsidRDefault="00FC0AF1" w:rsidP="00FC0AF1">
      <w:pPr>
        <w:spacing w:line="360" w:lineRule="auto"/>
        <w:jc w:val="both"/>
        <w:rPr>
          <w:rtl/>
        </w:rPr>
      </w:pPr>
      <w:r>
        <w:rPr>
          <w:rFonts w:hint="cs"/>
          <w:b/>
          <w:bCs/>
          <w:u w:val="single"/>
          <w:rtl/>
        </w:rPr>
        <w:t xml:space="preserve">נסיבות שאינן קשורות בעבירה </w:t>
      </w:r>
      <w:r>
        <w:rPr>
          <w:b/>
          <w:bCs/>
          <w:u w:val="single"/>
          <w:rtl/>
        </w:rPr>
        <w:t>–</w:t>
      </w:r>
      <w:r>
        <w:rPr>
          <w:rFonts w:hint="cs"/>
          <w:b/>
          <w:bCs/>
          <w:u w:val="single"/>
          <w:rtl/>
        </w:rPr>
        <w:t xml:space="preserve"> קביעת העונש במתחם:</w:t>
      </w:r>
    </w:p>
    <w:p w14:paraId="6B069575" w14:textId="77777777" w:rsidR="00FC0AF1" w:rsidRDefault="00FC0AF1" w:rsidP="00FC0AF1">
      <w:pPr>
        <w:pStyle w:val="a9"/>
        <w:numPr>
          <w:ilvl w:val="0"/>
          <w:numId w:val="3"/>
        </w:numPr>
        <w:spacing w:line="360" w:lineRule="auto"/>
        <w:jc w:val="both"/>
      </w:pPr>
      <w:r>
        <w:rPr>
          <w:rFonts w:hint="cs"/>
          <w:rtl/>
        </w:rPr>
        <w:t>הנאשם יליד 1975, כבן 42 כיום, גרוש ואב לבת. מוצא הנאשם במשפחה נורמטיבית ותומכת, הוא  סיים 12 שנות לימוד וגויס לצה"ל, אך שוחרר עקב עריקות. הנאשם עבד באופן לא-קבוע, נקלע לחובות  כבדים וכיום הוא מצוי בהליך של פשיטת רגל [נע/1]. הנאשם עובד כשנה וחצי בעבודה אדמיניסטרטיבית ב"קאנטרי קלאב".</w:t>
      </w:r>
    </w:p>
    <w:p w14:paraId="76A09FBD" w14:textId="77777777" w:rsidR="00FC0AF1" w:rsidRDefault="00FC0AF1" w:rsidP="00FC0AF1">
      <w:pPr>
        <w:pStyle w:val="a9"/>
        <w:numPr>
          <w:ilvl w:val="0"/>
          <w:numId w:val="3"/>
        </w:numPr>
        <w:spacing w:line="360" w:lineRule="auto"/>
        <w:jc w:val="both"/>
      </w:pPr>
      <w:r>
        <w:rPr>
          <w:rFonts w:hint="cs"/>
          <w:rtl/>
        </w:rPr>
        <w:t>לחובת הנאשם שתי הרשעות בגין מכירת משקה משכר לקטין, האחרונה שבהן משנת 2016, כשהעבירות בוצעו בשנת 2013 ובשנת 2015 (עבירה נוספת אינה מענייננו ורחוקה בזמן).</w:t>
      </w:r>
    </w:p>
    <w:p w14:paraId="0B1D07C8" w14:textId="77777777" w:rsidR="00FC0AF1" w:rsidRDefault="00FC0AF1" w:rsidP="00FC0AF1">
      <w:pPr>
        <w:pStyle w:val="a9"/>
        <w:numPr>
          <w:ilvl w:val="0"/>
          <w:numId w:val="3"/>
        </w:numPr>
        <w:spacing w:line="360" w:lineRule="auto"/>
        <w:jc w:val="both"/>
      </w:pPr>
      <w:r>
        <w:rPr>
          <w:rFonts w:hint="cs"/>
          <w:rtl/>
        </w:rPr>
        <w:t xml:space="preserve">הנאשם מסר שהעבירות בוצעו מתוך רצון להשיג רווח כספי מהיר, כשבעת המעשים ראה בכך מעשה לגיטימי. כיום הנאשם מבין את חומרת מעשיו, נוטל אחריות ומתחרט. הנאשם עזב את עבודתו בקיוסק, מחשש שישוב לעבור עבירות, החל לעבוד במקום מסודר, ומטפל בחובותיו. </w:t>
      </w:r>
    </w:p>
    <w:p w14:paraId="73C02958" w14:textId="77777777" w:rsidR="00FC0AF1" w:rsidRDefault="00FC0AF1" w:rsidP="00FC0AF1">
      <w:pPr>
        <w:pStyle w:val="a9"/>
        <w:numPr>
          <w:ilvl w:val="0"/>
          <w:numId w:val="3"/>
        </w:numPr>
        <w:spacing w:line="360" w:lineRule="auto"/>
        <w:jc w:val="both"/>
      </w:pPr>
      <w:r>
        <w:rPr>
          <w:rFonts w:hint="cs"/>
          <w:rtl/>
        </w:rPr>
        <w:t xml:space="preserve">שירות המבחן ציין מאפייני אישיות וחשיבה נוקשים של הנאשם, הממוקד בצרכיו. עם-זאת, השירות התרשם מכנות חרטתו של הנאשם, מהתארגנותו לאחר לכידתו, ופעולותיו לייצוב חייו בדרך נורמטיבית. הנאשם אינו משתמש בסמים ובדיקות השתן שמסר היו נקיות. מסקנת השירות, בדומה להכרה אליה הגיע הנאשם עצמו, היא כי עונש מאסר בעבודות שירות יספק קונקרטיות של ענישה ויהווה גורם מרתיע גם להבא. </w:t>
      </w:r>
    </w:p>
    <w:p w14:paraId="2DFEFCD2" w14:textId="77777777" w:rsidR="00FC0AF1" w:rsidRDefault="00FC0AF1" w:rsidP="00FC0AF1">
      <w:pPr>
        <w:pStyle w:val="a9"/>
        <w:numPr>
          <w:ilvl w:val="0"/>
          <w:numId w:val="3"/>
        </w:numPr>
        <w:spacing w:line="360" w:lineRule="auto"/>
        <w:jc w:val="both"/>
      </w:pPr>
      <w:r>
        <w:rPr>
          <w:rFonts w:hint="cs"/>
          <w:rtl/>
        </w:rPr>
        <w:t>השירות ממליץ על הטלת עונש מאסר בעבודות שירות לתקופה קצרה, שישרת את מטרות הענישה מבלי לפגוע באופן בלתי-הדיר בתעסוקתו ובפרנסתו.</w:t>
      </w:r>
    </w:p>
    <w:p w14:paraId="2A35D4D7" w14:textId="77777777" w:rsidR="00FC0AF1" w:rsidRDefault="00FC0AF1" w:rsidP="00FC0AF1">
      <w:pPr>
        <w:pStyle w:val="a9"/>
        <w:numPr>
          <w:ilvl w:val="0"/>
          <w:numId w:val="3"/>
        </w:numPr>
        <w:spacing w:line="360" w:lineRule="auto"/>
        <w:jc w:val="both"/>
      </w:pPr>
      <w:r>
        <w:rPr>
          <w:rFonts w:hint="cs"/>
          <w:rtl/>
        </w:rPr>
        <w:t>אין ספק, כי הנאשם עתיד להינזק מהטלת עונש של מאסר, אך לא מדובר בנזק חריג.</w:t>
      </w:r>
    </w:p>
    <w:p w14:paraId="6E32F9B2" w14:textId="77777777" w:rsidR="00FC0AF1" w:rsidRDefault="00FC0AF1" w:rsidP="00FC0AF1">
      <w:pPr>
        <w:pStyle w:val="a9"/>
        <w:numPr>
          <w:ilvl w:val="0"/>
          <w:numId w:val="3"/>
        </w:numPr>
        <w:spacing w:line="360" w:lineRule="auto"/>
        <w:jc w:val="both"/>
      </w:pPr>
      <w:r>
        <w:rPr>
          <w:rFonts w:hint="cs"/>
          <w:rtl/>
        </w:rPr>
        <w:t>לזכות הנאשם נסיבות כבדות משקל:</w:t>
      </w:r>
    </w:p>
    <w:p w14:paraId="34A20758" w14:textId="77777777" w:rsidR="00FC0AF1" w:rsidRDefault="00FC0AF1" w:rsidP="00FC0AF1">
      <w:pPr>
        <w:pStyle w:val="a9"/>
        <w:numPr>
          <w:ilvl w:val="1"/>
          <w:numId w:val="3"/>
        </w:numPr>
        <w:spacing w:line="360" w:lineRule="auto"/>
        <w:jc w:val="both"/>
      </w:pPr>
      <w:r>
        <w:rPr>
          <w:rFonts w:hint="cs"/>
          <w:rtl/>
        </w:rPr>
        <w:t>הודאתו וחרטתו, ששירות המבחן מעריך כי הן כנות;</w:t>
      </w:r>
    </w:p>
    <w:p w14:paraId="4700812D" w14:textId="77777777" w:rsidR="00FC0AF1" w:rsidRDefault="00FC0AF1" w:rsidP="00FC0AF1">
      <w:pPr>
        <w:pStyle w:val="a9"/>
        <w:numPr>
          <w:ilvl w:val="1"/>
          <w:numId w:val="3"/>
        </w:numPr>
        <w:spacing w:line="360" w:lineRule="auto"/>
        <w:jc w:val="both"/>
      </w:pPr>
      <w:r>
        <w:rPr>
          <w:rFonts w:hint="cs"/>
          <w:rtl/>
        </w:rPr>
        <w:t>השינוי שערך הנאשם בחייו, התרחקותו מעיסוקים שיש בהם פוטנציאל הסתבכות, ומאמציו להשגת יציבות;</w:t>
      </w:r>
    </w:p>
    <w:p w14:paraId="79687CC0" w14:textId="77777777" w:rsidR="00FC0AF1" w:rsidRDefault="00FC0AF1" w:rsidP="00FC0AF1">
      <w:pPr>
        <w:pStyle w:val="a9"/>
        <w:numPr>
          <w:ilvl w:val="1"/>
          <w:numId w:val="3"/>
        </w:numPr>
        <w:spacing w:line="360" w:lineRule="auto"/>
        <w:jc w:val="both"/>
      </w:pPr>
      <w:r>
        <w:rPr>
          <w:rFonts w:hint="cs"/>
          <w:rtl/>
        </w:rPr>
        <w:t>היעדרו של עבר פלילי מכביד, על-אף הדמיון המסוים בין העבירות של מכירת משקה משכר לקטין לבין העבירות דנן;</w:t>
      </w:r>
    </w:p>
    <w:p w14:paraId="3886D70C" w14:textId="77777777" w:rsidR="00FC0AF1" w:rsidRDefault="00FC0AF1" w:rsidP="00FC0AF1">
      <w:pPr>
        <w:pStyle w:val="a9"/>
        <w:numPr>
          <w:ilvl w:val="1"/>
          <w:numId w:val="3"/>
        </w:numPr>
        <w:spacing w:line="360" w:lineRule="auto"/>
        <w:jc w:val="both"/>
      </w:pPr>
      <w:r>
        <w:rPr>
          <w:rFonts w:hint="cs"/>
          <w:rtl/>
        </w:rPr>
        <w:t>חלוף הזמן, שנוצל להסדרת ענייניו ולשינוי תעסוקתי ומחשבתי;</w:t>
      </w:r>
    </w:p>
    <w:p w14:paraId="27F4C698" w14:textId="77777777" w:rsidR="00FC0AF1" w:rsidRDefault="00FC0AF1" w:rsidP="00FC0AF1">
      <w:pPr>
        <w:pStyle w:val="a9"/>
        <w:numPr>
          <w:ilvl w:val="0"/>
          <w:numId w:val="3"/>
        </w:numPr>
        <w:spacing w:line="360" w:lineRule="auto"/>
        <w:jc w:val="both"/>
      </w:pPr>
      <w:r>
        <w:rPr>
          <w:rFonts w:hint="cs"/>
          <w:rtl/>
        </w:rPr>
        <w:t>לנוכח אלו, ייקבע עונשו העיקרי של הנאשם בחלקו התחתון של מתחם העונש ההולם, בתחום המאסר שניתן לרצותו בעבודות שירות. לצד עונש זה יחויב הנאשם גם בקנס, שיהא מתון לנוכח מצבו הכלכלי, וכן יוטל מאסר מותנה לתוספת הרתעה. עוד יחויב הנאשם בפסילה מותנית.</w:t>
      </w:r>
    </w:p>
    <w:p w14:paraId="747389E3" w14:textId="77777777" w:rsidR="00FC0AF1" w:rsidRDefault="00FC0AF1" w:rsidP="00FC0AF1">
      <w:pPr>
        <w:spacing w:line="360" w:lineRule="auto"/>
        <w:jc w:val="both"/>
        <w:rPr>
          <w:rtl/>
        </w:rPr>
      </w:pPr>
    </w:p>
    <w:p w14:paraId="0F7DAD0C" w14:textId="77777777" w:rsidR="00FC0AF1" w:rsidRPr="00E87143" w:rsidRDefault="00FC0AF1" w:rsidP="00FC0AF1">
      <w:pPr>
        <w:spacing w:line="360" w:lineRule="auto"/>
        <w:jc w:val="both"/>
        <w:rPr>
          <w:b/>
          <w:bCs/>
          <w:u w:val="single"/>
          <w:rtl/>
        </w:rPr>
      </w:pPr>
      <w:r>
        <w:rPr>
          <w:rFonts w:hint="cs"/>
          <w:b/>
          <w:bCs/>
          <w:u w:val="single"/>
          <w:rtl/>
        </w:rPr>
        <w:t>סוף-דבר, אני גוזר על הנאשם את העונשים הבאים:</w:t>
      </w:r>
    </w:p>
    <w:p w14:paraId="63646845" w14:textId="77777777" w:rsidR="00FC0AF1" w:rsidRDefault="00FC0AF1" w:rsidP="00FC0AF1">
      <w:pPr>
        <w:spacing w:line="360" w:lineRule="auto"/>
        <w:ind w:left="720" w:hanging="720"/>
        <w:jc w:val="both"/>
        <w:rPr>
          <w:rtl/>
        </w:rPr>
      </w:pPr>
      <w:r>
        <w:rPr>
          <w:rFonts w:hint="cs"/>
          <w:rtl/>
        </w:rPr>
        <w:t>א.</w:t>
      </w:r>
      <w:r>
        <w:rPr>
          <w:rFonts w:hint="cs"/>
          <w:rtl/>
        </w:rPr>
        <w:tab/>
        <w:t>חמישה חודשי מאסר שירוצו בעבודות שירות החל מיום 25.4.18 בבית האבות ברחוב ביאליק 33 חולון . הנאשם מוזהר, כי אי-ציות להוראות הממונה על עבודות השירות או הממונים במקום העבודות, או שימוש בסמים, או ניסיון להטות תוצאותיה של בדיקת שתן לאיתור שרידי סם, יוביל להפסקת העבודות ולהמשך ריצוי העונש בכליאה. תשומת לב הנאשם להנחיות שבחוות דעתו של הממונה;</w:t>
      </w:r>
    </w:p>
    <w:p w14:paraId="1E0100C6" w14:textId="77777777" w:rsidR="00FC0AF1" w:rsidRDefault="00FC0AF1" w:rsidP="00FC0AF1">
      <w:pPr>
        <w:spacing w:line="360" w:lineRule="auto"/>
        <w:ind w:left="720" w:hanging="720"/>
        <w:jc w:val="both"/>
        <w:rPr>
          <w:rtl/>
        </w:rPr>
      </w:pPr>
      <w:r>
        <w:rPr>
          <w:rFonts w:hint="cs"/>
          <w:rtl/>
        </w:rPr>
        <w:t>ב.</w:t>
      </w:r>
      <w:r>
        <w:rPr>
          <w:rFonts w:hint="cs"/>
          <w:rtl/>
        </w:rPr>
        <w:tab/>
        <w:t xml:space="preserve">שלושה חודשי מאסר על-תנאי למשך שנתיים מהיום, שלא יעבור עבירת סם שהיא פשע או עבירה לפי </w:t>
      </w:r>
      <w:hyperlink r:id="rId20" w:history="1">
        <w:r w:rsidR="00E70863" w:rsidRPr="00E70863">
          <w:rPr>
            <w:color w:val="0000FF"/>
            <w:u w:val="single"/>
            <w:rtl/>
          </w:rPr>
          <w:t>חוק המאבק בתופעת השימוש בחומרים מסכנים</w:t>
        </w:r>
      </w:hyperlink>
      <w:r>
        <w:rPr>
          <w:rFonts w:hint="cs"/>
          <w:rtl/>
        </w:rPr>
        <w:t>, תשע"ג-2013;</w:t>
      </w:r>
    </w:p>
    <w:p w14:paraId="27878060" w14:textId="77777777" w:rsidR="00FC0AF1" w:rsidRDefault="00FC0AF1" w:rsidP="00FC0AF1">
      <w:pPr>
        <w:spacing w:line="360" w:lineRule="auto"/>
        <w:ind w:left="720" w:hanging="720"/>
        <w:jc w:val="both"/>
        <w:rPr>
          <w:rtl/>
        </w:rPr>
      </w:pPr>
      <w:r>
        <w:rPr>
          <w:rFonts w:hint="cs"/>
          <w:rtl/>
        </w:rPr>
        <w:t>ג.</w:t>
      </w:r>
      <w:r>
        <w:rPr>
          <w:rFonts w:hint="cs"/>
          <w:rtl/>
        </w:rPr>
        <w:tab/>
        <w:t>קנס בסך 2,000 ₪, שיועבר לזכות קרן הסמים, או חודש מאסר תמורתו. הקנס ישולם בארבעה תשלומים חודשיים, שווים ורצופים, שהראשון שבהם לא יאוחר מיום 1.3.18, וכשמחדל או עיכוב באחד התשלומים יעמיד מלוא הסך לפירעון מידי;</w:t>
      </w:r>
    </w:p>
    <w:p w14:paraId="1454B18D" w14:textId="77777777" w:rsidR="00FC0AF1" w:rsidRDefault="00FC0AF1" w:rsidP="00FC0AF1">
      <w:pPr>
        <w:spacing w:line="360" w:lineRule="auto"/>
        <w:ind w:left="720" w:hanging="720"/>
        <w:jc w:val="both"/>
        <w:rPr>
          <w:rtl/>
        </w:rPr>
      </w:pPr>
      <w:r>
        <w:rPr>
          <w:rFonts w:hint="cs"/>
          <w:rtl/>
        </w:rPr>
        <w:t>ד.</w:t>
      </w:r>
      <w:r>
        <w:rPr>
          <w:rFonts w:hint="cs"/>
          <w:rtl/>
        </w:rPr>
        <w:tab/>
        <w:t>שלושה חודשי פסילה על-תנאי למשך שנתיים מהיום, שלא יעבור עבירת סם מכל סוג, עבירה לפי חוק המאבק הנ"ל, או כל עבירה אחרת המפורטת בתוספת הראשונה או השנייה ל</w:t>
      </w:r>
      <w:hyperlink r:id="rId21" w:history="1">
        <w:r w:rsidR="00E70863" w:rsidRPr="00E70863">
          <w:rPr>
            <w:color w:val="0000FF"/>
            <w:u w:val="single"/>
            <w:rtl/>
          </w:rPr>
          <w:t>פקודת התעבורה</w:t>
        </w:r>
      </w:hyperlink>
      <w:r>
        <w:rPr>
          <w:rFonts w:hint="cs"/>
          <w:rtl/>
        </w:rPr>
        <w:t xml:space="preserve">; </w:t>
      </w:r>
    </w:p>
    <w:p w14:paraId="102C3D6D" w14:textId="77777777" w:rsidR="00FC0AF1" w:rsidRDefault="00FC0AF1" w:rsidP="00FC0AF1">
      <w:pPr>
        <w:spacing w:line="360" w:lineRule="auto"/>
        <w:ind w:left="720" w:hanging="720"/>
        <w:jc w:val="both"/>
        <w:rPr>
          <w:rtl/>
        </w:rPr>
      </w:pPr>
    </w:p>
    <w:p w14:paraId="0C3D31DA" w14:textId="77777777" w:rsidR="00FC0AF1" w:rsidRDefault="00FC0AF1" w:rsidP="00FC0AF1">
      <w:pPr>
        <w:spacing w:line="360" w:lineRule="auto"/>
        <w:ind w:left="720" w:hanging="720"/>
        <w:jc w:val="both"/>
        <w:rPr>
          <w:rtl/>
        </w:rPr>
      </w:pPr>
      <w:r>
        <w:rPr>
          <w:rFonts w:hint="cs"/>
          <w:b/>
          <w:bCs/>
          <w:u w:val="single"/>
          <w:rtl/>
        </w:rPr>
        <w:t>הוראות נלוות:</w:t>
      </w:r>
    </w:p>
    <w:p w14:paraId="22AE34F7" w14:textId="77777777" w:rsidR="00FC0AF1" w:rsidRDefault="00FC0AF1" w:rsidP="00FC0AF1">
      <w:pPr>
        <w:spacing w:line="360" w:lineRule="auto"/>
        <w:ind w:left="720" w:hanging="720"/>
        <w:jc w:val="both"/>
        <w:rPr>
          <w:rtl/>
        </w:rPr>
      </w:pPr>
      <w:r>
        <w:rPr>
          <w:rFonts w:hint="cs"/>
          <w:rtl/>
        </w:rPr>
        <w:t>א.</w:t>
      </w:r>
      <w:r>
        <w:rPr>
          <w:rFonts w:hint="cs"/>
          <w:rtl/>
        </w:rPr>
        <w:tab/>
        <w:t>עותק גזר הדין יישלח לממונה על עבודות השירות וכן לידיעת שירות המבחן;</w:t>
      </w:r>
    </w:p>
    <w:p w14:paraId="1032A720" w14:textId="77777777" w:rsidR="00FC0AF1" w:rsidRDefault="00FC0AF1" w:rsidP="00FC0AF1">
      <w:pPr>
        <w:spacing w:line="360" w:lineRule="auto"/>
        <w:ind w:left="720" w:hanging="720"/>
        <w:jc w:val="both"/>
        <w:rPr>
          <w:rtl/>
        </w:rPr>
      </w:pPr>
      <w:r>
        <w:rPr>
          <w:rFonts w:hint="cs"/>
          <w:rtl/>
        </w:rPr>
        <w:t>ב.</w:t>
      </w:r>
      <w:r>
        <w:rPr>
          <w:rFonts w:hint="cs"/>
          <w:rtl/>
        </w:rPr>
        <w:tab/>
        <w:t>בקשות לפריסה נוספת של הקנס או לדחיית תשלומו, ניתן להגיש למרכז לגביית קנסות, אגרות והוצאות;</w:t>
      </w:r>
    </w:p>
    <w:p w14:paraId="02421D5E" w14:textId="77777777" w:rsidR="00FC0AF1" w:rsidRDefault="00FC0AF1" w:rsidP="00FC0AF1">
      <w:pPr>
        <w:spacing w:line="360" w:lineRule="auto"/>
        <w:ind w:left="720" w:hanging="720"/>
        <w:jc w:val="both"/>
        <w:rPr>
          <w:rtl/>
        </w:rPr>
      </w:pPr>
      <w:r>
        <w:rPr>
          <w:rFonts w:hint="cs"/>
          <w:rtl/>
        </w:rPr>
        <w:t>ג.</w:t>
      </w:r>
      <w:r>
        <w:rPr>
          <w:rFonts w:hint="cs"/>
          <w:rtl/>
        </w:rPr>
        <w:tab/>
        <w:t>חומרים וסמים יושמדו. כל מוצג אחר, פרט לכסף, יועבר להכרעה פרטנית של קצין משטרה;</w:t>
      </w:r>
    </w:p>
    <w:p w14:paraId="3D6D4F1A" w14:textId="77777777" w:rsidR="00FC0AF1" w:rsidRPr="00D4538F" w:rsidRDefault="00FC0AF1" w:rsidP="00FC0AF1">
      <w:pPr>
        <w:spacing w:line="360" w:lineRule="auto"/>
        <w:ind w:left="720" w:hanging="720"/>
        <w:jc w:val="both"/>
        <w:rPr>
          <w:rtl/>
        </w:rPr>
      </w:pPr>
      <w:r>
        <w:rPr>
          <w:rFonts w:hint="cs"/>
          <w:rtl/>
        </w:rPr>
        <w:t>ד.</w:t>
      </w:r>
      <w:r>
        <w:rPr>
          <w:rFonts w:hint="cs"/>
          <w:rtl/>
        </w:rPr>
        <w:tab/>
        <w:t>אם הופקד פיקדון בתיק זה, תיק קשור או תיק המשטרה, יושב לנאשם. הנאשם יוכל לבקש, ללא צורך בהחלטה שיפוטית נוספת, את העברתו של פיקדון לזכות הקנס (ויתרה, אם תהא, תושב לו);</w:t>
      </w:r>
    </w:p>
    <w:p w14:paraId="25807BE1" w14:textId="77777777" w:rsidR="00FC0AF1" w:rsidRPr="00CC53FF" w:rsidRDefault="00FC0AF1" w:rsidP="00FC0AF1">
      <w:pPr>
        <w:spacing w:line="360" w:lineRule="auto"/>
        <w:jc w:val="both"/>
        <w:rPr>
          <w:rtl/>
        </w:rPr>
      </w:pPr>
    </w:p>
    <w:p w14:paraId="4D1D32A4" w14:textId="77777777" w:rsidR="00FC0AF1" w:rsidRPr="004633B9" w:rsidRDefault="00FC0AF1" w:rsidP="00FC0AF1">
      <w:pPr>
        <w:spacing w:line="360" w:lineRule="auto"/>
        <w:ind w:left="720" w:hanging="720"/>
        <w:jc w:val="both"/>
      </w:pPr>
      <w:r w:rsidRPr="004633B9">
        <w:rPr>
          <w:rFonts w:hint="cs"/>
          <w:rtl/>
        </w:rPr>
        <w:t>זכות ערעור לבית המשפט המחוזי בתוך 45 יום מהיום.</w:t>
      </w:r>
    </w:p>
    <w:p w14:paraId="742C977D" w14:textId="77777777" w:rsidR="00FC0AF1" w:rsidRDefault="00FC0AF1" w:rsidP="00FC0AF1">
      <w:pPr>
        <w:spacing w:line="360" w:lineRule="auto"/>
        <w:jc w:val="both"/>
        <w:rPr>
          <w:rtl/>
        </w:rPr>
      </w:pPr>
    </w:p>
    <w:p w14:paraId="6DBC9569" w14:textId="77777777" w:rsidR="00FC0AF1" w:rsidRPr="00E70863" w:rsidRDefault="00E70863" w:rsidP="00FC0AF1">
      <w:pPr>
        <w:spacing w:line="360" w:lineRule="auto"/>
        <w:jc w:val="both"/>
        <w:rPr>
          <w:color w:val="FFFFFF"/>
          <w:sz w:val="2"/>
          <w:szCs w:val="2"/>
          <w:rtl/>
        </w:rPr>
      </w:pPr>
      <w:r w:rsidRPr="00E70863">
        <w:rPr>
          <w:color w:val="FFFFFF"/>
          <w:sz w:val="2"/>
          <w:szCs w:val="2"/>
          <w:rtl/>
        </w:rPr>
        <w:t>5129371</w:t>
      </w:r>
    </w:p>
    <w:p w14:paraId="76BCD8D9" w14:textId="77777777" w:rsidR="00FC0AF1" w:rsidRPr="00CC53FF" w:rsidRDefault="00E70863" w:rsidP="00FC0AF1">
      <w:pPr>
        <w:rPr>
          <w:rtl/>
        </w:rPr>
      </w:pPr>
      <w:r w:rsidRPr="00E70863">
        <w:rPr>
          <w:color w:val="FFFFFF"/>
          <w:sz w:val="2"/>
          <w:szCs w:val="2"/>
          <w:rtl/>
        </w:rPr>
        <w:t>54678313</w:t>
      </w:r>
      <w:r>
        <w:rPr>
          <w:rtl/>
        </w:rPr>
        <w:t xml:space="preserve">ניתן היום,  י"ב שבט תשע"ח, 28 ינואר 2018, במעמד הצדדים. </w:t>
      </w:r>
    </w:p>
    <w:p w14:paraId="45D7F8D7" w14:textId="77777777" w:rsidR="00FC0AF1" w:rsidRPr="00CC53FF" w:rsidRDefault="00FC0AF1" w:rsidP="00FC0AF1">
      <w:pPr>
        <w:jc w:val="center"/>
      </w:pPr>
      <w:r w:rsidRPr="00CC53FF">
        <w:rPr>
          <w:rtl/>
        </w:rPr>
        <w:t xml:space="preserve">   </w:t>
      </w:r>
      <w:r w:rsidRPr="00CC53FF">
        <w:rPr>
          <w:rtl/>
        </w:rPr>
        <w:tab/>
      </w:r>
      <w:r w:rsidRPr="00CC53FF">
        <w:rPr>
          <w:rtl/>
        </w:rPr>
        <w:tab/>
      </w:r>
      <w:r w:rsidRPr="00CC53FF">
        <w:rPr>
          <w:rtl/>
        </w:rPr>
        <w:tab/>
      </w:r>
      <w:r w:rsidRPr="00CC53FF">
        <w:rPr>
          <w:rtl/>
        </w:rPr>
        <w:tab/>
      </w:r>
      <w:r w:rsidRPr="00CC53FF">
        <w:rPr>
          <w:rtl/>
        </w:rPr>
        <w:tab/>
      </w:r>
      <w:r>
        <w:rPr>
          <w:rtl/>
        </w:rPr>
        <w:t xml:space="preserve">     </w:t>
      </w:r>
    </w:p>
    <w:p w14:paraId="09721B43" w14:textId="77777777" w:rsidR="00FC0AF1" w:rsidRPr="00CC53FF" w:rsidRDefault="00FC0AF1" w:rsidP="00FC0AF1">
      <w:pPr>
        <w:jc w:val="center"/>
        <w:rPr>
          <w:rtl/>
        </w:rPr>
      </w:pPr>
    </w:p>
    <w:p w14:paraId="798C93EE" w14:textId="77777777" w:rsidR="00FC0AF1" w:rsidRPr="00CC53FF" w:rsidRDefault="00FC0AF1" w:rsidP="00FC0AF1">
      <w:pPr>
        <w:rPr>
          <w:rtl/>
        </w:rPr>
      </w:pPr>
    </w:p>
    <w:p w14:paraId="21141350" w14:textId="77777777" w:rsidR="00FC0AF1" w:rsidRPr="00CC53FF" w:rsidRDefault="00FC0AF1" w:rsidP="00FC0AF1">
      <w:pPr>
        <w:pStyle w:val="a3"/>
        <w:jc w:val="center"/>
        <w:rPr>
          <w:rtl/>
        </w:rPr>
      </w:pPr>
    </w:p>
    <w:p w14:paraId="1A35B5A9" w14:textId="77777777" w:rsidR="002D7B2F" w:rsidRPr="00E70863" w:rsidRDefault="002D7B2F" w:rsidP="00E70863">
      <w:pPr>
        <w:keepNext/>
        <w:rPr>
          <w:rFonts w:ascii="David" w:hAnsi="David"/>
          <w:color w:val="000000"/>
          <w:sz w:val="22"/>
          <w:szCs w:val="22"/>
          <w:rtl/>
        </w:rPr>
      </w:pPr>
    </w:p>
    <w:p w14:paraId="1986E6D1" w14:textId="77777777" w:rsidR="00E70863" w:rsidRPr="00E70863" w:rsidRDefault="00E70863" w:rsidP="00E70863">
      <w:pPr>
        <w:keepNext/>
        <w:rPr>
          <w:rFonts w:ascii="David" w:hAnsi="David"/>
          <w:color w:val="000000"/>
          <w:sz w:val="22"/>
          <w:szCs w:val="22"/>
          <w:rtl/>
        </w:rPr>
      </w:pPr>
      <w:r w:rsidRPr="00E70863">
        <w:rPr>
          <w:rFonts w:ascii="David" w:hAnsi="David"/>
          <w:color w:val="000000"/>
          <w:sz w:val="22"/>
          <w:szCs w:val="22"/>
          <w:rtl/>
        </w:rPr>
        <w:t>עידו דרויאן גמליאל 54678313</w:t>
      </w:r>
    </w:p>
    <w:p w14:paraId="6751B245" w14:textId="77777777" w:rsidR="00E70863" w:rsidRDefault="00E70863" w:rsidP="00E70863">
      <w:r w:rsidRPr="00E70863">
        <w:rPr>
          <w:color w:val="000000"/>
          <w:rtl/>
        </w:rPr>
        <w:t>נוסח מסמך זה כפוף לשינויי ניסוח ועריכה</w:t>
      </w:r>
    </w:p>
    <w:p w14:paraId="4430F2CF" w14:textId="77777777" w:rsidR="00E70863" w:rsidRDefault="00E70863" w:rsidP="00E70863">
      <w:pPr>
        <w:rPr>
          <w:rtl/>
        </w:rPr>
      </w:pPr>
    </w:p>
    <w:p w14:paraId="24DFBEB3" w14:textId="77777777" w:rsidR="00E70863" w:rsidRDefault="00E70863" w:rsidP="00E70863">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6A3A827" w14:textId="77777777" w:rsidR="00E70863" w:rsidRPr="00E70863" w:rsidRDefault="00E70863" w:rsidP="00E70863">
      <w:pPr>
        <w:jc w:val="center"/>
        <w:rPr>
          <w:color w:val="0000FF"/>
          <w:u w:val="single"/>
        </w:rPr>
      </w:pPr>
    </w:p>
    <w:sectPr w:rsidR="00E70863" w:rsidRPr="00E70863" w:rsidSect="00E7086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289EA" w14:textId="77777777" w:rsidR="00C673AF" w:rsidRDefault="00C673AF" w:rsidP="004720C5">
      <w:r>
        <w:separator/>
      </w:r>
    </w:p>
  </w:endnote>
  <w:endnote w:type="continuationSeparator" w:id="0">
    <w:p w14:paraId="4D799ED8" w14:textId="77777777" w:rsidR="00C673AF" w:rsidRDefault="00C673AF" w:rsidP="0047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1CE4" w14:textId="77777777" w:rsidR="00C673AF" w:rsidRDefault="00C673AF" w:rsidP="00E708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DA5740" w14:textId="77777777" w:rsidR="00C673AF" w:rsidRPr="00E70863" w:rsidRDefault="00C673AF" w:rsidP="00E708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4C7A5" w14:textId="77777777" w:rsidR="00C673AF" w:rsidRDefault="00C673AF" w:rsidP="00E708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696A">
      <w:rPr>
        <w:rFonts w:ascii="FrankRuehl" w:hAnsi="FrankRuehl" w:cs="FrankRuehl"/>
        <w:noProof/>
        <w:rtl/>
      </w:rPr>
      <w:t>1</w:t>
    </w:r>
    <w:r>
      <w:rPr>
        <w:rFonts w:ascii="FrankRuehl" w:hAnsi="FrankRuehl" w:cs="FrankRuehl"/>
        <w:rtl/>
      </w:rPr>
      <w:fldChar w:fldCharType="end"/>
    </w:r>
  </w:p>
  <w:p w14:paraId="577BD305" w14:textId="77777777" w:rsidR="00C673AF" w:rsidRPr="00E70863" w:rsidRDefault="00C673AF" w:rsidP="00E708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20A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6BCD0" w14:textId="77777777" w:rsidR="00C673AF" w:rsidRDefault="00C673AF" w:rsidP="004720C5">
      <w:r>
        <w:separator/>
      </w:r>
    </w:p>
  </w:footnote>
  <w:footnote w:type="continuationSeparator" w:id="0">
    <w:p w14:paraId="7FD85A2C" w14:textId="77777777" w:rsidR="00C673AF" w:rsidRDefault="00C673AF" w:rsidP="00472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28162" w14:textId="77777777" w:rsidR="00C673AF" w:rsidRPr="00E70863" w:rsidRDefault="00C673AF" w:rsidP="00E708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5581-02-17</w:t>
    </w:r>
    <w:r>
      <w:rPr>
        <w:rFonts w:ascii="David" w:hAnsi="David"/>
        <w:color w:val="000000"/>
        <w:sz w:val="22"/>
        <w:szCs w:val="22"/>
        <w:rtl/>
      </w:rPr>
      <w:tab/>
      <w:t xml:space="preserve"> מדינת ישראל נ' ניסים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3FD56" w14:textId="77777777" w:rsidR="00C673AF" w:rsidRPr="00E70863" w:rsidRDefault="00C673AF" w:rsidP="00E708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5581-02-17</w:t>
    </w:r>
    <w:r>
      <w:rPr>
        <w:rFonts w:ascii="David" w:hAnsi="David"/>
        <w:color w:val="000000"/>
        <w:sz w:val="22"/>
        <w:szCs w:val="22"/>
        <w:rtl/>
      </w:rPr>
      <w:tab/>
      <w:t xml:space="preserve"> מדינת ישראל נ' ניסים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08FD"/>
    <w:multiLevelType w:val="hybridMultilevel"/>
    <w:tmpl w:val="18AE0B2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B94490"/>
    <w:multiLevelType w:val="hybridMultilevel"/>
    <w:tmpl w:val="0B38DAA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44236D"/>
    <w:multiLevelType w:val="hybridMultilevel"/>
    <w:tmpl w:val="A7BA0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5964C4"/>
    <w:multiLevelType w:val="hybridMultilevel"/>
    <w:tmpl w:val="506A5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5313A8"/>
    <w:multiLevelType w:val="hybridMultilevel"/>
    <w:tmpl w:val="AF9A3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5144907">
    <w:abstractNumId w:val="3"/>
  </w:num>
  <w:num w:numId="2" w16cid:durableId="1149127980">
    <w:abstractNumId w:val="2"/>
  </w:num>
  <w:num w:numId="3" w16cid:durableId="1593779119">
    <w:abstractNumId w:val="1"/>
  </w:num>
  <w:num w:numId="4" w16cid:durableId="708914398">
    <w:abstractNumId w:val="4"/>
  </w:num>
  <w:num w:numId="5" w16cid:durableId="186956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0AF1"/>
    <w:rsid w:val="000F4B3A"/>
    <w:rsid w:val="002D7B2F"/>
    <w:rsid w:val="004720C5"/>
    <w:rsid w:val="005772FE"/>
    <w:rsid w:val="00AC2A71"/>
    <w:rsid w:val="00BA16A0"/>
    <w:rsid w:val="00BD5767"/>
    <w:rsid w:val="00C6696A"/>
    <w:rsid w:val="00C673AF"/>
    <w:rsid w:val="00DB761F"/>
    <w:rsid w:val="00E70863"/>
    <w:rsid w:val="00FC0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C511E0"/>
  <w15:chartTrackingRefBased/>
  <w15:docId w15:val="{53C06C47-841A-4B6E-AA0A-52C2E41A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A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0AF1"/>
    <w:pPr>
      <w:tabs>
        <w:tab w:val="center" w:pos="4153"/>
        <w:tab w:val="right" w:pos="8306"/>
      </w:tabs>
    </w:pPr>
  </w:style>
  <w:style w:type="character" w:customStyle="1" w:styleId="a4">
    <w:name w:val="כותרת עליונה תו"/>
    <w:link w:val="a3"/>
    <w:rsid w:val="00FC0AF1"/>
    <w:rPr>
      <w:rFonts w:ascii="Times New Roman" w:eastAsia="Times New Roman" w:hAnsi="Times New Roman" w:cs="David"/>
      <w:sz w:val="24"/>
      <w:szCs w:val="24"/>
    </w:rPr>
  </w:style>
  <w:style w:type="paragraph" w:styleId="a5">
    <w:name w:val="footer"/>
    <w:basedOn w:val="a"/>
    <w:link w:val="a6"/>
    <w:rsid w:val="00FC0AF1"/>
    <w:pPr>
      <w:tabs>
        <w:tab w:val="center" w:pos="4153"/>
        <w:tab w:val="right" w:pos="8306"/>
      </w:tabs>
    </w:pPr>
  </w:style>
  <w:style w:type="character" w:customStyle="1" w:styleId="a6">
    <w:name w:val="כותרת תחתונה תו"/>
    <w:link w:val="a5"/>
    <w:rsid w:val="00FC0AF1"/>
    <w:rPr>
      <w:rFonts w:ascii="Times New Roman" w:eastAsia="Times New Roman" w:hAnsi="Times New Roman" w:cs="David"/>
      <w:sz w:val="24"/>
      <w:szCs w:val="24"/>
    </w:rPr>
  </w:style>
  <w:style w:type="table" w:styleId="a7">
    <w:name w:val="Table Grid"/>
    <w:basedOn w:val="a1"/>
    <w:rsid w:val="00FC0A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0AF1"/>
  </w:style>
  <w:style w:type="paragraph" w:styleId="a9">
    <w:name w:val="List Paragraph"/>
    <w:basedOn w:val="a"/>
    <w:qFormat/>
    <w:rsid w:val="00FC0AF1"/>
    <w:pPr>
      <w:ind w:left="720"/>
      <w:contextualSpacing/>
    </w:pPr>
  </w:style>
  <w:style w:type="character" w:styleId="Hyperlink">
    <w:name w:val="Hyperlink"/>
    <w:rsid w:val="00E70863"/>
    <w:rPr>
      <w:color w:val="0563C1"/>
      <w:u w:val="single"/>
    </w:rPr>
  </w:style>
  <w:style w:type="character" w:styleId="aa">
    <w:name w:val="Unresolved Mention"/>
    <w:rsid w:val="00E708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7.a" TargetMode="External"/><Relationship Id="rId13" Type="http://schemas.openxmlformats.org/officeDocument/2006/relationships/hyperlink" Target="http://www.nevo.co.il/law/127622/7.a"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5227" TargetMode="External"/><Relationship Id="rId7" Type="http://schemas.openxmlformats.org/officeDocument/2006/relationships/hyperlink" Target="http://www.nevo.co.il/law/127622" TargetMode="External"/><Relationship Id="rId12" Type="http://schemas.openxmlformats.org/officeDocument/2006/relationships/hyperlink" Target="http://www.nevo.co.il/law/5227" TargetMode="External"/><Relationship Id="rId17" Type="http://schemas.openxmlformats.org/officeDocument/2006/relationships/hyperlink" Target="http://www.nevo.co.il/law/421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12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case/204912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127622"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1239</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7421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8323175</vt:i4>
      </vt:variant>
      <vt:variant>
        <vt:i4>42</vt:i4>
      </vt:variant>
      <vt:variant>
        <vt:i4>0</vt:i4>
      </vt:variant>
      <vt:variant>
        <vt:i4>5</vt:i4>
      </vt:variant>
      <vt:variant>
        <vt:lpwstr>http://www.nevo.co.il/law/5227</vt:lpwstr>
      </vt:variant>
      <vt:variant>
        <vt:lpwstr/>
      </vt:variant>
      <vt:variant>
        <vt:i4>4980820</vt:i4>
      </vt:variant>
      <vt:variant>
        <vt:i4>39</vt:i4>
      </vt:variant>
      <vt:variant>
        <vt:i4>0</vt:i4>
      </vt:variant>
      <vt:variant>
        <vt:i4>5</vt:i4>
      </vt:variant>
      <vt:variant>
        <vt:lpwstr>http://www.nevo.co.il/law/127622</vt:lpwstr>
      </vt:variant>
      <vt:variant>
        <vt:lpwstr/>
      </vt:variant>
      <vt:variant>
        <vt:i4>3604607</vt:i4>
      </vt:variant>
      <vt:variant>
        <vt:i4>36</vt:i4>
      </vt:variant>
      <vt:variant>
        <vt:i4>0</vt:i4>
      </vt:variant>
      <vt:variant>
        <vt:i4>5</vt:i4>
      </vt:variant>
      <vt:variant>
        <vt:lpwstr>http://www.nevo.co.il/case/20491201</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4980820</vt:i4>
      </vt:variant>
      <vt:variant>
        <vt:i4>21</vt:i4>
      </vt:variant>
      <vt:variant>
        <vt:i4>0</vt:i4>
      </vt:variant>
      <vt:variant>
        <vt:i4>5</vt:i4>
      </vt:variant>
      <vt:variant>
        <vt:lpwstr>http://www.nevo.co.il/law/127622</vt:lpwstr>
      </vt:variant>
      <vt:variant>
        <vt:lpwstr/>
      </vt:variant>
      <vt:variant>
        <vt:i4>1704021</vt:i4>
      </vt:variant>
      <vt:variant>
        <vt:i4>18</vt:i4>
      </vt:variant>
      <vt:variant>
        <vt:i4>0</vt:i4>
      </vt:variant>
      <vt:variant>
        <vt:i4>5</vt:i4>
      </vt:variant>
      <vt:variant>
        <vt:lpwstr>http://www.nevo.co.il/law/127622/7.a</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5581</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ניסים מלכה</vt:lpwstr>
  </property>
  <property fmtid="{D5CDD505-2E9C-101B-9397-08002B2CF9AE}" pid="10" name="LAWYER">
    <vt:lpwstr>הרצוג ובר טוב;סרוגוביץ</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20180128</vt:lpwstr>
  </property>
  <property fmtid="{D5CDD505-2E9C-101B-9397-08002B2CF9AE}" pid="14" name="TYPE_N_DATE">
    <vt:lpwstr>38020180128</vt:lpwstr>
  </property>
  <property fmtid="{D5CDD505-2E9C-101B-9397-08002B2CF9AE}" pid="15" name="CASESLISTTMP1">
    <vt:lpwstr>20491201</vt:lpwstr>
  </property>
  <property fmtid="{D5CDD505-2E9C-101B-9397-08002B2CF9AE}" pid="16" name="WORDNUMPAGES">
    <vt:lpwstr>5</vt:lpwstr>
  </property>
  <property fmtid="{D5CDD505-2E9C-101B-9397-08002B2CF9AE}" pid="17" name="TYPE_ABS_DATE">
    <vt:lpwstr>380020180128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127622/007.a</vt:lpwstr>
  </property>
  <property fmtid="{D5CDD505-2E9C-101B-9397-08002B2CF9AE}" pid="37" name="LAWLISTTMP2">
    <vt:lpwstr>4216/007.a;007.c</vt:lpwstr>
  </property>
  <property fmtid="{D5CDD505-2E9C-101B-9397-08002B2CF9AE}" pid="38" name="LAWLISTTMP3">
    <vt:lpwstr>5227</vt:lpwstr>
  </property>
</Properties>
</file>