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23D14" w:rsidRPr="008C2109" w14:paraId="1E71A1FB" w14:textId="77777777" w:rsidTr="001C09D6">
        <w:trPr>
          <w:trHeight w:hRule="exact" w:val="418"/>
          <w:jc w:val="center"/>
        </w:trPr>
        <w:tc>
          <w:tcPr>
            <w:tcW w:w="8721" w:type="dxa"/>
            <w:gridSpan w:val="2"/>
          </w:tcPr>
          <w:p w14:paraId="59D6BF31" w14:textId="77777777" w:rsidR="00623D14" w:rsidRPr="008C2109" w:rsidRDefault="00623D14" w:rsidP="00215DA8">
            <w:pPr>
              <w:pStyle w:val="a3"/>
              <w:jc w:val="center"/>
              <w:rPr>
                <w:rFonts w:ascii="Tahoma" w:hAnsi="Tahoma" w:cs="Tahoma"/>
                <w:color w:val="000080"/>
                <w:rtl/>
              </w:rPr>
            </w:pPr>
            <w:bookmarkStart w:id="0" w:name="LastJudge"/>
            <w:r w:rsidRPr="008C2109">
              <w:rPr>
                <w:rFonts w:ascii="Tahoma" w:hAnsi="Tahoma" w:cs="Tahoma"/>
                <w:b/>
                <w:bCs/>
                <w:color w:val="000080"/>
                <w:rtl/>
              </w:rPr>
              <w:t>בית משפט השלום בקריית שמונה</w:t>
            </w:r>
          </w:p>
        </w:tc>
      </w:tr>
      <w:tr w:rsidR="00623D14" w:rsidRPr="008C2109" w14:paraId="10326446" w14:textId="77777777" w:rsidTr="001C09D6">
        <w:trPr>
          <w:trHeight w:val="337"/>
          <w:jc w:val="center"/>
        </w:trPr>
        <w:tc>
          <w:tcPr>
            <w:tcW w:w="5054" w:type="dxa"/>
          </w:tcPr>
          <w:p w14:paraId="085FD23C" w14:textId="77777777" w:rsidR="00623D14" w:rsidRPr="008C2109" w:rsidRDefault="00623D14" w:rsidP="00215DA8">
            <w:pPr>
              <w:rPr>
                <w:rFonts w:cs="FrankRuehl"/>
                <w:sz w:val="28"/>
                <w:szCs w:val="28"/>
                <w:rtl/>
              </w:rPr>
            </w:pPr>
            <w:r w:rsidRPr="008C2109">
              <w:rPr>
                <w:rFonts w:cs="FrankRuehl"/>
                <w:sz w:val="28"/>
                <w:szCs w:val="28"/>
                <w:rtl/>
              </w:rPr>
              <w:t>ת"פ</w:t>
            </w:r>
            <w:r w:rsidRPr="008C2109">
              <w:rPr>
                <w:rFonts w:cs="FrankRuehl" w:hint="cs"/>
                <w:sz w:val="28"/>
                <w:szCs w:val="28"/>
                <w:rtl/>
              </w:rPr>
              <w:t xml:space="preserve"> </w:t>
            </w:r>
            <w:r w:rsidRPr="008C2109">
              <w:rPr>
                <w:rFonts w:cs="FrankRuehl"/>
                <w:sz w:val="28"/>
                <w:szCs w:val="28"/>
                <w:rtl/>
              </w:rPr>
              <w:t>7908-02-17</w:t>
            </w:r>
            <w:r w:rsidRPr="008C2109">
              <w:rPr>
                <w:rFonts w:cs="FrankRuehl" w:hint="cs"/>
                <w:sz w:val="28"/>
                <w:szCs w:val="28"/>
                <w:rtl/>
              </w:rPr>
              <w:t xml:space="preserve"> </w:t>
            </w:r>
            <w:r w:rsidRPr="008C2109">
              <w:rPr>
                <w:rFonts w:cs="FrankRuehl"/>
                <w:sz w:val="28"/>
                <w:szCs w:val="28"/>
                <w:rtl/>
              </w:rPr>
              <w:t>שלוחת תביעות מרום הגליל והגולן נ' חנון</w:t>
            </w:r>
          </w:p>
          <w:p w14:paraId="5F10F62D" w14:textId="77777777" w:rsidR="00623D14" w:rsidRPr="008C2109" w:rsidRDefault="00623D14" w:rsidP="00215DA8">
            <w:pPr>
              <w:pStyle w:val="a3"/>
              <w:rPr>
                <w:rFonts w:cs="FrankRuehl"/>
                <w:sz w:val="28"/>
                <w:szCs w:val="28"/>
                <w:rtl/>
              </w:rPr>
            </w:pPr>
          </w:p>
        </w:tc>
        <w:tc>
          <w:tcPr>
            <w:tcW w:w="3667" w:type="dxa"/>
          </w:tcPr>
          <w:p w14:paraId="28C106E6" w14:textId="77777777" w:rsidR="00623D14" w:rsidRPr="008C2109" w:rsidRDefault="00623D14" w:rsidP="00215DA8">
            <w:pPr>
              <w:pStyle w:val="a3"/>
              <w:jc w:val="right"/>
              <w:rPr>
                <w:rFonts w:cs="FrankRuehl"/>
                <w:sz w:val="28"/>
                <w:szCs w:val="28"/>
                <w:rtl/>
              </w:rPr>
            </w:pPr>
          </w:p>
        </w:tc>
      </w:tr>
    </w:tbl>
    <w:p w14:paraId="783D862D" w14:textId="77777777" w:rsidR="00623D14" w:rsidRPr="008C2109" w:rsidRDefault="00623D14" w:rsidP="00623D14">
      <w:pPr>
        <w:pStyle w:val="a3"/>
        <w:rPr>
          <w:rtl/>
        </w:rPr>
      </w:pPr>
      <w:r w:rsidRPr="008C2109">
        <w:rPr>
          <w:rFonts w:hint="cs"/>
          <w:rtl/>
        </w:rPr>
        <w:t xml:space="preserve"> </w:t>
      </w:r>
    </w:p>
    <w:p w14:paraId="6B5167C1" w14:textId="77777777" w:rsidR="00623D14" w:rsidRPr="008C2109" w:rsidRDefault="00623D14" w:rsidP="00623D1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623D14" w:rsidRPr="008C2109" w14:paraId="08A76D1A" w14:textId="77777777" w:rsidTr="00623D14">
        <w:trPr>
          <w:trHeight w:val="295"/>
          <w:jc w:val="center"/>
        </w:trPr>
        <w:tc>
          <w:tcPr>
            <w:tcW w:w="923" w:type="dxa"/>
            <w:tcBorders>
              <w:top w:val="nil"/>
              <w:left w:val="nil"/>
              <w:bottom w:val="nil"/>
              <w:right w:val="nil"/>
            </w:tcBorders>
            <w:shd w:val="clear" w:color="auto" w:fill="auto"/>
          </w:tcPr>
          <w:p w14:paraId="2D06373F" w14:textId="77777777" w:rsidR="00623D14" w:rsidRPr="008C2109" w:rsidRDefault="00623D14" w:rsidP="00623D14">
            <w:pPr>
              <w:jc w:val="both"/>
              <w:rPr>
                <w:rFonts w:ascii="Arial" w:hAnsi="Arial"/>
                <w:b/>
                <w:bCs/>
                <w:sz w:val="28"/>
                <w:szCs w:val="28"/>
              </w:rPr>
            </w:pPr>
            <w:r w:rsidRPr="008C2109">
              <w:rPr>
                <w:rFonts w:ascii="Arial" w:hAnsi="Arial" w:hint="cs"/>
                <w:b/>
                <w:bCs/>
                <w:sz w:val="28"/>
                <w:szCs w:val="28"/>
                <w:rtl/>
              </w:rPr>
              <w:t>ב</w:t>
            </w:r>
            <w:r w:rsidRPr="008C2109">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62824786" w14:textId="77777777" w:rsidR="00623D14" w:rsidRPr="008C2109" w:rsidRDefault="00623D14" w:rsidP="00215DA8">
            <w:pPr>
              <w:rPr>
                <w:rFonts w:ascii="Arial" w:hAnsi="Arial"/>
                <w:b/>
                <w:bCs/>
                <w:rtl/>
              </w:rPr>
            </w:pPr>
            <w:r w:rsidRPr="008C2109">
              <w:rPr>
                <w:rFonts w:ascii="Arial" w:hAnsi="Arial" w:hint="cs"/>
                <w:b/>
                <w:bCs/>
                <w:rtl/>
              </w:rPr>
              <w:t>כבוד ה</w:t>
            </w:r>
            <w:r w:rsidRPr="008C2109">
              <w:rPr>
                <w:rFonts w:ascii="Arial" w:hAnsi="Arial"/>
                <w:b/>
                <w:bCs/>
                <w:rtl/>
              </w:rPr>
              <w:t>שופטת</w:t>
            </w:r>
            <w:r w:rsidRPr="008C2109">
              <w:rPr>
                <w:rFonts w:ascii="Arial" w:hAnsi="Arial" w:hint="cs"/>
                <w:b/>
                <w:bCs/>
                <w:rtl/>
              </w:rPr>
              <w:t xml:space="preserve">  </w:t>
            </w:r>
            <w:r w:rsidRPr="008C2109">
              <w:rPr>
                <w:rFonts w:ascii="Arial" w:hAnsi="Arial"/>
                <w:b/>
                <w:bCs/>
                <w:rtl/>
              </w:rPr>
              <w:t>רות שפילברג כהן</w:t>
            </w:r>
          </w:p>
          <w:p w14:paraId="3AFEBF24" w14:textId="77777777" w:rsidR="00623D14" w:rsidRPr="008C2109" w:rsidRDefault="00623D14" w:rsidP="00215DA8">
            <w:pPr>
              <w:rPr>
                <w:b/>
                <w:bCs/>
                <w:rtl/>
              </w:rPr>
            </w:pPr>
          </w:p>
          <w:p w14:paraId="59F78B4A" w14:textId="77777777" w:rsidR="00623D14" w:rsidRPr="008C2109" w:rsidRDefault="00623D14" w:rsidP="00623D14">
            <w:pPr>
              <w:jc w:val="both"/>
              <w:rPr>
                <w:rFonts w:ascii="Arial" w:hAnsi="Arial"/>
                <w:b/>
                <w:bCs/>
                <w:sz w:val="28"/>
                <w:szCs w:val="28"/>
              </w:rPr>
            </w:pPr>
          </w:p>
        </w:tc>
      </w:tr>
      <w:tr w:rsidR="00623D14" w:rsidRPr="008C2109" w14:paraId="529C81D1" w14:textId="77777777" w:rsidTr="00623D14">
        <w:trPr>
          <w:trHeight w:val="355"/>
          <w:jc w:val="center"/>
        </w:trPr>
        <w:tc>
          <w:tcPr>
            <w:tcW w:w="923" w:type="dxa"/>
            <w:tcBorders>
              <w:top w:val="nil"/>
              <w:left w:val="nil"/>
              <w:bottom w:val="nil"/>
              <w:right w:val="nil"/>
            </w:tcBorders>
            <w:shd w:val="clear" w:color="auto" w:fill="auto"/>
          </w:tcPr>
          <w:p w14:paraId="1A114268" w14:textId="77777777" w:rsidR="00623D14" w:rsidRPr="008C2109" w:rsidRDefault="00623D14" w:rsidP="00623D14">
            <w:pPr>
              <w:jc w:val="both"/>
              <w:rPr>
                <w:rFonts w:ascii="Arial" w:hAnsi="Arial"/>
                <w:b/>
                <w:bCs/>
                <w:sz w:val="28"/>
                <w:szCs w:val="28"/>
              </w:rPr>
            </w:pPr>
            <w:bookmarkStart w:id="1" w:name="FirstAppellant"/>
            <w:r w:rsidRPr="008C2109">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32D5FF5" w14:textId="77777777" w:rsidR="00623D14" w:rsidRPr="008C2109" w:rsidRDefault="00623D14" w:rsidP="00215DA8">
            <w:pPr>
              <w:rPr>
                <w:b/>
                <w:bCs/>
              </w:rPr>
            </w:pPr>
            <w:r w:rsidRPr="008C2109">
              <w:rPr>
                <w:rFonts w:ascii="Arial" w:hAnsi="Arial"/>
                <w:b/>
                <w:bCs/>
                <w:sz w:val="28"/>
                <w:szCs w:val="28"/>
                <w:rtl/>
              </w:rPr>
              <w:t>שלוחת תביעות מרום הגליל והגולן</w:t>
            </w:r>
          </w:p>
        </w:tc>
        <w:tc>
          <w:tcPr>
            <w:tcW w:w="3771" w:type="dxa"/>
            <w:tcBorders>
              <w:top w:val="nil"/>
              <w:left w:val="nil"/>
              <w:bottom w:val="nil"/>
              <w:right w:val="nil"/>
            </w:tcBorders>
            <w:shd w:val="clear" w:color="auto" w:fill="auto"/>
          </w:tcPr>
          <w:p w14:paraId="1EC6FB1E" w14:textId="77777777" w:rsidR="00623D14" w:rsidRPr="008C2109" w:rsidRDefault="00623D14" w:rsidP="00623D14">
            <w:pPr>
              <w:jc w:val="both"/>
              <w:rPr>
                <w:rFonts w:ascii="Arial" w:hAnsi="Arial"/>
                <w:b/>
                <w:bCs/>
                <w:sz w:val="28"/>
                <w:szCs w:val="28"/>
              </w:rPr>
            </w:pPr>
          </w:p>
        </w:tc>
      </w:tr>
      <w:bookmarkEnd w:id="1"/>
      <w:tr w:rsidR="00623D14" w:rsidRPr="008C2109" w14:paraId="0F39B4DA" w14:textId="77777777" w:rsidTr="00623D14">
        <w:trPr>
          <w:trHeight w:val="355"/>
          <w:jc w:val="center"/>
        </w:trPr>
        <w:tc>
          <w:tcPr>
            <w:tcW w:w="923" w:type="dxa"/>
            <w:tcBorders>
              <w:top w:val="nil"/>
              <w:left w:val="nil"/>
              <w:bottom w:val="nil"/>
              <w:right w:val="nil"/>
            </w:tcBorders>
            <w:shd w:val="clear" w:color="auto" w:fill="auto"/>
          </w:tcPr>
          <w:p w14:paraId="592D198C" w14:textId="77777777" w:rsidR="00623D14" w:rsidRPr="008C2109" w:rsidRDefault="00623D14" w:rsidP="00623D14">
            <w:pPr>
              <w:jc w:val="both"/>
              <w:rPr>
                <w:rFonts w:ascii="Arial" w:hAnsi="Arial"/>
                <w:b/>
                <w:bCs/>
                <w:sz w:val="28"/>
                <w:szCs w:val="28"/>
                <w:rtl/>
              </w:rPr>
            </w:pPr>
          </w:p>
        </w:tc>
        <w:tc>
          <w:tcPr>
            <w:tcW w:w="4126" w:type="dxa"/>
            <w:tcBorders>
              <w:top w:val="nil"/>
              <w:left w:val="nil"/>
              <w:bottom w:val="nil"/>
              <w:right w:val="nil"/>
            </w:tcBorders>
            <w:shd w:val="clear" w:color="auto" w:fill="auto"/>
          </w:tcPr>
          <w:p w14:paraId="3239FBE8" w14:textId="77777777" w:rsidR="00623D14" w:rsidRPr="008C2109" w:rsidRDefault="00623D14" w:rsidP="00623D14">
            <w:pPr>
              <w:jc w:val="both"/>
              <w:rPr>
                <w:b/>
                <w:bCs/>
                <w:rtl/>
              </w:rPr>
            </w:pPr>
          </w:p>
        </w:tc>
        <w:tc>
          <w:tcPr>
            <w:tcW w:w="3771" w:type="dxa"/>
            <w:tcBorders>
              <w:top w:val="nil"/>
              <w:left w:val="nil"/>
              <w:bottom w:val="nil"/>
              <w:right w:val="nil"/>
            </w:tcBorders>
            <w:shd w:val="clear" w:color="auto" w:fill="auto"/>
          </w:tcPr>
          <w:p w14:paraId="7581CA45" w14:textId="77777777" w:rsidR="00623D14" w:rsidRPr="008C2109" w:rsidRDefault="00623D14" w:rsidP="00623D14">
            <w:pPr>
              <w:jc w:val="right"/>
              <w:rPr>
                <w:rFonts w:ascii="Arial" w:hAnsi="Arial"/>
                <w:b/>
                <w:bCs/>
                <w:sz w:val="28"/>
                <w:szCs w:val="28"/>
                <w:rtl/>
              </w:rPr>
            </w:pPr>
            <w:r w:rsidRPr="008C2109">
              <w:rPr>
                <w:rFonts w:ascii="Arial" w:hAnsi="Arial" w:hint="cs"/>
                <w:b/>
                <w:bCs/>
                <w:sz w:val="28"/>
                <w:szCs w:val="28"/>
                <w:rtl/>
              </w:rPr>
              <w:t>ה</w:t>
            </w:r>
            <w:r w:rsidRPr="008C2109">
              <w:rPr>
                <w:rFonts w:ascii="Arial" w:hAnsi="Arial"/>
                <w:b/>
                <w:bCs/>
                <w:sz w:val="28"/>
                <w:szCs w:val="28"/>
                <w:rtl/>
              </w:rPr>
              <w:t>מאשימה</w:t>
            </w:r>
          </w:p>
        </w:tc>
      </w:tr>
      <w:tr w:rsidR="00623D14" w:rsidRPr="008C2109" w14:paraId="1C2FBA68" w14:textId="77777777" w:rsidTr="00623D14">
        <w:trPr>
          <w:trHeight w:val="355"/>
          <w:jc w:val="center"/>
        </w:trPr>
        <w:tc>
          <w:tcPr>
            <w:tcW w:w="923" w:type="dxa"/>
            <w:tcBorders>
              <w:top w:val="nil"/>
              <w:left w:val="nil"/>
              <w:bottom w:val="nil"/>
              <w:right w:val="nil"/>
            </w:tcBorders>
            <w:shd w:val="clear" w:color="auto" w:fill="auto"/>
          </w:tcPr>
          <w:p w14:paraId="33DBC55F" w14:textId="77777777" w:rsidR="00623D14" w:rsidRPr="008C2109" w:rsidRDefault="00623D14" w:rsidP="00623D14">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112F8D81" w14:textId="77777777" w:rsidR="00623D14" w:rsidRPr="008C2109" w:rsidRDefault="00623D14" w:rsidP="00623D14">
            <w:pPr>
              <w:jc w:val="center"/>
              <w:rPr>
                <w:rFonts w:ascii="Arial" w:hAnsi="Arial"/>
                <w:b/>
                <w:bCs/>
                <w:sz w:val="28"/>
                <w:szCs w:val="28"/>
                <w:rtl/>
              </w:rPr>
            </w:pPr>
          </w:p>
          <w:p w14:paraId="685445FC" w14:textId="77777777" w:rsidR="00623D14" w:rsidRPr="008C2109" w:rsidRDefault="00623D14" w:rsidP="00623D14">
            <w:pPr>
              <w:jc w:val="center"/>
              <w:rPr>
                <w:rFonts w:ascii="Arial" w:hAnsi="Arial"/>
                <w:b/>
                <w:bCs/>
                <w:sz w:val="28"/>
                <w:szCs w:val="28"/>
                <w:rtl/>
              </w:rPr>
            </w:pPr>
            <w:r w:rsidRPr="008C2109">
              <w:rPr>
                <w:rFonts w:ascii="Arial" w:hAnsi="Arial"/>
                <w:b/>
                <w:bCs/>
                <w:sz w:val="28"/>
                <w:szCs w:val="28"/>
                <w:rtl/>
              </w:rPr>
              <w:t>נגד</w:t>
            </w:r>
          </w:p>
          <w:p w14:paraId="040DB043" w14:textId="77777777" w:rsidR="00623D14" w:rsidRPr="008C2109" w:rsidRDefault="00623D14" w:rsidP="00623D14">
            <w:pPr>
              <w:jc w:val="both"/>
              <w:rPr>
                <w:rFonts w:ascii="Arial" w:hAnsi="Arial"/>
                <w:b/>
                <w:bCs/>
                <w:sz w:val="28"/>
                <w:szCs w:val="28"/>
              </w:rPr>
            </w:pPr>
          </w:p>
        </w:tc>
      </w:tr>
      <w:tr w:rsidR="00623D14" w:rsidRPr="008C2109" w14:paraId="66608330" w14:textId="77777777" w:rsidTr="00623D14">
        <w:trPr>
          <w:trHeight w:val="355"/>
          <w:jc w:val="center"/>
        </w:trPr>
        <w:tc>
          <w:tcPr>
            <w:tcW w:w="923" w:type="dxa"/>
            <w:tcBorders>
              <w:top w:val="nil"/>
              <w:left w:val="nil"/>
              <w:bottom w:val="nil"/>
              <w:right w:val="nil"/>
            </w:tcBorders>
            <w:shd w:val="clear" w:color="auto" w:fill="auto"/>
          </w:tcPr>
          <w:p w14:paraId="6E0EE6DE" w14:textId="77777777" w:rsidR="00623D14" w:rsidRPr="008C2109" w:rsidRDefault="00623D14" w:rsidP="00215DA8">
            <w:pPr>
              <w:rPr>
                <w:rFonts w:ascii="Arial" w:hAnsi="Arial"/>
                <w:b/>
                <w:bCs/>
                <w:sz w:val="28"/>
                <w:szCs w:val="28"/>
                <w:rtl/>
              </w:rPr>
            </w:pPr>
          </w:p>
        </w:tc>
        <w:tc>
          <w:tcPr>
            <w:tcW w:w="4126" w:type="dxa"/>
            <w:tcBorders>
              <w:top w:val="nil"/>
              <w:left w:val="nil"/>
              <w:bottom w:val="nil"/>
              <w:right w:val="nil"/>
            </w:tcBorders>
            <w:shd w:val="clear" w:color="auto" w:fill="auto"/>
          </w:tcPr>
          <w:p w14:paraId="4CBBD09A" w14:textId="77777777" w:rsidR="00623D14" w:rsidRPr="008C2109" w:rsidRDefault="00623D14" w:rsidP="00215DA8">
            <w:pPr>
              <w:rPr>
                <w:b/>
                <w:bCs/>
                <w:rtl/>
              </w:rPr>
            </w:pPr>
            <w:r w:rsidRPr="008C2109">
              <w:rPr>
                <w:rFonts w:ascii="Arial" w:hAnsi="Arial"/>
                <w:b/>
                <w:bCs/>
                <w:sz w:val="28"/>
                <w:szCs w:val="28"/>
                <w:rtl/>
              </w:rPr>
              <w:t>עובדיה עודד חנון</w:t>
            </w:r>
          </w:p>
        </w:tc>
        <w:tc>
          <w:tcPr>
            <w:tcW w:w="3771" w:type="dxa"/>
            <w:tcBorders>
              <w:top w:val="nil"/>
              <w:left w:val="nil"/>
              <w:bottom w:val="nil"/>
              <w:right w:val="nil"/>
            </w:tcBorders>
            <w:shd w:val="clear" w:color="auto" w:fill="auto"/>
          </w:tcPr>
          <w:p w14:paraId="5C3E8AD2" w14:textId="77777777" w:rsidR="00623D14" w:rsidRPr="008C2109" w:rsidRDefault="00623D14" w:rsidP="00623D14">
            <w:pPr>
              <w:jc w:val="right"/>
              <w:rPr>
                <w:rFonts w:ascii="Arial" w:hAnsi="Arial"/>
                <w:b/>
                <w:bCs/>
                <w:sz w:val="28"/>
                <w:szCs w:val="28"/>
              </w:rPr>
            </w:pPr>
          </w:p>
        </w:tc>
      </w:tr>
      <w:tr w:rsidR="00623D14" w:rsidRPr="008C2109" w14:paraId="64B57DCE" w14:textId="77777777" w:rsidTr="00623D14">
        <w:trPr>
          <w:trHeight w:val="355"/>
          <w:jc w:val="center"/>
        </w:trPr>
        <w:tc>
          <w:tcPr>
            <w:tcW w:w="923" w:type="dxa"/>
            <w:tcBorders>
              <w:top w:val="nil"/>
              <w:left w:val="nil"/>
              <w:bottom w:val="nil"/>
              <w:right w:val="nil"/>
            </w:tcBorders>
            <w:shd w:val="clear" w:color="auto" w:fill="auto"/>
          </w:tcPr>
          <w:p w14:paraId="1F95ADAB" w14:textId="77777777" w:rsidR="00623D14" w:rsidRPr="008C2109" w:rsidRDefault="00623D14" w:rsidP="00623D14">
            <w:pPr>
              <w:jc w:val="both"/>
              <w:rPr>
                <w:rFonts w:ascii="Arial" w:hAnsi="Arial"/>
                <w:b/>
                <w:bCs/>
                <w:sz w:val="28"/>
                <w:szCs w:val="28"/>
                <w:rtl/>
              </w:rPr>
            </w:pPr>
          </w:p>
        </w:tc>
        <w:tc>
          <w:tcPr>
            <w:tcW w:w="4126" w:type="dxa"/>
            <w:tcBorders>
              <w:top w:val="nil"/>
              <w:left w:val="nil"/>
              <w:bottom w:val="nil"/>
              <w:right w:val="nil"/>
            </w:tcBorders>
            <w:shd w:val="clear" w:color="auto" w:fill="auto"/>
          </w:tcPr>
          <w:p w14:paraId="4C343BCF" w14:textId="77777777" w:rsidR="00623D14" w:rsidRPr="008C2109" w:rsidRDefault="00623D14" w:rsidP="00623D14">
            <w:pPr>
              <w:jc w:val="both"/>
              <w:rPr>
                <w:b/>
                <w:bCs/>
                <w:rtl/>
              </w:rPr>
            </w:pPr>
          </w:p>
        </w:tc>
        <w:tc>
          <w:tcPr>
            <w:tcW w:w="3771" w:type="dxa"/>
            <w:tcBorders>
              <w:top w:val="nil"/>
              <w:left w:val="nil"/>
              <w:bottom w:val="nil"/>
              <w:right w:val="nil"/>
            </w:tcBorders>
            <w:shd w:val="clear" w:color="auto" w:fill="auto"/>
          </w:tcPr>
          <w:p w14:paraId="0AE74101" w14:textId="77777777" w:rsidR="00623D14" w:rsidRPr="008C2109" w:rsidRDefault="00623D14" w:rsidP="00623D14">
            <w:pPr>
              <w:jc w:val="right"/>
              <w:rPr>
                <w:rFonts w:ascii="Arial" w:hAnsi="Arial"/>
                <w:b/>
                <w:bCs/>
                <w:sz w:val="28"/>
                <w:szCs w:val="28"/>
              </w:rPr>
            </w:pPr>
            <w:r w:rsidRPr="008C2109">
              <w:rPr>
                <w:rFonts w:ascii="Arial" w:hAnsi="Arial" w:hint="cs"/>
                <w:b/>
                <w:bCs/>
                <w:sz w:val="28"/>
                <w:szCs w:val="28"/>
                <w:rtl/>
              </w:rPr>
              <w:t>ה</w:t>
            </w:r>
            <w:r w:rsidRPr="008C2109">
              <w:rPr>
                <w:rFonts w:ascii="Arial" w:hAnsi="Arial"/>
                <w:b/>
                <w:bCs/>
                <w:sz w:val="28"/>
                <w:szCs w:val="28"/>
                <w:rtl/>
              </w:rPr>
              <w:t>נאשם</w:t>
            </w:r>
          </w:p>
        </w:tc>
      </w:tr>
    </w:tbl>
    <w:p w14:paraId="21A83BC1" w14:textId="77777777" w:rsidR="00623D14" w:rsidRDefault="00623D14" w:rsidP="00623D14">
      <w:pPr>
        <w:rPr>
          <w:rFonts w:hint="cs"/>
          <w:b/>
          <w:bCs/>
          <w:rtl/>
        </w:rPr>
      </w:pPr>
    </w:p>
    <w:p w14:paraId="4E090E83" w14:textId="77777777" w:rsidR="001C09D6" w:rsidRPr="001C09D6" w:rsidRDefault="001C09D6" w:rsidP="001C09D6">
      <w:pPr>
        <w:spacing w:after="120" w:line="240" w:lineRule="exact"/>
        <w:ind w:left="283" w:hanging="283"/>
        <w:jc w:val="both"/>
        <w:rPr>
          <w:rFonts w:ascii="FrankRuehl" w:hAnsi="FrankRuehl" w:cs="FrankRuehl"/>
          <w:rtl/>
        </w:rPr>
      </w:pPr>
      <w:r w:rsidRPr="001C09D6">
        <w:rPr>
          <w:rFonts w:ascii="FrankRuehl" w:hAnsi="FrankRuehl" w:cs="FrankRuehl" w:hint="eastAsia"/>
          <w:rtl/>
        </w:rPr>
        <w:t>חקיקה</w:t>
      </w:r>
      <w:r w:rsidRPr="001C09D6">
        <w:rPr>
          <w:rFonts w:ascii="FrankRuehl" w:hAnsi="FrankRuehl" w:cs="FrankRuehl"/>
          <w:rtl/>
        </w:rPr>
        <w:t xml:space="preserve"> </w:t>
      </w:r>
      <w:r w:rsidRPr="001C09D6">
        <w:rPr>
          <w:rFonts w:ascii="FrankRuehl" w:hAnsi="FrankRuehl" w:cs="FrankRuehl" w:hint="eastAsia"/>
          <w:rtl/>
        </w:rPr>
        <w:t>שאוזכרה</w:t>
      </w:r>
      <w:r w:rsidRPr="001C09D6">
        <w:rPr>
          <w:rFonts w:ascii="FrankRuehl" w:hAnsi="FrankRuehl" w:cs="FrankRuehl"/>
          <w:rtl/>
        </w:rPr>
        <w:t xml:space="preserve">: </w:t>
      </w:r>
    </w:p>
    <w:p w14:paraId="4C7EA8A8" w14:textId="77777777" w:rsidR="001C09D6" w:rsidRPr="001C09D6" w:rsidRDefault="001C09D6" w:rsidP="001C09D6">
      <w:pPr>
        <w:spacing w:after="120" w:line="240" w:lineRule="exact"/>
        <w:ind w:left="283" w:hanging="283"/>
        <w:jc w:val="both"/>
        <w:rPr>
          <w:rFonts w:ascii="FrankRuehl" w:hAnsi="FrankRuehl" w:cs="FrankRuehl"/>
          <w:rtl/>
        </w:rPr>
      </w:pPr>
      <w:hyperlink r:id="rId6" w:history="1">
        <w:r w:rsidRPr="001C09D6">
          <w:rPr>
            <w:rFonts w:ascii="FrankRuehl" w:hAnsi="FrankRuehl" w:cs="FrankRuehl" w:hint="eastAsia"/>
            <w:color w:val="0000FF"/>
            <w:u w:val="single"/>
            <w:rtl/>
          </w:rPr>
          <w:t>פקודת</w:t>
        </w:r>
        <w:r w:rsidRPr="001C09D6">
          <w:rPr>
            <w:rFonts w:ascii="FrankRuehl" w:hAnsi="FrankRuehl" w:cs="FrankRuehl"/>
            <w:color w:val="0000FF"/>
            <w:u w:val="single"/>
            <w:rtl/>
          </w:rPr>
          <w:t xml:space="preserve"> </w:t>
        </w:r>
        <w:r w:rsidRPr="001C09D6">
          <w:rPr>
            <w:rFonts w:ascii="FrankRuehl" w:hAnsi="FrankRuehl" w:cs="FrankRuehl" w:hint="eastAsia"/>
            <w:color w:val="0000FF"/>
            <w:u w:val="single"/>
            <w:rtl/>
          </w:rPr>
          <w:t>הסמים</w:t>
        </w:r>
        <w:r w:rsidRPr="001C09D6">
          <w:rPr>
            <w:rFonts w:ascii="FrankRuehl" w:hAnsi="FrankRuehl" w:cs="FrankRuehl"/>
            <w:color w:val="0000FF"/>
            <w:u w:val="single"/>
            <w:rtl/>
          </w:rPr>
          <w:t xml:space="preserve"> </w:t>
        </w:r>
        <w:r w:rsidRPr="001C09D6">
          <w:rPr>
            <w:rFonts w:ascii="FrankRuehl" w:hAnsi="FrankRuehl" w:cs="FrankRuehl" w:hint="eastAsia"/>
            <w:color w:val="0000FF"/>
            <w:u w:val="single"/>
            <w:rtl/>
          </w:rPr>
          <w:t>המסוכנים</w:t>
        </w:r>
        <w:r w:rsidRPr="001C09D6">
          <w:rPr>
            <w:rFonts w:ascii="FrankRuehl" w:hAnsi="FrankRuehl" w:cs="FrankRuehl"/>
            <w:color w:val="0000FF"/>
            <w:u w:val="single"/>
            <w:rtl/>
          </w:rPr>
          <w:t xml:space="preserve"> [</w:t>
        </w:r>
        <w:r w:rsidRPr="001C09D6">
          <w:rPr>
            <w:rFonts w:ascii="FrankRuehl" w:hAnsi="FrankRuehl" w:cs="FrankRuehl" w:hint="eastAsia"/>
            <w:color w:val="0000FF"/>
            <w:u w:val="single"/>
            <w:rtl/>
          </w:rPr>
          <w:t>נוסח</w:t>
        </w:r>
        <w:r w:rsidRPr="001C09D6">
          <w:rPr>
            <w:rFonts w:ascii="FrankRuehl" w:hAnsi="FrankRuehl" w:cs="FrankRuehl"/>
            <w:color w:val="0000FF"/>
            <w:u w:val="single"/>
            <w:rtl/>
          </w:rPr>
          <w:t xml:space="preserve"> </w:t>
        </w:r>
        <w:r w:rsidRPr="001C09D6">
          <w:rPr>
            <w:rFonts w:ascii="FrankRuehl" w:hAnsi="FrankRuehl" w:cs="FrankRuehl" w:hint="eastAsia"/>
            <w:color w:val="0000FF"/>
            <w:u w:val="single"/>
            <w:rtl/>
          </w:rPr>
          <w:t>חדש</w:t>
        </w:r>
        <w:r w:rsidRPr="001C09D6">
          <w:rPr>
            <w:rFonts w:ascii="FrankRuehl" w:hAnsi="FrankRuehl" w:cs="FrankRuehl"/>
            <w:color w:val="0000FF"/>
            <w:u w:val="single"/>
            <w:rtl/>
          </w:rPr>
          <w:t xml:space="preserve">], </w:t>
        </w:r>
        <w:r w:rsidRPr="001C09D6">
          <w:rPr>
            <w:rFonts w:ascii="FrankRuehl" w:hAnsi="FrankRuehl" w:cs="FrankRuehl" w:hint="eastAsia"/>
            <w:color w:val="0000FF"/>
            <w:u w:val="single"/>
            <w:rtl/>
          </w:rPr>
          <w:t>תשל</w:t>
        </w:r>
        <w:r w:rsidRPr="001C09D6">
          <w:rPr>
            <w:rFonts w:ascii="FrankRuehl" w:hAnsi="FrankRuehl" w:cs="FrankRuehl"/>
            <w:color w:val="0000FF"/>
            <w:u w:val="single"/>
            <w:rtl/>
          </w:rPr>
          <w:t>"</w:t>
        </w:r>
        <w:r w:rsidRPr="001C09D6">
          <w:rPr>
            <w:rFonts w:ascii="FrankRuehl" w:hAnsi="FrankRuehl" w:cs="FrankRuehl" w:hint="eastAsia"/>
            <w:color w:val="0000FF"/>
            <w:u w:val="single"/>
            <w:rtl/>
          </w:rPr>
          <w:t>ג</w:t>
        </w:r>
        <w:r w:rsidRPr="001C09D6">
          <w:rPr>
            <w:rFonts w:ascii="FrankRuehl" w:hAnsi="FrankRuehl" w:cs="FrankRuehl"/>
            <w:color w:val="0000FF"/>
            <w:u w:val="single"/>
            <w:rtl/>
          </w:rPr>
          <w:t>-1973</w:t>
        </w:r>
      </w:hyperlink>
      <w:r w:rsidRPr="001C09D6">
        <w:rPr>
          <w:rFonts w:ascii="FrankRuehl" w:hAnsi="FrankRuehl" w:cs="FrankRuehl"/>
          <w:rtl/>
        </w:rPr>
        <w:t xml:space="preserve">: </w:t>
      </w:r>
      <w:r w:rsidRPr="001C09D6">
        <w:rPr>
          <w:rFonts w:ascii="FrankRuehl" w:hAnsi="FrankRuehl" w:cs="FrankRuehl" w:hint="eastAsia"/>
          <w:rtl/>
        </w:rPr>
        <w:t>סע</w:t>
      </w:r>
      <w:r w:rsidRPr="001C09D6">
        <w:rPr>
          <w:rFonts w:ascii="FrankRuehl" w:hAnsi="FrankRuehl" w:cs="FrankRuehl"/>
          <w:rtl/>
        </w:rPr>
        <w:t xml:space="preserve">'  </w:t>
      </w:r>
      <w:hyperlink r:id="rId7" w:history="1">
        <w:r w:rsidRPr="001C09D6">
          <w:rPr>
            <w:rFonts w:ascii="FrankRuehl" w:hAnsi="FrankRuehl" w:cs="FrankRuehl"/>
            <w:color w:val="0000FF"/>
            <w:u w:val="single"/>
            <w:rtl/>
          </w:rPr>
          <w:t>7.</w:t>
        </w:r>
        <w:r w:rsidRPr="001C09D6">
          <w:rPr>
            <w:rFonts w:ascii="FrankRuehl" w:hAnsi="FrankRuehl" w:cs="FrankRuehl" w:hint="eastAsia"/>
            <w:color w:val="0000FF"/>
            <w:u w:val="single"/>
            <w:rtl/>
          </w:rPr>
          <w:t>א</w:t>
        </w:r>
        <w:r w:rsidRPr="001C09D6">
          <w:rPr>
            <w:rFonts w:ascii="FrankRuehl" w:hAnsi="FrankRuehl" w:cs="FrankRuehl"/>
            <w:color w:val="0000FF"/>
            <w:u w:val="single"/>
            <w:rtl/>
          </w:rPr>
          <w:t>.</w:t>
        </w:r>
      </w:hyperlink>
      <w:r w:rsidRPr="001C09D6">
        <w:rPr>
          <w:rFonts w:ascii="FrankRuehl" w:hAnsi="FrankRuehl" w:cs="FrankRuehl"/>
          <w:rtl/>
        </w:rPr>
        <w:t xml:space="preserve">, </w:t>
      </w:r>
      <w:hyperlink r:id="rId8" w:history="1">
        <w:r w:rsidRPr="001C09D6">
          <w:rPr>
            <w:rFonts w:ascii="FrankRuehl" w:hAnsi="FrankRuehl" w:cs="FrankRuehl"/>
            <w:color w:val="0000FF"/>
            <w:u w:val="single"/>
            <w:rtl/>
          </w:rPr>
          <w:t>7.</w:t>
        </w:r>
        <w:r w:rsidRPr="001C09D6">
          <w:rPr>
            <w:rFonts w:ascii="FrankRuehl" w:hAnsi="FrankRuehl" w:cs="FrankRuehl" w:hint="eastAsia"/>
            <w:color w:val="0000FF"/>
            <w:u w:val="single"/>
            <w:rtl/>
          </w:rPr>
          <w:t>ג</w:t>
        </w:r>
      </w:hyperlink>
    </w:p>
    <w:p w14:paraId="3219128B" w14:textId="77777777" w:rsidR="001C09D6" w:rsidRPr="001C09D6" w:rsidRDefault="001C09D6" w:rsidP="001C09D6">
      <w:pPr>
        <w:spacing w:after="120" w:line="240" w:lineRule="exact"/>
        <w:ind w:left="283" w:hanging="283"/>
        <w:jc w:val="both"/>
        <w:rPr>
          <w:rFonts w:ascii="FrankRuehl" w:hAnsi="FrankRuehl" w:cs="FrankRuehl"/>
          <w:rtl/>
        </w:rPr>
      </w:pPr>
      <w:hyperlink r:id="rId9" w:history="1">
        <w:r w:rsidRPr="001C09D6">
          <w:rPr>
            <w:rFonts w:ascii="FrankRuehl" w:hAnsi="FrankRuehl" w:cs="FrankRuehl" w:hint="eastAsia"/>
            <w:color w:val="0000FF"/>
            <w:u w:val="single"/>
            <w:rtl/>
          </w:rPr>
          <w:t>חוק</w:t>
        </w:r>
        <w:r w:rsidRPr="001C09D6">
          <w:rPr>
            <w:rFonts w:ascii="FrankRuehl" w:hAnsi="FrankRuehl" w:cs="FrankRuehl"/>
            <w:color w:val="0000FF"/>
            <w:u w:val="single"/>
            <w:rtl/>
          </w:rPr>
          <w:t xml:space="preserve"> </w:t>
        </w:r>
        <w:r w:rsidRPr="001C09D6">
          <w:rPr>
            <w:rFonts w:ascii="FrankRuehl" w:hAnsi="FrankRuehl" w:cs="FrankRuehl" w:hint="eastAsia"/>
            <w:color w:val="0000FF"/>
            <w:u w:val="single"/>
            <w:rtl/>
          </w:rPr>
          <w:t>העונשין</w:t>
        </w:r>
        <w:r w:rsidRPr="001C09D6">
          <w:rPr>
            <w:rFonts w:ascii="FrankRuehl" w:hAnsi="FrankRuehl" w:cs="FrankRuehl"/>
            <w:color w:val="0000FF"/>
            <w:u w:val="single"/>
            <w:rtl/>
          </w:rPr>
          <w:t xml:space="preserve">, </w:t>
        </w:r>
        <w:r w:rsidRPr="001C09D6">
          <w:rPr>
            <w:rFonts w:ascii="FrankRuehl" w:hAnsi="FrankRuehl" w:cs="FrankRuehl" w:hint="eastAsia"/>
            <w:color w:val="0000FF"/>
            <w:u w:val="single"/>
            <w:rtl/>
          </w:rPr>
          <w:t>תשל</w:t>
        </w:r>
        <w:r w:rsidRPr="001C09D6">
          <w:rPr>
            <w:rFonts w:ascii="FrankRuehl" w:hAnsi="FrankRuehl" w:cs="FrankRuehl"/>
            <w:color w:val="0000FF"/>
            <w:u w:val="single"/>
            <w:rtl/>
          </w:rPr>
          <w:t>"</w:t>
        </w:r>
        <w:r w:rsidRPr="001C09D6">
          <w:rPr>
            <w:rFonts w:ascii="FrankRuehl" w:hAnsi="FrankRuehl" w:cs="FrankRuehl" w:hint="eastAsia"/>
            <w:color w:val="0000FF"/>
            <w:u w:val="single"/>
            <w:rtl/>
          </w:rPr>
          <w:t>ז</w:t>
        </w:r>
        <w:r w:rsidRPr="001C09D6">
          <w:rPr>
            <w:rFonts w:ascii="FrankRuehl" w:hAnsi="FrankRuehl" w:cs="FrankRuehl"/>
            <w:color w:val="0000FF"/>
            <w:u w:val="single"/>
            <w:rtl/>
          </w:rPr>
          <w:t>-1977</w:t>
        </w:r>
      </w:hyperlink>
      <w:r w:rsidRPr="001C09D6">
        <w:rPr>
          <w:rFonts w:ascii="FrankRuehl" w:hAnsi="FrankRuehl" w:cs="FrankRuehl"/>
          <w:rtl/>
        </w:rPr>
        <w:t xml:space="preserve">: </w:t>
      </w:r>
      <w:r w:rsidRPr="001C09D6">
        <w:rPr>
          <w:rFonts w:ascii="FrankRuehl" w:hAnsi="FrankRuehl" w:cs="FrankRuehl" w:hint="eastAsia"/>
          <w:rtl/>
        </w:rPr>
        <w:t>סע</w:t>
      </w:r>
      <w:r w:rsidRPr="001C09D6">
        <w:rPr>
          <w:rFonts w:ascii="FrankRuehl" w:hAnsi="FrankRuehl" w:cs="FrankRuehl"/>
          <w:rtl/>
        </w:rPr>
        <w:t xml:space="preserve">'  </w:t>
      </w:r>
      <w:hyperlink r:id="rId10" w:history="1">
        <w:r w:rsidRPr="001C09D6">
          <w:rPr>
            <w:rFonts w:ascii="FrankRuehl" w:hAnsi="FrankRuehl" w:cs="FrankRuehl"/>
            <w:color w:val="0000FF"/>
            <w:u w:val="single"/>
            <w:rtl/>
          </w:rPr>
          <w:t>71</w:t>
        </w:r>
        <w:r w:rsidRPr="001C09D6">
          <w:rPr>
            <w:rFonts w:ascii="FrankRuehl" w:hAnsi="FrankRuehl" w:cs="FrankRuehl" w:hint="eastAsia"/>
            <w:color w:val="0000FF"/>
            <w:u w:val="single"/>
            <w:rtl/>
          </w:rPr>
          <w:t>ד</w:t>
        </w:r>
        <w:r w:rsidRPr="001C09D6">
          <w:rPr>
            <w:rFonts w:ascii="FrankRuehl" w:hAnsi="FrankRuehl" w:cs="FrankRuehl"/>
            <w:color w:val="0000FF"/>
            <w:u w:val="single"/>
            <w:rtl/>
          </w:rPr>
          <w:t>'</w:t>
        </w:r>
      </w:hyperlink>
    </w:p>
    <w:p w14:paraId="06E92C5A" w14:textId="77777777" w:rsidR="001C09D6" w:rsidRPr="008C2109" w:rsidRDefault="001C09D6" w:rsidP="00623D14">
      <w:pPr>
        <w:rPr>
          <w:rFonts w:hint="cs"/>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3D14" w:rsidRPr="008C2109" w14:paraId="3B9F4BDF" w14:textId="77777777" w:rsidTr="00623D14">
        <w:trPr>
          <w:trHeight w:val="355"/>
          <w:jc w:val="center"/>
        </w:trPr>
        <w:tc>
          <w:tcPr>
            <w:tcW w:w="8820" w:type="dxa"/>
            <w:tcBorders>
              <w:top w:val="nil"/>
              <w:left w:val="nil"/>
              <w:bottom w:val="nil"/>
              <w:right w:val="nil"/>
            </w:tcBorders>
            <w:shd w:val="clear" w:color="auto" w:fill="auto"/>
          </w:tcPr>
          <w:p w14:paraId="3A57219B" w14:textId="77777777" w:rsidR="00623D14" w:rsidRPr="008C2109" w:rsidRDefault="00623D14" w:rsidP="00623D14">
            <w:pPr>
              <w:jc w:val="center"/>
              <w:rPr>
                <w:rFonts w:ascii="Arial" w:hAnsi="Arial"/>
                <w:b/>
                <w:bCs/>
                <w:sz w:val="32"/>
                <w:szCs w:val="32"/>
                <w:rtl/>
              </w:rPr>
            </w:pPr>
            <w:bookmarkStart w:id="2" w:name="PsakDin"/>
            <w:r w:rsidRPr="008C2109">
              <w:rPr>
                <w:rFonts w:ascii="Arial" w:hAnsi="Arial" w:hint="cs"/>
                <w:b/>
                <w:bCs/>
                <w:sz w:val="32"/>
                <w:szCs w:val="32"/>
                <w:rtl/>
              </w:rPr>
              <w:t xml:space="preserve">גזר דין </w:t>
            </w:r>
            <w:bookmarkEnd w:id="2"/>
            <w:r w:rsidRPr="008C2109">
              <w:rPr>
                <w:rFonts w:ascii="Arial" w:hAnsi="Arial" w:hint="cs"/>
                <w:b/>
                <w:bCs/>
                <w:sz w:val="32"/>
                <w:szCs w:val="32"/>
                <w:rtl/>
              </w:rPr>
              <w:t>(ללא הרשעה)</w:t>
            </w:r>
          </w:p>
          <w:p w14:paraId="3BB117E4" w14:textId="77777777" w:rsidR="00623D14" w:rsidRPr="008C2109" w:rsidRDefault="00623D14" w:rsidP="00215DA8">
            <w:pPr>
              <w:rPr>
                <w:rFonts w:ascii="Arial" w:hAnsi="Arial"/>
                <w:b/>
                <w:bCs/>
                <w:sz w:val="32"/>
                <w:szCs w:val="32"/>
                <w:rtl/>
              </w:rPr>
            </w:pPr>
          </w:p>
          <w:p w14:paraId="13EE64D7" w14:textId="77777777" w:rsidR="00623D14" w:rsidRPr="008C2109" w:rsidRDefault="00623D14" w:rsidP="00215DA8">
            <w:pPr>
              <w:rPr>
                <w:rFonts w:ascii="Arial" w:hAnsi="Arial"/>
                <w:b/>
                <w:bCs/>
                <w:rtl/>
              </w:rPr>
            </w:pPr>
          </w:p>
        </w:tc>
      </w:tr>
      <w:tr w:rsidR="00623D14" w:rsidRPr="008C2109" w14:paraId="36154FEF" w14:textId="77777777" w:rsidTr="00623D14">
        <w:trPr>
          <w:trHeight w:val="355"/>
          <w:jc w:val="center"/>
        </w:trPr>
        <w:tc>
          <w:tcPr>
            <w:tcW w:w="8820" w:type="dxa"/>
            <w:tcBorders>
              <w:top w:val="nil"/>
              <w:left w:val="nil"/>
              <w:bottom w:val="nil"/>
              <w:right w:val="nil"/>
            </w:tcBorders>
            <w:shd w:val="clear" w:color="auto" w:fill="auto"/>
          </w:tcPr>
          <w:p w14:paraId="692E7397" w14:textId="77777777" w:rsidR="00623D14" w:rsidRPr="008C2109" w:rsidRDefault="00623D14" w:rsidP="00623D14">
            <w:pPr>
              <w:spacing w:line="360" w:lineRule="auto"/>
              <w:ind w:left="227"/>
              <w:jc w:val="both"/>
              <w:rPr>
                <w:rFonts w:ascii="Arial" w:hAnsi="Arial"/>
              </w:rPr>
            </w:pPr>
            <w:r w:rsidRPr="008C2109">
              <w:rPr>
                <w:rFonts w:ascii="Arial" w:hAnsi="Arial" w:hint="cs"/>
                <w:rtl/>
              </w:rPr>
              <w:t>כפי שיפורט  להלן, החלטתי לבטל את הרשעתו של הנאשם ולהטיל עליו צו מבחן יחד עם עונש של"צ ללא הרשעה. להלן נימוקיי.</w:t>
            </w:r>
          </w:p>
        </w:tc>
      </w:tr>
    </w:tbl>
    <w:p w14:paraId="6AA842C3" w14:textId="77777777" w:rsidR="00623D14" w:rsidRPr="008C2109" w:rsidRDefault="00623D14" w:rsidP="00623D14">
      <w:pPr>
        <w:rPr>
          <w:rFonts w:ascii="Arial" w:hAnsi="Arial"/>
        </w:rPr>
      </w:pPr>
    </w:p>
    <w:p w14:paraId="541622DB" w14:textId="77777777" w:rsidR="00623D14" w:rsidRPr="008C2109" w:rsidRDefault="00623D14" w:rsidP="00623D14">
      <w:pPr>
        <w:spacing w:line="360" w:lineRule="auto"/>
        <w:jc w:val="both"/>
        <w:rPr>
          <w:rFonts w:ascii="Calibri" w:hAnsi="Calibri"/>
          <w:b/>
          <w:bCs/>
          <w:rtl/>
        </w:rPr>
      </w:pPr>
      <w:r w:rsidRPr="008C2109">
        <w:rPr>
          <w:rFonts w:ascii="Calibri" w:hAnsi="Calibri" w:hint="cs"/>
          <w:b/>
          <w:bCs/>
          <w:rtl/>
        </w:rPr>
        <w:t>כתב אישום ורקע</w:t>
      </w:r>
    </w:p>
    <w:p w14:paraId="70441A9A" w14:textId="77777777" w:rsidR="00623D14" w:rsidRPr="008C2109" w:rsidRDefault="00623D14" w:rsidP="00623D14">
      <w:pPr>
        <w:spacing w:line="360" w:lineRule="auto"/>
        <w:jc w:val="both"/>
        <w:rPr>
          <w:rFonts w:ascii="Calibri" w:hAnsi="Calibri"/>
          <w:b/>
          <w:bCs/>
          <w:rtl/>
        </w:rPr>
      </w:pPr>
    </w:p>
    <w:p w14:paraId="7FBD6720" w14:textId="77777777" w:rsidR="00623D14" w:rsidRPr="008C2109" w:rsidRDefault="00623D14" w:rsidP="00623D14">
      <w:pPr>
        <w:spacing w:line="360" w:lineRule="auto"/>
        <w:ind w:left="720" w:hanging="720"/>
        <w:jc w:val="both"/>
        <w:rPr>
          <w:rFonts w:ascii="Calibri" w:hAnsi="Calibri"/>
          <w:rtl/>
        </w:rPr>
      </w:pPr>
      <w:r w:rsidRPr="008C2109">
        <w:rPr>
          <w:rFonts w:ascii="Calibri" w:hAnsi="Calibri" w:hint="cs"/>
          <w:rtl/>
        </w:rPr>
        <w:t>1.</w:t>
      </w:r>
      <w:r w:rsidRPr="008C2109">
        <w:rPr>
          <w:rFonts w:ascii="Calibri" w:hAnsi="Calibri" w:hint="cs"/>
          <w:rtl/>
        </w:rPr>
        <w:tab/>
      </w:r>
      <w:bookmarkStart w:id="3" w:name="ABSTRACT_START"/>
      <w:bookmarkEnd w:id="3"/>
      <w:r w:rsidRPr="008C2109">
        <w:rPr>
          <w:rFonts w:ascii="Calibri" w:hAnsi="Calibri" w:hint="cs"/>
          <w:rtl/>
        </w:rPr>
        <w:t xml:space="preserve">הנאשם הודה והורשע, במסגרת הסדר טיעון, בכתב אישום מתוקן שייחס לו </w:t>
      </w:r>
      <w:r w:rsidRPr="008C2109">
        <w:rPr>
          <w:rFonts w:ascii="Calibri" w:hAnsi="Calibri" w:hint="cs"/>
          <w:b/>
          <w:bCs/>
          <w:rtl/>
        </w:rPr>
        <w:t>החזקת סמים שלא לצריכה עצמית</w:t>
      </w:r>
      <w:r w:rsidRPr="008C2109">
        <w:rPr>
          <w:rFonts w:ascii="Calibri" w:hAnsi="Calibri" w:hint="cs"/>
          <w:rtl/>
        </w:rPr>
        <w:t xml:space="preserve"> – לפי סעיף </w:t>
      </w:r>
      <w:hyperlink r:id="rId11" w:history="1">
        <w:r w:rsidR="001C09D6" w:rsidRPr="001C09D6">
          <w:rPr>
            <w:rStyle w:val="Hyperlink"/>
            <w:rFonts w:ascii="Calibri" w:hAnsi="Calibri"/>
            <w:rtl/>
          </w:rPr>
          <w:t>7(</w:t>
        </w:r>
        <w:r w:rsidR="001C09D6" w:rsidRPr="001C09D6">
          <w:rPr>
            <w:rStyle w:val="Hyperlink"/>
            <w:rFonts w:ascii="Calibri" w:hAnsi="Calibri" w:hint="eastAsia"/>
            <w:rtl/>
          </w:rPr>
          <w:t>א</w:t>
        </w:r>
        <w:r w:rsidR="001C09D6" w:rsidRPr="001C09D6">
          <w:rPr>
            <w:rStyle w:val="Hyperlink"/>
            <w:rFonts w:ascii="Calibri" w:hAnsi="Calibri"/>
            <w:rtl/>
          </w:rPr>
          <w:t>) + 7(</w:t>
        </w:r>
        <w:r w:rsidR="001C09D6" w:rsidRPr="001C09D6">
          <w:rPr>
            <w:rStyle w:val="Hyperlink"/>
            <w:rFonts w:ascii="Calibri" w:hAnsi="Calibri" w:hint="eastAsia"/>
            <w:rtl/>
          </w:rPr>
          <w:t>ג</w:t>
        </w:r>
        <w:r w:rsidR="001C09D6" w:rsidRPr="001C09D6">
          <w:rPr>
            <w:rStyle w:val="Hyperlink"/>
            <w:rFonts w:ascii="Calibri" w:hAnsi="Calibri"/>
            <w:rtl/>
          </w:rPr>
          <w:t>)</w:t>
        </w:r>
      </w:hyperlink>
      <w:r w:rsidRPr="008C2109">
        <w:rPr>
          <w:rFonts w:ascii="Calibri" w:hAnsi="Calibri" w:hint="cs"/>
          <w:rtl/>
        </w:rPr>
        <w:t xml:space="preserve"> ל</w:t>
      </w:r>
      <w:hyperlink r:id="rId12" w:history="1">
        <w:r w:rsidR="008C2109" w:rsidRPr="008C2109">
          <w:rPr>
            <w:rFonts w:ascii="Calibri" w:hAnsi="Calibri" w:hint="eastAsia"/>
            <w:color w:val="0000FF"/>
            <w:u w:val="single"/>
            <w:rtl/>
          </w:rPr>
          <w:t>פקודת</w:t>
        </w:r>
        <w:r w:rsidR="008C2109" w:rsidRPr="008C2109">
          <w:rPr>
            <w:rFonts w:ascii="Calibri" w:hAnsi="Calibri"/>
            <w:color w:val="0000FF"/>
            <w:u w:val="single"/>
            <w:rtl/>
          </w:rPr>
          <w:t xml:space="preserve"> </w:t>
        </w:r>
        <w:r w:rsidR="008C2109" w:rsidRPr="008C2109">
          <w:rPr>
            <w:rFonts w:ascii="Calibri" w:hAnsi="Calibri" w:hint="eastAsia"/>
            <w:color w:val="0000FF"/>
            <w:u w:val="single"/>
            <w:rtl/>
          </w:rPr>
          <w:t>הסמים</w:t>
        </w:r>
        <w:r w:rsidR="008C2109" w:rsidRPr="008C2109">
          <w:rPr>
            <w:rFonts w:ascii="Calibri" w:hAnsi="Calibri"/>
            <w:color w:val="0000FF"/>
            <w:u w:val="single"/>
            <w:rtl/>
          </w:rPr>
          <w:t xml:space="preserve"> </w:t>
        </w:r>
        <w:r w:rsidR="008C2109" w:rsidRPr="008C2109">
          <w:rPr>
            <w:rFonts w:ascii="Calibri" w:hAnsi="Calibri" w:hint="eastAsia"/>
            <w:color w:val="0000FF"/>
            <w:u w:val="single"/>
            <w:rtl/>
          </w:rPr>
          <w:t>המסוכנים</w:t>
        </w:r>
      </w:hyperlink>
      <w:r w:rsidRPr="008C2109">
        <w:rPr>
          <w:rFonts w:ascii="Calibri" w:hAnsi="Calibri" w:hint="cs"/>
          <w:rtl/>
        </w:rPr>
        <w:t xml:space="preserve"> (נוסח חדש), תשל"ג-1973, בכך שביום 26/1/17 סמוך לשעה 09:56 במהלך חיפוש שנערך בביתו של הנאשם, נמצא כי החזיק סמים מסוגים שונים - קנבוס במשקל 24.63 גרם, חשיש במשקל 211.8 גרם וקוקאין במשקל 0.8897 גרם.</w:t>
      </w:r>
    </w:p>
    <w:p w14:paraId="202A2718" w14:textId="77777777" w:rsidR="00623D14" w:rsidRPr="008C2109" w:rsidRDefault="00623D14" w:rsidP="00623D14">
      <w:pPr>
        <w:spacing w:line="360" w:lineRule="auto"/>
        <w:jc w:val="both"/>
        <w:rPr>
          <w:rFonts w:ascii="Calibri" w:hAnsi="Calibri"/>
          <w:rtl/>
        </w:rPr>
      </w:pPr>
      <w:bookmarkStart w:id="4" w:name="ABSTRACT_END"/>
      <w:bookmarkEnd w:id="4"/>
    </w:p>
    <w:p w14:paraId="0C2A8FED" w14:textId="77777777" w:rsidR="00623D14" w:rsidRPr="008C2109" w:rsidRDefault="00623D14" w:rsidP="00623D14">
      <w:pPr>
        <w:spacing w:line="360" w:lineRule="auto"/>
        <w:ind w:left="720" w:hanging="720"/>
        <w:jc w:val="both"/>
        <w:rPr>
          <w:rFonts w:ascii="Calibri" w:hAnsi="Calibri"/>
          <w:rtl/>
        </w:rPr>
      </w:pPr>
      <w:r w:rsidRPr="008C2109">
        <w:rPr>
          <w:rFonts w:ascii="Calibri" w:hAnsi="Calibri" w:hint="cs"/>
          <w:rtl/>
        </w:rPr>
        <w:t>2.</w:t>
      </w:r>
      <w:r w:rsidRPr="008C2109">
        <w:rPr>
          <w:rFonts w:ascii="Calibri" w:hAnsi="Calibri" w:hint="cs"/>
          <w:rtl/>
        </w:rPr>
        <w:tab/>
        <w:t>ביום 21/5/17 הגיעו הצדדים להסדר טיעון, לפיו הנאשם הודה והורשע ונקבע כי יוגש לגביו תסקיר שרות המבחן שיבחן גם את שאלת ביטול הרשעתו. בנוסף הוסכם כי הטיעונים לעונש יהיו "פתוחים".</w:t>
      </w:r>
    </w:p>
    <w:p w14:paraId="57E02028" w14:textId="77777777" w:rsidR="00623D14" w:rsidRPr="008C2109" w:rsidRDefault="00623D14" w:rsidP="00623D14">
      <w:pPr>
        <w:spacing w:line="360" w:lineRule="auto"/>
        <w:jc w:val="both"/>
        <w:rPr>
          <w:rFonts w:ascii="Calibri" w:hAnsi="Calibri"/>
          <w:rtl/>
        </w:rPr>
      </w:pPr>
    </w:p>
    <w:p w14:paraId="4C3E8D0D" w14:textId="77777777" w:rsidR="00623D14" w:rsidRPr="008C2109" w:rsidRDefault="00623D14" w:rsidP="00623D14">
      <w:pPr>
        <w:spacing w:line="360" w:lineRule="auto"/>
        <w:jc w:val="both"/>
        <w:rPr>
          <w:rFonts w:ascii="Calibri" w:hAnsi="Calibri"/>
          <w:b/>
          <w:bCs/>
          <w:rtl/>
        </w:rPr>
      </w:pPr>
      <w:r w:rsidRPr="008C2109">
        <w:rPr>
          <w:rFonts w:ascii="Calibri" w:hAnsi="Calibri" w:hint="cs"/>
          <w:b/>
          <w:bCs/>
          <w:rtl/>
        </w:rPr>
        <w:lastRenderedPageBreak/>
        <w:t xml:space="preserve">תסקיר שרות המבחן </w:t>
      </w:r>
    </w:p>
    <w:p w14:paraId="16B6027E" w14:textId="77777777" w:rsidR="00623D14" w:rsidRPr="008C2109" w:rsidRDefault="00623D14" w:rsidP="00623D14">
      <w:pPr>
        <w:spacing w:line="360" w:lineRule="auto"/>
        <w:jc w:val="both"/>
        <w:rPr>
          <w:rFonts w:ascii="Calibri" w:hAnsi="Calibri"/>
          <w:rtl/>
        </w:rPr>
      </w:pPr>
    </w:p>
    <w:p w14:paraId="5F8A5C49" w14:textId="77777777" w:rsidR="00623D14" w:rsidRPr="008C2109" w:rsidRDefault="00623D14" w:rsidP="00623D14">
      <w:pPr>
        <w:spacing w:line="360" w:lineRule="auto"/>
        <w:ind w:left="720" w:hanging="720"/>
        <w:jc w:val="both"/>
        <w:rPr>
          <w:rFonts w:ascii="Calibri" w:hAnsi="Calibri"/>
          <w:rtl/>
        </w:rPr>
      </w:pPr>
      <w:r w:rsidRPr="008C2109">
        <w:rPr>
          <w:rFonts w:ascii="Calibri" w:hAnsi="Calibri" w:hint="cs"/>
          <w:rtl/>
        </w:rPr>
        <w:t>3.</w:t>
      </w:r>
      <w:r w:rsidRPr="008C2109">
        <w:rPr>
          <w:rFonts w:ascii="Calibri" w:hAnsi="Calibri" w:hint="cs"/>
          <w:rtl/>
        </w:rPr>
        <w:tab/>
        <w:t>על פי התסקיר מיום 14/11/17, הנאשם בן 32 סיים 11 שנות לימוד ללא תעודת בגרות, אובחן כסובל מהפרעות קשב וריכוז, נטל כדורי ריטלין לאורך ילדותו, והדבר גרם לו לניתוק וריחוק מהילדים ומהמורים. משהפסיק את נטילת הכדורים גילה בעיות התנהגות ובכיתה יא' הושעה מבית הספר. הנאשם שיתף בקשיים בילדותו ובבעיות חברתיות.</w:t>
      </w:r>
    </w:p>
    <w:p w14:paraId="5A03456B" w14:textId="77777777" w:rsidR="00623D14" w:rsidRPr="008C2109" w:rsidRDefault="00623D14" w:rsidP="00623D14">
      <w:pPr>
        <w:spacing w:line="360" w:lineRule="auto"/>
        <w:ind w:firstLine="720"/>
        <w:jc w:val="both"/>
        <w:rPr>
          <w:rFonts w:ascii="Calibri" w:hAnsi="Calibri"/>
          <w:rtl/>
        </w:rPr>
      </w:pPr>
      <w:r w:rsidRPr="008C2109">
        <w:rPr>
          <w:rFonts w:ascii="Calibri" w:hAnsi="Calibri" w:hint="cs"/>
          <w:rtl/>
        </w:rPr>
        <w:t xml:space="preserve">הנאשם מסר כי כבר בגיל צעיר החל לעבוד בתחום המסעדנות. </w:t>
      </w:r>
    </w:p>
    <w:p w14:paraId="4A8AFF19"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הנאשם שירת שירות צבאי חלקי, הוגדר כעריק ושוחרר על בסיס אי התאמה, מבירור של שרות המבחן עלה כי הנאשם קיבל פטור רפואי בגין סעיפי ליקוי המצביעים על הפרעה אישית.</w:t>
      </w:r>
    </w:p>
    <w:p w14:paraId="51694B21"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לאחר שחרורו מהצבא, עבד במשך שלוש שנים במפעל תנובה, ולאחר מכן במפעל "טרופיקל דגיל תעשיות בע"מ", בו הוא עובד עד היום.</w:t>
      </w:r>
    </w:p>
    <w:p w14:paraId="4F742427"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מעבידו של הנאשם ציין כי הנאשם החל לעבוד במפעל בגיל צעיר וכי כיום הינו עובד חיוני האחראי על חמישה עובדים המפעילים קו ייצור.</w:t>
      </w:r>
    </w:p>
    <w:p w14:paraId="359BCCFA"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 xml:space="preserve">שרות המבחן מסר כי במסגרת צו פיקוח מעצרים שולב הנאשם ביחידה למניעת התמכרויות בקריית שמונה. מגורמי הטיפול נמסר כי </w:t>
      </w:r>
      <w:r w:rsidRPr="008C2109">
        <w:rPr>
          <w:rFonts w:ascii="Calibri" w:hAnsi="Calibri" w:hint="cs"/>
          <w:b/>
          <w:bCs/>
          <w:rtl/>
        </w:rPr>
        <w:t>הנאשם מגיע מזה שבעה חודשים לפגישות שבועיות באופן קבוע ומשתף פעולה, וכי מבדיקות שתן שהוא מבצע אחת לשבוע נמצא כי הן נקיות משרידי סם</w:t>
      </w:r>
      <w:r w:rsidRPr="008C2109">
        <w:rPr>
          <w:rFonts w:ascii="Calibri" w:hAnsi="Calibri" w:hint="cs"/>
          <w:rtl/>
        </w:rPr>
        <w:t>.</w:t>
      </w:r>
    </w:p>
    <w:p w14:paraId="3513605F"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התרשמות גורמי הטיפול הייתה כי הנאשם ללא מאפיינים אנטי סוציאליים וכי הוא בעל מאפייני אישיות בלתי בשלים. צויין כי הנאשם תיפקד באופן תקין ויציב במישורי חייו וכי הוא חווה קושי רגשי סביב מעצרו ובשל קטיעת רצף חייו. עוד התרשמו, כי מעצרו היווה עבורו גורם מרתיע, וכי הוא הבין שעליו לערוך שינוי באורחות חייו. עוד נמסר כי הנאשם ניתק קשריו עם חברים שהשפיעו עליו באופן שלילי בעבר.</w:t>
      </w:r>
    </w:p>
    <w:p w14:paraId="4364F647"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נמסר כי הנאשם נעדר עבר פלילי ובהתייחסו לעבירה – קיבל אחריות על ביצועה. שיתף כי החל להשתמש בסם מסוג גראס בגיל 16 בשל מצב נפשי ירוד, הפרעות קשב וריכוז, בדידות ועוד.</w:t>
      </w:r>
    </w:p>
    <w:p w14:paraId="1348CC80"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עוד מסר הנאשם כי לפני מעצרו הגביל את השימוש בסמים לשעות הלילה בלבד מתוך תחושת אחריות לעבודתו שדורשת ריכוז.</w:t>
      </w:r>
    </w:p>
    <w:p w14:paraId="6ADA01A5"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שרות המבחן התרשם מהנאשם כמי שמשתדל לתפקד באופן סביר.</w:t>
      </w:r>
    </w:p>
    <w:p w14:paraId="487E0B28" w14:textId="77777777" w:rsidR="00623D14" w:rsidRPr="008C2109" w:rsidRDefault="00623D14" w:rsidP="00623D14">
      <w:pPr>
        <w:spacing w:line="360" w:lineRule="auto"/>
        <w:ind w:left="720"/>
        <w:jc w:val="both"/>
        <w:rPr>
          <w:rFonts w:ascii="Calibri" w:hAnsi="Calibri"/>
          <w:rtl/>
        </w:rPr>
      </w:pPr>
      <w:r w:rsidRPr="008C2109">
        <w:rPr>
          <w:rFonts w:ascii="Calibri" w:hAnsi="Calibri" w:hint="cs"/>
          <w:rtl/>
        </w:rPr>
        <w:t xml:space="preserve">באשר לגורמים המגבירים את הסיכון לביצוע עבירות על ידו, ציין שרות המבחן את קשייו של הנאשם בהסתגלות למסגרות ולקבוצות השווים בצעירותו בשל קשיים רגשיים והתנהגותיים שלא טופלו. צויין כי הנאשם תלוי רגשית בסביבתו אך עצמאי מבחינה תעסוקתית כבר מגיל צעיר. עוד צויין, הנאשם התקשה לבטא את צרכיו ומצוקותיו והוא עלול לבטאם בצורה שלילית. שרות המבחן סבר כי מעורבותו של הנאשם בפלילים היוותה ביטוי לחיפוש לא בשל אחר זהות ותפקיד חברתי משפחתי וכי השימוש בסמים היה דרך </w:t>
      </w:r>
      <w:r w:rsidRPr="008C2109">
        <w:rPr>
          <w:rFonts w:ascii="Calibri" w:hAnsi="Calibri" w:hint="cs"/>
          <w:rtl/>
        </w:rPr>
        <w:lastRenderedPageBreak/>
        <w:t xml:space="preserve">להתמודדותו עם חוויות עבר שלא עובדו, חוסר בתחושת ביטחון עם דמויות משמעותיות וכדרך להתמודדות עם כאבים בעקבות הפרעת אישיות שלא בשליטתו. </w:t>
      </w:r>
    </w:p>
    <w:p w14:paraId="267ECCE2" w14:textId="77777777" w:rsidR="001C09D6" w:rsidRDefault="00623D14" w:rsidP="00623D14">
      <w:pPr>
        <w:spacing w:line="360" w:lineRule="auto"/>
        <w:ind w:left="720"/>
        <w:jc w:val="both"/>
        <w:rPr>
          <w:rFonts w:ascii="Calibri" w:hAnsi="Calibri"/>
          <w:rtl/>
        </w:rPr>
      </w:pPr>
      <w:r w:rsidRPr="008C2109">
        <w:rPr>
          <w:rFonts w:ascii="Calibri" w:hAnsi="Calibri" w:hint="cs"/>
          <w:rtl/>
        </w:rPr>
        <w:t>יחד עם זאת כגורמי שיקום, ציין שרות המבחן את תפקודו החיובי של הנאשם במישור</w:t>
      </w:r>
      <w:bookmarkStart w:id="5" w:name="LawTable"/>
      <w:bookmarkEnd w:id="5"/>
    </w:p>
    <w:p w14:paraId="6986BB49" w14:textId="77777777" w:rsidR="001C09D6" w:rsidRPr="001C09D6" w:rsidRDefault="001C09D6" w:rsidP="001C09D6">
      <w:pPr>
        <w:spacing w:after="120" w:line="240" w:lineRule="exact"/>
        <w:ind w:left="283" w:hanging="283"/>
        <w:jc w:val="both"/>
        <w:rPr>
          <w:rFonts w:ascii="FrankRuehl" w:hAnsi="FrankRuehl" w:cs="FrankRuehl"/>
          <w:rtl/>
        </w:rPr>
      </w:pPr>
    </w:p>
    <w:p w14:paraId="70CBE0C5" w14:textId="77777777" w:rsidR="008C2109" w:rsidRPr="008C2109" w:rsidRDefault="008C2109" w:rsidP="008C2109">
      <w:pPr>
        <w:spacing w:line="360" w:lineRule="auto"/>
        <w:ind w:left="720"/>
        <w:jc w:val="center"/>
        <w:rPr>
          <w:rFonts w:ascii="Calibri" w:hAnsi="Calibri"/>
          <w:bCs/>
          <w:rtl/>
        </w:rPr>
      </w:pPr>
      <w:bookmarkStart w:id="6" w:name="LawTable_End"/>
      <w:bookmarkEnd w:id="0"/>
      <w:bookmarkEnd w:id="6"/>
      <w:r w:rsidRPr="008C2109">
        <w:rPr>
          <w:rFonts w:ascii="Calibri" w:hAnsi="Calibri" w:hint="eastAsia"/>
          <w:bCs/>
          <w:rtl/>
        </w:rPr>
        <w:t>התעסוקתי</w:t>
      </w:r>
      <w:r w:rsidRPr="008C2109">
        <w:rPr>
          <w:rFonts w:ascii="Calibri" w:hAnsi="Calibri"/>
          <w:bCs/>
          <w:rtl/>
        </w:rPr>
        <w:t xml:space="preserve">, </w:t>
      </w:r>
      <w:r w:rsidRPr="008C2109">
        <w:rPr>
          <w:rFonts w:ascii="Calibri" w:hAnsi="Calibri" w:hint="eastAsia"/>
          <w:bCs/>
          <w:rtl/>
        </w:rPr>
        <w:t>ואת</w:t>
      </w:r>
      <w:r w:rsidRPr="008C2109">
        <w:rPr>
          <w:rFonts w:ascii="Calibri" w:hAnsi="Calibri"/>
          <w:bCs/>
          <w:rtl/>
        </w:rPr>
        <w:t xml:space="preserve"> </w:t>
      </w:r>
      <w:r w:rsidRPr="008C2109">
        <w:rPr>
          <w:rFonts w:ascii="Calibri" w:hAnsi="Calibri" w:hint="eastAsia"/>
          <w:bCs/>
          <w:rtl/>
        </w:rPr>
        <w:t>השתלבותו</w:t>
      </w:r>
      <w:r w:rsidRPr="008C2109">
        <w:rPr>
          <w:rFonts w:ascii="Calibri" w:hAnsi="Calibri"/>
          <w:bCs/>
          <w:rtl/>
        </w:rPr>
        <w:t xml:space="preserve"> </w:t>
      </w:r>
      <w:r w:rsidRPr="008C2109">
        <w:rPr>
          <w:rFonts w:ascii="Calibri" w:hAnsi="Calibri" w:hint="eastAsia"/>
          <w:bCs/>
          <w:rtl/>
        </w:rPr>
        <w:t>מגיל</w:t>
      </w:r>
      <w:r w:rsidRPr="008C2109">
        <w:rPr>
          <w:rFonts w:ascii="Calibri" w:hAnsi="Calibri"/>
          <w:bCs/>
          <w:rtl/>
        </w:rPr>
        <w:t xml:space="preserve"> </w:t>
      </w:r>
      <w:r w:rsidRPr="008C2109">
        <w:rPr>
          <w:rFonts w:ascii="Calibri" w:hAnsi="Calibri" w:hint="eastAsia"/>
          <w:bCs/>
          <w:rtl/>
        </w:rPr>
        <w:t>צעיר</w:t>
      </w:r>
      <w:r w:rsidRPr="008C2109">
        <w:rPr>
          <w:rFonts w:ascii="Calibri" w:hAnsi="Calibri"/>
          <w:bCs/>
          <w:rtl/>
        </w:rPr>
        <w:t xml:space="preserve"> </w:t>
      </w:r>
      <w:r w:rsidRPr="008C2109">
        <w:rPr>
          <w:rFonts w:ascii="Calibri" w:hAnsi="Calibri" w:hint="eastAsia"/>
          <w:bCs/>
          <w:rtl/>
        </w:rPr>
        <w:t>במרחב</w:t>
      </w:r>
      <w:r w:rsidRPr="008C2109">
        <w:rPr>
          <w:rFonts w:ascii="Calibri" w:hAnsi="Calibri"/>
          <w:bCs/>
          <w:rtl/>
        </w:rPr>
        <w:t xml:space="preserve"> </w:t>
      </w:r>
      <w:r w:rsidRPr="008C2109">
        <w:rPr>
          <w:rFonts w:ascii="Calibri" w:hAnsi="Calibri" w:hint="eastAsia"/>
          <w:bCs/>
          <w:rtl/>
        </w:rPr>
        <w:t>סביב</w:t>
      </w:r>
      <w:r w:rsidRPr="008C2109">
        <w:rPr>
          <w:rFonts w:ascii="Calibri" w:hAnsi="Calibri"/>
          <w:bCs/>
          <w:rtl/>
        </w:rPr>
        <w:t xml:space="preserve"> </w:t>
      </w:r>
      <w:r w:rsidRPr="008C2109">
        <w:rPr>
          <w:rFonts w:ascii="Calibri" w:hAnsi="Calibri" w:hint="eastAsia"/>
          <w:bCs/>
          <w:rtl/>
        </w:rPr>
        <w:t>אנשים</w:t>
      </w:r>
      <w:r w:rsidRPr="008C2109">
        <w:rPr>
          <w:rFonts w:ascii="Calibri" w:hAnsi="Calibri"/>
          <w:bCs/>
          <w:rtl/>
        </w:rPr>
        <w:t xml:space="preserve"> </w:t>
      </w:r>
      <w:r w:rsidRPr="008C2109">
        <w:rPr>
          <w:rFonts w:ascii="Calibri" w:hAnsi="Calibri" w:hint="eastAsia"/>
          <w:bCs/>
          <w:rtl/>
        </w:rPr>
        <w:t>בעלי</w:t>
      </w:r>
      <w:r w:rsidRPr="008C2109">
        <w:rPr>
          <w:rFonts w:ascii="Calibri" w:hAnsi="Calibri"/>
          <w:bCs/>
          <w:rtl/>
        </w:rPr>
        <w:t xml:space="preserve"> </w:t>
      </w:r>
      <w:r w:rsidRPr="008C2109">
        <w:rPr>
          <w:rFonts w:ascii="Calibri" w:hAnsi="Calibri" w:hint="eastAsia"/>
          <w:bCs/>
          <w:rtl/>
        </w:rPr>
        <w:t>ידע</w:t>
      </w:r>
      <w:r w:rsidRPr="008C2109">
        <w:rPr>
          <w:rFonts w:ascii="Calibri" w:hAnsi="Calibri"/>
          <w:bCs/>
          <w:rtl/>
        </w:rPr>
        <w:t xml:space="preserve"> </w:t>
      </w:r>
      <w:r w:rsidRPr="008C2109">
        <w:rPr>
          <w:rFonts w:ascii="Calibri" w:hAnsi="Calibri" w:hint="eastAsia"/>
          <w:bCs/>
          <w:rtl/>
        </w:rPr>
        <w:t>ומקצוע</w:t>
      </w:r>
      <w:r w:rsidRPr="008C2109">
        <w:rPr>
          <w:rFonts w:ascii="Calibri" w:hAnsi="Calibri"/>
          <w:bCs/>
          <w:rtl/>
        </w:rPr>
        <w:t xml:space="preserve">. </w:t>
      </w:r>
      <w:r w:rsidRPr="008C2109">
        <w:rPr>
          <w:rFonts w:ascii="Calibri" w:hAnsi="Calibri" w:hint="eastAsia"/>
          <w:bCs/>
          <w:rtl/>
        </w:rPr>
        <w:t>בנוסף</w:t>
      </w:r>
    </w:p>
    <w:p w14:paraId="587ACC1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הנאשם קיבל אחריות אישית על ביצוע העבירה, ביטא רצון ומוטיבציה להשתלב בהליך טיפולי ולשנות את חייו וכן חש ביטחון בקשרו עם גורמי הטיפול.</w:t>
      </w:r>
    </w:p>
    <w:p w14:paraId="79F39498" w14:textId="77777777" w:rsidR="00623D14" w:rsidRPr="00623D14" w:rsidRDefault="00623D14" w:rsidP="00623D14">
      <w:pPr>
        <w:spacing w:line="360" w:lineRule="auto"/>
        <w:ind w:left="720"/>
        <w:jc w:val="both"/>
        <w:rPr>
          <w:rFonts w:ascii="Calibri" w:hAnsi="Calibri"/>
          <w:b/>
          <w:bCs/>
          <w:rtl/>
        </w:rPr>
      </w:pPr>
      <w:r w:rsidRPr="00623D14">
        <w:rPr>
          <w:rFonts w:ascii="Calibri" w:hAnsi="Calibri" w:hint="cs"/>
          <w:rtl/>
        </w:rPr>
        <w:t xml:space="preserve">מתוך האבחון עלה כי הנאשם הינו ללא מאפיינים אנטיסוציאליים ושרות המבחן התרשם כי </w:t>
      </w:r>
      <w:r w:rsidRPr="00623D14">
        <w:rPr>
          <w:rFonts w:ascii="Calibri" w:hAnsi="Calibri" w:hint="cs"/>
          <w:b/>
          <w:bCs/>
          <w:rtl/>
        </w:rPr>
        <w:t>ללא המשך טיפול קיים סיכון להתנהגות מפרת חוק מצידו.</w:t>
      </w:r>
    </w:p>
    <w:p w14:paraId="1098850E" w14:textId="77777777" w:rsidR="00623D14" w:rsidRPr="00623D14" w:rsidRDefault="00623D14" w:rsidP="00623D14">
      <w:pPr>
        <w:spacing w:line="360" w:lineRule="auto"/>
        <w:ind w:left="720"/>
        <w:jc w:val="both"/>
        <w:rPr>
          <w:rFonts w:ascii="Calibri" w:hAnsi="Calibri"/>
          <w:b/>
          <w:bCs/>
          <w:rtl/>
        </w:rPr>
      </w:pPr>
      <w:r w:rsidRPr="00623D14">
        <w:rPr>
          <w:rFonts w:ascii="Calibri" w:hAnsi="Calibri" w:hint="cs"/>
          <w:b/>
          <w:bCs/>
          <w:rtl/>
        </w:rPr>
        <w:t>שרות המבחן המליץ על העמדתו של הנאשם בצו מבחן במסגרתו ימשיך את ההליך הטיפולי ביחידה להתמכרויות בקריית שמונה ושרות המבחן יפקח עליו.</w:t>
      </w:r>
    </w:p>
    <w:p w14:paraId="46352B0C" w14:textId="77777777" w:rsidR="00623D14" w:rsidRPr="00623D14" w:rsidRDefault="00623D14" w:rsidP="00623D14">
      <w:pPr>
        <w:spacing w:line="360" w:lineRule="auto"/>
        <w:ind w:left="720"/>
        <w:jc w:val="both"/>
        <w:rPr>
          <w:rFonts w:ascii="Calibri" w:hAnsi="Calibri"/>
          <w:b/>
          <w:bCs/>
          <w:rtl/>
        </w:rPr>
      </w:pPr>
      <w:r w:rsidRPr="00623D14">
        <w:rPr>
          <w:rFonts w:ascii="Calibri" w:hAnsi="Calibri" w:hint="cs"/>
          <w:b/>
          <w:bCs/>
          <w:rtl/>
        </w:rPr>
        <w:t>שרות המבחן המליץ לבטל את הרשעתו של הנאשם נוכח ההליך השיקומי המשמעותי שעבר ועודנו עובר וכן כי תעסוקתו תיפגע בהתאם למכתב ממעסיקו.</w:t>
      </w:r>
    </w:p>
    <w:p w14:paraId="00C157B6" w14:textId="77777777" w:rsidR="00623D14" w:rsidRPr="00623D14" w:rsidRDefault="00623D14" w:rsidP="00623D14">
      <w:pPr>
        <w:spacing w:line="360" w:lineRule="auto"/>
        <w:jc w:val="both"/>
        <w:rPr>
          <w:rFonts w:ascii="Calibri" w:hAnsi="Calibri"/>
          <w:b/>
          <w:bCs/>
          <w:u w:val="single"/>
          <w:rtl/>
        </w:rPr>
      </w:pPr>
    </w:p>
    <w:p w14:paraId="144E8742" w14:textId="77777777" w:rsidR="00623D14" w:rsidRPr="00623D14" w:rsidRDefault="00623D14" w:rsidP="00623D14">
      <w:pPr>
        <w:spacing w:line="360" w:lineRule="auto"/>
        <w:jc w:val="both"/>
        <w:rPr>
          <w:rFonts w:ascii="Calibri" w:hAnsi="Calibri"/>
          <w:b/>
          <w:bCs/>
          <w:u w:val="single"/>
          <w:rtl/>
        </w:rPr>
      </w:pPr>
      <w:r w:rsidRPr="00623D14">
        <w:rPr>
          <w:rFonts w:ascii="Calibri" w:hAnsi="Calibri" w:hint="cs"/>
          <w:b/>
          <w:bCs/>
          <w:u w:val="single"/>
          <w:rtl/>
        </w:rPr>
        <w:t>ראיות לעונש</w:t>
      </w:r>
    </w:p>
    <w:p w14:paraId="23A7B3EA" w14:textId="77777777" w:rsidR="00623D14" w:rsidRPr="00623D14" w:rsidRDefault="00623D14" w:rsidP="00623D14">
      <w:pPr>
        <w:spacing w:line="360" w:lineRule="auto"/>
        <w:jc w:val="both"/>
        <w:rPr>
          <w:rFonts w:ascii="Calibri" w:hAnsi="Calibri"/>
          <w:rtl/>
        </w:rPr>
      </w:pPr>
    </w:p>
    <w:p w14:paraId="73ADDB2E" w14:textId="77777777" w:rsidR="00623D14" w:rsidRPr="00623D14" w:rsidRDefault="00623D14" w:rsidP="00623D14">
      <w:pPr>
        <w:spacing w:line="360" w:lineRule="auto"/>
        <w:jc w:val="both"/>
        <w:rPr>
          <w:rFonts w:ascii="Calibri" w:hAnsi="Calibri"/>
          <w:u w:val="single"/>
          <w:rtl/>
        </w:rPr>
      </w:pPr>
      <w:r w:rsidRPr="00623D14">
        <w:rPr>
          <w:rFonts w:ascii="Calibri" w:hAnsi="Calibri" w:hint="cs"/>
          <w:rtl/>
        </w:rPr>
        <w:t>4.</w:t>
      </w:r>
      <w:r w:rsidRPr="00623D14">
        <w:rPr>
          <w:rFonts w:ascii="Calibri" w:hAnsi="Calibri" w:hint="cs"/>
          <w:rtl/>
        </w:rPr>
        <w:tab/>
      </w:r>
      <w:r w:rsidRPr="00623D14">
        <w:rPr>
          <w:rFonts w:ascii="Calibri" w:hAnsi="Calibri" w:hint="cs"/>
          <w:u w:val="single"/>
          <w:rtl/>
        </w:rPr>
        <w:t>מטעם הנאשם, העיד המעסיק, מר יובל נסטל</w:t>
      </w:r>
    </w:p>
    <w:p w14:paraId="6FBE5A9F"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העד מסר כי הינו עובד במפעל "טרופיקל דגיל" וכי הוא בנם של אחד מבעלי החברה. מר נסטל מסר שהנאשם עובד במפעל 12 שנה וכי הינו עובד מסור ואמין, האחראי על צוות של חמישה עובדים. עוד סיפר כי המפעל הינו בבעלות פרטית של חמישה אנשים.</w:t>
      </w:r>
    </w:p>
    <w:p w14:paraId="74A7855D"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לשאלות ב"כ המאשימה ענה העד, כי אינו דורש מעובד להציג רישום פלילי, אלא הוא שואל עובדים לגבי עברם הפלילי ומתבסס על אמון בעובדים בעניין זה. לשאלת בית המשפט ענה העד כי אם יורשע הנאשם, אזי המשך העסקתו תלויה בהחלטתם של כלל בעלי העסק, וכי לאור החלטתם של הבעלים שלא להעסיק מורשעים בפלילים – רוב הסיכויים שהנאשם יפוטר אם יורשע.</w:t>
      </w:r>
    </w:p>
    <w:p w14:paraId="59B42783"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משנשאל אם מובטח לנאשם המשך העסקה, אם הרשעתו תבוטל , אך יופיע לחובתו רישום פלילי (ללא הרשעה) בסמים – השיב כי "כשיגיעו לסיטואציה הזו יתמודדו איתה".</w:t>
      </w:r>
    </w:p>
    <w:p w14:paraId="6F5CA7A0"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העד עמד על גרסתו, לפיה על אף שהנאשם מועסק במפעל 12 שנה והם מודעים לכך שהוא הודה בעבירת הסמים המיוחסת לו והמשיכו להעסיקו, רוב הסיכויים שאם יורשע הוא יפוטר.</w:t>
      </w:r>
    </w:p>
    <w:p w14:paraId="50979990"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העד מסר כי הוא מודע לכך שהנאשם יוצא במסגרת העבודה ליחידה לטיפול בהתמכרויות ונותן בדיקות שתן שהן נקיות וכן כי הוא נמצא תחת פיקוח שרות המבחן. עוד מסר כי הוא אישית היה אצל קצינת המבחן ומעודכן בפרטי ההליך.</w:t>
      </w:r>
    </w:p>
    <w:p w14:paraId="62EB0DA4" w14:textId="77777777" w:rsidR="00623D14" w:rsidRPr="00623D14" w:rsidRDefault="00623D14" w:rsidP="00623D14">
      <w:pPr>
        <w:spacing w:line="360" w:lineRule="auto"/>
        <w:jc w:val="both"/>
        <w:rPr>
          <w:rFonts w:ascii="Calibri" w:hAnsi="Calibri"/>
          <w:rtl/>
        </w:rPr>
      </w:pPr>
    </w:p>
    <w:p w14:paraId="6E772EBB" w14:textId="77777777" w:rsidR="00623D14" w:rsidRPr="00623D14" w:rsidRDefault="00623D14" w:rsidP="00623D14">
      <w:pPr>
        <w:spacing w:line="360" w:lineRule="auto"/>
        <w:ind w:firstLine="720"/>
        <w:jc w:val="both"/>
        <w:rPr>
          <w:rFonts w:ascii="Calibri" w:hAnsi="Calibri"/>
          <w:rtl/>
        </w:rPr>
      </w:pPr>
      <w:r w:rsidRPr="00623D14">
        <w:rPr>
          <w:rFonts w:ascii="Calibri" w:hAnsi="Calibri" w:hint="cs"/>
          <w:rtl/>
        </w:rPr>
        <w:t>בנוסף, הוגש מסמך מטעם המעסיק (נ/1)</w:t>
      </w:r>
    </w:p>
    <w:p w14:paraId="6D48BA2F" w14:textId="77777777" w:rsidR="00623D14" w:rsidRPr="00623D14" w:rsidRDefault="00623D14" w:rsidP="00623D14">
      <w:pPr>
        <w:spacing w:line="360" w:lineRule="auto"/>
        <w:jc w:val="both"/>
        <w:rPr>
          <w:rFonts w:ascii="Calibri" w:hAnsi="Calibri"/>
          <w:u w:val="single"/>
          <w:rtl/>
        </w:rPr>
      </w:pPr>
    </w:p>
    <w:p w14:paraId="1A1B9FD4" w14:textId="77777777" w:rsidR="00623D14" w:rsidRPr="00623D14" w:rsidRDefault="00623D14" w:rsidP="00623D14">
      <w:pPr>
        <w:spacing w:line="360" w:lineRule="auto"/>
        <w:jc w:val="both"/>
        <w:rPr>
          <w:rFonts w:ascii="Calibri" w:hAnsi="Calibri"/>
          <w:u w:val="single"/>
          <w:rtl/>
        </w:rPr>
      </w:pPr>
    </w:p>
    <w:p w14:paraId="30CF3A25" w14:textId="77777777" w:rsidR="00623D14" w:rsidRPr="00623D14" w:rsidRDefault="00623D14" w:rsidP="00623D14">
      <w:pPr>
        <w:spacing w:line="360" w:lineRule="auto"/>
        <w:jc w:val="both"/>
        <w:rPr>
          <w:rFonts w:ascii="Calibri" w:hAnsi="Calibri"/>
          <w:b/>
          <w:bCs/>
          <w:u w:val="single"/>
          <w:rtl/>
        </w:rPr>
      </w:pPr>
      <w:r w:rsidRPr="00623D14">
        <w:rPr>
          <w:rFonts w:ascii="Calibri" w:hAnsi="Calibri" w:hint="cs"/>
          <w:b/>
          <w:bCs/>
          <w:u w:val="single"/>
          <w:rtl/>
        </w:rPr>
        <w:t>טיעוני הצדדים לעונש</w:t>
      </w:r>
    </w:p>
    <w:p w14:paraId="18F664C7" w14:textId="77777777" w:rsidR="00623D14" w:rsidRPr="00623D14" w:rsidRDefault="00623D14" w:rsidP="00623D14">
      <w:pPr>
        <w:spacing w:line="360" w:lineRule="auto"/>
        <w:jc w:val="both"/>
        <w:rPr>
          <w:rFonts w:ascii="Calibri" w:hAnsi="Calibri"/>
          <w:b/>
          <w:bCs/>
          <w:u w:val="single"/>
          <w:rtl/>
        </w:rPr>
      </w:pPr>
    </w:p>
    <w:p w14:paraId="3F84D6C6" w14:textId="77777777" w:rsidR="00623D14" w:rsidRPr="00623D14" w:rsidRDefault="00623D14" w:rsidP="00623D14">
      <w:pPr>
        <w:spacing w:line="360" w:lineRule="auto"/>
        <w:ind w:firstLine="720"/>
        <w:jc w:val="both"/>
        <w:rPr>
          <w:rFonts w:ascii="Calibri" w:hAnsi="Calibri"/>
          <w:rtl/>
        </w:rPr>
      </w:pPr>
      <w:r w:rsidRPr="00623D14">
        <w:rPr>
          <w:rFonts w:ascii="Calibri" w:hAnsi="Calibri" w:hint="cs"/>
          <w:rtl/>
        </w:rPr>
        <w:t>ביום 19/11/17 טענו הצדדים לעונש.</w:t>
      </w:r>
    </w:p>
    <w:p w14:paraId="66303169" w14:textId="77777777" w:rsidR="00623D14" w:rsidRPr="00623D14" w:rsidRDefault="00623D14" w:rsidP="00623D14">
      <w:pPr>
        <w:spacing w:line="360" w:lineRule="auto"/>
        <w:jc w:val="both"/>
        <w:rPr>
          <w:rFonts w:ascii="Calibri" w:hAnsi="Calibri"/>
          <w:rtl/>
        </w:rPr>
      </w:pPr>
    </w:p>
    <w:p w14:paraId="61E46DEC" w14:textId="77777777" w:rsidR="00623D14" w:rsidRPr="00623D14" w:rsidRDefault="00623D14" w:rsidP="00623D14">
      <w:pPr>
        <w:spacing w:line="360" w:lineRule="auto"/>
        <w:jc w:val="both"/>
        <w:rPr>
          <w:rFonts w:ascii="Calibri" w:hAnsi="Calibri"/>
          <w:u w:val="single"/>
          <w:rtl/>
        </w:rPr>
      </w:pPr>
      <w:r w:rsidRPr="00623D14">
        <w:rPr>
          <w:rFonts w:ascii="Calibri" w:hAnsi="Calibri" w:hint="cs"/>
          <w:rtl/>
        </w:rPr>
        <w:t>5.</w:t>
      </w:r>
      <w:r w:rsidRPr="00623D14">
        <w:rPr>
          <w:rFonts w:ascii="Calibri" w:hAnsi="Calibri" w:hint="cs"/>
          <w:rtl/>
        </w:rPr>
        <w:tab/>
      </w:r>
      <w:r w:rsidRPr="00623D14">
        <w:rPr>
          <w:rFonts w:ascii="Calibri" w:hAnsi="Calibri" w:hint="cs"/>
          <w:u w:val="single"/>
          <w:rtl/>
        </w:rPr>
        <w:t xml:space="preserve">טיעוני ב"כ המאשימה </w:t>
      </w:r>
    </w:p>
    <w:p w14:paraId="1359DC57"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ב"כ המאשימה התנגד להמלצת שרות המבחן בעניין ביטול ההרשעה, יחד עם זאת, לאור התסקיר החיובי, צויין כי המאשימה לא תעתור להטלת מאסר בפועל.</w:t>
      </w:r>
    </w:p>
    <w:p w14:paraId="7966B4C4"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ב"כ המאשימה טען כי האינטרס הציבורי, במקרה חמור זה, מחייב הרשעה וכי המכתב מהמעביד הינו לקוני ולא ברור,  וכי הוא אינו מסכים עם האמור בו.</w:t>
      </w:r>
    </w:p>
    <w:p w14:paraId="7431C820"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ב"כ המאשימה ביקש להרשיע את הנאשם ולהטיל עליו מאסר על תנאי, קנס, צו מבחן ופסילת רישיון נהיגה וחילוט כספים שנתפסו.  </w:t>
      </w:r>
    </w:p>
    <w:p w14:paraId="34D75675"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לאחר שהעיד מעסיקו של הנאשם, השלים ב"כ המאשימה וטען כי לא הוכח נזק קונקרטי  לגבי פיטוריו של הנאשם בשל הרשעה. </w:t>
      </w:r>
    </w:p>
    <w:p w14:paraId="441C9075" w14:textId="77777777" w:rsidR="00623D14" w:rsidRPr="00623D14" w:rsidRDefault="00623D14" w:rsidP="00623D14">
      <w:pPr>
        <w:spacing w:line="360" w:lineRule="auto"/>
        <w:jc w:val="both"/>
        <w:rPr>
          <w:rFonts w:ascii="Calibri" w:hAnsi="Calibri"/>
          <w:u w:val="single"/>
          <w:rtl/>
        </w:rPr>
      </w:pPr>
    </w:p>
    <w:p w14:paraId="16DEBD0F" w14:textId="77777777" w:rsidR="00623D14" w:rsidRPr="00623D14" w:rsidRDefault="00623D14" w:rsidP="00623D14">
      <w:pPr>
        <w:spacing w:line="360" w:lineRule="auto"/>
        <w:jc w:val="both"/>
        <w:rPr>
          <w:rFonts w:ascii="Calibri" w:hAnsi="Calibri"/>
          <w:u w:val="single"/>
          <w:rtl/>
        </w:rPr>
      </w:pPr>
      <w:r w:rsidRPr="00623D14">
        <w:rPr>
          <w:rFonts w:ascii="Calibri" w:hAnsi="Calibri" w:hint="cs"/>
          <w:rtl/>
        </w:rPr>
        <w:t>6.</w:t>
      </w:r>
      <w:r w:rsidRPr="00623D14">
        <w:rPr>
          <w:rFonts w:ascii="Calibri" w:hAnsi="Calibri" w:hint="cs"/>
          <w:rtl/>
        </w:rPr>
        <w:tab/>
      </w:r>
      <w:r w:rsidRPr="00623D14">
        <w:rPr>
          <w:rFonts w:ascii="Calibri" w:hAnsi="Calibri" w:hint="cs"/>
          <w:u w:val="single"/>
          <w:rtl/>
        </w:rPr>
        <w:t xml:space="preserve">טיעוני ב"כ הנאשם </w:t>
      </w:r>
    </w:p>
    <w:p w14:paraId="7A07B925"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ב"כ הנאשם התייחסה בהרחבה לנסיבותיו וקורות חייו של הנאשם (כמפורט לעיל בתסקיר שרות המבחן) וטענה כי הנאשם עשה שימוש בסמים באופן מזדמן ולצריכתו העצמית וכי אינו אדם מכור. ב"כ הנאשם טענה כי בכתב האישום לא נטען שנעשה שימוש בסם מעבר לשימוש העצמי אך מאחר ומדובר בכמות העולה על זו המוגדרת כשימוש עצמי בחוק אזי יוחסה עבירה של החזקת סם שלא לצריכה עצמית ובכך יש כדי להקל עם הנאשם.</w:t>
      </w:r>
    </w:p>
    <w:p w14:paraId="1556B256"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ב"כ הנאשם טענה כי צפוי נזק ממשי מהרשעתו של הנאשם שכן הוא יפוטר מעבודתו וכן תפגע בהליך השיקומי אותו עובר מזה שמונה חודשים.</w:t>
      </w:r>
    </w:p>
    <w:p w14:paraId="3A04445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ב"כ הנאשם ביקשה להימנע מפסילת רישיונו של הנאשם שכן הוא צריך אותו על מנת להגיע לעבודתו וליחידה לטיפול בהתמכרויות. ובנוסף, להחזיר לו את הכספים שנתפסו שכן אלה כספים ממשכורתו שחסך לצורך נסיעתו לחו"ל. עוד הפנתה ב"כ הנאשם לפסיקה בעניין ביטול ההרשעה.</w:t>
      </w:r>
    </w:p>
    <w:p w14:paraId="50BD9E4F"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לאחר שהעיד מעסיקו של הנאשם, השלימה ב"כ הנאשם את טיעונה בכך שצפויים לנאשם פיטורים, אם לא תבוטל הרשעתו. </w:t>
      </w:r>
    </w:p>
    <w:p w14:paraId="156F1019" w14:textId="77777777" w:rsidR="00623D14" w:rsidRPr="00623D14" w:rsidRDefault="00623D14" w:rsidP="00623D14">
      <w:pPr>
        <w:spacing w:line="360" w:lineRule="auto"/>
        <w:jc w:val="both"/>
        <w:rPr>
          <w:rFonts w:ascii="Calibri" w:hAnsi="Calibri"/>
          <w:rtl/>
        </w:rPr>
      </w:pPr>
      <w:r w:rsidRPr="00623D14">
        <w:rPr>
          <w:rFonts w:ascii="Calibri" w:hAnsi="Calibri" w:hint="cs"/>
          <w:rtl/>
        </w:rPr>
        <w:t xml:space="preserve"> </w:t>
      </w:r>
    </w:p>
    <w:p w14:paraId="60C948ED" w14:textId="77777777" w:rsidR="00623D14" w:rsidRPr="00623D14" w:rsidRDefault="00623D14" w:rsidP="00623D14">
      <w:pPr>
        <w:spacing w:line="360" w:lineRule="auto"/>
        <w:jc w:val="both"/>
        <w:rPr>
          <w:rFonts w:ascii="Calibri" w:hAnsi="Calibri"/>
          <w:u w:val="single"/>
          <w:rtl/>
        </w:rPr>
      </w:pPr>
      <w:r w:rsidRPr="00623D14">
        <w:rPr>
          <w:rFonts w:ascii="Calibri" w:hAnsi="Calibri" w:hint="cs"/>
          <w:rtl/>
        </w:rPr>
        <w:t>7.</w:t>
      </w:r>
      <w:r w:rsidRPr="00623D14">
        <w:rPr>
          <w:rFonts w:ascii="Calibri" w:hAnsi="Calibri" w:hint="cs"/>
          <w:rtl/>
        </w:rPr>
        <w:tab/>
      </w:r>
      <w:r w:rsidRPr="00623D14">
        <w:rPr>
          <w:rFonts w:ascii="Calibri" w:hAnsi="Calibri" w:hint="cs"/>
          <w:u w:val="single"/>
          <w:rtl/>
        </w:rPr>
        <w:t>דברי הנאשם</w:t>
      </w:r>
    </w:p>
    <w:p w14:paraId="24FF8EA1" w14:textId="77777777" w:rsidR="00623D14" w:rsidRPr="00623D14" w:rsidRDefault="00623D14" w:rsidP="00623D14">
      <w:pPr>
        <w:spacing w:line="360" w:lineRule="auto"/>
        <w:ind w:firstLine="720"/>
        <w:jc w:val="both"/>
        <w:rPr>
          <w:rFonts w:ascii="Calibri" w:hAnsi="Calibri"/>
          <w:rtl/>
        </w:rPr>
      </w:pPr>
      <w:r w:rsidRPr="00623D14">
        <w:rPr>
          <w:rFonts w:ascii="Calibri" w:hAnsi="Calibri" w:hint="cs"/>
          <w:rtl/>
        </w:rPr>
        <w:t>הנאשם אמר כי עבודתו הנה הדבר החשוב בחייו.</w:t>
      </w:r>
    </w:p>
    <w:p w14:paraId="7B0F8ADB"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הסביר כי בשנה האחרונה נקלע לחובות, לקח הלוואה על מנת לשלם לעו"ד ולאביו ומכר את רכבו, וכי הוא מתנייד ברכב שקיבל במתנה. הנאשם הביע חשש לגבי עתידו אם יפוטר, ופירט לגבי תפקידו ותנאי עבודתו, כאחראי על חמישה עובדים, וכמפעיל מלגזה.  הנאשם הביע חשש מכך שיפוטר מהמפעל המצוי בבעלות פרטית, לנוכח קבלת החלטות על פי שיקולי הבעלים וכרצונם. </w:t>
      </w:r>
    </w:p>
    <w:p w14:paraId="1E4EE1A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עוד מסר כי מזה 9 חודשים אינו משתמש בסמים, כי נתרם לטובה מהשיחות עם קצינת המבחן, ונהנה מהניקיון מסמים ומהשיקום.</w:t>
      </w:r>
    </w:p>
    <w:p w14:paraId="5332B0E2" w14:textId="77777777" w:rsidR="00623D14" w:rsidRPr="00623D14" w:rsidRDefault="00623D14" w:rsidP="00623D14">
      <w:pPr>
        <w:spacing w:line="360" w:lineRule="auto"/>
        <w:ind w:firstLine="720"/>
        <w:jc w:val="both"/>
        <w:rPr>
          <w:rFonts w:ascii="Calibri" w:hAnsi="Calibri"/>
          <w:rtl/>
        </w:rPr>
      </w:pPr>
      <w:r w:rsidRPr="00623D14">
        <w:rPr>
          <w:rFonts w:ascii="Calibri" w:hAnsi="Calibri" w:hint="cs"/>
          <w:rtl/>
        </w:rPr>
        <w:t>הנאשם אמר כי העבודה והבית הם כל חייו וביקש להתחשב בו ולבטל את הרשעתו.</w:t>
      </w:r>
    </w:p>
    <w:p w14:paraId="5AB8AE4F" w14:textId="77777777" w:rsidR="00623D14" w:rsidRPr="00623D14" w:rsidRDefault="00623D14" w:rsidP="00623D14">
      <w:pPr>
        <w:spacing w:line="360" w:lineRule="auto"/>
        <w:jc w:val="both"/>
        <w:rPr>
          <w:rFonts w:ascii="Calibri" w:hAnsi="Calibri"/>
          <w:rtl/>
        </w:rPr>
      </w:pPr>
    </w:p>
    <w:p w14:paraId="7A03EF3A" w14:textId="77777777" w:rsidR="00623D14" w:rsidRDefault="00623D14" w:rsidP="00623D14">
      <w:pPr>
        <w:spacing w:line="360" w:lineRule="auto"/>
        <w:jc w:val="both"/>
        <w:rPr>
          <w:b/>
          <w:bCs/>
          <w:u w:val="single"/>
          <w:rtl/>
        </w:rPr>
      </w:pPr>
      <w:r>
        <w:rPr>
          <w:rFonts w:hint="cs"/>
          <w:b/>
          <w:bCs/>
          <w:u w:val="single"/>
          <w:rtl/>
        </w:rPr>
        <w:t>שאלת ההרשעה</w:t>
      </w:r>
    </w:p>
    <w:p w14:paraId="03FD7ECF" w14:textId="77777777" w:rsidR="00623D14" w:rsidRDefault="00623D14" w:rsidP="00623D14">
      <w:pPr>
        <w:spacing w:line="360" w:lineRule="auto"/>
        <w:jc w:val="both"/>
        <w:rPr>
          <w:rFonts w:ascii="David" w:hAnsi="David"/>
          <w:b/>
          <w:bCs/>
          <w:u w:val="single"/>
          <w:rtl/>
        </w:rPr>
      </w:pPr>
    </w:p>
    <w:p w14:paraId="2EF66CB2" w14:textId="77777777" w:rsidR="00623D14" w:rsidRPr="00623D14" w:rsidRDefault="00623D14" w:rsidP="00623D14">
      <w:pPr>
        <w:spacing w:line="360" w:lineRule="auto"/>
        <w:jc w:val="both"/>
        <w:rPr>
          <w:rFonts w:ascii="Calibri" w:hAnsi="Calibri"/>
          <w:rtl/>
        </w:rPr>
      </w:pPr>
      <w:r w:rsidRPr="00623D14">
        <w:rPr>
          <w:rFonts w:ascii="Calibri" w:hAnsi="Calibri" w:hint="cs"/>
          <w:rtl/>
        </w:rPr>
        <w:t>8.</w:t>
      </w:r>
      <w:r w:rsidRPr="00623D14">
        <w:rPr>
          <w:rFonts w:ascii="Calibri" w:hAnsi="Calibri" w:hint="cs"/>
          <w:rtl/>
        </w:rPr>
        <w:tab/>
        <w:t>הכלל בהליך הפלילי הוא כי נאשם בגיר, שהוכחה אשמתו - יורשע בדין.</w:t>
      </w:r>
    </w:p>
    <w:p w14:paraId="3EB4A38F"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32F375F3" w14:textId="77777777" w:rsidR="00623D14" w:rsidRPr="00623D14" w:rsidRDefault="00623D14" w:rsidP="00623D14">
      <w:pPr>
        <w:spacing w:line="360" w:lineRule="auto"/>
        <w:jc w:val="both"/>
        <w:rPr>
          <w:rFonts w:ascii="Calibri" w:hAnsi="Calibri"/>
          <w:rtl/>
        </w:rPr>
      </w:pPr>
    </w:p>
    <w:p w14:paraId="4100AC5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פסק הדין המנחה לגבי הימנעות מהרשעה, הוא </w:t>
      </w:r>
      <w:hyperlink r:id="rId13" w:history="1">
        <w:r w:rsidR="008C2109" w:rsidRPr="008C2109">
          <w:rPr>
            <w:rFonts w:ascii="Calibri" w:hAnsi="Calibri" w:hint="eastAsia"/>
            <w:color w:val="0000FF"/>
            <w:u w:val="single"/>
            <w:rtl/>
          </w:rPr>
          <w:t>ע</w:t>
        </w:r>
        <w:r w:rsidR="008C2109" w:rsidRPr="008C2109">
          <w:rPr>
            <w:rFonts w:ascii="Calibri" w:hAnsi="Calibri"/>
            <w:color w:val="0000FF"/>
            <w:u w:val="single"/>
            <w:rtl/>
          </w:rPr>
          <w:t>"</w:t>
        </w:r>
        <w:r w:rsidR="008C2109" w:rsidRPr="008C2109">
          <w:rPr>
            <w:rFonts w:ascii="Calibri" w:hAnsi="Calibri" w:hint="eastAsia"/>
            <w:color w:val="0000FF"/>
            <w:u w:val="single"/>
            <w:rtl/>
          </w:rPr>
          <w:t>פ</w:t>
        </w:r>
        <w:r w:rsidR="008C2109" w:rsidRPr="008C2109">
          <w:rPr>
            <w:rFonts w:ascii="Calibri" w:hAnsi="Calibri"/>
            <w:color w:val="0000FF"/>
            <w:u w:val="single"/>
            <w:rtl/>
          </w:rPr>
          <w:t xml:space="preserve"> 2083/96</w:t>
        </w:r>
      </w:hyperlink>
      <w:r w:rsidRPr="00623D14">
        <w:rPr>
          <w:rFonts w:ascii="Calibri" w:hAnsi="Calibri" w:hint="cs"/>
          <w:rtl/>
        </w:rPr>
        <w:t xml:space="preserve"> </w:t>
      </w:r>
      <w:r w:rsidRPr="00623D14">
        <w:rPr>
          <w:rFonts w:ascii="Calibri" w:hAnsi="Calibri" w:hint="cs"/>
          <w:b/>
          <w:bCs/>
          <w:rtl/>
        </w:rPr>
        <w:t>תמר כתב נגד מדינת ישראל (21.08.97)</w:t>
      </w:r>
      <w:r w:rsidRPr="00623D14">
        <w:rPr>
          <w:rFonts w:ascii="Calibri" w:hAnsi="Calibri" w:hint="cs"/>
          <w:rtl/>
        </w:rPr>
        <w:t xml:space="preserve">, שם נקבע כי הימנעות מהרשעה תהיה מוצדקת רק בהתקיים שני תנאים מצטברים: </w:t>
      </w:r>
    </w:p>
    <w:p w14:paraId="51DF6C60" w14:textId="77777777" w:rsidR="00623D14" w:rsidRPr="00623D14" w:rsidRDefault="00623D14" w:rsidP="00623D14">
      <w:pPr>
        <w:spacing w:line="360" w:lineRule="auto"/>
        <w:ind w:left="720"/>
        <w:jc w:val="both"/>
        <w:rPr>
          <w:rFonts w:ascii="Calibri" w:hAnsi="Calibri"/>
          <w:rtl/>
        </w:rPr>
      </w:pPr>
    </w:p>
    <w:p w14:paraId="034D8D9F" w14:textId="77777777" w:rsidR="00623D14" w:rsidRPr="00623D14" w:rsidRDefault="00623D14" w:rsidP="00623D14">
      <w:pPr>
        <w:spacing w:line="360" w:lineRule="auto"/>
        <w:ind w:left="1440" w:right="850"/>
        <w:jc w:val="both"/>
        <w:rPr>
          <w:rFonts w:ascii="Calibri" w:hAnsi="Calibri"/>
          <w:b/>
          <w:bCs/>
          <w:rtl/>
        </w:rPr>
      </w:pPr>
      <w:r w:rsidRPr="00623D14">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8C2109">
        <w:rPr>
          <w:rFonts w:ascii="Calibri" w:hAnsi="Calibri" w:hint="cs"/>
          <w:b/>
          <w:bCs/>
          <w:rtl/>
        </w:rPr>
        <w:t xml:space="preserve"> </w:t>
      </w:r>
      <w:r w:rsidRPr="00623D14">
        <w:rPr>
          <w:rFonts w:ascii="Calibri" w:hAnsi="Calibri" w:hint="cs"/>
          <w:b/>
          <w:bCs/>
          <w:rtl/>
        </w:rPr>
        <w:t xml:space="preserve"> </w:t>
      </w:r>
    </w:p>
    <w:p w14:paraId="513ED212" w14:textId="77777777" w:rsidR="00623D14" w:rsidRPr="00623D14" w:rsidRDefault="00623D14" w:rsidP="00623D14">
      <w:pPr>
        <w:spacing w:line="360" w:lineRule="auto"/>
        <w:ind w:left="720"/>
        <w:jc w:val="both"/>
        <w:rPr>
          <w:rFonts w:ascii="Calibri" w:hAnsi="Calibri"/>
          <w:rtl/>
        </w:rPr>
      </w:pPr>
    </w:p>
    <w:p w14:paraId="720DD70D" w14:textId="77777777" w:rsidR="00623D14" w:rsidRPr="00623D14" w:rsidRDefault="00623D14" w:rsidP="00623D14">
      <w:pPr>
        <w:spacing w:line="360" w:lineRule="auto"/>
        <w:ind w:left="720"/>
        <w:jc w:val="both"/>
        <w:rPr>
          <w:rFonts w:ascii="Calibri" w:hAnsi="Calibri"/>
          <w:b/>
          <w:bCs/>
          <w:rtl/>
        </w:rPr>
      </w:pPr>
      <w:r w:rsidRPr="00623D14">
        <w:rPr>
          <w:rFonts w:ascii="Calibri" w:hAnsi="Calibri" w:hint="cs"/>
          <w:rtl/>
        </w:rPr>
        <w:t>ב</w:t>
      </w:r>
      <w:hyperlink r:id="rId14" w:history="1">
        <w:r w:rsidR="008C2109" w:rsidRPr="008C2109">
          <w:rPr>
            <w:rFonts w:ascii="Calibri" w:hAnsi="Calibri" w:hint="eastAsia"/>
            <w:color w:val="0000FF"/>
            <w:u w:val="single"/>
            <w:rtl/>
          </w:rPr>
          <w:t>ע</w:t>
        </w:r>
        <w:r w:rsidR="008C2109" w:rsidRPr="008C2109">
          <w:rPr>
            <w:rFonts w:ascii="Calibri" w:hAnsi="Calibri"/>
            <w:color w:val="0000FF"/>
            <w:u w:val="single"/>
            <w:rtl/>
          </w:rPr>
          <w:t>"</w:t>
        </w:r>
        <w:r w:rsidR="008C2109" w:rsidRPr="008C2109">
          <w:rPr>
            <w:rFonts w:ascii="Calibri" w:hAnsi="Calibri" w:hint="eastAsia"/>
            <w:color w:val="0000FF"/>
            <w:u w:val="single"/>
            <w:rtl/>
          </w:rPr>
          <w:t>פ</w:t>
        </w:r>
        <w:r w:rsidR="008C2109" w:rsidRPr="008C2109">
          <w:rPr>
            <w:rFonts w:ascii="Calibri" w:hAnsi="Calibri"/>
            <w:color w:val="0000FF"/>
            <w:u w:val="single"/>
            <w:rtl/>
          </w:rPr>
          <w:t xml:space="preserve"> 2513/96</w:t>
        </w:r>
      </w:hyperlink>
      <w:r w:rsidRPr="00623D14">
        <w:rPr>
          <w:rFonts w:ascii="Calibri" w:hAnsi="Calibri" w:hint="cs"/>
          <w:rtl/>
        </w:rPr>
        <w:t xml:space="preserve"> </w:t>
      </w:r>
      <w:r w:rsidRPr="00623D14">
        <w:rPr>
          <w:rFonts w:ascii="Calibri" w:hAnsi="Calibri" w:hint="cs"/>
          <w:b/>
          <w:bCs/>
          <w:rtl/>
        </w:rPr>
        <w:t>מדינת ישראל נגד ויקטור שמש (02.09.96)</w:t>
      </w:r>
      <w:r w:rsidRPr="00623D14">
        <w:rPr>
          <w:rFonts w:ascii="Calibri" w:hAnsi="Calibri"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18000EC0" w14:textId="77777777" w:rsidR="00623D14" w:rsidRPr="00623D14" w:rsidRDefault="00623D14" w:rsidP="00623D14">
      <w:pPr>
        <w:spacing w:line="360" w:lineRule="auto"/>
        <w:jc w:val="both"/>
        <w:rPr>
          <w:rFonts w:ascii="Calibri" w:hAnsi="Calibri"/>
          <w:b/>
          <w:bCs/>
          <w:rtl/>
        </w:rPr>
      </w:pPr>
    </w:p>
    <w:p w14:paraId="5542AD7F" w14:textId="77777777" w:rsidR="00623D14" w:rsidRPr="00623D14" w:rsidRDefault="00623D14" w:rsidP="00623D14">
      <w:pPr>
        <w:spacing w:line="360" w:lineRule="auto"/>
        <w:ind w:left="720" w:hanging="720"/>
        <w:jc w:val="both"/>
        <w:rPr>
          <w:rFonts w:ascii="Calibri" w:hAnsi="Calibri"/>
          <w:b/>
          <w:bCs/>
          <w:rtl/>
        </w:rPr>
      </w:pPr>
      <w:r w:rsidRPr="00623D14">
        <w:rPr>
          <w:rFonts w:ascii="Calibri" w:hAnsi="Calibri" w:hint="cs"/>
          <w:rtl/>
        </w:rPr>
        <w:t>9.</w:t>
      </w:r>
      <w:r w:rsidRPr="00623D14">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7A06C17E" w14:textId="77777777" w:rsidR="00623D14" w:rsidRPr="00623D14" w:rsidRDefault="00623D14" w:rsidP="00623D14">
      <w:pPr>
        <w:spacing w:line="360" w:lineRule="auto"/>
        <w:jc w:val="both"/>
        <w:rPr>
          <w:rFonts w:ascii="Calibri" w:hAnsi="Calibri"/>
          <w:b/>
          <w:bCs/>
          <w:rtl/>
        </w:rPr>
      </w:pPr>
    </w:p>
    <w:p w14:paraId="7039EF3D" w14:textId="77777777" w:rsidR="00623D14" w:rsidRPr="00623D14" w:rsidRDefault="00623D14" w:rsidP="00623D14">
      <w:pPr>
        <w:spacing w:line="360" w:lineRule="auto"/>
        <w:ind w:left="720" w:hanging="720"/>
        <w:jc w:val="both"/>
        <w:rPr>
          <w:rFonts w:ascii="Calibri" w:hAnsi="Calibri"/>
          <w:rtl/>
        </w:rPr>
      </w:pPr>
      <w:r w:rsidRPr="00623D14">
        <w:rPr>
          <w:rFonts w:ascii="Calibri" w:hAnsi="Calibri" w:hint="cs"/>
          <w:rtl/>
        </w:rPr>
        <w:t>10.</w:t>
      </w:r>
      <w:r w:rsidRPr="00623D14">
        <w:rPr>
          <w:rFonts w:ascii="Calibri" w:hAnsi="Calibri" w:hint="cs"/>
          <w:rtl/>
        </w:rPr>
        <w:tab/>
      </w:r>
      <w:r w:rsidRPr="00623D14">
        <w:rPr>
          <w:rFonts w:ascii="Calibri" w:hAnsi="Calibri" w:hint="cs"/>
          <w:u w:val="single"/>
          <w:rtl/>
        </w:rPr>
        <w:t>חומרת העבירה ונסיבותיה</w:t>
      </w:r>
      <w:r w:rsidRPr="00623D14">
        <w:rPr>
          <w:rFonts w:ascii="Calibri" w:hAnsi="Calibri" w:hint="cs"/>
          <w:rtl/>
        </w:rPr>
        <w:t xml:space="preserve"> –</w:t>
      </w:r>
      <w:r>
        <w:rPr>
          <w:rFonts w:hint="cs"/>
          <w:rtl/>
        </w:rPr>
        <w:t xml:space="preserve">  </w:t>
      </w:r>
      <w:r w:rsidRPr="00623D14">
        <w:rPr>
          <w:rFonts w:ascii="Calibri" w:hAnsi="Calibri" w:hint="cs"/>
          <w:rtl/>
        </w:rPr>
        <w:t>כאמור, הנאשם החזיק כמות לא מבוטלת של סמים מסוגים שונים ובכמויות שונות שלא לצריכתו העצמית.</w:t>
      </w:r>
    </w:p>
    <w:p w14:paraId="799BE9B9"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מדובר בסם מסוכן מסוג קוקאין בכמות לא גדולה, ולעומת זאת בכמות גדולה יחסית  של סם מסוכן מסוג קנאביס וחשיש, המצטרפת יחדיו לכ- 235 גרם. יצויין כי החוק מגדיר חזקה לגבי כמות לצריכה עצמית של סמים אלה, כשמשקל הסם אינו עולה על 15 גרם, וכאן מדובר בכמות הגדולה פי 15 בקירוב, מאותה כמות שהוגדרה לצריכה עצמית.</w:t>
      </w:r>
    </w:p>
    <w:p w14:paraId="6D62541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החזקת כמות גדולה של הסמים הקנבואידיים, המוגדרים כ"סמים קלים" אם כי גם פגיעתם הרעה הוכרה בפסיקה, ונזקיהם הוכחו, לצד כמות קטנה של קוקאין, המסווג למשפחת הסמים הקשים – מעמידים את המעשה ברמת חומרה לא מבוטלת.</w:t>
      </w:r>
    </w:p>
    <w:p w14:paraId="704005BC"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יחד עם זאת, כתב האישום המתוקן נעדר נסיבות חמורות במיוחד שיש בהן להעיד על עיסוק מסחרי בסמים, או גידול סמים, וניתן לראות את העבירות ככאלה שבוצעו על רקע שימוש מאסיבי בסמים, כפי שפורט בתסקיר שרות המבחן. </w:t>
      </w:r>
    </w:p>
    <w:p w14:paraId="6328FD59" w14:textId="77777777" w:rsidR="00623D14" w:rsidRDefault="00623D14" w:rsidP="00623D14">
      <w:pPr>
        <w:spacing w:line="360" w:lineRule="auto"/>
        <w:ind w:left="720"/>
        <w:jc w:val="both"/>
        <w:rPr>
          <w:rtl/>
        </w:rPr>
      </w:pPr>
    </w:p>
    <w:p w14:paraId="368C2982" w14:textId="77777777" w:rsidR="00623D14" w:rsidRPr="00623D14" w:rsidRDefault="00623D14" w:rsidP="00623D14">
      <w:pPr>
        <w:spacing w:line="360" w:lineRule="auto"/>
        <w:ind w:left="720" w:hanging="720"/>
        <w:jc w:val="both"/>
        <w:rPr>
          <w:rFonts w:ascii="Calibri" w:hAnsi="Calibri"/>
          <w:rtl/>
        </w:rPr>
      </w:pPr>
      <w:r w:rsidRPr="00623D14">
        <w:rPr>
          <w:rFonts w:ascii="Calibri" w:hAnsi="Calibri" w:hint="cs"/>
          <w:rtl/>
        </w:rPr>
        <w:t>11.</w:t>
      </w:r>
      <w:r w:rsidRPr="00623D14">
        <w:rPr>
          <w:rFonts w:ascii="Calibri" w:hAnsi="Calibri" w:hint="cs"/>
          <w:rtl/>
        </w:rPr>
        <w:tab/>
        <w:t xml:space="preserve">עבירות בתחום הסמים פוגעות בערכים המוגנים של בריאות הציבור ובשלומו הפיזי והנפשי, כמו גם בהגנה מפני הנזקים הישירים והעקיפים הנגרמים עקב השימוש בסמים. </w:t>
      </w:r>
    </w:p>
    <w:p w14:paraId="3A212277"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בתי המשפט חזרו והדגישו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2433F896"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בעקיפין, פוגעות עבירות הסמים גם בערכים מוגנים נוספים, שהנם שמירה על בטחון הציבור ועל רכוש הציבור, שכן קיים קשר מוכח בין צריכת סמים לסוגיהם לבין ביצוע עבירות רכוש, שנעברות על רקע הכורח למימון הסמים על ידי המכורים, ואף לבין עבירות נהיגה תחת השפעת סמים או התנהגויות אלימות, הפוגעות בביטחון הכללי בחברה.</w:t>
      </w:r>
    </w:p>
    <w:p w14:paraId="78D465A9"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חומרתה של עבירת החזקת סמים שלא לצריכה עצמית נלמדת גם מהעונש שקבע המחוקק בצידה – 20 שנות מאסר.</w:t>
      </w:r>
    </w:p>
    <w:p w14:paraId="074CF611" w14:textId="77777777" w:rsidR="00623D14" w:rsidRPr="00623D14" w:rsidRDefault="00623D14" w:rsidP="00623D14">
      <w:pPr>
        <w:spacing w:line="360" w:lineRule="auto"/>
        <w:jc w:val="both"/>
        <w:rPr>
          <w:rFonts w:ascii="Calibri" w:hAnsi="Calibri"/>
          <w:rtl/>
        </w:rPr>
      </w:pPr>
    </w:p>
    <w:p w14:paraId="2E888C6B" w14:textId="77777777" w:rsidR="00623D14" w:rsidRDefault="00623D14" w:rsidP="00623D14">
      <w:pPr>
        <w:spacing w:line="360" w:lineRule="auto"/>
        <w:ind w:left="720"/>
        <w:jc w:val="both"/>
        <w:rPr>
          <w:rFonts w:cs="Times New Roman"/>
          <w:rtl/>
        </w:rPr>
      </w:pPr>
      <w:r>
        <w:rPr>
          <w:rFonts w:hint="cs"/>
          <w:rtl/>
        </w:rPr>
        <w:t>על הצורך הבהול להילחם בנגע הסמים, עמד בית המשפט העליון לא אחת בפסיקתו. ראו לעניין זה את הדברים שנאמרו בבית המשפט העליון מפי כב' השופט עמית ב</w:t>
      </w:r>
      <w:hyperlink r:id="rId15" w:history="1">
        <w:r w:rsidR="008C2109" w:rsidRPr="008C2109">
          <w:rPr>
            <w:color w:val="0000FF"/>
            <w:u w:val="single"/>
            <w:rtl/>
          </w:rPr>
          <w:t>ע"פ 3172/13</w:t>
        </w:r>
      </w:hyperlink>
      <w:r>
        <w:rPr>
          <w:rFonts w:hint="cs"/>
          <w:rtl/>
        </w:rPr>
        <w:t xml:space="preserve"> </w:t>
      </w:r>
      <w:r>
        <w:rPr>
          <w:rFonts w:hint="cs"/>
          <w:b/>
          <w:bCs/>
          <w:rtl/>
        </w:rPr>
        <w:t>עלא סואעד נגד  מדינת ישראל (07.01.14)</w:t>
      </w:r>
      <w:r>
        <w:rPr>
          <w:rFonts w:hint="cs"/>
          <w:rtl/>
        </w:rPr>
        <w:t>:</w:t>
      </w:r>
    </w:p>
    <w:p w14:paraId="477FBF16" w14:textId="77777777" w:rsidR="00623D14" w:rsidRDefault="00623D14" w:rsidP="00623D14">
      <w:pPr>
        <w:spacing w:line="360" w:lineRule="auto"/>
        <w:jc w:val="both"/>
        <w:rPr>
          <w:rFonts w:ascii="David" w:hAnsi="David" w:cs="Times New Roman"/>
          <w:rtl/>
        </w:rPr>
      </w:pPr>
    </w:p>
    <w:p w14:paraId="0AD27D25" w14:textId="77777777" w:rsidR="00623D14" w:rsidRDefault="00623D14" w:rsidP="00623D14">
      <w:pPr>
        <w:spacing w:line="360" w:lineRule="auto"/>
        <w:ind w:left="1440" w:right="850"/>
        <w:jc w:val="both"/>
        <w:rPr>
          <w:rFonts w:cs="Times New Roman"/>
        </w:rPr>
      </w:pPr>
      <w:r>
        <w:rPr>
          <w:rFonts w:hint="cs"/>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 </w:t>
      </w:r>
    </w:p>
    <w:p w14:paraId="4817B93A" w14:textId="77777777" w:rsidR="00623D14" w:rsidRDefault="00623D14" w:rsidP="00623D14">
      <w:pPr>
        <w:spacing w:line="360" w:lineRule="auto"/>
        <w:jc w:val="both"/>
      </w:pPr>
    </w:p>
    <w:p w14:paraId="5129B62B" w14:textId="77777777" w:rsidR="00623D14" w:rsidRDefault="00623D14" w:rsidP="00623D14">
      <w:pPr>
        <w:spacing w:line="360" w:lineRule="auto"/>
        <w:ind w:left="720"/>
        <w:jc w:val="both"/>
      </w:pPr>
      <w:r>
        <w:rPr>
          <w:rFonts w:hint="cs"/>
          <w:rtl/>
        </w:rPr>
        <w:t>באשר לחומרת עבירת החזקת סמים שלא לצריכה עצמית, ראו את דברי בית המשפט העליון ב</w:t>
      </w:r>
      <w:hyperlink r:id="rId16" w:history="1">
        <w:r w:rsidR="008C2109" w:rsidRPr="008C2109">
          <w:rPr>
            <w:color w:val="0000FF"/>
            <w:u w:val="single"/>
            <w:rtl/>
          </w:rPr>
          <w:t>ע"פ 1345/08</w:t>
        </w:r>
      </w:hyperlink>
      <w:r>
        <w:rPr>
          <w:rFonts w:hint="cs"/>
          <w:rtl/>
        </w:rPr>
        <w:t xml:space="preserve"> </w:t>
      </w:r>
      <w:r>
        <w:rPr>
          <w:rFonts w:hint="cs"/>
          <w:b/>
          <w:bCs/>
          <w:rtl/>
        </w:rPr>
        <w:t>ארקדי איסטחרוב נגד מדינת ישראל (18.05.09)</w:t>
      </w:r>
      <w:r>
        <w:rPr>
          <w:rFonts w:hint="cs"/>
          <w:rtl/>
        </w:rPr>
        <w:t>:</w:t>
      </w:r>
    </w:p>
    <w:p w14:paraId="483E7021" w14:textId="77777777" w:rsidR="00623D14" w:rsidRDefault="00623D14" w:rsidP="00623D14">
      <w:pPr>
        <w:spacing w:line="360" w:lineRule="auto"/>
        <w:jc w:val="both"/>
        <w:rPr>
          <w:rtl/>
        </w:rPr>
      </w:pPr>
    </w:p>
    <w:p w14:paraId="1E607A08" w14:textId="77777777" w:rsidR="00623D14" w:rsidRPr="00E666B3" w:rsidRDefault="00623D14" w:rsidP="00623D14">
      <w:pPr>
        <w:spacing w:line="360" w:lineRule="auto"/>
        <w:ind w:left="1440" w:right="850"/>
        <w:jc w:val="both"/>
        <w:rPr>
          <w:b/>
          <w:bCs/>
          <w:rtl/>
        </w:rPr>
      </w:pPr>
      <w:r>
        <w:rPr>
          <w:rFonts w:hint="cs"/>
          <w:b/>
          <w:b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w:t>
      </w:r>
      <w:r w:rsidRPr="00E666B3">
        <w:rPr>
          <w:rFonts w:hint="cs"/>
          <w:b/>
          <w:bCs/>
          <w:rtl/>
        </w:rPr>
        <w:t xml:space="preserve">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w:t>
      </w:r>
      <w:r w:rsidRPr="008C2109">
        <w:rPr>
          <w:rFonts w:hint="cs"/>
          <w:b/>
          <w:bCs/>
          <w:color w:val="000000"/>
          <w:rtl/>
        </w:rPr>
        <w:t>בסעיף 61(א)(4)</w:t>
      </w:r>
      <w:r w:rsidRPr="00E666B3">
        <w:rPr>
          <w:rFonts w:hint="cs"/>
          <w:b/>
          <w:bCs/>
          <w:rtl/>
        </w:rPr>
        <w:t xml:space="preserve"> ל</w:t>
      </w:r>
      <w:hyperlink r:id="rId17" w:history="1">
        <w:r w:rsidR="008C2109" w:rsidRPr="008C2109">
          <w:rPr>
            <w:b/>
            <w:bCs/>
            <w:color w:val="0000FF"/>
            <w:u w:val="single"/>
            <w:rtl/>
          </w:rPr>
          <w:t>חוק העונשין</w:t>
        </w:r>
      </w:hyperlink>
      <w:r w:rsidRPr="00E666B3">
        <w:rPr>
          <w:rFonts w:hint="cs"/>
          <w:b/>
          <w:bCs/>
          <w:rtl/>
        </w:rPr>
        <w:t xml:space="preserve">, העומד כיום על 202,000 ₪; לעניין סחר ראו </w:t>
      </w:r>
      <w:r w:rsidRPr="008C2109">
        <w:rPr>
          <w:rFonts w:hint="cs"/>
          <w:b/>
          <w:bCs/>
          <w:color w:val="000000"/>
          <w:rtl/>
        </w:rPr>
        <w:t>סעיף 19א</w:t>
      </w:r>
      <w:r w:rsidRPr="00E666B3">
        <w:rPr>
          <w:rFonts w:hint="cs"/>
          <w:b/>
          <w:bCs/>
          <w:rtl/>
        </w:rPr>
        <w:t xml:space="preserve"> ל</w:t>
      </w:r>
      <w:hyperlink r:id="rId18" w:history="1">
        <w:r w:rsidR="008C2109" w:rsidRPr="008C2109">
          <w:rPr>
            <w:b/>
            <w:bCs/>
            <w:color w:val="0000FF"/>
            <w:u w:val="single"/>
            <w:rtl/>
          </w:rPr>
          <w:t>פקודת הסמים המסוכנים</w:t>
        </w:r>
      </w:hyperlink>
      <w:r w:rsidRPr="00E666B3">
        <w:rPr>
          <w:rFonts w:hint="cs"/>
          <w:b/>
          <w:bCs/>
          <w:rtl/>
        </w:rPr>
        <w:t>."</w:t>
      </w:r>
    </w:p>
    <w:p w14:paraId="763648CA" w14:textId="77777777" w:rsidR="00623D14" w:rsidRDefault="00623D14" w:rsidP="00623D14">
      <w:pPr>
        <w:spacing w:line="360" w:lineRule="auto"/>
        <w:jc w:val="both"/>
        <w:rPr>
          <w:rtl/>
        </w:rPr>
      </w:pPr>
    </w:p>
    <w:p w14:paraId="1B935CF4" w14:textId="77777777" w:rsidR="00623D14" w:rsidRDefault="00623D14" w:rsidP="00623D14">
      <w:pPr>
        <w:spacing w:line="360" w:lineRule="auto"/>
        <w:ind w:left="720" w:hanging="720"/>
        <w:jc w:val="both"/>
        <w:rPr>
          <w:rtl/>
        </w:rPr>
      </w:pPr>
      <w:r>
        <w:rPr>
          <w:rFonts w:hint="cs"/>
          <w:rtl/>
        </w:rPr>
        <w:t>12.</w:t>
      </w:r>
      <w:r>
        <w:rPr>
          <w:rFonts w:hint="cs"/>
          <w:rtl/>
        </w:rPr>
        <w:tab/>
        <w:t xml:space="preserve">אני מוצאת כי רמת הפגיעה בערכים המוגנים הנה, במקרה זה, משמעותית – לאור כמות הסמים שאיננה קטנה, אשר הנאשם החזיק. ככלל, עבירות סמים בדרגת החומרה הנוכחית מחייבות הרשעה בדין. יחד עם זאת, עדיין אין זה המקרה לשלול בו מיניה וביה ביטול הרשעה, ונראה כי במקרים נדירים, אם תוכח פגיעה קונקרטית ממשית, שתיגרם לנאשם בשל ההרשעה, ניתן לשקול את ביטולה, תוך העדפת האינטרס האישי על פני זה החברתי. </w:t>
      </w:r>
    </w:p>
    <w:p w14:paraId="7F61C1F2" w14:textId="77777777" w:rsidR="00623D14" w:rsidRDefault="00623D14" w:rsidP="00623D14">
      <w:pPr>
        <w:spacing w:line="360" w:lineRule="auto"/>
        <w:ind w:left="720"/>
        <w:jc w:val="both"/>
        <w:rPr>
          <w:rtl/>
        </w:rPr>
      </w:pPr>
      <w:r>
        <w:rPr>
          <w:rFonts w:hint="cs"/>
          <w:rtl/>
        </w:rPr>
        <w:t xml:space="preserve">כפי שיובהר בהמשך – במקרה זה, שבו התלבטתי לא מעט, שוכנעתי לבסוף לבטל את הרשעת הנאשם, כדי להבטיח את המשך העסקתו. מצאתי, בסופו של דבר, כי ביטול ההרשעה, אף על פי שהוא חוטא במידה מסויימת מלבטא את חומרת העבירה, הנו מוצדק לאור הנסיבות האישיות וההשתלבות המוצלחת בשיקום. </w:t>
      </w:r>
    </w:p>
    <w:p w14:paraId="645A61CA" w14:textId="77777777" w:rsidR="00623D14" w:rsidRDefault="00623D14" w:rsidP="00623D14">
      <w:pPr>
        <w:spacing w:line="360" w:lineRule="auto"/>
        <w:jc w:val="both"/>
        <w:rPr>
          <w:rtl/>
        </w:rPr>
      </w:pPr>
    </w:p>
    <w:p w14:paraId="7A666C67" w14:textId="77777777" w:rsidR="00623D14" w:rsidRPr="00623D14" w:rsidRDefault="00623D14" w:rsidP="00623D14">
      <w:pPr>
        <w:spacing w:line="360" w:lineRule="auto"/>
        <w:ind w:left="720" w:hanging="720"/>
        <w:jc w:val="both"/>
        <w:rPr>
          <w:rFonts w:ascii="Calibri" w:hAnsi="Calibri"/>
          <w:rtl/>
        </w:rPr>
      </w:pPr>
      <w:r>
        <w:rPr>
          <w:rFonts w:hint="cs"/>
          <w:rtl/>
        </w:rPr>
        <w:t>13.</w:t>
      </w:r>
      <w:r>
        <w:rPr>
          <w:rFonts w:hint="cs"/>
          <w:rtl/>
        </w:rPr>
        <w:tab/>
        <w:t xml:space="preserve">אעבור לפיכך לשלב השני בבחינת שאלת ביטול הרשעה, שהנו בדיקה האם תיגרם </w:t>
      </w:r>
      <w:r w:rsidRPr="00623D14">
        <w:rPr>
          <w:rFonts w:ascii="Calibri" w:hAnsi="Calibri" w:hint="cs"/>
          <w:u w:val="single"/>
          <w:rtl/>
        </w:rPr>
        <w:t>פגיעה קונקרטית בעתידו של הנאשם</w:t>
      </w:r>
      <w:r w:rsidRPr="00623D14">
        <w:rPr>
          <w:rFonts w:ascii="Calibri" w:hAnsi="Calibri" w:hint="cs"/>
          <w:rtl/>
        </w:rPr>
        <w:t xml:space="preserve"> כתוצאה מהרשעתו.</w:t>
      </w:r>
    </w:p>
    <w:p w14:paraId="4659AC72"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 בבוא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19" w:history="1">
        <w:r w:rsidR="008C2109" w:rsidRPr="008C2109">
          <w:rPr>
            <w:rFonts w:ascii="Calibri" w:hAnsi="Calibri" w:hint="eastAsia"/>
            <w:color w:val="0000FF"/>
            <w:u w:val="single"/>
            <w:rtl/>
          </w:rPr>
          <w:t>רע</w:t>
        </w:r>
        <w:r w:rsidR="008C2109" w:rsidRPr="008C2109">
          <w:rPr>
            <w:rFonts w:ascii="Calibri" w:hAnsi="Calibri"/>
            <w:color w:val="0000FF"/>
            <w:u w:val="single"/>
            <w:rtl/>
          </w:rPr>
          <w:t>"</w:t>
        </w:r>
        <w:r w:rsidR="008C2109" w:rsidRPr="008C2109">
          <w:rPr>
            <w:rFonts w:ascii="Calibri" w:hAnsi="Calibri" w:hint="eastAsia"/>
            <w:color w:val="0000FF"/>
            <w:u w:val="single"/>
            <w:rtl/>
          </w:rPr>
          <w:t>פ</w:t>
        </w:r>
        <w:r w:rsidR="008C2109" w:rsidRPr="008C2109">
          <w:rPr>
            <w:rFonts w:ascii="Calibri" w:hAnsi="Calibri"/>
            <w:color w:val="0000FF"/>
            <w:u w:val="single"/>
            <w:rtl/>
          </w:rPr>
          <w:t xml:space="preserve"> 9118/12</w:t>
        </w:r>
      </w:hyperlink>
      <w:r w:rsidRPr="00623D14">
        <w:rPr>
          <w:rFonts w:ascii="Calibri" w:hAnsi="Calibri" w:hint="cs"/>
          <w:rtl/>
        </w:rPr>
        <w:t xml:space="preserve"> </w:t>
      </w:r>
      <w:r w:rsidRPr="00623D14">
        <w:rPr>
          <w:rFonts w:ascii="Calibri" w:hAnsi="Calibri" w:hint="cs"/>
          <w:b/>
          <w:bCs/>
          <w:rtl/>
        </w:rPr>
        <w:t>אלכסנדר פריגין נגד מדינת ישראל (03.01.13)</w:t>
      </w:r>
      <w:r w:rsidRPr="00623D14">
        <w:rPr>
          <w:rFonts w:ascii="Calibri" w:hAnsi="Calibri" w:hint="cs"/>
          <w:rtl/>
        </w:rPr>
        <w:t>:</w:t>
      </w:r>
    </w:p>
    <w:p w14:paraId="79396328" w14:textId="77777777" w:rsidR="00623D14" w:rsidRPr="00623D14" w:rsidRDefault="00623D14" w:rsidP="00623D14">
      <w:pPr>
        <w:spacing w:line="360" w:lineRule="auto"/>
        <w:jc w:val="both"/>
        <w:rPr>
          <w:rFonts w:ascii="Calibri" w:hAnsi="Calibri"/>
          <w:rtl/>
        </w:rPr>
      </w:pPr>
    </w:p>
    <w:p w14:paraId="299DFC41" w14:textId="77777777" w:rsidR="00623D14" w:rsidRPr="00623D14" w:rsidRDefault="00623D14" w:rsidP="00623D14">
      <w:pPr>
        <w:spacing w:line="360" w:lineRule="auto"/>
        <w:ind w:left="1440" w:right="850"/>
        <w:jc w:val="both"/>
        <w:rPr>
          <w:rFonts w:ascii="Calibri" w:hAnsi="Calibri"/>
          <w:b/>
          <w:bCs/>
          <w:spacing w:val="10"/>
          <w:rtl/>
        </w:rPr>
      </w:pPr>
      <w:r w:rsidRPr="00623D14">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2CE313DE" w14:textId="77777777" w:rsidR="00623D14" w:rsidRPr="00623D14" w:rsidRDefault="00623D14" w:rsidP="00623D14">
      <w:pPr>
        <w:spacing w:line="360" w:lineRule="auto"/>
        <w:ind w:right="850"/>
        <w:jc w:val="both"/>
        <w:rPr>
          <w:rFonts w:ascii="Calibri" w:hAnsi="Calibri"/>
          <w:b/>
          <w:bCs/>
          <w:spacing w:val="10"/>
          <w:rtl/>
        </w:rPr>
      </w:pPr>
    </w:p>
    <w:p w14:paraId="1E7E05B7" w14:textId="77777777" w:rsidR="00623D14" w:rsidRPr="00623D14" w:rsidRDefault="00623D14" w:rsidP="00623D14">
      <w:pPr>
        <w:spacing w:line="360" w:lineRule="auto"/>
        <w:ind w:left="720" w:hanging="720"/>
        <w:jc w:val="both"/>
        <w:rPr>
          <w:rFonts w:ascii="Calibri" w:hAnsi="Calibri"/>
          <w:rtl/>
        </w:rPr>
      </w:pPr>
      <w:r w:rsidRPr="00623D14">
        <w:rPr>
          <w:rFonts w:ascii="Calibri" w:hAnsi="Calibri" w:hint="cs"/>
          <w:rtl/>
        </w:rPr>
        <w:t>14.</w:t>
      </w:r>
      <w:r w:rsidRPr="00623D14">
        <w:rPr>
          <w:rFonts w:ascii="Calibri" w:hAnsi="Calibri" w:hint="cs"/>
          <w:rtl/>
        </w:rPr>
        <w:tab/>
        <w:t xml:space="preserve">שוכנעתי כי הותרת הרשעתו של הנאשם על כנה עלולה לגרום לנאשם פגיעה קונקרטית בעתידו. </w:t>
      </w:r>
    </w:p>
    <w:p w14:paraId="63ADFDB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כפי שכבר צויין, הנאשם עובד מזה 11 שנה במפעל פרטי - "טרופיקל דגיל", שם הוא ממלא תפקיד של מפעיל מכונה ואחראי על חמישה עובדים שעובדים תחתיו. הנאשם הביע שביעות רצון ממקום עבודתו וטען כי עבודתו היא הדבר הכי חשוב בחייו.  </w:t>
      </w:r>
    </w:p>
    <w:p w14:paraId="24EA62B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קורות חייו של הנאשם, כפי שפורטו בתסקיר, מעמידים את מקום העבודה כמקור מרכזי לשגרה פורייה וברוכה. שרות המבחן רואה בהשתלבותו המוצלחת והיצרנית של הנאשם במקום עבודתו כגורם חיובי ומרכזי לשיקום.</w:t>
      </w:r>
    </w:p>
    <w:p w14:paraId="4ED8EFA6"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במסגרת הליך המעצר המקביל, אשר נוהל אף הוא בפני, התרשמתי ממעורבות המעסיק, שהציע להשגיח על הנאשם, ותמך בבקשתו לאפשר לו לחזור ולעבוד.</w:t>
      </w:r>
    </w:p>
    <w:p w14:paraId="736E9ADA"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התרשמתי מכנות עדותו של עד האופי, המעסיק הישיר מר נסטל, אשר הביע חששו שמא לא תהיה ברירה אלא לפטר את הנאשם, אם הרשעתו בעבירת הסמים תישאר על כנה.</w:t>
      </w:r>
    </w:p>
    <w:p w14:paraId="75379E72"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העד אמנם לא מסר כי הפיטורין, אם אכן תירשם לחובתו של הנאשם הרשעה, הנם וודאיים, ובמקביל גם לא הבטיח שהנאשם לא יפוטר, אם ההרשעה תבוטל, אך מעדותו התקבלה תמונה אמינה, שהיה בה לשכנע שקיים חשש ממשי לאיבוד המשרה הטובה בשל ההרשעה דווקא בעבירת סמים.</w:t>
      </w:r>
    </w:p>
    <w:p w14:paraId="71C661FD"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מעדות העד, כמו גם מדברי הנאשם, התרשמתי שמדובר במפעל פרטי שמקבלי ההחלטות בו הנם חמשת הבעלים, ושאחד העקרונות בו הנו הימנעות מהעסקתם של מורשעים בפלילים.</w:t>
      </w:r>
    </w:p>
    <w:p w14:paraId="62AA1A5F"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שוכנעתי כי במפעל פרטי, עלולה ההרשעה להוביל להחלטה לפטר את הנאשם, בהתאם למדיניות הנוהגת, ועל אף היותו עובד תורם ומרכזי.</w:t>
      </w:r>
    </w:p>
    <w:p w14:paraId="32C2AB45"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לצד התרשמות זו, שוכנעתי בחשיבות הרבה שיש להמשך העבודה במסגרת הנוכחית להמשך שיקומו של הנאשם, וכי אם יפוטר, אחרי שנות עבודה רבות, יינזק הנאשם נזק כבד.</w:t>
      </w:r>
    </w:p>
    <w:p w14:paraId="71313A19"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הנאשם השקיע מאמץ רב לשכנע לבטל את הרשעתו, ושוכנעתי כי אלמלא היה חושש מפגיעת הרשעה בו ומפיטורין אפשריים, הרי שמן הסתם היה משלים עם ההרשעה, ונמנע מטיעונים לעניין זה.</w:t>
      </w:r>
    </w:p>
    <w:p w14:paraId="088ECE97" w14:textId="77777777" w:rsidR="00623D14" w:rsidRDefault="00623D14" w:rsidP="00623D14">
      <w:pPr>
        <w:spacing w:line="360" w:lineRule="auto"/>
        <w:ind w:left="720"/>
        <w:jc w:val="both"/>
        <w:rPr>
          <w:rFonts w:ascii="David" w:hAnsi="David"/>
          <w:u w:val="single"/>
          <w:rtl/>
        </w:rPr>
      </w:pPr>
      <w:r w:rsidRPr="00623D14">
        <w:rPr>
          <w:rFonts w:ascii="Calibri" w:hAnsi="Calibri" w:hint="cs"/>
          <w:rtl/>
        </w:rPr>
        <w:t xml:space="preserve">לעניין ביטול הרשעה בשל שיקולי שיקום, מצאתי לנכון להפנות </w:t>
      </w:r>
      <w:r>
        <w:rPr>
          <w:rFonts w:hint="cs"/>
          <w:rtl/>
        </w:rPr>
        <w:t>ל</w:t>
      </w:r>
      <w:hyperlink r:id="rId20" w:history="1">
        <w:r w:rsidR="008C2109" w:rsidRPr="008C2109">
          <w:rPr>
            <w:color w:val="0000FF"/>
            <w:u w:val="single"/>
            <w:rtl/>
          </w:rPr>
          <w:t>עפ"ג (חיפה) 28110-10-15</w:t>
        </w:r>
      </w:hyperlink>
      <w:r>
        <w:rPr>
          <w:rFonts w:hint="cs"/>
          <w:rtl/>
        </w:rPr>
        <w:t xml:space="preserve"> </w:t>
      </w:r>
      <w:r>
        <w:rPr>
          <w:rFonts w:hint="cs"/>
          <w:b/>
          <w:bCs/>
          <w:rtl/>
        </w:rPr>
        <w:t>מדינת</w:t>
      </w:r>
      <w:r>
        <w:rPr>
          <w:rFonts w:hint="cs"/>
          <w:rtl/>
        </w:rPr>
        <w:t xml:space="preserve"> </w:t>
      </w:r>
      <w:r>
        <w:rPr>
          <w:rFonts w:hint="cs"/>
          <w:b/>
          <w:bCs/>
          <w:rtl/>
        </w:rPr>
        <w:t>ישראל נגד עידן דוד</w:t>
      </w:r>
      <w:r>
        <w:rPr>
          <w:rFonts w:hint="cs"/>
          <w:rtl/>
        </w:rPr>
        <w:t xml:space="preserve"> </w:t>
      </w:r>
      <w:r>
        <w:rPr>
          <w:rFonts w:hint="cs"/>
          <w:b/>
          <w:bCs/>
          <w:rtl/>
        </w:rPr>
        <w:t>(17.12.15)</w:t>
      </w:r>
      <w:r>
        <w:rPr>
          <w:rFonts w:hint="cs"/>
          <w:rtl/>
        </w:rPr>
        <w:t xml:space="preserve">), </w:t>
      </w:r>
      <w:r w:rsidRPr="00623D14">
        <w:rPr>
          <w:rFonts w:ascii="Calibri" w:hAnsi="Calibri" w:hint="cs"/>
          <w:rtl/>
        </w:rPr>
        <w:t xml:space="preserve">אליו הפנתה גם ב"כ הנאשם, בו </w:t>
      </w:r>
      <w:r>
        <w:rPr>
          <w:rFonts w:hint="cs"/>
          <w:rtl/>
        </w:rPr>
        <w:t>בוטלה הרשעתו של המשיב בתיק שעניינו גידול 21 שתילי סם מסוכן מסוג קנאביס במשקל של 3,600 גרם. ביטול ההרשעה באותו עניין נעשה על רקע חשש ממשי לפגיעה בתעסוקה בשל ההרשעה ובזכות הליך שיקומי מוצלח. עניין דוד, שהנו חריג לגבי עבירות סמים חמורות – מתאים גם לענייננו.</w:t>
      </w:r>
    </w:p>
    <w:p w14:paraId="699833EB" w14:textId="77777777" w:rsidR="00623D14" w:rsidRPr="00623D14" w:rsidRDefault="00623D14" w:rsidP="00623D14">
      <w:pPr>
        <w:spacing w:line="360" w:lineRule="auto"/>
        <w:jc w:val="both"/>
        <w:rPr>
          <w:rFonts w:ascii="Calibri" w:hAnsi="Calibri"/>
          <w:rtl/>
        </w:rPr>
      </w:pPr>
    </w:p>
    <w:p w14:paraId="0F0CC000" w14:textId="77777777" w:rsidR="00623D14" w:rsidRPr="00623D14" w:rsidRDefault="00623D14" w:rsidP="00623D14">
      <w:pPr>
        <w:spacing w:line="360" w:lineRule="auto"/>
        <w:ind w:left="720" w:hanging="720"/>
        <w:jc w:val="both"/>
        <w:rPr>
          <w:rFonts w:ascii="Calibri" w:hAnsi="Calibri"/>
          <w:rtl/>
        </w:rPr>
      </w:pPr>
      <w:r w:rsidRPr="00623D14">
        <w:rPr>
          <w:rFonts w:ascii="Calibri" w:hAnsi="Calibri" w:hint="cs"/>
          <w:rtl/>
        </w:rPr>
        <w:t>15.</w:t>
      </w:r>
      <w:r w:rsidRPr="00623D14">
        <w:rPr>
          <w:rFonts w:ascii="Calibri" w:hAnsi="Calibri" w:hint="cs"/>
          <w:rtl/>
        </w:rPr>
        <w:tab/>
        <w:t>הנאשם רווק בן 32 נעדר הרשעות קודמות, הודה במיוחס לו וחסך מזמנו של בית המשפט, וקיבל אחריות על מעשיו.</w:t>
      </w:r>
    </w:p>
    <w:p w14:paraId="772E7C9D"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הנאשם ביטא מוטיבציה ורצון לעבור הליך טיפולי ולשנות את אורחות חייו ומאז חודש מרץ 2017, במסגרת צו פיקוח מעצרים, שולב ביחידה להתמכרויות בקריית שמונה, הראה מחוייבות גבוהה, הגיע לכל המפגשים השבועיים, שיתף מעצמו ומעולמו הפנימי, בנוסף ביצע הנאשם אחת לשבוע בדיקות שתן שהצביעו על ניקיון מסמים.</w:t>
      </w:r>
    </w:p>
    <w:p w14:paraId="4D6F9137" w14:textId="77777777" w:rsidR="00623D14" w:rsidRPr="00623D14" w:rsidRDefault="00623D14" w:rsidP="00623D14">
      <w:pPr>
        <w:spacing w:line="360" w:lineRule="auto"/>
        <w:ind w:left="720"/>
        <w:jc w:val="both"/>
        <w:rPr>
          <w:rFonts w:ascii="Calibri" w:hAnsi="Calibri"/>
          <w:spacing w:val="10"/>
          <w:rtl/>
        </w:rPr>
      </w:pPr>
      <w:r w:rsidRPr="00623D14">
        <w:rPr>
          <w:rFonts w:ascii="Calibri" w:hAnsi="Calibri" w:hint="cs"/>
          <w:rtl/>
        </w:rPr>
        <w:t>ההתרשמות מהנאשם הייתה חיובית ושרות המבחן המליץ להימנע מהרשעתו.</w:t>
      </w:r>
    </w:p>
    <w:p w14:paraId="4C22C053" w14:textId="77777777" w:rsidR="00623D14" w:rsidRPr="00623D14" w:rsidRDefault="00623D14" w:rsidP="00623D14">
      <w:pPr>
        <w:spacing w:line="360" w:lineRule="auto"/>
        <w:ind w:left="720"/>
        <w:jc w:val="both"/>
        <w:rPr>
          <w:rFonts w:ascii="Calibri" w:hAnsi="Calibri"/>
          <w:spacing w:val="10"/>
          <w:rtl/>
        </w:rPr>
      </w:pPr>
      <w:r w:rsidRPr="00623D14">
        <w:rPr>
          <w:rFonts w:ascii="Calibri" w:hAnsi="Calibri" w:hint="cs"/>
          <w:spacing w:val="10"/>
          <w:rtl/>
        </w:rPr>
        <w:t>במסגרת בדיקה משלימה, הסכים הנאשם, למרות שהתנגד לכך תחילה, לבצע עונש של"צ, ונבנתה עבורו תכנית לשם כך.</w:t>
      </w:r>
    </w:p>
    <w:p w14:paraId="6C3905B8" w14:textId="77777777" w:rsidR="00623D14" w:rsidRPr="00623D14" w:rsidRDefault="00623D14" w:rsidP="00623D14">
      <w:pPr>
        <w:spacing w:line="360" w:lineRule="auto"/>
        <w:jc w:val="both"/>
        <w:rPr>
          <w:rFonts w:ascii="Calibri" w:hAnsi="Calibri"/>
          <w:rtl/>
        </w:rPr>
      </w:pPr>
    </w:p>
    <w:p w14:paraId="629D4E51"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לאור כל האמור לעיל, ולאחר התלבטות</w:t>
      </w:r>
      <w:r w:rsidRPr="00623D14">
        <w:rPr>
          <w:rFonts w:ascii="Calibri" w:hAnsi="Calibri" w:hint="cs"/>
          <w:b/>
          <w:bCs/>
          <w:u w:val="single"/>
          <w:rtl/>
        </w:rPr>
        <w:t xml:space="preserve"> הגעתי למסקנה כי יהיה ראוי והולם לבטל את הרשעתו של הנאשם</w:t>
      </w:r>
      <w:r w:rsidRPr="00623D14">
        <w:rPr>
          <w:rFonts w:ascii="Calibri" w:hAnsi="Calibri" w:hint="cs"/>
          <w:rtl/>
        </w:rPr>
        <w:t xml:space="preserve"> על מנת לא לפגוע בעבודתו ובהליך השיקום המוצלח שהוא עובר.</w:t>
      </w:r>
    </w:p>
    <w:p w14:paraId="47D2579C" w14:textId="77777777" w:rsidR="00623D14" w:rsidRPr="00623D14" w:rsidRDefault="00623D14" w:rsidP="00623D14">
      <w:pPr>
        <w:spacing w:line="360" w:lineRule="auto"/>
        <w:ind w:left="720"/>
        <w:jc w:val="both"/>
        <w:rPr>
          <w:rFonts w:ascii="Calibri" w:hAnsi="Calibri"/>
          <w:rtl/>
        </w:rPr>
      </w:pPr>
    </w:p>
    <w:p w14:paraId="6B77E1DF" w14:textId="77777777" w:rsidR="00623D14" w:rsidRPr="00623D14" w:rsidRDefault="00623D14" w:rsidP="00623D14">
      <w:pPr>
        <w:spacing w:line="360" w:lineRule="auto"/>
        <w:ind w:left="720" w:hanging="720"/>
        <w:jc w:val="both"/>
        <w:rPr>
          <w:rFonts w:ascii="Calibri" w:hAnsi="Calibri"/>
          <w:rtl/>
        </w:rPr>
      </w:pPr>
      <w:r w:rsidRPr="00623D14">
        <w:rPr>
          <w:rFonts w:ascii="Calibri" w:hAnsi="Calibri" w:hint="cs"/>
          <w:rtl/>
        </w:rPr>
        <w:t>16.</w:t>
      </w:r>
      <w:r w:rsidRPr="00623D14">
        <w:rPr>
          <w:rFonts w:ascii="Calibri" w:hAnsi="Calibri" w:hint="cs"/>
          <w:rtl/>
        </w:rPr>
        <w:tab/>
        <w:t>יחד עם האמור לעיל – מצאתי קושי, בשל כמות הסמים הגדולה, ובכך שהימנעות מהרשעה כרוכה בביטולם של רכיבי ענישה ראויים ומתאימים שהנם קנס ופסילת רישיון נהיגה.</w:t>
      </w:r>
    </w:p>
    <w:p w14:paraId="71211EEC"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לפיכך, החלטתי לאזן את העונש החורג לקולא מרמת הענישה הראויה, ולצוות על חילוט כסף שנתפס בחקירה לטובת הקרן למלחמה בסמים.</w:t>
      </w:r>
    </w:p>
    <w:p w14:paraId="1EAC27C4"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בנוסף - הוריתי לשרות המבחן להכין תכנית בהיקף של 200 שעות, ובניגוד להוראה זו, הומלצה תכנית בהיקף של 100 שעות בלבד – היקף אשר מצאתיו מצומצם מדי לענייננו. </w:t>
      </w:r>
    </w:p>
    <w:p w14:paraId="4D7E508F"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יצויין, כי בישיבה האחרונה, ביום 19/12/17, שבה התכנסו הצדדים להקראת גזר הדין,  הצעתי לנאשם להירתם לתכנית של"צ, כדי שניתן יהיה באופן זה לכלול רכיב מעשי בעונש גם ללא הרשעה. </w:t>
      </w:r>
    </w:p>
    <w:p w14:paraId="01E56D4C"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באותה ישיבה  הביעו הנאשם ובאת כוחו התנגדות בלתי צפויה ובלתי הולמת בעיני, לגבי רכיב השל"צ שהוצע.</w:t>
      </w:r>
    </w:p>
    <w:p w14:paraId="599EACF0"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הנאשם השמיע עמדה שיש בה משום הקורבנות, כשטען כי ההליך הפלילי מזיק לו, וכן טען ששל"צ יפריע לשגרת חייו ולעבודתו.</w:t>
      </w:r>
    </w:p>
    <w:p w14:paraId="375D5319"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 xml:space="preserve">הנאשם ובאת כוחו התנגדו להטלת של"צ, וחזרו על עמדתם כי יש לסיים את ההליך ללא הרשעה וללא רכיב של"צ. </w:t>
      </w:r>
    </w:p>
    <w:p w14:paraId="1249C3BF"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בסופו של דבר, למרות גישה זו, שהיה בה משום נסיגה בקבלת האחריות, הנאשם, כאמור, נרתם לשל"צ, והונחה תכנית המאפשרת הטלת ענישה שיש בה משום איזון.</w:t>
      </w:r>
    </w:p>
    <w:p w14:paraId="32E72BD0" w14:textId="77777777" w:rsidR="00623D14" w:rsidRPr="00623D14" w:rsidRDefault="00623D14" w:rsidP="00623D14">
      <w:pPr>
        <w:spacing w:line="360" w:lineRule="auto"/>
        <w:ind w:left="720"/>
        <w:jc w:val="both"/>
        <w:rPr>
          <w:rFonts w:ascii="Calibri" w:hAnsi="Calibri"/>
          <w:rtl/>
        </w:rPr>
      </w:pPr>
      <w:r w:rsidRPr="00623D14">
        <w:rPr>
          <w:rFonts w:ascii="Calibri" w:hAnsi="Calibri" w:hint="cs"/>
          <w:rtl/>
        </w:rPr>
        <w:t>כאמור, על אף הצעתו של שרות המבחן להסתפק בשל"צ בהיקף של 100 שעות בלבד, המלצה שניתנה על אף הוראתי המפורשת לבחון אם הנאשם מתאים לתכנית של"צ בהיקף של 200 שעות, החלטתי כי חומרת העבירות וכלל הנסיבות מחייבות ענישה משמעותית יותר, שתתבטא בהיקף רחב יותר של של"צ, כפי שמוטל בתיקים רבים אחרים שעניינם עבירות סמים משמעותיות.</w:t>
      </w:r>
    </w:p>
    <w:p w14:paraId="69889198" w14:textId="77777777" w:rsidR="00623D14" w:rsidRPr="00623D14" w:rsidRDefault="00623D14" w:rsidP="00623D14">
      <w:pPr>
        <w:spacing w:line="360" w:lineRule="auto"/>
        <w:ind w:right="850"/>
        <w:jc w:val="both"/>
        <w:rPr>
          <w:rFonts w:ascii="Calibri" w:hAnsi="Calibri"/>
          <w:b/>
          <w:bCs/>
          <w:u w:val="single"/>
          <w:rtl/>
        </w:rPr>
      </w:pPr>
    </w:p>
    <w:p w14:paraId="3746558D" w14:textId="77777777" w:rsidR="00623D14" w:rsidRPr="00623D14" w:rsidRDefault="00623D14" w:rsidP="00623D14">
      <w:pPr>
        <w:spacing w:line="360" w:lineRule="auto"/>
        <w:ind w:left="720" w:hanging="720"/>
        <w:jc w:val="both"/>
        <w:rPr>
          <w:rFonts w:ascii="Calibri" w:hAnsi="Calibri"/>
          <w:b/>
          <w:bCs/>
          <w:rtl/>
        </w:rPr>
      </w:pPr>
      <w:r w:rsidRPr="00623D14">
        <w:rPr>
          <w:rFonts w:ascii="Calibri" w:hAnsi="Calibri" w:hint="cs"/>
          <w:rtl/>
        </w:rPr>
        <w:t>17.</w:t>
      </w:r>
      <w:r w:rsidRPr="00623D14">
        <w:rPr>
          <w:rFonts w:ascii="Calibri" w:hAnsi="Calibri" w:hint="cs"/>
          <w:rtl/>
        </w:rPr>
        <w:tab/>
      </w:r>
      <w:r w:rsidRPr="00623D14">
        <w:rPr>
          <w:rFonts w:ascii="Calibri" w:hAnsi="Calibri" w:hint="cs"/>
          <w:b/>
          <w:bCs/>
          <w:rtl/>
        </w:rPr>
        <w:t>לאור כל האמור לעיל, החלטתי לבטל את הרשעתו של הנאשם ולגזור עליו עונש ללא הרשעה כדלקמן:</w:t>
      </w:r>
    </w:p>
    <w:p w14:paraId="204CDA31" w14:textId="77777777" w:rsidR="00623D14" w:rsidRPr="00623D14" w:rsidRDefault="00623D14" w:rsidP="00623D14">
      <w:pPr>
        <w:spacing w:line="360" w:lineRule="auto"/>
        <w:ind w:left="720" w:hanging="720"/>
        <w:jc w:val="both"/>
        <w:rPr>
          <w:rFonts w:ascii="Calibri" w:hAnsi="Calibri"/>
          <w:b/>
          <w:bCs/>
          <w:rtl/>
        </w:rPr>
      </w:pPr>
    </w:p>
    <w:p w14:paraId="3F5B46B8" w14:textId="77777777" w:rsidR="00623D14" w:rsidRPr="00623D14" w:rsidRDefault="00623D14" w:rsidP="00623D14">
      <w:pPr>
        <w:spacing w:line="360" w:lineRule="auto"/>
        <w:ind w:left="1440" w:hanging="720"/>
        <w:jc w:val="both"/>
        <w:rPr>
          <w:rFonts w:ascii="Calibri" w:hAnsi="Calibri"/>
          <w:rtl/>
        </w:rPr>
      </w:pPr>
      <w:r w:rsidRPr="00623D14">
        <w:rPr>
          <w:rFonts w:ascii="Calibri" w:hAnsi="Calibri" w:hint="cs"/>
          <w:rtl/>
        </w:rPr>
        <w:t>א.</w:t>
      </w:r>
      <w:r w:rsidRPr="00623D14">
        <w:rPr>
          <w:rFonts w:ascii="Calibri" w:hAnsi="Calibri" w:hint="cs"/>
          <w:rtl/>
        </w:rPr>
        <w:tab/>
        <w:t>צו מבחן לתקופה של 12 חודשים, במהלכם יעמוד הנאשם בפיקוח שרות המבחן ויבצע את כל אשר יוטל עליו.</w:t>
      </w:r>
    </w:p>
    <w:p w14:paraId="2BB4CE2C" w14:textId="77777777" w:rsidR="00623D14" w:rsidRPr="00623D14" w:rsidRDefault="00623D14" w:rsidP="00623D14">
      <w:pPr>
        <w:spacing w:line="360" w:lineRule="auto"/>
        <w:ind w:left="1440"/>
        <w:jc w:val="both"/>
        <w:rPr>
          <w:rFonts w:ascii="Calibri" w:hAnsi="Calibri"/>
          <w:rtl/>
        </w:rPr>
      </w:pPr>
      <w:r w:rsidRPr="00623D14">
        <w:rPr>
          <w:rFonts w:ascii="Calibri" w:hAnsi="Calibri" w:hint="cs"/>
          <w:rtl/>
        </w:rPr>
        <w:t xml:space="preserve">בית המשפט מסביר לנאשם כי אם לא ימלא אחר צו זה או יעבור עבירה נוספת עלול הדבר להביא לשפיטתו מחדש בגין עבירה זו, וקיים סיכון להרשעה בדין ולהחמרה בעונש. </w:t>
      </w:r>
    </w:p>
    <w:p w14:paraId="525632D8" w14:textId="77777777" w:rsidR="00623D14" w:rsidRPr="00623D14" w:rsidRDefault="00623D14" w:rsidP="00623D14">
      <w:pPr>
        <w:spacing w:line="360" w:lineRule="auto"/>
        <w:ind w:left="1440"/>
        <w:jc w:val="both"/>
        <w:rPr>
          <w:rFonts w:ascii="Calibri" w:hAnsi="Calibri"/>
          <w:rtl/>
        </w:rPr>
      </w:pPr>
    </w:p>
    <w:p w14:paraId="4FE95F89" w14:textId="77777777" w:rsidR="00623D14" w:rsidRPr="00623D14" w:rsidRDefault="00623D14" w:rsidP="00623D14">
      <w:pPr>
        <w:spacing w:line="360" w:lineRule="auto"/>
        <w:ind w:left="1440" w:hanging="720"/>
        <w:jc w:val="both"/>
        <w:rPr>
          <w:rFonts w:ascii="Calibri" w:hAnsi="Calibri"/>
          <w:rtl/>
        </w:rPr>
      </w:pPr>
      <w:r w:rsidRPr="00623D14">
        <w:rPr>
          <w:rFonts w:ascii="Calibri" w:hAnsi="Calibri" w:hint="cs"/>
          <w:rtl/>
        </w:rPr>
        <w:t>ב.</w:t>
      </w:r>
      <w:r w:rsidRPr="00623D14">
        <w:rPr>
          <w:rFonts w:ascii="Calibri" w:hAnsi="Calibri" w:hint="cs"/>
          <w:rtl/>
        </w:rPr>
        <w:tab/>
        <w:t xml:space="preserve">צו של"צ </w:t>
      </w:r>
      <w:r w:rsidRPr="00623D14">
        <w:rPr>
          <w:rFonts w:ascii="Calibri" w:hAnsi="Calibri" w:hint="cs"/>
          <w:b/>
          <w:bCs/>
          <w:rtl/>
        </w:rPr>
        <w:t>בהיקף של 200 שעות</w:t>
      </w:r>
      <w:r w:rsidRPr="00623D14">
        <w:rPr>
          <w:rFonts w:ascii="Calibri" w:hAnsi="Calibri" w:hint="cs"/>
          <w:rtl/>
        </w:rPr>
        <w:t>, אשר יבוצעו במסגרת בית חב"ד, בתפקיד חלוקת מזון לנזקקים.</w:t>
      </w:r>
    </w:p>
    <w:p w14:paraId="4702E728" w14:textId="77777777" w:rsidR="00623D14" w:rsidRDefault="00623D14" w:rsidP="00623D14">
      <w:pPr>
        <w:spacing w:after="120" w:line="360" w:lineRule="auto"/>
        <w:ind w:left="1440"/>
        <w:jc w:val="both"/>
        <w:rPr>
          <w:rFonts w:ascii="David" w:hAnsi="David"/>
          <w:rtl/>
        </w:rPr>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21" w:history="1">
        <w:r w:rsidR="001C09D6" w:rsidRPr="001C09D6">
          <w:rPr>
            <w:rStyle w:val="Hyperlink"/>
            <w:rFonts w:hint="eastAsia"/>
            <w:rtl/>
          </w:rPr>
          <w:t>בסעיף</w:t>
        </w:r>
        <w:r w:rsidR="001C09D6" w:rsidRPr="001C09D6">
          <w:rPr>
            <w:rStyle w:val="Hyperlink"/>
            <w:rtl/>
          </w:rPr>
          <w:t xml:space="preserve"> 71ד'</w:t>
        </w:r>
      </w:hyperlink>
      <w:r>
        <w:rPr>
          <w:rFonts w:hint="cs"/>
          <w:rtl/>
        </w:rPr>
        <w:t xml:space="preserve"> ל</w:t>
      </w:r>
      <w:hyperlink r:id="rId22" w:history="1">
        <w:r w:rsidR="008C2109" w:rsidRPr="008C2109">
          <w:rPr>
            <w:color w:val="0000FF"/>
            <w:u w:val="single"/>
            <w:rtl/>
          </w:rPr>
          <w:t>חוק העונשין</w:t>
        </w:r>
      </w:hyperlink>
      <w:r>
        <w:rPr>
          <w:rFonts w:hint="cs"/>
          <w:rtl/>
        </w:rPr>
        <w:t>.</w:t>
      </w:r>
    </w:p>
    <w:p w14:paraId="556AC1F2" w14:textId="77777777" w:rsidR="00623D14" w:rsidRPr="00623D14" w:rsidRDefault="00623D14" w:rsidP="00623D14">
      <w:pPr>
        <w:spacing w:line="360" w:lineRule="auto"/>
        <w:ind w:left="1440" w:hanging="720"/>
        <w:jc w:val="both"/>
        <w:rPr>
          <w:rFonts w:ascii="Calibri" w:hAnsi="Calibri"/>
          <w:rtl/>
        </w:rPr>
      </w:pPr>
    </w:p>
    <w:p w14:paraId="7B9F47A3" w14:textId="77777777" w:rsidR="00623D14" w:rsidRPr="00623D14" w:rsidRDefault="00623D14" w:rsidP="00623D14">
      <w:pPr>
        <w:spacing w:line="360" w:lineRule="auto"/>
        <w:ind w:left="1440" w:hanging="720"/>
        <w:jc w:val="both"/>
        <w:rPr>
          <w:rFonts w:ascii="Calibri" w:hAnsi="Calibri"/>
          <w:rtl/>
        </w:rPr>
      </w:pPr>
      <w:r w:rsidRPr="00623D14">
        <w:rPr>
          <w:rFonts w:ascii="Calibri" w:hAnsi="Calibri" w:hint="cs"/>
          <w:rtl/>
        </w:rPr>
        <w:t>ג.</w:t>
      </w:r>
      <w:r w:rsidRPr="00623D14">
        <w:rPr>
          <w:rFonts w:ascii="Calibri" w:hAnsi="Calibri" w:hint="cs"/>
          <w:rtl/>
        </w:rPr>
        <w:tab/>
        <w:t>חילוט כסף על סך 4,000 ₪, התפוס בידי המשטרה במסגרת תיק זה, לטובת הקרן שעל פי פקודת הסמים.</w:t>
      </w:r>
    </w:p>
    <w:p w14:paraId="288C398B" w14:textId="77777777" w:rsidR="00623D14" w:rsidRPr="00623D14" w:rsidRDefault="00623D14" w:rsidP="00623D14">
      <w:pPr>
        <w:spacing w:line="360" w:lineRule="auto"/>
        <w:ind w:left="720" w:hanging="720"/>
        <w:jc w:val="both"/>
        <w:rPr>
          <w:rFonts w:ascii="Calibri" w:hAnsi="Calibri"/>
          <w:b/>
          <w:bCs/>
          <w:rtl/>
        </w:rPr>
      </w:pPr>
    </w:p>
    <w:p w14:paraId="268850C1" w14:textId="77777777" w:rsidR="00623D14" w:rsidRPr="00623D14" w:rsidRDefault="00623D14" w:rsidP="00623D14">
      <w:pPr>
        <w:spacing w:line="360" w:lineRule="auto"/>
        <w:ind w:left="720" w:hanging="720"/>
        <w:jc w:val="both"/>
        <w:rPr>
          <w:rFonts w:ascii="Calibri" w:hAnsi="Calibri"/>
          <w:rtl/>
        </w:rPr>
      </w:pPr>
      <w:r w:rsidRPr="00623D14">
        <w:rPr>
          <w:rFonts w:ascii="Calibri" w:hAnsi="Calibri" w:hint="cs"/>
          <w:u w:val="single"/>
          <w:rtl/>
        </w:rPr>
        <w:t>מוצגים סמים – להשמדה</w:t>
      </w:r>
      <w:r w:rsidRPr="00623D14">
        <w:rPr>
          <w:rFonts w:ascii="Calibri" w:hAnsi="Calibri" w:hint="cs"/>
          <w:rtl/>
        </w:rPr>
        <w:t>.</w:t>
      </w:r>
    </w:p>
    <w:p w14:paraId="568ECBFC" w14:textId="77777777" w:rsidR="00623D14" w:rsidRPr="00623D14" w:rsidRDefault="00623D14" w:rsidP="00623D14">
      <w:pPr>
        <w:spacing w:line="360" w:lineRule="auto"/>
        <w:ind w:left="720" w:hanging="720"/>
        <w:jc w:val="both"/>
        <w:rPr>
          <w:rFonts w:ascii="Calibri" w:hAnsi="Calibri"/>
          <w:u w:val="single"/>
          <w:rtl/>
        </w:rPr>
      </w:pPr>
      <w:r w:rsidRPr="00623D14">
        <w:rPr>
          <w:rFonts w:ascii="Calibri" w:hAnsi="Calibri" w:hint="cs"/>
          <w:u w:val="single"/>
          <w:rtl/>
        </w:rPr>
        <w:t xml:space="preserve"> </w:t>
      </w:r>
    </w:p>
    <w:p w14:paraId="3F347483" w14:textId="77777777" w:rsidR="00623D14" w:rsidRPr="00623D14" w:rsidRDefault="00623D14" w:rsidP="00623D14">
      <w:pPr>
        <w:spacing w:line="360" w:lineRule="auto"/>
        <w:ind w:left="720" w:hanging="720"/>
        <w:jc w:val="both"/>
        <w:rPr>
          <w:rFonts w:ascii="Calibri" w:hAnsi="Calibri"/>
          <w:rtl/>
        </w:rPr>
      </w:pPr>
      <w:r w:rsidRPr="00623D14">
        <w:rPr>
          <w:rFonts w:ascii="Calibri" w:hAnsi="Calibri" w:hint="cs"/>
          <w:u w:val="single"/>
          <w:rtl/>
        </w:rPr>
        <w:t>זכות ערעור לבית המשפט המחוזי תוך 45 יום מהיום</w:t>
      </w:r>
      <w:r w:rsidRPr="00623D14">
        <w:rPr>
          <w:rFonts w:ascii="Calibri" w:hAnsi="Calibri" w:hint="cs"/>
          <w:rtl/>
        </w:rPr>
        <w:t>.</w:t>
      </w:r>
    </w:p>
    <w:p w14:paraId="5A66A9FE" w14:textId="77777777" w:rsidR="00623D14" w:rsidRPr="00B05847" w:rsidRDefault="00623D14" w:rsidP="00623D14">
      <w:pPr>
        <w:rPr>
          <w:rtl/>
        </w:rPr>
      </w:pPr>
    </w:p>
    <w:p w14:paraId="2F945E66" w14:textId="77777777" w:rsidR="00623D14" w:rsidRPr="008C2109" w:rsidRDefault="008C2109" w:rsidP="00623D14">
      <w:pPr>
        <w:rPr>
          <w:b/>
          <w:bCs/>
          <w:color w:val="FFFFFF"/>
          <w:sz w:val="2"/>
          <w:szCs w:val="2"/>
          <w:rtl/>
        </w:rPr>
      </w:pPr>
      <w:r w:rsidRPr="008C2109">
        <w:rPr>
          <w:b/>
          <w:bCs/>
          <w:color w:val="FFFFFF"/>
          <w:sz w:val="2"/>
          <w:szCs w:val="2"/>
          <w:rtl/>
        </w:rPr>
        <w:t>5129371</w:t>
      </w:r>
    </w:p>
    <w:p w14:paraId="69F642D3" w14:textId="77777777" w:rsidR="00623D14" w:rsidRPr="00E666B3" w:rsidRDefault="008C2109" w:rsidP="00623D14">
      <w:pPr>
        <w:rPr>
          <w:b/>
          <w:bCs/>
          <w:sz w:val="28"/>
          <w:szCs w:val="28"/>
          <w:rtl/>
        </w:rPr>
      </w:pPr>
      <w:r w:rsidRPr="008C2109">
        <w:rPr>
          <w:rFonts w:ascii="Arial" w:hAnsi="Arial"/>
          <w:b/>
          <w:bCs/>
          <w:color w:val="FFFFFF"/>
          <w:sz w:val="2"/>
          <w:szCs w:val="2"/>
          <w:rtl/>
        </w:rPr>
        <w:t>54678313</w:t>
      </w:r>
      <w:r>
        <w:rPr>
          <w:rFonts w:ascii="Arial" w:hAnsi="Arial"/>
          <w:b/>
          <w:bCs/>
          <w:rtl/>
        </w:rPr>
        <w:t xml:space="preserve">ניתן היום,  כ"א טבת תשע"ח, 08 ינואר 2018, במעמד הנוכחים. </w:t>
      </w:r>
    </w:p>
    <w:p w14:paraId="276E7557" w14:textId="77777777" w:rsidR="00623D14" w:rsidRPr="00E666B3" w:rsidRDefault="00623D14" w:rsidP="00623D14">
      <w:pPr>
        <w:jc w:val="center"/>
      </w:pPr>
      <w:r w:rsidRPr="00E666B3">
        <w:rPr>
          <w:rFonts w:hint="cs"/>
          <w:b/>
          <w:bCs/>
          <w:rtl/>
        </w:rPr>
        <w:t xml:space="preserve">   </w:t>
      </w:r>
      <w:r w:rsidRPr="00E666B3">
        <w:rPr>
          <w:rFonts w:hint="cs"/>
          <w:b/>
          <w:bCs/>
          <w:rtl/>
        </w:rPr>
        <w:tab/>
      </w:r>
      <w:r w:rsidRPr="00E666B3">
        <w:rPr>
          <w:rFonts w:hint="cs"/>
          <w:b/>
          <w:bCs/>
          <w:rtl/>
        </w:rPr>
        <w:tab/>
      </w:r>
      <w:r w:rsidRPr="00E666B3">
        <w:rPr>
          <w:rFonts w:hint="cs"/>
          <w:b/>
          <w:bCs/>
          <w:rtl/>
        </w:rPr>
        <w:tab/>
      </w:r>
      <w:r w:rsidRPr="00E666B3">
        <w:rPr>
          <w:rFonts w:hint="cs"/>
          <w:b/>
          <w:bCs/>
          <w:rtl/>
        </w:rPr>
        <w:tab/>
      </w:r>
      <w:r w:rsidRPr="00E666B3">
        <w:rPr>
          <w:rFonts w:hint="cs"/>
          <w:b/>
          <w:bCs/>
          <w:rtl/>
        </w:rPr>
        <w:tab/>
      </w:r>
      <w:r>
        <w:rPr>
          <w:rtl/>
        </w:rPr>
        <w:t xml:space="preserve">     </w:t>
      </w:r>
    </w:p>
    <w:p w14:paraId="53985888" w14:textId="77777777" w:rsidR="00623D14" w:rsidRPr="00E666B3" w:rsidRDefault="00623D14" w:rsidP="00623D14">
      <w:pPr>
        <w:jc w:val="center"/>
        <w:rPr>
          <w:rFonts w:ascii="Arial" w:hAnsi="Arial"/>
          <w:b/>
          <w:bCs/>
          <w:sz w:val="28"/>
          <w:szCs w:val="28"/>
          <w:rtl/>
        </w:rPr>
      </w:pPr>
    </w:p>
    <w:p w14:paraId="16892FA7" w14:textId="77777777" w:rsidR="00623D14" w:rsidRPr="00E666B3" w:rsidRDefault="00623D14" w:rsidP="00623D14">
      <w:pPr>
        <w:rPr>
          <w:rFonts w:cs="FrankRuehl"/>
          <w:b/>
          <w:bCs/>
          <w:sz w:val="28"/>
          <w:szCs w:val="28"/>
          <w:rtl/>
        </w:rPr>
      </w:pPr>
    </w:p>
    <w:p w14:paraId="27F5CFC5" w14:textId="77777777" w:rsidR="00623D14" w:rsidRDefault="00623D14" w:rsidP="00623D14">
      <w:pPr>
        <w:pStyle w:val="a3"/>
        <w:jc w:val="center"/>
        <w:rPr>
          <w:rtl/>
        </w:rPr>
      </w:pPr>
    </w:p>
    <w:p w14:paraId="1C307197" w14:textId="77777777" w:rsidR="002D7B2F" w:rsidRPr="008C2109" w:rsidRDefault="002D7B2F" w:rsidP="008C2109">
      <w:pPr>
        <w:keepNext/>
        <w:rPr>
          <w:rFonts w:ascii="David" w:hAnsi="David"/>
          <w:color w:val="000000"/>
          <w:sz w:val="22"/>
          <w:szCs w:val="22"/>
          <w:rtl/>
        </w:rPr>
      </w:pPr>
    </w:p>
    <w:p w14:paraId="09826A1A" w14:textId="77777777" w:rsidR="008C2109" w:rsidRPr="008C2109" w:rsidRDefault="008C2109" w:rsidP="008C2109">
      <w:pPr>
        <w:keepNext/>
        <w:rPr>
          <w:rFonts w:ascii="David" w:hAnsi="David"/>
          <w:color w:val="000000"/>
          <w:sz w:val="22"/>
          <w:szCs w:val="22"/>
          <w:rtl/>
        </w:rPr>
      </w:pPr>
      <w:r w:rsidRPr="008C2109">
        <w:rPr>
          <w:rFonts w:ascii="David" w:hAnsi="David"/>
          <w:color w:val="000000"/>
          <w:sz w:val="22"/>
          <w:szCs w:val="22"/>
          <w:rtl/>
        </w:rPr>
        <w:t>רות שפילברג כהן 54678313</w:t>
      </w:r>
    </w:p>
    <w:p w14:paraId="6B2D1C6B" w14:textId="77777777" w:rsidR="008C2109" w:rsidRDefault="008C2109" w:rsidP="008C2109">
      <w:r w:rsidRPr="008C2109">
        <w:rPr>
          <w:color w:val="000000"/>
          <w:rtl/>
        </w:rPr>
        <w:t>נוסח מסמך זה כפוף לשינויי ניסוח ועריכה</w:t>
      </w:r>
    </w:p>
    <w:p w14:paraId="3CA81ED2" w14:textId="77777777" w:rsidR="008C2109" w:rsidRDefault="008C2109" w:rsidP="008C2109">
      <w:pPr>
        <w:rPr>
          <w:rtl/>
        </w:rPr>
      </w:pPr>
    </w:p>
    <w:p w14:paraId="18B33223" w14:textId="77777777" w:rsidR="008C2109" w:rsidRDefault="008C2109" w:rsidP="008C2109">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D972602" w14:textId="77777777" w:rsidR="008C2109" w:rsidRPr="008C2109" w:rsidRDefault="008C2109" w:rsidP="008C2109">
      <w:pPr>
        <w:jc w:val="center"/>
        <w:rPr>
          <w:color w:val="0000FF"/>
          <w:u w:val="single"/>
        </w:rPr>
      </w:pPr>
    </w:p>
    <w:sectPr w:rsidR="008C2109" w:rsidRPr="008C2109" w:rsidSect="008C2109">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FF8BB" w14:textId="77777777" w:rsidR="00392C4D" w:rsidRDefault="00392C4D" w:rsidP="000A5A36">
      <w:r>
        <w:separator/>
      </w:r>
    </w:p>
  </w:endnote>
  <w:endnote w:type="continuationSeparator" w:id="0">
    <w:p w14:paraId="3584B807" w14:textId="77777777" w:rsidR="00392C4D" w:rsidRDefault="00392C4D" w:rsidP="000A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7656" w14:textId="77777777" w:rsidR="00392C4D" w:rsidRDefault="00392C4D" w:rsidP="008C21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5C28713" w14:textId="77777777" w:rsidR="00392C4D" w:rsidRPr="008C2109" w:rsidRDefault="00392C4D" w:rsidP="008C21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9608D" w14:textId="77777777" w:rsidR="00392C4D" w:rsidRDefault="00392C4D" w:rsidP="008C21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18E">
      <w:rPr>
        <w:rFonts w:ascii="FrankRuehl" w:hAnsi="FrankRuehl" w:cs="FrankRuehl"/>
        <w:noProof/>
        <w:rtl/>
      </w:rPr>
      <w:t>1</w:t>
    </w:r>
    <w:r>
      <w:rPr>
        <w:rFonts w:ascii="FrankRuehl" w:hAnsi="FrankRuehl" w:cs="FrankRuehl"/>
        <w:rtl/>
      </w:rPr>
      <w:fldChar w:fldCharType="end"/>
    </w:r>
  </w:p>
  <w:p w14:paraId="69DA04DF" w14:textId="77777777" w:rsidR="00392C4D" w:rsidRPr="008C2109" w:rsidRDefault="00392C4D" w:rsidP="008C21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603D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10C07" w14:textId="77777777" w:rsidR="00392C4D" w:rsidRDefault="00392C4D" w:rsidP="000A5A36">
      <w:r>
        <w:separator/>
      </w:r>
    </w:p>
  </w:footnote>
  <w:footnote w:type="continuationSeparator" w:id="0">
    <w:p w14:paraId="3FF83F0A" w14:textId="77777777" w:rsidR="00392C4D" w:rsidRDefault="00392C4D" w:rsidP="000A5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FA132" w14:textId="77777777" w:rsidR="00392C4D" w:rsidRPr="008C2109" w:rsidRDefault="00392C4D" w:rsidP="008C21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7908-02-17</w:t>
    </w:r>
    <w:r>
      <w:rPr>
        <w:rFonts w:ascii="David" w:hAnsi="David"/>
        <w:color w:val="000000"/>
        <w:sz w:val="22"/>
        <w:szCs w:val="22"/>
        <w:rtl/>
      </w:rPr>
      <w:tab/>
      <w:t xml:space="preserve"> שלוחת תביעות מרום הגליל והגולן נ' עובדיה עודד חנון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A3D0B" w14:textId="77777777" w:rsidR="00392C4D" w:rsidRPr="008C2109" w:rsidRDefault="00392C4D" w:rsidP="008C21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7908-02-17</w:t>
    </w:r>
    <w:r>
      <w:rPr>
        <w:rFonts w:ascii="David" w:hAnsi="David"/>
        <w:color w:val="000000"/>
        <w:sz w:val="22"/>
        <w:szCs w:val="22"/>
        <w:rtl/>
      </w:rPr>
      <w:tab/>
      <w:t xml:space="preserve"> שלוחת תביעות מרום הגליל והגולן נ' עובדיה עודד חנון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3D14"/>
    <w:rsid w:val="000A5A36"/>
    <w:rsid w:val="001C09D6"/>
    <w:rsid w:val="00215DA8"/>
    <w:rsid w:val="002D7B2F"/>
    <w:rsid w:val="00392C4D"/>
    <w:rsid w:val="005F411B"/>
    <w:rsid w:val="00623D14"/>
    <w:rsid w:val="006E2E33"/>
    <w:rsid w:val="008C2109"/>
    <w:rsid w:val="00BA16A0"/>
    <w:rsid w:val="00BA618E"/>
    <w:rsid w:val="00F57C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522FFB"/>
  <w15:chartTrackingRefBased/>
  <w15:docId w15:val="{943BDB99-341D-4285-8040-F68FA2DF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3D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3D14"/>
    <w:pPr>
      <w:tabs>
        <w:tab w:val="center" w:pos="4153"/>
        <w:tab w:val="right" w:pos="8306"/>
      </w:tabs>
    </w:pPr>
  </w:style>
  <w:style w:type="character" w:customStyle="1" w:styleId="a4">
    <w:name w:val="כותרת עליונה תו"/>
    <w:link w:val="a3"/>
    <w:rsid w:val="00623D14"/>
    <w:rPr>
      <w:rFonts w:ascii="Times New Roman" w:eastAsia="Times New Roman" w:hAnsi="Times New Roman" w:cs="David"/>
      <w:sz w:val="24"/>
      <w:szCs w:val="24"/>
    </w:rPr>
  </w:style>
  <w:style w:type="paragraph" w:styleId="a5">
    <w:name w:val="footer"/>
    <w:basedOn w:val="a"/>
    <w:link w:val="a6"/>
    <w:rsid w:val="00623D14"/>
    <w:pPr>
      <w:tabs>
        <w:tab w:val="center" w:pos="4153"/>
        <w:tab w:val="right" w:pos="8306"/>
      </w:tabs>
    </w:pPr>
  </w:style>
  <w:style w:type="character" w:customStyle="1" w:styleId="a6">
    <w:name w:val="כותרת תחתונה תו"/>
    <w:link w:val="a5"/>
    <w:rsid w:val="00623D14"/>
    <w:rPr>
      <w:rFonts w:ascii="Times New Roman" w:eastAsia="Times New Roman" w:hAnsi="Times New Roman" w:cs="David"/>
      <w:sz w:val="24"/>
      <w:szCs w:val="24"/>
    </w:rPr>
  </w:style>
  <w:style w:type="table" w:styleId="a7">
    <w:name w:val="Table Grid"/>
    <w:basedOn w:val="a1"/>
    <w:rsid w:val="00623D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3D14"/>
  </w:style>
  <w:style w:type="character" w:styleId="Hyperlink">
    <w:name w:val="Hyperlink"/>
    <w:rsid w:val="00623D14"/>
    <w:rPr>
      <w:color w:val="0000FF"/>
      <w:u w:val="single"/>
    </w:rPr>
  </w:style>
  <w:style w:type="character" w:styleId="a9">
    <w:name w:val="Unresolved Mention"/>
    <w:rsid w:val="008C21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5810781" TargetMode="External"/><Relationship Id="rId18" Type="http://schemas.openxmlformats.org/officeDocument/2006/relationships/hyperlink" Target="http://www.nevo.co.il/law/421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71d"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5763166" TargetMode="External"/><Relationship Id="rId20" Type="http://schemas.openxmlformats.org/officeDocument/2006/relationships/hyperlink" Target="http://www.nevo.co.il/case/20632055"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6987521"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71d" TargetMode="External"/><Relationship Id="rId19" Type="http://schemas.openxmlformats.org/officeDocument/2006/relationships/hyperlink" Target="http://www.nevo.co.il/case/5611948"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17916229"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3076</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18425</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6553698</vt:i4>
      </vt:variant>
      <vt:variant>
        <vt:i4>45</vt:i4>
      </vt:variant>
      <vt:variant>
        <vt:i4>0</vt:i4>
      </vt:variant>
      <vt:variant>
        <vt:i4>5</vt:i4>
      </vt:variant>
      <vt:variant>
        <vt:lpwstr>http://www.nevo.co.il/law/70301/71d</vt:lpwstr>
      </vt:variant>
      <vt:variant>
        <vt:lpwstr/>
      </vt:variant>
      <vt:variant>
        <vt:i4>3342455</vt:i4>
      </vt:variant>
      <vt:variant>
        <vt:i4>42</vt:i4>
      </vt:variant>
      <vt:variant>
        <vt:i4>0</vt:i4>
      </vt:variant>
      <vt:variant>
        <vt:i4>5</vt:i4>
      </vt:variant>
      <vt:variant>
        <vt:lpwstr>http://www.nevo.co.il/case/20632055</vt:lpwstr>
      </vt:variant>
      <vt:variant>
        <vt:lpwstr/>
      </vt:variant>
      <vt:variant>
        <vt:i4>3473527</vt:i4>
      </vt:variant>
      <vt:variant>
        <vt:i4>39</vt:i4>
      </vt:variant>
      <vt:variant>
        <vt:i4>0</vt:i4>
      </vt:variant>
      <vt:variant>
        <vt:i4>5</vt:i4>
      </vt:variant>
      <vt:variant>
        <vt:lpwstr>http://www.nevo.co.il/case/5611948</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3407990</vt:i4>
      </vt:variant>
      <vt:variant>
        <vt:i4>30</vt:i4>
      </vt:variant>
      <vt:variant>
        <vt:i4>0</vt:i4>
      </vt:variant>
      <vt:variant>
        <vt:i4>5</vt:i4>
      </vt:variant>
      <vt:variant>
        <vt:lpwstr>http://www.nevo.co.il/case/5763166</vt:lpwstr>
      </vt:variant>
      <vt:variant>
        <vt:lpwstr/>
      </vt:variant>
      <vt:variant>
        <vt:i4>3801208</vt:i4>
      </vt:variant>
      <vt:variant>
        <vt:i4>27</vt:i4>
      </vt:variant>
      <vt:variant>
        <vt:i4>0</vt:i4>
      </vt:variant>
      <vt:variant>
        <vt:i4>5</vt:i4>
      </vt:variant>
      <vt:variant>
        <vt:lpwstr>http://www.nevo.co.il/case/6987521</vt:lpwstr>
      </vt:variant>
      <vt:variant>
        <vt:lpwstr/>
      </vt:variant>
      <vt:variant>
        <vt:i4>3932272</vt:i4>
      </vt:variant>
      <vt:variant>
        <vt:i4>24</vt:i4>
      </vt:variant>
      <vt:variant>
        <vt:i4>0</vt:i4>
      </vt:variant>
      <vt:variant>
        <vt:i4>5</vt:i4>
      </vt:variant>
      <vt:variant>
        <vt:lpwstr>http://www.nevo.co.il/case/17916229</vt:lpwstr>
      </vt:variant>
      <vt:variant>
        <vt:lpwstr/>
      </vt:variant>
      <vt:variant>
        <vt:i4>3276916</vt:i4>
      </vt:variant>
      <vt:variant>
        <vt:i4>21</vt:i4>
      </vt:variant>
      <vt:variant>
        <vt:i4>0</vt:i4>
      </vt:variant>
      <vt:variant>
        <vt:i4>5</vt:i4>
      </vt:variant>
      <vt:variant>
        <vt:lpwstr>http://www.nevo.co.il/case/5810781</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6553698</vt:i4>
      </vt:variant>
      <vt:variant>
        <vt:i4>12</vt:i4>
      </vt:variant>
      <vt:variant>
        <vt:i4>0</vt:i4>
      </vt:variant>
      <vt:variant>
        <vt:i4>5</vt:i4>
      </vt:variant>
      <vt:variant>
        <vt:lpwstr>http://www.nevo.co.il/law/70301/71d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7908</vt:lpwstr>
  </property>
  <property fmtid="{D5CDD505-2E9C-101B-9397-08002B2CF9AE}" pid="6" name="NEWPARTB">
    <vt:lpwstr>02</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עובדיה עודד חנון</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20180108</vt:lpwstr>
  </property>
  <property fmtid="{D5CDD505-2E9C-101B-9397-08002B2CF9AE}" pid="13" name="TYPE_N_DATE">
    <vt:lpwstr>38020180108</vt:lpwstr>
  </property>
  <property fmtid="{D5CDD505-2E9C-101B-9397-08002B2CF9AE}" pid="14" name="CASESLISTTMP1">
    <vt:lpwstr>5810781;17916229;6987521;5763166;5611948;20632055</vt:lpwstr>
  </property>
  <property fmtid="{D5CDD505-2E9C-101B-9397-08002B2CF9AE}" pid="15" name="WORDNUMPAGES">
    <vt:lpwstr>10</vt:lpwstr>
  </property>
  <property fmtid="{D5CDD505-2E9C-101B-9397-08002B2CF9AE}" pid="16" name="TYPE_ABS_DATE">
    <vt:lpwstr>380020180108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4216/007.a:2;007.c:2</vt:lpwstr>
  </property>
  <property fmtid="{D5CDD505-2E9C-101B-9397-08002B2CF9AE}" pid="37" name="LAWLISTTMP2">
    <vt:lpwstr>70301/071d:2</vt:lpwstr>
  </property>
</Properties>
</file>