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AB0220" w:rsidRPr="007929C5" w14:paraId="036B4DC1" w14:textId="77777777" w:rsidTr="004135C8">
        <w:trPr>
          <w:trHeight w:hRule="exact" w:val="418"/>
          <w:jc w:val="center"/>
        </w:trPr>
        <w:tc>
          <w:tcPr>
            <w:tcW w:w="8721" w:type="dxa"/>
            <w:gridSpan w:val="2"/>
          </w:tcPr>
          <w:p w14:paraId="1C083F26" w14:textId="77777777" w:rsidR="00AB0220" w:rsidRPr="007929C5" w:rsidRDefault="00AB0220" w:rsidP="007929C5">
            <w:pPr>
              <w:pStyle w:val="a3"/>
              <w:jc w:val="center"/>
              <w:rPr>
                <w:rFonts w:ascii="Tahoma" w:hAnsi="Tahoma" w:cs="Tahoma"/>
                <w:color w:val="000080"/>
                <w:rtl/>
              </w:rPr>
            </w:pPr>
            <w:bookmarkStart w:id="0" w:name="LastJudge"/>
            <w:r w:rsidRPr="007929C5">
              <w:rPr>
                <w:rFonts w:ascii="Tahoma" w:hAnsi="Tahoma" w:cs="Tahoma"/>
                <w:b/>
                <w:bCs/>
                <w:color w:val="000080"/>
                <w:rtl/>
              </w:rPr>
              <w:t>בית משפט השלום בקריות</w:t>
            </w:r>
          </w:p>
        </w:tc>
      </w:tr>
      <w:tr w:rsidR="00AB0220" w:rsidRPr="007929C5" w14:paraId="65DCB36A" w14:textId="77777777" w:rsidTr="004135C8">
        <w:trPr>
          <w:trHeight w:val="337"/>
          <w:jc w:val="center"/>
        </w:trPr>
        <w:tc>
          <w:tcPr>
            <w:tcW w:w="5057" w:type="dxa"/>
          </w:tcPr>
          <w:p w14:paraId="46929A63" w14:textId="77777777" w:rsidR="00AB0220" w:rsidRPr="007929C5" w:rsidRDefault="00AB0220" w:rsidP="007929C5">
            <w:pPr>
              <w:rPr>
                <w:rFonts w:cs="FrankRuehl"/>
                <w:sz w:val="28"/>
                <w:szCs w:val="28"/>
                <w:rtl/>
              </w:rPr>
            </w:pPr>
            <w:r w:rsidRPr="007929C5">
              <w:rPr>
                <w:rFonts w:cs="FrankRuehl"/>
                <w:sz w:val="28"/>
                <w:szCs w:val="28"/>
                <w:rtl/>
              </w:rPr>
              <w:t>ת"פ</w:t>
            </w:r>
            <w:r w:rsidRPr="007929C5">
              <w:rPr>
                <w:rFonts w:cs="FrankRuehl" w:hint="cs"/>
                <w:sz w:val="28"/>
                <w:szCs w:val="28"/>
                <w:rtl/>
              </w:rPr>
              <w:t xml:space="preserve"> </w:t>
            </w:r>
            <w:r w:rsidRPr="007929C5">
              <w:rPr>
                <w:rFonts w:cs="FrankRuehl"/>
                <w:sz w:val="28"/>
                <w:szCs w:val="28"/>
                <w:rtl/>
              </w:rPr>
              <w:t>864-02-17</w:t>
            </w:r>
            <w:r w:rsidRPr="007929C5">
              <w:rPr>
                <w:rFonts w:cs="FrankRuehl" w:hint="cs"/>
                <w:sz w:val="28"/>
                <w:szCs w:val="28"/>
                <w:rtl/>
              </w:rPr>
              <w:t xml:space="preserve"> </w:t>
            </w:r>
            <w:r w:rsidRPr="007929C5">
              <w:rPr>
                <w:rFonts w:cs="FrankRuehl"/>
                <w:sz w:val="28"/>
                <w:szCs w:val="28"/>
                <w:rtl/>
              </w:rPr>
              <w:t>מדינת ישראל נ' סעד(עציר)</w:t>
            </w:r>
          </w:p>
          <w:p w14:paraId="0139A76D" w14:textId="77777777" w:rsidR="00AB0220" w:rsidRPr="007929C5" w:rsidRDefault="00AB0220" w:rsidP="007929C5">
            <w:pPr>
              <w:pStyle w:val="a3"/>
              <w:rPr>
                <w:rFonts w:cs="FrankRuehl"/>
                <w:sz w:val="28"/>
                <w:szCs w:val="28"/>
                <w:rtl/>
              </w:rPr>
            </w:pPr>
          </w:p>
        </w:tc>
        <w:tc>
          <w:tcPr>
            <w:tcW w:w="3664" w:type="dxa"/>
          </w:tcPr>
          <w:p w14:paraId="1BD8C3D0" w14:textId="77777777" w:rsidR="00AB0220" w:rsidRPr="007929C5" w:rsidRDefault="00AB0220" w:rsidP="007929C5">
            <w:pPr>
              <w:pStyle w:val="a3"/>
              <w:jc w:val="right"/>
              <w:rPr>
                <w:rFonts w:cs="FrankRuehl"/>
                <w:sz w:val="28"/>
                <w:szCs w:val="28"/>
                <w:rtl/>
              </w:rPr>
            </w:pPr>
          </w:p>
        </w:tc>
      </w:tr>
    </w:tbl>
    <w:p w14:paraId="5EDBDF55" w14:textId="77777777" w:rsidR="00AB0220" w:rsidRPr="007929C5" w:rsidRDefault="00AB0220" w:rsidP="00AB0220">
      <w:pPr>
        <w:pStyle w:val="a3"/>
        <w:rPr>
          <w:rtl/>
        </w:rPr>
      </w:pPr>
      <w:r w:rsidRPr="007929C5">
        <w:rPr>
          <w:rFonts w:hint="cs"/>
          <w:rtl/>
        </w:rPr>
        <w:t xml:space="preserve"> </w:t>
      </w:r>
    </w:p>
    <w:p w14:paraId="34139EBD" w14:textId="77777777" w:rsidR="00AB0220" w:rsidRPr="007929C5" w:rsidRDefault="00AB0220" w:rsidP="00AB022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B0220" w:rsidRPr="007929C5" w14:paraId="1E37E715" w14:textId="77777777" w:rsidTr="00AB0220">
        <w:trPr>
          <w:trHeight w:val="295"/>
          <w:jc w:val="center"/>
        </w:trPr>
        <w:tc>
          <w:tcPr>
            <w:tcW w:w="923" w:type="dxa"/>
            <w:tcBorders>
              <w:top w:val="nil"/>
              <w:left w:val="nil"/>
              <w:bottom w:val="nil"/>
              <w:right w:val="nil"/>
            </w:tcBorders>
            <w:shd w:val="clear" w:color="auto" w:fill="auto"/>
          </w:tcPr>
          <w:p w14:paraId="6FBD90D9" w14:textId="77777777" w:rsidR="00AB0220" w:rsidRPr="007929C5" w:rsidRDefault="00AB0220" w:rsidP="00AB0220">
            <w:pPr>
              <w:jc w:val="both"/>
              <w:rPr>
                <w:rFonts w:ascii="Arial" w:hAnsi="Arial"/>
                <w:b/>
                <w:bCs/>
              </w:rPr>
            </w:pPr>
            <w:r w:rsidRPr="007929C5">
              <w:rPr>
                <w:rFonts w:ascii="Arial" w:hAnsi="Arial" w:hint="cs"/>
                <w:b/>
                <w:bCs/>
                <w:rtl/>
              </w:rPr>
              <w:t>ב</w:t>
            </w:r>
            <w:r w:rsidRPr="007929C5">
              <w:rPr>
                <w:rFonts w:ascii="Arial" w:hAnsi="Arial"/>
                <w:b/>
                <w:bCs/>
                <w:rtl/>
              </w:rPr>
              <w:t xml:space="preserve">פני </w:t>
            </w:r>
          </w:p>
        </w:tc>
        <w:tc>
          <w:tcPr>
            <w:tcW w:w="7897" w:type="dxa"/>
            <w:gridSpan w:val="2"/>
            <w:tcBorders>
              <w:top w:val="nil"/>
              <w:left w:val="nil"/>
              <w:bottom w:val="nil"/>
              <w:right w:val="nil"/>
            </w:tcBorders>
            <w:shd w:val="clear" w:color="auto" w:fill="auto"/>
          </w:tcPr>
          <w:p w14:paraId="566ACD04" w14:textId="77777777" w:rsidR="00AB0220" w:rsidRPr="007929C5" w:rsidRDefault="00AB0220" w:rsidP="007929C5">
            <w:pPr>
              <w:rPr>
                <w:rFonts w:ascii="Arial" w:hAnsi="Arial"/>
                <w:b/>
                <w:bCs/>
                <w:rtl/>
              </w:rPr>
            </w:pPr>
            <w:r w:rsidRPr="007929C5">
              <w:rPr>
                <w:rFonts w:ascii="Arial" w:hAnsi="Arial" w:hint="cs"/>
                <w:b/>
                <w:bCs/>
                <w:rtl/>
              </w:rPr>
              <w:t>כבוד ה</w:t>
            </w:r>
            <w:r w:rsidRPr="007929C5">
              <w:rPr>
                <w:rFonts w:ascii="Arial" w:hAnsi="Arial"/>
                <w:b/>
                <w:bCs/>
                <w:rtl/>
              </w:rPr>
              <w:t>שופט</w:t>
            </w:r>
            <w:r w:rsidRPr="007929C5">
              <w:rPr>
                <w:rFonts w:ascii="Arial" w:hAnsi="Arial" w:hint="cs"/>
                <w:b/>
                <w:bCs/>
                <w:rtl/>
              </w:rPr>
              <w:t xml:space="preserve">  </w:t>
            </w:r>
            <w:r w:rsidRPr="007929C5">
              <w:rPr>
                <w:rFonts w:ascii="Arial" w:hAnsi="Arial"/>
                <w:b/>
                <w:bCs/>
                <w:rtl/>
              </w:rPr>
              <w:t>יוסי טורס</w:t>
            </w:r>
          </w:p>
          <w:p w14:paraId="5A47F9C7" w14:textId="77777777" w:rsidR="00AB0220" w:rsidRPr="007929C5" w:rsidRDefault="00AB0220" w:rsidP="007929C5">
            <w:pPr>
              <w:rPr>
                <w:b/>
                <w:bCs/>
                <w:rtl/>
              </w:rPr>
            </w:pPr>
          </w:p>
          <w:p w14:paraId="164633A4" w14:textId="77777777" w:rsidR="00AB0220" w:rsidRPr="007929C5" w:rsidRDefault="00AB0220" w:rsidP="00AB0220">
            <w:pPr>
              <w:jc w:val="both"/>
              <w:rPr>
                <w:rFonts w:ascii="Arial" w:hAnsi="Arial"/>
                <w:b/>
                <w:bCs/>
              </w:rPr>
            </w:pPr>
          </w:p>
        </w:tc>
      </w:tr>
      <w:tr w:rsidR="00AB0220" w:rsidRPr="007929C5" w14:paraId="7E64275E" w14:textId="77777777" w:rsidTr="00AB0220">
        <w:trPr>
          <w:trHeight w:val="355"/>
          <w:jc w:val="center"/>
        </w:trPr>
        <w:tc>
          <w:tcPr>
            <w:tcW w:w="923" w:type="dxa"/>
            <w:tcBorders>
              <w:top w:val="nil"/>
              <w:left w:val="nil"/>
              <w:bottom w:val="nil"/>
              <w:right w:val="nil"/>
            </w:tcBorders>
            <w:shd w:val="clear" w:color="auto" w:fill="auto"/>
          </w:tcPr>
          <w:p w14:paraId="61A8D590" w14:textId="77777777" w:rsidR="00AB0220" w:rsidRPr="007929C5" w:rsidRDefault="00AB0220" w:rsidP="00AB0220">
            <w:pPr>
              <w:jc w:val="both"/>
              <w:rPr>
                <w:rFonts w:ascii="Arial" w:hAnsi="Arial"/>
                <w:b/>
                <w:bCs/>
              </w:rPr>
            </w:pPr>
            <w:bookmarkStart w:id="1" w:name="FirstAppellant"/>
            <w:r w:rsidRPr="007929C5">
              <w:rPr>
                <w:rFonts w:ascii="Arial" w:hAnsi="Arial" w:hint="cs"/>
                <w:b/>
                <w:bCs/>
                <w:rtl/>
              </w:rPr>
              <w:t>בעניין:</w:t>
            </w:r>
          </w:p>
        </w:tc>
        <w:tc>
          <w:tcPr>
            <w:tcW w:w="4126" w:type="dxa"/>
            <w:tcBorders>
              <w:top w:val="nil"/>
              <w:left w:val="nil"/>
              <w:bottom w:val="nil"/>
              <w:right w:val="nil"/>
            </w:tcBorders>
            <w:shd w:val="clear" w:color="auto" w:fill="auto"/>
          </w:tcPr>
          <w:p w14:paraId="2515D359" w14:textId="77777777" w:rsidR="00AB0220" w:rsidRPr="007929C5" w:rsidRDefault="00AB0220" w:rsidP="007929C5">
            <w:pPr>
              <w:rPr>
                <w:b/>
                <w:bCs/>
              </w:rPr>
            </w:pPr>
            <w:r w:rsidRPr="007929C5">
              <w:rPr>
                <w:rFonts w:ascii="Arial" w:hAnsi="Arial"/>
                <w:b/>
                <w:bCs/>
                <w:rtl/>
              </w:rPr>
              <w:t>מדינת ישראל</w:t>
            </w:r>
          </w:p>
        </w:tc>
        <w:tc>
          <w:tcPr>
            <w:tcW w:w="3771" w:type="dxa"/>
            <w:tcBorders>
              <w:top w:val="nil"/>
              <w:left w:val="nil"/>
              <w:bottom w:val="nil"/>
              <w:right w:val="nil"/>
            </w:tcBorders>
            <w:shd w:val="clear" w:color="auto" w:fill="auto"/>
          </w:tcPr>
          <w:p w14:paraId="5159D599" w14:textId="77777777" w:rsidR="00AB0220" w:rsidRPr="007929C5" w:rsidRDefault="00AB0220" w:rsidP="00AB0220">
            <w:pPr>
              <w:jc w:val="both"/>
              <w:rPr>
                <w:rFonts w:ascii="Arial" w:hAnsi="Arial"/>
                <w:b/>
                <w:bCs/>
              </w:rPr>
            </w:pPr>
          </w:p>
        </w:tc>
      </w:tr>
      <w:bookmarkEnd w:id="1"/>
      <w:tr w:rsidR="00AB0220" w:rsidRPr="007929C5" w14:paraId="2310FBB5" w14:textId="77777777" w:rsidTr="00AB0220">
        <w:trPr>
          <w:trHeight w:val="355"/>
          <w:jc w:val="center"/>
        </w:trPr>
        <w:tc>
          <w:tcPr>
            <w:tcW w:w="923" w:type="dxa"/>
            <w:tcBorders>
              <w:top w:val="nil"/>
              <w:left w:val="nil"/>
              <w:bottom w:val="nil"/>
              <w:right w:val="nil"/>
            </w:tcBorders>
            <w:shd w:val="clear" w:color="auto" w:fill="auto"/>
          </w:tcPr>
          <w:p w14:paraId="63474AB7" w14:textId="77777777" w:rsidR="00AB0220" w:rsidRPr="007929C5" w:rsidRDefault="00AB0220" w:rsidP="00AB0220">
            <w:pPr>
              <w:jc w:val="both"/>
              <w:rPr>
                <w:rFonts w:ascii="Arial" w:hAnsi="Arial"/>
                <w:b/>
                <w:bCs/>
                <w:rtl/>
              </w:rPr>
            </w:pPr>
          </w:p>
        </w:tc>
        <w:tc>
          <w:tcPr>
            <w:tcW w:w="4126" w:type="dxa"/>
            <w:tcBorders>
              <w:top w:val="nil"/>
              <w:left w:val="nil"/>
              <w:bottom w:val="nil"/>
              <w:right w:val="nil"/>
            </w:tcBorders>
            <w:shd w:val="clear" w:color="auto" w:fill="auto"/>
          </w:tcPr>
          <w:p w14:paraId="410A3B34" w14:textId="77777777" w:rsidR="00AB0220" w:rsidRPr="007929C5" w:rsidRDefault="00AB0220" w:rsidP="00AB0220">
            <w:pPr>
              <w:jc w:val="both"/>
              <w:rPr>
                <w:b/>
                <w:bCs/>
                <w:rtl/>
              </w:rPr>
            </w:pPr>
          </w:p>
        </w:tc>
        <w:tc>
          <w:tcPr>
            <w:tcW w:w="3771" w:type="dxa"/>
            <w:tcBorders>
              <w:top w:val="nil"/>
              <w:left w:val="nil"/>
              <w:bottom w:val="nil"/>
              <w:right w:val="nil"/>
            </w:tcBorders>
            <w:shd w:val="clear" w:color="auto" w:fill="auto"/>
          </w:tcPr>
          <w:p w14:paraId="408E02DF" w14:textId="77777777" w:rsidR="00AB0220" w:rsidRPr="007929C5" w:rsidRDefault="00AB0220" w:rsidP="00AB0220">
            <w:pPr>
              <w:jc w:val="right"/>
              <w:rPr>
                <w:rFonts w:ascii="Arial" w:hAnsi="Arial"/>
                <w:b/>
                <w:bCs/>
                <w:rtl/>
              </w:rPr>
            </w:pPr>
            <w:r w:rsidRPr="007929C5">
              <w:rPr>
                <w:rFonts w:ascii="Arial" w:hAnsi="Arial" w:hint="cs"/>
                <w:b/>
                <w:bCs/>
                <w:rtl/>
              </w:rPr>
              <w:t>ה</w:t>
            </w:r>
            <w:r w:rsidRPr="007929C5">
              <w:rPr>
                <w:rFonts w:ascii="Arial" w:hAnsi="Arial"/>
                <w:b/>
                <w:bCs/>
                <w:rtl/>
              </w:rPr>
              <w:t>מאשימה</w:t>
            </w:r>
          </w:p>
        </w:tc>
      </w:tr>
      <w:tr w:rsidR="00AB0220" w:rsidRPr="007929C5" w14:paraId="00A502C2" w14:textId="77777777" w:rsidTr="00AB0220">
        <w:trPr>
          <w:trHeight w:val="355"/>
          <w:jc w:val="center"/>
        </w:trPr>
        <w:tc>
          <w:tcPr>
            <w:tcW w:w="923" w:type="dxa"/>
            <w:tcBorders>
              <w:top w:val="nil"/>
              <w:left w:val="nil"/>
              <w:bottom w:val="nil"/>
              <w:right w:val="nil"/>
            </w:tcBorders>
            <w:shd w:val="clear" w:color="auto" w:fill="auto"/>
          </w:tcPr>
          <w:p w14:paraId="5D95084C" w14:textId="77777777" w:rsidR="00AB0220" w:rsidRPr="007929C5" w:rsidRDefault="00AB0220" w:rsidP="00AB0220">
            <w:pPr>
              <w:jc w:val="both"/>
              <w:rPr>
                <w:rFonts w:ascii="Arial" w:hAnsi="Arial"/>
                <w:b/>
                <w:bCs/>
                <w:rtl/>
              </w:rPr>
            </w:pPr>
          </w:p>
        </w:tc>
        <w:tc>
          <w:tcPr>
            <w:tcW w:w="7897" w:type="dxa"/>
            <w:gridSpan w:val="2"/>
            <w:tcBorders>
              <w:top w:val="nil"/>
              <w:left w:val="nil"/>
              <w:bottom w:val="nil"/>
              <w:right w:val="nil"/>
            </w:tcBorders>
            <w:shd w:val="clear" w:color="auto" w:fill="auto"/>
          </w:tcPr>
          <w:p w14:paraId="396C38A1" w14:textId="77777777" w:rsidR="00AB0220" w:rsidRPr="007929C5" w:rsidRDefault="00AB0220" w:rsidP="00AB0220">
            <w:pPr>
              <w:jc w:val="center"/>
              <w:rPr>
                <w:rFonts w:ascii="Arial" w:hAnsi="Arial"/>
                <w:b/>
                <w:bCs/>
                <w:rtl/>
              </w:rPr>
            </w:pPr>
          </w:p>
          <w:p w14:paraId="07C55D58" w14:textId="77777777" w:rsidR="00AB0220" w:rsidRPr="007929C5" w:rsidRDefault="00AB0220" w:rsidP="00AB0220">
            <w:pPr>
              <w:jc w:val="center"/>
              <w:rPr>
                <w:rFonts w:ascii="Arial" w:hAnsi="Arial"/>
                <w:b/>
                <w:bCs/>
                <w:rtl/>
              </w:rPr>
            </w:pPr>
            <w:r w:rsidRPr="007929C5">
              <w:rPr>
                <w:rFonts w:ascii="Arial" w:hAnsi="Arial"/>
                <w:b/>
                <w:bCs/>
                <w:rtl/>
              </w:rPr>
              <w:t>נגד</w:t>
            </w:r>
          </w:p>
          <w:p w14:paraId="399ABF2D" w14:textId="77777777" w:rsidR="00AB0220" w:rsidRPr="007929C5" w:rsidRDefault="00AB0220" w:rsidP="00AB0220">
            <w:pPr>
              <w:jc w:val="both"/>
              <w:rPr>
                <w:rFonts w:ascii="Arial" w:hAnsi="Arial"/>
                <w:b/>
                <w:bCs/>
              </w:rPr>
            </w:pPr>
          </w:p>
        </w:tc>
      </w:tr>
      <w:tr w:rsidR="00AB0220" w:rsidRPr="007929C5" w14:paraId="25427585" w14:textId="77777777" w:rsidTr="00AB0220">
        <w:trPr>
          <w:trHeight w:val="355"/>
          <w:jc w:val="center"/>
        </w:trPr>
        <w:tc>
          <w:tcPr>
            <w:tcW w:w="923" w:type="dxa"/>
            <w:tcBorders>
              <w:top w:val="nil"/>
              <w:left w:val="nil"/>
              <w:bottom w:val="nil"/>
              <w:right w:val="nil"/>
            </w:tcBorders>
            <w:shd w:val="clear" w:color="auto" w:fill="auto"/>
          </w:tcPr>
          <w:p w14:paraId="5567850C" w14:textId="77777777" w:rsidR="00AB0220" w:rsidRPr="007929C5" w:rsidRDefault="00AB0220" w:rsidP="007929C5">
            <w:pPr>
              <w:rPr>
                <w:rFonts w:ascii="Arial" w:hAnsi="Arial"/>
                <w:b/>
                <w:bCs/>
                <w:rtl/>
              </w:rPr>
            </w:pPr>
          </w:p>
        </w:tc>
        <w:tc>
          <w:tcPr>
            <w:tcW w:w="4126" w:type="dxa"/>
            <w:tcBorders>
              <w:top w:val="nil"/>
              <w:left w:val="nil"/>
              <w:bottom w:val="nil"/>
              <w:right w:val="nil"/>
            </w:tcBorders>
            <w:shd w:val="clear" w:color="auto" w:fill="auto"/>
          </w:tcPr>
          <w:p w14:paraId="7F67FC84" w14:textId="77777777" w:rsidR="00AB0220" w:rsidRPr="007929C5" w:rsidRDefault="00AB0220" w:rsidP="007929C5">
            <w:pPr>
              <w:rPr>
                <w:b/>
                <w:bCs/>
                <w:rtl/>
              </w:rPr>
            </w:pPr>
            <w:r w:rsidRPr="007929C5">
              <w:rPr>
                <w:rFonts w:ascii="Arial" w:hAnsi="Arial"/>
                <w:b/>
                <w:bCs/>
                <w:rtl/>
              </w:rPr>
              <w:t xml:space="preserve">דוד סעד </w:t>
            </w:r>
          </w:p>
        </w:tc>
        <w:tc>
          <w:tcPr>
            <w:tcW w:w="3771" w:type="dxa"/>
            <w:tcBorders>
              <w:top w:val="nil"/>
              <w:left w:val="nil"/>
              <w:bottom w:val="nil"/>
              <w:right w:val="nil"/>
            </w:tcBorders>
            <w:shd w:val="clear" w:color="auto" w:fill="auto"/>
          </w:tcPr>
          <w:p w14:paraId="534F537B" w14:textId="77777777" w:rsidR="00AB0220" w:rsidRPr="007929C5" w:rsidRDefault="00AB0220" w:rsidP="00AB0220">
            <w:pPr>
              <w:jc w:val="right"/>
              <w:rPr>
                <w:rFonts w:ascii="Arial" w:hAnsi="Arial"/>
                <w:b/>
                <w:bCs/>
              </w:rPr>
            </w:pPr>
          </w:p>
        </w:tc>
      </w:tr>
      <w:tr w:rsidR="00AB0220" w:rsidRPr="007929C5" w14:paraId="1C739E28" w14:textId="77777777" w:rsidTr="00AB0220">
        <w:trPr>
          <w:trHeight w:val="355"/>
          <w:jc w:val="center"/>
        </w:trPr>
        <w:tc>
          <w:tcPr>
            <w:tcW w:w="923" w:type="dxa"/>
            <w:tcBorders>
              <w:top w:val="nil"/>
              <w:left w:val="nil"/>
              <w:bottom w:val="nil"/>
              <w:right w:val="nil"/>
            </w:tcBorders>
            <w:shd w:val="clear" w:color="auto" w:fill="auto"/>
          </w:tcPr>
          <w:p w14:paraId="01A32F02" w14:textId="77777777" w:rsidR="00AB0220" w:rsidRPr="007929C5" w:rsidRDefault="00AB0220" w:rsidP="00AB0220">
            <w:pPr>
              <w:jc w:val="both"/>
              <w:rPr>
                <w:rFonts w:ascii="Arial" w:hAnsi="Arial"/>
                <w:b/>
                <w:bCs/>
                <w:rtl/>
              </w:rPr>
            </w:pPr>
          </w:p>
        </w:tc>
        <w:tc>
          <w:tcPr>
            <w:tcW w:w="4126" w:type="dxa"/>
            <w:tcBorders>
              <w:top w:val="nil"/>
              <w:left w:val="nil"/>
              <w:bottom w:val="nil"/>
              <w:right w:val="nil"/>
            </w:tcBorders>
            <w:shd w:val="clear" w:color="auto" w:fill="auto"/>
          </w:tcPr>
          <w:p w14:paraId="6C4F2256" w14:textId="77777777" w:rsidR="00AB0220" w:rsidRPr="007929C5" w:rsidRDefault="00AB0220" w:rsidP="00AB0220">
            <w:pPr>
              <w:jc w:val="both"/>
              <w:rPr>
                <w:b/>
                <w:bCs/>
                <w:rtl/>
              </w:rPr>
            </w:pPr>
          </w:p>
        </w:tc>
        <w:tc>
          <w:tcPr>
            <w:tcW w:w="3771" w:type="dxa"/>
            <w:tcBorders>
              <w:top w:val="nil"/>
              <w:left w:val="nil"/>
              <w:bottom w:val="nil"/>
              <w:right w:val="nil"/>
            </w:tcBorders>
            <w:shd w:val="clear" w:color="auto" w:fill="auto"/>
          </w:tcPr>
          <w:p w14:paraId="32E52971" w14:textId="77777777" w:rsidR="00AB0220" w:rsidRPr="007929C5" w:rsidRDefault="00AB0220" w:rsidP="00AB0220">
            <w:pPr>
              <w:jc w:val="right"/>
              <w:rPr>
                <w:rFonts w:ascii="Arial" w:hAnsi="Arial"/>
                <w:b/>
                <w:bCs/>
              </w:rPr>
            </w:pPr>
            <w:r w:rsidRPr="007929C5">
              <w:rPr>
                <w:rFonts w:ascii="Arial" w:hAnsi="Arial" w:hint="cs"/>
                <w:b/>
                <w:bCs/>
                <w:rtl/>
              </w:rPr>
              <w:t>ה</w:t>
            </w:r>
            <w:r w:rsidRPr="007929C5">
              <w:rPr>
                <w:rFonts w:ascii="Arial" w:hAnsi="Arial"/>
                <w:b/>
                <w:bCs/>
                <w:rtl/>
              </w:rPr>
              <w:t>נאשם</w:t>
            </w:r>
          </w:p>
        </w:tc>
      </w:tr>
    </w:tbl>
    <w:p w14:paraId="1A8730A9" w14:textId="77777777" w:rsidR="004135C8" w:rsidRDefault="004135C8" w:rsidP="00AB0220">
      <w:pPr>
        <w:rPr>
          <w:rtl/>
        </w:rPr>
      </w:pPr>
      <w:bookmarkStart w:id="2" w:name="LawTable"/>
      <w:bookmarkEnd w:id="2"/>
    </w:p>
    <w:p w14:paraId="4F628BD9" w14:textId="77777777" w:rsidR="004135C8" w:rsidRPr="004135C8" w:rsidRDefault="004135C8" w:rsidP="004135C8">
      <w:pPr>
        <w:spacing w:after="120" w:line="240" w:lineRule="exact"/>
        <w:ind w:left="283" w:hanging="283"/>
        <w:jc w:val="both"/>
        <w:rPr>
          <w:rFonts w:ascii="FrankRuehl" w:hAnsi="FrankRuehl" w:cs="FrankRuehl"/>
          <w:rtl/>
        </w:rPr>
      </w:pPr>
      <w:r w:rsidRPr="004135C8">
        <w:rPr>
          <w:rFonts w:ascii="FrankRuehl" w:hAnsi="FrankRuehl" w:cs="FrankRuehl"/>
          <w:rtl/>
        </w:rPr>
        <w:t xml:space="preserve">חקיקה שאוזכרה: </w:t>
      </w:r>
    </w:p>
    <w:p w14:paraId="129BF67A" w14:textId="77777777" w:rsidR="004135C8" w:rsidRPr="004135C8" w:rsidRDefault="004135C8" w:rsidP="004135C8">
      <w:pPr>
        <w:spacing w:after="120" w:line="240" w:lineRule="exact"/>
        <w:ind w:left="283" w:hanging="283"/>
        <w:jc w:val="both"/>
        <w:rPr>
          <w:rFonts w:ascii="FrankRuehl" w:hAnsi="FrankRuehl" w:cs="FrankRuehl"/>
          <w:rtl/>
        </w:rPr>
      </w:pPr>
      <w:hyperlink r:id="rId7" w:history="1">
        <w:r w:rsidRPr="004135C8">
          <w:rPr>
            <w:rFonts w:ascii="FrankRuehl" w:hAnsi="FrankRuehl" w:cs="FrankRuehl"/>
            <w:color w:val="0000FF"/>
            <w:u w:val="single"/>
            <w:rtl/>
          </w:rPr>
          <w:t>פקודת הסמים המסוכנים [נוסח חדש], תשל"ג-1973</w:t>
        </w:r>
      </w:hyperlink>
      <w:r w:rsidRPr="004135C8">
        <w:rPr>
          <w:rFonts w:ascii="FrankRuehl" w:hAnsi="FrankRuehl" w:cs="FrankRuehl"/>
          <w:rtl/>
        </w:rPr>
        <w:t xml:space="preserve">: סע'  </w:t>
      </w:r>
      <w:hyperlink r:id="rId8" w:history="1">
        <w:r w:rsidRPr="004135C8">
          <w:rPr>
            <w:rFonts w:ascii="FrankRuehl" w:hAnsi="FrankRuehl" w:cs="FrankRuehl"/>
            <w:color w:val="0000FF"/>
            <w:u w:val="single"/>
            <w:rtl/>
          </w:rPr>
          <w:t>6</w:t>
        </w:r>
      </w:hyperlink>
      <w:r w:rsidRPr="004135C8">
        <w:rPr>
          <w:rFonts w:ascii="FrankRuehl" w:hAnsi="FrankRuehl" w:cs="FrankRuehl"/>
          <w:rtl/>
        </w:rPr>
        <w:t xml:space="preserve">, </w:t>
      </w:r>
      <w:hyperlink r:id="rId9" w:history="1">
        <w:r w:rsidRPr="004135C8">
          <w:rPr>
            <w:rFonts w:ascii="FrankRuehl" w:hAnsi="FrankRuehl" w:cs="FrankRuehl"/>
            <w:color w:val="0000FF"/>
            <w:u w:val="single"/>
            <w:rtl/>
          </w:rPr>
          <w:t>10</w:t>
        </w:r>
      </w:hyperlink>
    </w:p>
    <w:p w14:paraId="044B565A" w14:textId="77777777" w:rsidR="004135C8" w:rsidRPr="004135C8" w:rsidRDefault="004135C8" w:rsidP="004135C8">
      <w:pPr>
        <w:spacing w:after="120" w:line="240" w:lineRule="exact"/>
        <w:ind w:left="283" w:hanging="283"/>
        <w:jc w:val="both"/>
        <w:rPr>
          <w:rFonts w:ascii="FrankRuehl" w:hAnsi="FrankRuehl" w:cs="FrankRuehl"/>
          <w:rtl/>
        </w:rPr>
      </w:pPr>
      <w:hyperlink r:id="rId10" w:history="1">
        <w:r w:rsidRPr="004135C8">
          <w:rPr>
            <w:rFonts w:ascii="FrankRuehl" w:hAnsi="FrankRuehl" w:cs="FrankRuehl"/>
            <w:color w:val="0000FF"/>
            <w:u w:val="single"/>
            <w:rtl/>
          </w:rPr>
          <w:t>חוק העונשין, תשל"ז-1977</w:t>
        </w:r>
      </w:hyperlink>
    </w:p>
    <w:p w14:paraId="593C7EBB" w14:textId="77777777" w:rsidR="00AB0220" w:rsidRPr="007929C5" w:rsidRDefault="00AB0220" w:rsidP="00AB0220">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B0220" w:rsidRPr="00B16FB6" w14:paraId="0192FF47" w14:textId="77777777" w:rsidTr="00AB0220">
        <w:trPr>
          <w:trHeight w:val="355"/>
          <w:jc w:val="center"/>
        </w:trPr>
        <w:tc>
          <w:tcPr>
            <w:tcW w:w="8820" w:type="dxa"/>
            <w:tcBorders>
              <w:top w:val="nil"/>
              <w:left w:val="nil"/>
              <w:bottom w:val="nil"/>
              <w:right w:val="nil"/>
            </w:tcBorders>
            <w:shd w:val="clear" w:color="auto" w:fill="auto"/>
          </w:tcPr>
          <w:p w14:paraId="00D6A314" w14:textId="77777777" w:rsidR="007929C5" w:rsidRPr="007929C5" w:rsidRDefault="007929C5" w:rsidP="007929C5">
            <w:pPr>
              <w:jc w:val="center"/>
              <w:rPr>
                <w:rFonts w:ascii="Arial" w:hAnsi="Arial"/>
                <w:b/>
                <w:bCs/>
                <w:sz w:val="32"/>
                <w:szCs w:val="32"/>
                <w:u w:val="single"/>
                <w:rtl/>
              </w:rPr>
            </w:pPr>
            <w:bookmarkStart w:id="4" w:name="PsakDin" w:colFirst="0" w:colLast="0"/>
            <w:bookmarkEnd w:id="0"/>
            <w:r w:rsidRPr="007929C5">
              <w:rPr>
                <w:rFonts w:ascii="Arial" w:hAnsi="Arial"/>
                <w:b/>
                <w:bCs/>
                <w:sz w:val="32"/>
                <w:szCs w:val="32"/>
                <w:u w:val="single"/>
                <w:rtl/>
              </w:rPr>
              <w:t>גזר דין</w:t>
            </w:r>
          </w:p>
          <w:p w14:paraId="453AF342" w14:textId="77777777" w:rsidR="00AB0220" w:rsidRPr="007929C5" w:rsidRDefault="00AB0220" w:rsidP="007929C5">
            <w:pPr>
              <w:jc w:val="center"/>
              <w:rPr>
                <w:rFonts w:ascii="Arial" w:hAnsi="Arial"/>
                <w:bCs/>
                <w:sz w:val="32"/>
                <w:szCs w:val="32"/>
                <w:u w:val="single"/>
                <w:rtl/>
              </w:rPr>
            </w:pPr>
          </w:p>
        </w:tc>
      </w:tr>
      <w:bookmarkEnd w:id="4"/>
    </w:tbl>
    <w:p w14:paraId="7F57ECA1" w14:textId="77777777" w:rsidR="00AB0220" w:rsidRDefault="00AB0220" w:rsidP="00AB0220">
      <w:pPr>
        <w:rPr>
          <w:rtl/>
        </w:rPr>
      </w:pPr>
    </w:p>
    <w:p w14:paraId="6B1DD246" w14:textId="77777777" w:rsidR="00AB0220" w:rsidRDefault="00AB0220" w:rsidP="00AB0220">
      <w:pPr>
        <w:ind w:firstLine="360"/>
        <w:rPr>
          <w:b/>
          <w:bCs/>
          <w:u w:val="single"/>
          <w:rtl/>
        </w:rPr>
      </w:pPr>
      <w:r>
        <w:rPr>
          <w:rFonts w:hint="cs"/>
          <w:b/>
          <w:bCs/>
          <w:u w:val="single"/>
          <w:rtl/>
        </w:rPr>
        <w:t>כתב האישום וההליכים</w:t>
      </w:r>
    </w:p>
    <w:p w14:paraId="7218C17C" w14:textId="77777777" w:rsidR="00AB0220" w:rsidRDefault="00AB0220" w:rsidP="00AB0220">
      <w:pPr>
        <w:rPr>
          <w:rtl/>
        </w:rPr>
      </w:pPr>
    </w:p>
    <w:p w14:paraId="3AC3AE34" w14:textId="77777777" w:rsidR="00AB0220" w:rsidRDefault="00AB0220" w:rsidP="00AB0220">
      <w:pPr>
        <w:rPr>
          <w:rtl/>
        </w:rPr>
      </w:pPr>
    </w:p>
    <w:p w14:paraId="7FFED9FA" w14:textId="77777777" w:rsidR="00AB0220" w:rsidRDefault="00AB0220" w:rsidP="00AB0220">
      <w:pPr>
        <w:numPr>
          <w:ilvl w:val="0"/>
          <w:numId w:val="1"/>
        </w:numPr>
        <w:spacing w:line="360" w:lineRule="auto"/>
        <w:contextualSpacing/>
        <w:jc w:val="both"/>
      </w:pPr>
      <w:bookmarkStart w:id="5" w:name="ABSTRACT_START"/>
      <w:bookmarkEnd w:id="5"/>
      <w:r>
        <w:rPr>
          <w:rFonts w:hint="cs"/>
          <w:rtl/>
        </w:rPr>
        <w:t xml:space="preserve">הנאשם הורשע על פי הודאתו בעבירות של גידול סמים, לפי </w:t>
      </w:r>
      <w:hyperlink r:id="rId11" w:history="1">
        <w:r w:rsidR="004135C8" w:rsidRPr="004135C8">
          <w:rPr>
            <w:color w:val="0000FF"/>
            <w:u w:val="single"/>
            <w:rtl/>
          </w:rPr>
          <w:t>סעיף 6</w:t>
        </w:r>
      </w:hyperlink>
      <w:r>
        <w:rPr>
          <w:rFonts w:hint="cs"/>
          <w:rtl/>
        </w:rPr>
        <w:t xml:space="preserve"> ל</w:t>
      </w:r>
      <w:hyperlink r:id="rId12" w:history="1">
        <w:r w:rsidR="007929C5" w:rsidRPr="007929C5">
          <w:rPr>
            <w:rStyle w:val="Hyperlink"/>
            <w:rFonts w:hint="eastAsia"/>
            <w:rtl/>
          </w:rPr>
          <w:t>פקודת</w:t>
        </w:r>
        <w:r w:rsidR="007929C5" w:rsidRPr="007929C5">
          <w:rPr>
            <w:rStyle w:val="Hyperlink"/>
            <w:rtl/>
          </w:rPr>
          <w:t xml:space="preserve"> הסמים המסוכנים</w:t>
        </w:r>
      </w:hyperlink>
      <w:r>
        <w:rPr>
          <w:rFonts w:hint="cs"/>
          <w:rtl/>
        </w:rPr>
        <w:t xml:space="preserve"> (נוסח חדש) תשל"ג-1973 (להלן: </w:t>
      </w:r>
      <w:r w:rsidRPr="00107D6B">
        <w:rPr>
          <w:rFonts w:cs="Miriam" w:hint="cs"/>
          <w:rtl/>
        </w:rPr>
        <w:t>"פקודת הסמים"</w:t>
      </w:r>
      <w:r>
        <w:rPr>
          <w:rFonts w:hint="cs"/>
          <w:rtl/>
        </w:rPr>
        <w:t xml:space="preserve">) וכן החזקת כלים להכנת סם, לפי </w:t>
      </w:r>
      <w:hyperlink r:id="rId13" w:history="1">
        <w:r w:rsidR="004135C8" w:rsidRPr="004135C8">
          <w:rPr>
            <w:color w:val="0000FF"/>
            <w:u w:val="single"/>
            <w:rtl/>
          </w:rPr>
          <w:t>סעיף 10</w:t>
        </w:r>
      </w:hyperlink>
      <w:r>
        <w:rPr>
          <w:rFonts w:hint="cs"/>
          <w:rtl/>
        </w:rPr>
        <w:t xml:space="preserve"> לפקודת הסמים. </w:t>
      </w:r>
    </w:p>
    <w:p w14:paraId="6EFD4AE5" w14:textId="77777777" w:rsidR="00AB0220" w:rsidRDefault="00AB0220" w:rsidP="00AB0220">
      <w:pPr>
        <w:spacing w:line="360" w:lineRule="auto"/>
        <w:ind w:left="720"/>
        <w:contextualSpacing/>
        <w:jc w:val="both"/>
      </w:pPr>
      <w:bookmarkStart w:id="6" w:name="ABSTRACT_END"/>
      <w:bookmarkEnd w:id="6"/>
    </w:p>
    <w:p w14:paraId="062F35CC" w14:textId="77777777" w:rsidR="00AB0220" w:rsidRPr="009951FD" w:rsidRDefault="00AB0220" w:rsidP="00AB0220">
      <w:pPr>
        <w:numPr>
          <w:ilvl w:val="0"/>
          <w:numId w:val="1"/>
        </w:numPr>
        <w:spacing w:line="360" w:lineRule="auto"/>
        <w:contextualSpacing/>
        <w:jc w:val="both"/>
        <w:rPr>
          <w:rtl/>
        </w:rPr>
      </w:pPr>
      <w:r w:rsidRPr="00A73252">
        <w:rPr>
          <w:rFonts w:hint="cs"/>
          <w:rtl/>
        </w:rPr>
        <w:t xml:space="preserve">בהתאם לעובדות </w:t>
      </w:r>
      <w:r>
        <w:rPr>
          <w:rFonts w:hint="cs"/>
          <w:rtl/>
        </w:rPr>
        <w:t xml:space="preserve">כתב </w:t>
      </w:r>
      <w:r w:rsidRPr="00A73252">
        <w:rPr>
          <w:rFonts w:hint="cs"/>
          <w:rtl/>
        </w:rPr>
        <w:t>האישום</w:t>
      </w:r>
      <w:r>
        <w:rPr>
          <w:rFonts w:hint="cs"/>
          <w:rtl/>
        </w:rPr>
        <w:t xml:space="preserve"> המתוקן, בחודש 11/16 לערך הקים הנאשם בדירה פלונית, מעבדה לגידול סמים מסוג קנאביס. ביום 25.1.17 נמצאו בדירה 44 שתילי קנבוס במשקל כולל של 1.85 ק"ג וכן סם מסוכן מסוג קנבוס (שהוא תוצר המעבדה) במשקל 256.4 גרם. כן נמצאו בדירה כלים המשמשים לגידול סמים ובהם: מפוחים, מאווררים, אדניות, נייר כסף לבידוד, ומנורות עם כיסוי. </w:t>
      </w:r>
    </w:p>
    <w:p w14:paraId="5C2F774C" w14:textId="77777777" w:rsidR="00AB0220" w:rsidRDefault="00AB0220" w:rsidP="00AB0220">
      <w:pPr>
        <w:spacing w:line="360" w:lineRule="auto"/>
        <w:jc w:val="both"/>
        <w:rPr>
          <w:rFonts w:hint="cs"/>
          <w:rtl/>
        </w:rPr>
      </w:pPr>
    </w:p>
    <w:p w14:paraId="2400948C" w14:textId="77777777" w:rsidR="004135C8" w:rsidRDefault="004135C8" w:rsidP="00AB0220">
      <w:pPr>
        <w:spacing w:line="360" w:lineRule="auto"/>
        <w:jc w:val="both"/>
        <w:rPr>
          <w:rFonts w:hint="cs"/>
          <w:rtl/>
        </w:rPr>
      </w:pPr>
    </w:p>
    <w:p w14:paraId="454F94F4" w14:textId="77777777" w:rsidR="004135C8" w:rsidRDefault="004135C8" w:rsidP="00AB0220">
      <w:pPr>
        <w:spacing w:line="360" w:lineRule="auto"/>
        <w:jc w:val="both"/>
        <w:rPr>
          <w:rFonts w:hint="cs"/>
          <w:rtl/>
        </w:rPr>
      </w:pPr>
    </w:p>
    <w:p w14:paraId="1912232B" w14:textId="77777777" w:rsidR="004135C8" w:rsidRDefault="004135C8" w:rsidP="00AB0220">
      <w:pPr>
        <w:spacing w:line="360" w:lineRule="auto"/>
        <w:jc w:val="both"/>
        <w:rPr>
          <w:rFonts w:hint="cs"/>
          <w:rtl/>
        </w:rPr>
      </w:pPr>
    </w:p>
    <w:p w14:paraId="67DBE9E2" w14:textId="77777777" w:rsidR="00AB0220" w:rsidRDefault="00AB0220" w:rsidP="00AB0220">
      <w:pPr>
        <w:spacing w:line="360" w:lineRule="auto"/>
        <w:ind w:firstLine="360"/>
        <w:contextualSpacing/>
        <w:jc w:val="both"/>
        <w:rPr>
          <w:b/>
          <w:bCs/>
          <w:u w:val="single"/>
          <w:rtl/>
        </w:rPr>
      </w:pPr>
      <w:r>
        <w:rPr>
          <w:rFonts w:hint="cs"/>
          <w:b/>
          <w:bCs/>
          <w:u w:val="single"/>
          <w:rtl/>
        </w:rPr>
        <w:t>טיעוני הצדדים לעונש</w:t>
      </w:r>
    </w:p>
    <w:p w14:paraId="7AA864F4" w14:textId="77777777" w:rsidR="00AB0220" w:rsidRDefault="00AB0220" w:rsidP="00AB0220">
      <w:pPr>
        <w:spacing w:line="360" w:lineRule="auto"/>
        <w:ind w:left="720"/>
        <w:contextualSpacing/>
        <w:jc w:val="both"/>
        <w:rPr>
          <w:b/>
          <w:bCs/>
          <w:u w:val="single"/>
          <w:rtl/>
        </w:rPr>
      </w:pPr>
    </w:p>
    <w:p w14:paraId="2935ED63" w14:textId="77777777" w:rsidR="00AB0220" w:rsidRDefault="00AB0220" w:rsidP="00AB0220">
      <w:pPr>
        <w:numPr>
          <w:ilvl w:val="0"/>
          <w:numId w:val="1"/>
        </w:numPr>
        <w:spacing w:line="360" w:lineRule="auto"/>
        <w:contextualSpacing/>
        <w:jc w:val="both"/>
      </w:pPr>
      <w:r>
        <w:rPr>
          <w:rFonts w:hint="cs"/>
          <w:rtl/>
        </w:rPr>
        <w:t xml:space="preserve">ב"כ המאשימה הפנה לעובדות כתב האישום ועמד על חומרתן הבאה לידי ביטוי בכמות השתילים ובהיות המעבדה משוכללת. נטען כי הערכים המוגנים שנפגעו כתוצאה ממעשיו של הנאשם הם פגיעה בשלום הציבור ובריאותו. לפיכך נטען כי מתחם העונש ההולם את העבירות, נע בין 18 חודשי מאסר בפועל ועד 36 חודשי מאסר בפועל. בהתייחס לעונש הראוי שיש להטיל על הנאשם, נטען כי יש לתת את הדעת לעברו הפלילי העשיר והרלוונטי, ולהטיל עליו עונש מאסר בפועל ברף האמצעי של המתחם, בצירוף מאסר מותנה וקנס משמעותי. </w:t>
      </w:r>
    </w:p>
    <w:p w14:paraId="14E0B57A" w14:textId="77777777" w:rsidR="00AB0220" w:rsidRDefault="00AB0220" w:rsidP="00AB0220">
      <w:pPr>
        <w:spacing w:line="360" w:lineRule="auto"/>
        <w:ind w:left="720"/>
        <w:contextualSpacing/>
        <w:jc w:val="both"/>
      </w:pPr>
    </w:p>
    <w:p w14:paraId="0B9EB9E1" w14:textId="77777777" w:rsidR="00AB0220" w:rsidRDefault="00AB0220" w:rsidP="00AB0220">
      <w:pPr>
        <w:numPr>
          <w:ilvl w:val="0"/>
          <w:numId w:val="1"/>
        </w:numPr>
        <w:spacing w:line="360" w:lineRule="auto"/>
        <w:contextualSpacing/>
        <w:jc w:val="both"/>
      </w:pPr>
      <w:r w:rsidRPr="00C95B30">
        <w:rPr>
          <w:rFonts w:hint="cs"/>
          <w:rtl/>
        </w:rPr>
        <w:t xml:space="preserve">ב"כ הנאשם </w:t>
      </w:r>
      <w:r>
        <w:rPr>
          <w:rFonts w:hint="cs"/>
          <w:rtl/>
        </w:rPr>
        <w:t xml:space="preserve">טען כי לצורך קביעת מתחם הענישה ההולם עבירה זו, יש לתת את הדעת לכך שאין מדובר במעבדה משוכללת; לכך שהנאשם גידל  את השתילים בדירתו שלו ולא שכר לשם כך דירה (המאשימה אישרה עובדה זו); ולכך שלא צוין בכתב האישום שהגידול נעשה למטרות סחר. בהתייחסו לעונש הראוי שיש להטיל על הנאשם הפנה הסנגור לכך שמדובר בנאשם בודד ללא מעגלי תמיכה, אשר שהה במעצר של ממש עד כה בשל נסיבה זו. כמו כן ציין הסנגור כי חרף עברו הפלילי, הנאשם עשה מאמצים לנהל אורח חיים תקין במשך 7 שנים מביצוע עבירתו האחרונה. </w:t>
      </w:r>
    </w:p>
    <w:p w14:paraId="634D94D3" w14:textId="77777777" w:rsidR="00AB0220" w:rsidRDefault="00AB0220" w:rsidP="00AB0220">
      <w:pPr>
        <w:spacing w:line="360" w:lineRule="auto"/>
        <w:ind w:left="720"/>
        <w:contextualSpacing/>
        <w:jc w:val="both"/>
      </w:pPr>
    </w:p>
    <w:p w14:paraId="32534350" w14:textId="77777777" w:rsidR="00AB0220" w:rsidRDefault="00AB0220" w:rsidP="00AB0220">
      <w:pPr>
        <w:numPr>
          <w:ilvl w:val="0"/>
          <w:numId w:val="1"/>
        </w:numPr>
        <w:spacing w:line="360" w:lineRule="auto"/>
        <w:contextualSpacing/>
        <w:jc w:val="both"/>
        <w:rPr>
          <w:rtl/>
        </w:rPr>
      </w:pPr>
      <w:r w:rsidRPr="00C95B30">
        <w:rPr>
          <w:rFonts w:hint="cs"/>
          <w:rtl/>
        </w:rPr>
        <w:t xml:space="preserve">הנאשם </w:t>
      </w:r>
      <w:r>
        <w:rPr>
          <w:rFonts w:hint="cs"/>
          <w:rtl/>
        </w:rPr>
        <w:t xml:space="preserve">בדברו האחרון הביע צער על מעשיו. </w:t>
      </w:r>
    </w:p>
    <w:p w14:paraId="3F4A13AD" w14:textId="77777777" w:rsidR="00AB0220" w:rsidRDefault="00AB0220" w:rsidP="00AB0220">
      <w:pPr>
        <w:spacing w:line="360" w:lineRule="auto"/>
        <w:ind w:left="720"/>
        <w:contextualSpacing/>
        <w:jc w:val="both"/>
        <w:rPr>
          <w:b/>
          <w:bCs/>
          <w:u w:val="single"/>
          <w:rtl/>
        </w:rPr>
      </w:pPr>
    </w:p>
    <w:p w14:paraId="17E1B5DB" w14:textId="77777777" w:rsidR="00AB0220" w:rsidRDefault="00AB0220" w:rsidP="00AB0220">
      <w:pPr>
        <w:spacing w:line="360" w:lineRule="auto"/>
        <w:ind w:firstLine="360"/>
        <w:contextualSpacing/>
        <w:jc w:val="both"/>
        <w:rPr>
          <w:b/>
          <w:bCs/>
          <w:u w:val="single"/>
          <w:rtl/>
        </w:rPr>
      </w:pPr>
      <w:r>
        <w:rPr>
          <w:rFonts w:hint="cs"/>
          <w:b/>
          <w:bCs/>
          <w:u w:val="single"/>
          <w:rtl/>
        </w:rPr>
        <w:t>דיון והכרעה</w:t>
      </w:r>
    </w:p>
    <w:p w14:paraId="490A5C83" w14:textId="77777777" w:rsidR="00AB0220" w:rsidRPr="00FA238F" w:rsidRDefault="00AB0220" w:rsidP="00AB0220">
      <w:pPr>
        <w:spacing w:line="360" w:lineRule="auto"/>
        <w:jc w:val="both"/>
        <w:rPr>
          <w:rFonts w:ascii="David" w:eastAsia="Calibri" w:hAnsi="David"/>
        </w:rPr>
      </w:pPr>
    </w:p>
    <w:p w14:paraId="2D8BF225" w14:textId="77777777" w:rsidR="00AB0220" w:rsidRPr="003C12C5" w:rsidRDefault="00AB0220" w:rsidP="00AB0220">
      <w:pPr>
        <w:pStyle w:val="ListParagraph"/>
        <w:numPr>
          <w:ilvl w:val="0"/>
          <w:numId w:val="1"/>
        </w:numPr>
        <w:spacing w:line="360" w:lineRule="auto"/>
        <w:jc w:val="both"/>
        <w:rPr>
          <w:rFonts w:cs="David"/>
          <w:rtl/>
        </w:rPr>
      </w:pPr>
      <w:r w:rsidRPr="003C12C5">
        <w:rPr>
          <w:rFonts w:cs="David"/>
          <w:rtl/>
        </w:rPr>
        <w:t>כידוע, מאז תיקון 113 ל</w:t>
      </w:r>
      <w:hyperlink r:id="rId14" w:history="1">
        <w:r w:rsidR="007929C5" w:rsidRPr="007929C5">
          <w:rPr>
            <w:rStyle w:val="Hyperlink"/>
            <w:rFonts w:cs="David"/>
            <w:rtl/>
          </w:rPr>
          <w:t>חוק העונשין</w:t>
        </w:r>
      </w:hyperlink>
      <w:r w:rsidRPr="003C12C5">
        <w:rPr>
          <w:rFonts w:cs="David"/>
          <w:rtl/>
        </w:rPr>
        <w:t xml:space="preserve"> גזר הדין ניתן במסגרת הליך תלת שלבי. בשלב הראשון יש לקבוע אם כתב האישום מתאר אירוע אחד או מספר אירועים. לאחר מכן יש לקבוע את מתחם הענישה ההולם את האירוע ובסופו של תהליך, יש להחליט אם נכון לחרוג מהמתחם שנקבע, שאחרת ייגזר העונש בגדרי המתחם. </w:t>
      </w:r>
      <w:r>
        <w:rPr>
          <w:rFonts w:cs="David"/>
          <w:rtl/>
        </w:rPr>
        <w:t xml:space="preserve">בענייננו, </w:t>
      </w:r>
      <w:r w:rsidRPr="003C12C5">
        <w:rPr>
          <w:rFonts w:cs="David"/>
          <w:rtl/>
        </w:rPr>
        <w:t xml:space="preserve">ברי כי </w:t>
      </w:r>
      <w:r>
        <w:rPr>
          <w:rFonts w:cs="David"/>
          <w:rtl/>
        </w:rPr>
        <w:t>מדובר באירוע אחד ומשכך ייקבע מתחם אחד (</w:t>
      </w:r>
      <w:hyperlink r:id="rId15" w:history="1">
        <w:r w:rsidR="007929C5" w:rsidRPr="007929C5">
          <w:rPr>
            <w:rStyle w:val="Hyperlink"/>
            <w:rFonts w:cs="David"/>
            <w:rtl/>
          </w:rPr>
          <w:t>ע"פ 4910/13</w:t>
        </w:r>
      </w:hyperlink>
      <w:r w:rsidRPr="003C12C5">
        <w:rPr>
          <w:rFonts w:cs="David"/>
          <w:rtl/>
        </w:rPr>
        <w:t xml:space="preserve"> </w:t>
      </w:r>
      <w:r w:rsidRPr="003C12C5">
        <w:rPr>
          <w:rFonts w:cs="David"/>
          <w:b/>
          <w:bCs/>
          <w:rtl/>
        </w:rPr>
        <w:t>ג'אבר נ' מדינת ישראל</w:t>
      </w:r>
      <w:r w:rsidRPr="003C12C5">
        <w:rPr>
          <w:rFonts w:cs="David"/>
          <w:rtl/>
        </w:rPr>
        <w:t xml:space="preserve"> (29.10.14)).</w:t>
      </w:r>
    </w:p>
    <w:p w14:paraId="6CD54623" w14:textId="77777777" w:rsidR="00AB0220" w:rsidRPr="003C12C5" w:rsidRDefault="00AB0220" w:rsidP="00AB0220">
      <w:pPr>
        <w:spacing w:line="360" w:lineRule="auto"/>
        <w:jc w:val="both"/>
        <w:rPr>
          <w:rFonts w:ascii="David" w:hAnsi="David"/>
        </w:rPr>
      </w:pPr>
    </w:p>
    <w:p w14:paraId="4CF09E9B" w14:textId="77777777" w:rsidR="00AB0220" w:rsidRDefault="00AB0220" w:rsidP="00AB0220">
      <w:pPr>
        <w:pStyle w:val="ListParagraph"/>
        <w:numPr>
          <w:ilvl w:val="0"/>
          <w:numId w:val="1"/>
        </w:numPr>
        <w:spacing w:line="360" w:lineRule="auto"/>
        <w:jc w:val="both"/>
        <w:rPr>
          <w:rFonts w:ascii="David" w:hAnsi="David" w:cs="David"/>
        </w:rPr>
      </w:pPr>
      <w:r w:rsidRPr="00E0447C">
        <w:rPr>
          <w:rFonts w:cs="David"/>
          <w:b/>
          <w:bCs/>
          <w:rtl/>
        </w:rPr>
        <w:t xml:space="preserve">הערכים המוגנים בבסיס העבירה: </w:t>
      </w:r>
      <w:r w:rsidRPr="00E0447C">
        <w:rPr>
          <w:rFonts w:ascii="David" w:hAnsi="David" w:cs="David" w:hint="eastAsia"/>
          <w:rtl/>
        </w:rPr>
        <w:t>אין</w:t>
      </w:r>
      <w:r w:rsidRPr="00E0447C">
        <w:rPr>
          <w:rFonts w:ascii="David" w:hAnsi="David" w:cs="David"/>
          <w:rtl/>
        </w:rPr>
        <w:t xml:space="preserve"> </w:t>
      </w:r>
      <w:r w:rsidRPr="00E0447C">
        <w:rPr>
          <w:rFonts w:ascii="David" w:hAnsi="David" w:cs="David" w:hint="eastAsia"/>
          <w:rtl/>
        </w:rPr>
        <w:t>צורך</w:t>
      </w:r>
      <w:r w:rsidRPr="00E0447C">
        <w:rPr>
          <w:rFonts w:ascii="David" w:hAnsi="David" w:cs="David"/>
          <w:rtl/>
        </w:rPr>
        <w:t xml:space="preserve"> </w:t>
      </w:r>
      <w:r w:rsidRPr="00E0447C">
        <w:rPr>
          <w:rFonts w:ascii="David" w:hAnsi="David" w:cs="David" w:hint="eastAsia"/>
          <w:rtl/>
        </w:rPr>
        <w:t>להרחיב</w:t>
      </w:r>
      <w:r w:rsidRPr="00E0447C">
        <w:rPr>
          <w:rFonts w:ascii="David" w:hAnsi="David" w:cs="David"/>
          <w:rtl/>
        </w:rPr>
        <w:t xml:space="preserve"> </w:t>
      </w:r>
      <w:r w:rsidRPr="00E0447C">
        <w:rPr>
          <w:rFonts w:ascii="David" w:hAnsi="David" w:cs="David" w:hint="eastAsia"/>
          <w:rtl/>
        </w:rPr>
        <w:t>מילים</w:t>
      </w:r>
      <w:r w:rsidRPr="00E0447C">
        <w:rPr>
          <w:rFonts w:ascii="David" w:hAnsi="David" w:cs="David"/>
          <w:rtl/>
        </w:rPr>
        <w:t xml:space="preserve"> </w:t>
      </w:r>
      <w:r w:rsidRPr="00E0447C">
        <w:rPr>
          <w:rFonts w:ascii="David" w:hAnsi="David" w:cs="David" w:hint="eastAsia"/>
          <w:rtl/>
        </w:rPr>
        <w:t>על</w:t>
      </w:r>
      <w:r w:rsidRPr="00E0447C">
        <w:rPr>
          <w:rFonts w:ascii="David" w:hAnsi="David" w:cs="David"/>
          <w:rtl/>
        </w:rPr>
        <w:t xml:space="preserve"> </w:t>
      </w:r>
      <w:r w:rsidRPr="00E0447C">
        <w:rPr>
          <w:rFonts w:ascii="David" w:hAnsi="David" w:cs="David" w:hint="eastAsia"/>
          <w:rtl/>
        </w:rPr>
        <w:t>אודות</w:t>
      </w:r>
      <w:r w:rsidRPr="00E0447C">
        <w:rPr>
          <w:rFonts w:ascii="David" w:hAnsi="David" w:cs="David"/>
          <w:rtl/>
        </w:rPr>
        <w:t xml:space="preserve"> </w:t>
      </w:r>
      <w:r w:rsidRPr="00E0447C">
        <w:rPr>
          <w:rFonts w:ascii="David" w:hAnsi="David" w:cs="David" w:hint="eastAsia"/>
          <w:rtl/>
        </w:rPr>
        <w:t>פגיעת</w:t>
      </w:r>
      <w:r>
        <w:rPr>
          <w:rFonts w:ascii="David" w:hAnsi="David" w:cs="David" w:hint="eastAsia"/>
          <w:rtl/>
        </w:rPr>
        <w:t>ו</w:t>
      </w:r>
      <w:r w:rsidRPr="00E0447C">
        <w:rPr>
          <w:rFonts w:ascii="David" w:hAnsi="David" w:cs="David"/>
          <w:rtl/>
        </w:rPr>
        <w:t xml:space="preserve"> </w:t>
      </w:r>
      <w:r w:rsidRPr="00E0447C">
        <w:rPr>
          <w:rFonts w:ascii="David" w:hAnsi="David" w:cs="David" w:hint="eastAsia"/>
          <w:rtl/>
        </w:rPr>
        <w:t>האנושה</w:t>
      </w:r>
      <w:r w:rsidRPr="00E0447C">
        <w:rPr>
          <w:rFonts w:ascii="David" w:hAnsi="David" w:cs="David"/>
          <w:rtl/>
        </w:rPr>
        <w:t xml:space="preserve"> </w:t>
      </w:r>
      <w:r w:rsidRPr="00E0447C">
        <w:rPr>
          <w:rFonts w:ascii="David" w:hAnsi="David" w:cs="David" w:hint="eastAsia"/>
          <w:rtl/>
        </w:rPr>
        <w:t>של</w:t>
      </w:r>
      <w:r w:rsidRPr="00E0447C">
        <w:rPr>
          <w:rFonts w:ascii="David" w:hAnsi="David" w:cs="David"/>
          <w:rtl/>
        </w:rPr>
        <w:t xml:space="preserve"> </w:t>
      </w:r>
      <w:r w:rsidRPr="00E0447C">
        <w:rPr>
          <w:rFonts w:ascii="David" w:hAnsi="David" w:cs="David" w:hint="eastAsia"/>
          <w:rtl/>
        </w:rPr>
        <w:t>נגע</w:t>
      </w:r>
      <w:r w:rsidRPr="00E0447C">
        <w:rPr>
          <w:rFonts w:ascii="David" w:hAnsi="David" w:cs="David"/>
          <w:rtl/>
        </w:rPr>
        <w:t xml:space="preserve"> </w:t>
      </w:r>
      <w:r w:rsidRPr="00E0447C">
        <w:rPr>
          <w:rFonts w:ascii="David" w:hAnsi="David" w:cs="David" w:hint="eastAsia"/>
          <w:rtl/>
        </w:rPr>
        <w:t>הסמים</w:t>
      </w:r>
      <w:r w:rsidRPr="00E0447C">
        <w:rPr>
          <w:rFonts w:ascii="David" w:hAnsi="David" w:cs="David"/>
          <w:rtl/>
        </w:rPr>
        <w:t xml:space="preserve"> </w:t>
      </w:r>
      <w:r>
        <w:rPr>
          <w:rFonts w:ascii="David" w:hAnsi="David" w:cs="David" w:hint="cs"/>
          <w:rtl/>
        </w:rPr>
        <w:t>ב</w:t>
      </w:r>
      <w:r w:rsidRPr="00E0447C">
        <w:rPr>
          <w:rFonts w:ascii="David" w:hAnsi="David" w:cs="David" w:hint="eastAsia"/>
          <w:rtl/>
        </w:rPr>
        <w:t>חברה</w:t>
      </w:r>
      <w:r w:rsidRPr="00E0447C">
        <w:rPr>
          <w:rFonts w:ascii="David" w:hAnsi="David" w:cs="David"/>
          <w:rtl/>
        </w:rPr>
        <w:t xml:space="preserve"> </w:t>
      </w:r>
      <w:r w:rsidRPr="00E0447C">
        <w:rPr>
          <w:rFonts w:ascii="David" w:hAnsi="David" w:cs="David" w:hint="eastAsia"/>
          <w:rtl/>
        </w:rPr>
        <w:t>ו</w:t>
      </w:r>
      <w:r>
        <w:rPr>
          <w:rFonts w:ascii="David" w:hAnsi="David" w:cs="David" w:hint="cs"/>
          <w:rtl/>
        </w:rPr>
        <w:t>ב</w:t>
      </w:r>
      <w:r w:rsidRPr="00E0447C">
        <w:rPr>
          <w:rFonts w:ascii="David" w:hAnsi="David" w:cs="David" w:hint="eastAsia"/>
          <w:rtl/>
        </w:rPr>
        <w:t>פרטיה</w:t>
      </w:r>
      <w:r w:rsidRPr="00E0447C">
        <w:rPr>
          <w:rFonts w:ascii="David" w:hAnsi="David" w:cs="David"/>
          <w:rtl/>
        </w:rPr>
        <w:t xml:space="preserve">. </w:t>
      </w:r>
      <w:r w:rsidRPr="00E0447C">
        <w:rPr>
          <w:rFonts w:ascii="David" w:hAnsi="David" w:cs="David" w:hint="eastAsia"/>
          <w:rtl/>
        </w:rPr>
        <w:t>מדובר</w:t>
      </w:r>
      <w:r w:rsidRPr="00E0447C">
        <w:rPr>
          <w:rFonts w:ascii="David" w:hAnsi="David" w:cs="David"/>
          <w:rtl/>
        </w:rPr>
        <w:t xml:space="preserve"> </w:t>
      </w:r>
      <w:r w:rsidRPr="00E0447C">
        <w:rPr>
          <w:rFonts w:ascii="David" w:hAnsi="David" w:cs="David" w:hint="eastAsia"/>
          <w:rtl/>
        </w:rPr>
        <w:t>על</w:t>
      </w:r>
      <w:r w:rsidRPr="00E0447C">
        <w:rPr>
          <w:rFonts w:ascii="David" w:hAnsi="David" w:cs="David"/>
          <w:rtl/>
        </w:rPr>
        <w:t xml:space="preserve"> </w:t>
      </w:r>
      <w:r w:rsidRPr="00E0447C">
        <w:rPr>
          <w:rFonts w:ascii="David" w:hAnsi="David" w:cs="David" w:hint="eastAsia"/>
          <w:rtl/>
        </w:rPr>
        <w:t>פגיעה</w:t>
      </w:r>
      <w:r w:rsidRPr="00E0447C">
        <w:rPr>
          <w:rFonts w:ascii="David" w:hAnsi="David" w:cs="David"/>
          <w:rtl/>
        </w:rPr>
        <w:t xml:space="preserve"> </w:t>
      </w:r>
      <w:r w:rsidRPr="00E0447C">
        <w:rPr>
          <w:rFonts w:ascii="David" w:hAnsi="David" w:cs="David" w:hint="eastAsia"/>
          <w:rtl/>
        </w:rPr>
        <w:t>בריאותית</w:t>
      </w:r>
      <w:r w:rsidRPr="00E0447C">
        <w:rPr>
          <w:rFonts w:ascii="David" w:hAnsi="David" w:cs="David"/>
          <w:rtl/>
        </w:rPr>
        <w:t xml:space="preserve">, </w:t>
      </w:r>
      <w:r w:rsidRPr="00E0447C">
        <w:rPr>
          <w:rFonts w:ascii="David" w:hAnsi="David" w:cs="David" w:hint="eastAsia"/>
          <w:rtl/>
        </w:rPr>
        <w:t>המביאה</w:t>
      </w:r>
      <w:r w:rsidRPr="00E0447C">
        <w:rPr>
          <w:rFonts w:ascii="David" w:hAnsi="David" w:cs="David"/>
          <w:rtl/>
        </w:rPr>
        <w:t xml:space="preserve"> </w:t>
      </w:r>
      <w:r>
        <w:rPr>
          <w:rFonts w:ascii="David" w:hAnsi="David" w:cs="David" w:hint="eastAsia"/>
          <w:rtl/>
        </w:rPr>
        <w:t>רבים</w:t>
      </w:r>
      <w:r>
        <w:rPr>
          <w:rFonts w:ascii="David" w:hAnsi="David" w:cs="David"/>
          <w:rtl/>
        </w:rPr>
        <w:t xml:space="preserve"> </w:t>
      </w:r>
      <w:r>
        <w:rPr>
          <w:rFonts w:ascii="David" w:hAnsi="David" w:cs="David" w:hint="eastAsia"/>
          <w:rtl/>
        </w:rPr>
        <w:t>לכדי</w:t>
      </w:r>
      <w:r>
        <w:rPr>
          <w:rFonts w:ascii="David" w:hAnsi="David" w:cs="David"/>
          <w:rtl/>
        </w:rPr>
        <w:t xml:space="preserve"> </w:t>
      </w:r>
      <w:r w:rsidRPr="00E0447C">
        <w:rPr>
          <w:rFonts w:ascii="David" w:hAnsi="David" w:cs="David" w:hint="eastAsia"/>
          <w:rtl/>
        </w:rPr>
        <w:t>התמכרות</w:t>
      </w:r>
      <w:r w:rsidRPr="00E0447C">
        <w:rPr>
          <w:rFonts w:ascii="David" w:hAnsi="David" w:cs="David"/>
          <w:rtl/>
        </w:rPr>
        <w:t xml:space="preserve">, </w:t>
      </w:r>
      <w:r w:rsidRPr="00E0447C">
        <w:rPr>
          <w:rFonts w:ascii="David" w:hAnsi="David" w:cs="David" w:hint="eastAsia"/>
          <w:rtl/>
        </w:rPr>
        <w:t>ולא</w:t>
      </w:r>
      <w:r w:rsidRPr="00E0447C">
        <w:rPr>
          <w:rFonts w:ascii="David" w:hAnsi="David" w:cs="David"/>
          <w:rtl/>
        </w:rPr>
        <w:t xml:space="preserve"> </w:t>
      </w:r>
      <w:r w:rsidRPr="00E0447C">
        <w:rPr>
          <w:rFonts w:ascii="David" w:hAnsi="David" w:cs="David" w:hint="eastAsia"/>
          <w:rtl/>
        </w:rPr>
        <w:t>אחת</w:t>
      </w:r>
      <w:r w:rsidRPr="00E0447C">
        <w:rPr>
          <w:rFonts w:ascii="David" w:hAnsi="David" w:cs="David"/>
          <w:rtl/>
        </w:rPr>
        <w:t xml:space="preserve"> </w:t>
      </w:r>
      <w:r w:rsidRPr="00E0447C">
        <w:rPr>
          <w:rFonts w:ascii="David" w:hAnsi="David" w:cs="David" w:hint="eastAsia"/>
          <w:rtl/>
        </w:rPr>
        <w:t>פונים</w:t>
      </w:r>
      <w:r w:rsidRPr="00E0447C">
        <w:rPr>
          <w:rFonts w:ascii="David" w:hAnsi="David" w:cs="David"/>
          <w:rtl/>
        </w:rPr>
        <w:t xml:space="preserve"> </w:t>
      </w:r>
      <w:r w:rsidRPr="00E0447C">
        <w:rPr>
          <w:rFonts w:ascii="David" w:hAnsi="David" w:cs="David" w:hint="eastAsia"/>
          <w:rtl/>
        </w:rPr>
        <w:t>צרכני</w:t>
      </w:r>
      <w:r w:rsidRPr="00E0447C">
        <w:rPr>
          <w:rFonts w:ascii="David" w:hAnsi="David" w:cs="David"/>
          <w:rtl/>
        </w:rPr>
        <w:t xml:space="preserve"> </w:t>
      </w:r>
      <w:r w:rsidRPr="00E0447C">
        <w:rPr>
          <w:rFonts w:ascii="David" w:hAnsi="David" w:cs="David" w:hint="eastAsia"/>
          <w:rtl/>
        </w:rPr>
        <w:t>הסמים</w:t>
      </w:r>
      <w:r w:rsidRPr="00E0447C">
        <w:rPr>
          <w:rFonts w:ascii="David" w:hAnsi="David" w:cs="David"/>
          <w:rtl/>
        </w:rPr>
        <w:t xml:space="preserve"> (</w:t>
      </w:r>
      <w:r w:rsidRPr="00E0447C">
        <w:rPr>
          <w:rFonts w:ascii="David" w:hAnsi="David" w:cs="David" w:hint="eastAsia"/>
          <w:rtl/>
        </w:rPr>
        <w:t>ובעיקר</w:t>
      </w:r>
      <w:r w:rsidRPr="00E0447C">
        <w:rPr>
          <w:rFonts w:ascii="David" w:hAnsi="David" w:cs="David"/>
          <w:rtl/>
        </w:rPr>
        <w:t xml:space="preserve"> </w:t>
      </w:r>
      <w:r w:rsidRPr="00E0447C">
        <w:rPr>
          <w:rFonts w:ascii="David" w:hAnsi="David" w:cs="David" w:hint="eastAsia"/>
          <w:rtl/>
        </w:rPr>
        <w:t>המכורים</w:t>
      </w:r>
      <w:r w:rsidRPr="00E0447C">
        <w:rPr>
          <w:rFonts w:ascii="David" w:hAnsi="David" w:cs="David"/>
          <w:rtl/>
        </w:rPr>
        <w:t xml:space="preserve"> </w:t>
      </w:r>
      <w:r w:rsidRPr="00E0447C">
        <w:rPr>
          <w:rFonts w:ascii="David" w:hAnsi="David" w:cs="David" w:hint="eastAsia"/>
          <w:rtl/>
        </w:rPr>
        <w:t>שבהם</w:t>
      </w:r>
      <w:r w:rsidRPr="00E0447C">
        <w:rPr>
          <w:rFonts w:ascii="David" w:hAnsi="David" w:cs="David"/>
          <w:rtl/>
        </w:rPr>
        <w:t xml:space="preserve">) </w:t>
      </w:r>
      <w:r w:rsidRPr="00E0447C">
        <w:rPr>
          <w:rFonts w:ascii="David" w:hAnsi="David" w:cs="David" w:hint="eastAsia"/>
          <w:rtl/>
        </w:rPr>
        <w:t>לביצוע</w:t>
      </w:r>
      <w:r w:rsidRPr="00E0447C">
        <w:rPr>
          <w:rFonts w:ascii="David" w:hAnsi="David" w:cs="David"/>
          <w:rtl/>
        </w:rPr>
        <w:t xml:space="preserve"> </w:t>
      </w:r>
      <w:r w:rsidRPr="00E0447C">
        <w:rPr>
          <w:rFonts w:ascii="David" w:hAnsi="David" w:cs="David" w:hint="eastAsia"/>
          <w:rtl/>
        </w:rPr>
        <w:t>עבירות</w:t>
      </w:r>
      <w:r w:rsidRPr="00E0447C">
        <w:rPr>
          <w:rFonts w:ascii="David" w:hAnsi="David" w:cs="David"/>
          <w:rtl/>
        </w:rPr>
        <w:t xml:space="preserve"> </w:t>
      </w:r>
      <w:r w:rsidRPr="00E0447C">
        <w:rPr>
          <w:rFonts w:ascii="David" w:hAnsi="David" w:cs="David" w:hint="eastAsia"/>
          <w:rtl/>
        </w:rPr>
        <w:t>רכוש</w:t>
      </w:r>
      <w:r w:rsidRPr="00E0447C">
        <w:rPr>
          <w:rFonts w:ascii="David" w:hAnsi="David" w:cs="David"/>
          <w:rtl/>
        </w:rPr>
        <w:t xml:space="preserve"> </w:t>
      </w:r>
      <w:r w:rsidRPr="00E0447C">
        <w:rPr>
          <w:rFonts w:ascii="David" w:hAnsi="David" w:cs="David" w:hint="eastAsia"/>
          <w:rtl/>
        </w:rPr>
        <w:t>לצורך</w:t>
      </w:r>
      <w:r w:rsidRPr="00E0447C">
        <w:rPr>
          <w:rFonts w:ascii="David" w:hAnsi="David" w:cs="David"/>
          <w:rtl/>
        </w:rPr>
        <w:t xml:space="preserve"> </w:t>
      </w:r>
      <w:r w:rsidRPr="00E0447C">
        <w:rPr>
          <w:rFonts w:ascii="David" w:hAnsi="David" w:cs="David" w:hint="eastAsia"/>
          <w:rtl/>
        </w:rPr>
        <w:t>מימונם</w:t>
      </w:r>
      <w:r w:rsidRPr="00E0447C">
        <w:rPr>
          <w:rFonts w:ascii="David" w:hAnsi="David" w:cs="David"/>
          <w:rtl/>
        </w:rPr>
        <w:t xml:space="preserve">. </w:t>
      </w:r>
      <w:r>
        <w:rPr>
          <w:rFonts w:ascii="David" w:hAnsi="David" w:cs="David" w:hint="eastAsia"/>
          <w:rtl/>
        </w:rPr>
        <w:t>מעגל</w:t>
      </w:r>
      <w:r>
        <w:rPr>
          <w:rFonts w:ascii="David" w:hAnsi="David" w:cs="David"/>
          <w:rtl/>
        </w:rPr>
        <w:t xml:space="preserve"> </w:t>
      </w:r>
      <w:r>
        <w:rPr>
          <w:rFonts w:ascii="David" w:hAnsi="David" w:cs="David" w:hint="eastAsia"/>
          <w:rtl/>
        </w:rPr>
        <w:t>הקסמים</w:t>
      </w:r>
      <w:r>
        <w:rPr>
          <w:rFonts w:ascii="David" w:hAnsi="David" w:cs="David"/>
          <w:rtl/>
        </w:rPr>
        <w:t xml:space="preserve">: </w:t>
      </w:r>
      <w:r>
        <w:rPr>
          <w:rFonts w:ascii="David" w:hAnsi="David" w:cs="David" w:hint="eastAsia"/>
          <w:rtl/>
        </w:rPr>
        <w:t>סמים</w:t>
      </w:r>
      <w:r>
        <w:rPr>
          <w:rFonts w:ascii="David" w:hAnsi="David" w:cs="David"/>
          <w:rtl/>
        </w:rPr>
        <w:t xml:space="preserve"> – </w:t>
      </w:r>
      <w:r>
        <w:rPr>
          <w:rFonts w:ascii="David" w:hAnsi="David" w:cs="David" w:hint="eastAsia"/>
          <w:rtl/>
        </w:rPr>
        <w:t>עבירות</w:t>
      </w:r>
      <w:r>
        <w:rPr>
          <w:rFonts w:ascii="David" w:hAnsi="David" w:cs="David"/>
          <w:rtl/>
        </w:rPr>
        <w:t xml:space="preserve"> </w:t>
      </w:r>
      <w:r>
        <w:rPr>
          <w:rFonts w:ascii="David" w:hAnsi="David" w:cs="David" w:hint="eastAsia"/>
          <w:rtl/>
        </w:rPr>
        <w:t>רכוש</w:t>
      </w:r>
      <w:r>
        <w:rPr>
          <w:rFonts w:ascii="David" w:hAnsi="David" w:cs="David"/>
          <w:rtl/>
        </w:rPr>
        <w:t xml:space="preserve"> – </w:t>
      </w:r>
      <w:r>
        <w:rPr>
          <w:rFonts w:ascii="David" w:hAnsi="David" w:cs="David" w:hint="eastAsia"/>
          <w:rtl/>
        </w:rPr>
        <w:t>סמים</w:t>
      </w:r>
      <w:r>
        <w:rPr>
          <w:rFonts w:ascii="David" w:hAnsi="David" w:cs="David"/>
          <w:rtl/>
        </w:rPr>
        <w:t xml:space="preserve">, </w:t>
      </w:r>
      <w:r>
        <w:rPr>
          <w:rFonts w:ascii="David" w:hAnsi="David" w:cs="David" w:hint="eastAsia"/>
          <w:rtl/>
        </w:rPr>
        <w:t>ידוע</w:t>
      </w:r>
      <w:r>
        <w:rPr>
          <w:rFonts w:ascii="David" w:hAnsi="David" w:cs="David"/>
          <w:rtl/>
        </w:rPr>
        <w:t xml:space="preserve"> </w:t>
      </w:r>
      <w:r>
        <w:rPr>
          <w:rFonts w:ascii="David" w:hAnsi="David" w:cs="David" w:hint="eastAsia"/>
          <w:rtl/>
        </w:rPr>
        <w:t>לכל</w:t>
      </w:r>
      <w:r>
        <w:rPr>
          <w:rFonts w:ascii="David" w:hAnsi="David" w:cs="David"/>
          <w:rtl/>
        </w:rPr>
        <w:t xml:space="preserve"> </w:t>
      </w:r>
      <w:r>
        <w:rPr>
          <w:rFonts w:ascii="David" w:hAnsi="David" w:cs="David" w:hint="eastAsia"/>
          <w:rtl/>
        </w:rPr>
        <w:t>מי</w:t>
      </w:r>
      <w:r>
        <w:rPr>
          <w:rFonts w:ascii="David" w:hAnsi="David" w:cs="David"/>
          <w:rtl/>
        </w:rPr>
        <w:t xml:space="preserve"> </w:t>
      </w:r>
      <w:r>
        <w:rPr>
          <w:rFonts w:ascii="David" w:hAnsi="David" w:cs="David" w:hint="eastAsia"/>
          <w:rtl/>
        </w:rPr>
        <w:t>אשר</w:t>
      </w:r>
      <w:r>
        <w:rPr>
          <w:rFonts w:ascii="David" w:hAnsi="David" w:cs="David"/>
          <w:rtl/>
        </w:rPr>
        <w:t xml:space="preserve"> </w:t>
      </w:r>
      <w:r>
        <w:rPr>
          <w:rFonts w:ascii="David" w:hAnsi="David" w:cs="David" w:hint="eastAsia"/>
          <w:rtl/>
        </w:rPr>
        <w:t>עוסק</w:t>
      </w:r>
      <w:r>
        <w:rPr>
          <w:rFonts w:ascii="David" w:hAnsi="David" w:cs="David"/>
          <w:rtl/>
        </w:rPr>
        <w:t xml:space="preserve"> </w:t>
      </w:r>
      <w:r>
        <w:rPr>
          <w:rFonts w:ascii="David" w:hAnsi="David" w:cs="David" w:hint="eastAsia"/>
          <w:rtl/>
        </w:rPr>
        <w:t>בתחום</w:t>
      </w:r>
      <w:r>
        <w:rPr>
          <w:rFonts w:ascii="David" w:hAnsi="David" w:cs="David"/>
          <w:rtl/>
        </w:rPr>
        <w:t xml:space="preserve"> </w:t>
      </w:r>
      <w:r>
        <w:rPr>
          <w:rFonts w:ascii="David" w:hAnsi="David" w:cs="David" w:hint="eastAsia"/>
          <w:rtl/>
        </w:rPr>
        <w:t>ואין</w:t>
      </w:r>
      <w:r>
        <w:rPr>
          <w:rFonts w:ascii="David" w:hAnsi="David" w:cs="David"/>
          <w:rtl/>
        </w:rPr>
        <w:t xml:space="preserve"> </w:t>
      </w:r>
      <w:r>
        <w:rPr>
          <w:rFonts w:ascii="David" w:hAnsi="David" w:cs="David" w:hint="eastAsia"/>
          <w:rtl/>
        </w:rPr>
        <w:t>בכך</w:t>
      </w:r>
      <w:r>
        <w:rPr>
          <w:rFonts w:ascii="David" w:hAnsi="David" w:cs="David"/>
          <w:rtl/>
        </w:rPr>
        <w:t xml:space="preserve"> </w:t>
      </w:r>
      <w:r>
        <w:rPr>
          <w:rFonts w:ascii="David" w:hAnsi="David" w:cs="David" w:hint="eastAsia"/>
          <w:rtl/>
        </w:rPr>
        <w:t>כל</w:t>
      </w:r>
      <w:r>
        <w:rPr>
          <w:rFonts w:ascii="David" w:hAnsi="David" w:cs="David"/>
          <w:rtl/>
        </w:rPr>
        <w:t xml:space="preserve"> </w:t>
      </w:r>
      <w:r>
        <w:rPr>
          <w:rFonts w:ascii="David" w:hAnsi="David" w:cs="David" w:hint="eastAsia"/>
          <w:rtl/>
        </w:rPr>
        <w:t>חדש</w:t>
      </w:r>
      <w:r>
        <w:rPr>
          <w:rFonts w:ascii="David" w:hAnsi="David" w:cs="David"/>
          <w:rtl/>
        </w:rPr>
        <w:t>.</w:t>
      </w:r>
    </w:p>
    <w:p w14:paraId="46017DBE" w14:textId="77777777" w:rsidR="00AB0220" w:rsidRDefault="00AB0220" w:rsidP="00AB0220">
      <w:pPr>
        <w:pStyle w:val="ListParagraph"/>
        <w:spacing w:line="360" w:lineRule="auto"/>
        <w:jc w:val="both"/>
        <w:rPr>
          <w:rFonts w:ascii="David" w:hAnsi="David" w:cs="David" w:hint="cs"/>
          <w:rtl/>
        </w:rPr>
      </w:pPr>
    </w:p>
    <w:p w14:paraId="4241CF45" w14:textId="77777777" w:rsidR="004135C8" w:rsidRPr="00E16BE6" w:rsidRDefault="004135C8" w:rsidP="00AB0220">
      <w:pPr>
        <w:pStyle w:val="ListParagraph"/>
        <w:spacing w:line="360" w:lineRule="auto"/>
        <w:jc w:val="both"/>
        <w:rPr>
          <w:rFonts w:ascii="David" w:hAnsi="David" w:cs="David" w:hint="cs"/>
        </w:rPr>
      </w:pPr>
    </w:p>
    <w:p w14:paraId="71B95D75" w14:textId="77777777" w:rsidR="00AB0220" w:rsidRPr="008430EE" w:rsidRDefault="00AB0220" w:rsidP="00AB0220">
      <w:pPr>
        <w:pStyle w:val="ListParagraph"/>
        <w:numPr>
          <w:ilvl w:val="0"/>
          <w:numId w:val="1"/>
        </w:numPr>
        <w:spacing w:line="360" w:lineRule="auto"/>
        <w:jc w:val="both"/>
        <w:rPr>
          <w:rFonts w:ascii="David" w:hAnsi="David" w:cs="David"/>
        </w:rPr>
      </w:pPr>
      <w:r w:rsidRPr="008430EE">
        <w:rPr>
          <w:rFonts w:cs="David"/>
          <w:b/>
          <w:bCs/>
          <w:rtl/>
        </w:rPr>
        <w:t xml:space="preserve">נסיבות הקשורות בביצוע העבירה:  </w:t>
      </w:r>
    </w:p>
    <w:p w14:paraId="6F435813" w14:textId="77777777" w:rsidR="00AB0220" w:rsidRPr="00F12386" w:rsidRDefault="00AB0220" w:rsidP="00AB0220">
      <w:pPr>
        <w:pStyle w:val="ListParagraph"/>
        <w:spacing w:line="360" w:lineRule="auto"/>
        <w:jc w:val="both"/>
        <w:rPr>
          <w:rFonts w:ascii="David" w:hAnsi="David" w:cs="David"/>
        </w:rPr>
      </w:pPr>
    </w:p>
    <w:p w14:paraId="0596B370" w14:textId="77777777" w:rsidR="00AB0220" w:rsidRDefault="00AB0220" w:rsidP="00AB0220">
      <w:pPr>
        <w:spacing w:line="360" w:lineRule="auto"/>
        <w:ind w:left="720"/>
        <w:jc w:val="both"/>
        <w:rPr>
          <w:rtl/>
        </w:rPr>
      </w:pPr>
      <w:r>
        <w:rPr>
          <w:u w:val="single"/>
          <w:rtl/>
        </w:rPr>
        <w:t xml:space="preserve">א. </w:t>
      </w:r>
      <w:r w:rsidRPr="00673ADB">
        <w:rPr>
          <w:u w:val="single"/>
          <w:rtl/>
        </w:rPr>
        <w:t>התכנון שקדם לביצוע העבירה</w:t>
      </w:r>
      <w:r w:rsidRPr="00673ADB">
        <w:rPr>
          <w:rtl/>
        </w:rPr>
        <w:t xml:space="preserve"> – נסיבות ביצוע העבירה מלמדות בבירור על תכנון מוקדם, שהתבטא</w:t>
      </w:r>
      <w:r w:rsidRPr="00673ADB">
        <w:rPr>
          <w:b/>
          <w:bCs/>
          <w:rtl/>
        </w:rPr>
        <w:t xml:space="preserve"> </w:t>
      </w:r>
      <w:r w:rsidRPr="00673ADB">
        <w:rPr>
          <w:rtl/>
        </w:rPr>
        <w:t xml:space="preserve">בהצטיידות בכלים מתאימים לצורך גידול השתילים. מדובר בציוד משוכלל </w:t>
      </w:r>
      <w:r>
        <w:rPr>
          <w:rFonts w:hint="cs"/>
          <w:rtl/>
        </w:rPr>
        <w:t xml:space="preserve">יחסית, </w:t>
      </w:r>
      <w:r w:rsidRPr="00673ADB">
        <w:rPr>
          <w:rtl/>
        </w:rPr>
        <w:t>שיש בו ללמד על השקעה מחשבתית וכספית, רצינות וידע רב בנושא.</w:t>
      </w:r>
      <w:r>
        <w:rPr>
          <w:rFonts w:hint="cs"/>
          <w:rtl/>
        </w:rPr>
        <w:t xml:space="preserve"> עם זאת, הבאתי בחשבון שהמעבדה הוקמה בדירה בה התגורר הנאשם ולא נשכרה לצורך כך דירה נפרדת.</w:t>
      </w:r>
    </w:p>
    <w:p w14:paraId="016E7DC6" w14:textId="77777777" w:rsidR="00AB0220" w:rsidRDefault="00AB0220" w:rsidP="00AB0220">
      <w:pPr>
        <w:spacing w:line="360" w:lineRule="auto"/>
        <w:jc w:val="both"/>
        <w:rPr>
          <w:rFonts w:ascii="David" w:hAnsi="David"/>
          <w:rtl/>
        </w:rPr>
      </w:pPr>
    </w:p>
    <w:p w14:paraId="06DBBD3F" w14:textId="77777777" w:rsidR="00AB0220" w:rsidRDefault="00AB0220" w:rsidP="00AB0220">
      <w:pPr>
        <w:spacing w:line="360" w:lineRule="auto"/>
        <w:ind w:left="720"/>
        <w:jc w:val="both"/>
        <w:rPr>
          <w:rFonts w:ascii="David" w:hAnsi="David"/>
          <w:rtl/>
        </w:rPr>
      </w:pPr>
      <w:r>
        <w:rPr>
          <w:u w:val="single"/>
          <w:rtl/>
        </w:rPr>
        <w:t>ב</w:t>
      </w:r>
      <w:r w:rsidRPr="00673ADB">
        <w:rPr>
          <w:rFonts w:ascii="David" w:hAnsi="David"/>
          <w:u w:val="single"/>
          <w:rtl/>
        </w:rPr>
        <w:t>.</w:t>
      </w:r>
      <w:r>
        <w:rPr>
          <w:rFonts w:ascii="David" w:hAnsi="David"/>
          <w:u w:val="single"/>
          <w:rtl/>
        </w:rPr>
        <w:t xml:space="preserve"> </w:t>
      </w:r>
      <w:r w:rsidRPr="00673ADB">
        <w:rPr>
          <w:rFonts w:ascii="David" w:hAnsi="David" w:hint="eastAsia"/>
          <w:u w:val="single"/>
          <w:rtl/>
        </w:rPr>
        <w:t>הנזק</w:t>
      </w:r>
      <w:r w:rsidRPr="00673ADB">
        <w:rPr>
          <w:rFonts w:ascii="David" w:hAnsi="David"/>
          <w:u w:val="single"/>
          <w:rtl/>
        </w:rPr>
        <w:t xml:space="preserve"> </w:t>
      </w:r>
      <w:r w:rsidRPr="00673ADB">
        <w:rPr>
          <w:rFonts w:ascii="David" w:hAnsi="David" w:hint="eastAsia"/>
          <w:u w:val="single"/>
          <w:rtl/>
        </w:rPr>
        <w:t>שנגרם</w:t>
      </w:r>
      <w:r w:rsidRPr="00673ADB">
        <w:rPr>
          <w:rFonts w:ascii="David" w:hAnsi="David"/>
          <w:u w:val="single"/>
          <w:rtl/>
        </w:rPr>
        <w:t xml:space="preserve"> </w:t>
      </w:r>
      <w:r w:rsidRPr="00673ADB">
        <w:rPr>
          <w:rFonts w:ascii="David" w:hAnsi="David" w:hint="eastAsia"/>
          <w:u w:val="single"/>
          <w:rtl/>
        </w:rPr>
        <w:t>וכן</w:t>
      </w:r>
      <w:r w:rsidRPr="00673ADB">
        <w:rPr>
          <w:rFonts w:ascii="David" w:hAnsi="David"/>
          <w:u w:val="single"/>
          <w:rtl/>
        </w:rPr>
        <w:t xml:space="preserve"> </w:t>
      </w:r>
      <w:r w:rsidRPr="00673ADB">
        <w:rPr>
          <w:rFonts w:ascii="David" w:hAnsi="David" w:hint="eastAsia"/>
          <w:u w:val="single"/>
          <w:rtl/>
        </w:rPr>
        <w:t>שהיה</w:t>
      </w:r>
      <w:r w:rsidRPr="00673ADB">
        <w:rPr>
          <w:rFonts w:ascii="David" w:hAnsi="David"/>
          <w:u w:val="single"/>
          <w:rtl/>
        </w:rPr>
        <w:t xml:space="preserve"> </w:t>
      </w:r>
      <w:r w:rsidRPr="00673ADB">
        <w:rPr>
          <w:rFonts w:ascii="David" w:hAnsi="David" w:hint="eastAsia"/>
          <w:u w:val="single"/>
          <w:rtl/>
        </w:rPr>
        <w:t>צפוי</w:t>
      </w:r>
      <w:r w:rsidRPr="00673ADB">
        <w:rPr>
          <w:rFonts w:ascii="David" w:hAnsi="David"/>
          <w:u w:val="single"/>
          <w:rtl/>
        </w:rPr>
        <w:t xml:space="preserve"> </w:t>
      </w:r>
      <w:r w:rsidRPr="00673ADB">
        <w:rPr>
          <w:rFonts w:ascii="David" w:hAnsi="David" w:hint="eastAsia"/>
          <w:u w:val="single"/>
          <w:rtl/>
        </w:rPr>
        <w:t>מביצוע</w:t>
      </w:r>
      <w:r w:rsidRPr="00673ADB">
        <w:rPr>
          <w:rFonts w:ascii="David" w:hAnsi="David"/>
          <w:u w:val="single"/>
          <w:rtl/>
        </w:rPr>
        <w:t xml:space="preserve"> </w:t>
      </w:r>
      <w:r w:rsidRPr="00673ADB">
        <w:rPr>
          <w:rFonts w:ascii="David" w:hAnsi="David" w:hint="eastAsia"/>
          <w:u w:val="single"/>
          <w:rtl/>
        </w:rPr>
        <w:t>העבירה</w:t>
      </w:r>
      <w:r w:rsidRPr="00673ADB">
        <w:rPr>
          <w:rFonts w:ascii="David" w:hAnsi="David"/>
          <w:rtl/>
        </w:rPr>
        <w:t xml:space="preserve"> –  </w:t>
      </w:r>
      <w:r w:rsidRPr="00673ADB">
        <w:rPr>
          <w:rFonts w:ascii="David" w:hAnsi="David" w:hint="eastAsia"/>
          <w:rtl/>
        </w:rPr>
        <w:t>הנאשם</w:t>
      </w:r>
      <w:r w:rsidRPr="00673ADB">
        <w:rPr>
          <w:rFonts w:ascii="David" w:hAnsi="David"/>
          <w:rtl/>
        </w:rPr>
        <w:t xml:space="preserve"> </w:t>
      </w:r>
      <w:r w:rsidRPr="00673ADB">
        <w:rPr>
          <w:rFonts w:ascii="David" w:hAnsi="David" w:hint="eastAsia"/>
          <w:rtl/>
        </w:rPr>
        <w:t>החזיק</w:t>
      </w:r>
      <w:r w:rsidRPr="00673ADB">
        <w:rPr>
          <w:rFonts w:ascii="David" w:hAnsi="David"/>
          <w:rtl/>
        </w:rPr>
        <w:t xml:space="preserve"> </w:t>
      </w:r>
      <w:r>
        <w:rPr>
          <w:rFonts w:ascii="David" w:hAnsi="David" w:hint="cs"/>
          <w:rtl/>
        </w:rPr>
        <w:t xml:space="preserve">בדירתו מעבדה משוכללת יחסית לייצור סמים. </w:t>
      </w:r>
      <w:r w:rsidRPr="00673ADB">
        <w:rPr>
          <w:rFonts w:ascii="David" w:hAnsi="David" w:hint="eastAsia"/>
          <w:rtl/>
        </w:rPr>
        <w:t>כמות</w:t>
      </w:r>
      <w:r w:rsidRPr="00673ADB">
        <w:rPr>
          <w:rFonts w:ascii="David" w:hAnsi="David"/>
          <w:rtl/>
        </w:rPr>
        <w:t xml:space="preserve"> </w:t>
      </w:r>
      <w:r w:rsidRPr="00673ADB">
        <w:rPr>
          <w:rFonts w:ascii="David" w:hAnsi="David" w:hint="eastAsia"/>
          <w:rtl/>
        </w:rPr>
        <w:t>השתילים</w:t>
      </w:r>
      <w:r w:rsidRPr="00673ADB">
        <w:rPr>
          <w:rFonts w:ascii="David" w:hAnsi="David"/>
          <w:rtl/>
        </w:rPr>
        <w:t xml:space="preserve"> </w:t>
      </w:r>
      <w:r w:rsidRPr="00673ADB">
        <w:rPr>
          <w:rFonts w:ascii="David" w:hAnsi="David" w:hint="eastAsia"/>
          <w:rtl/>
        </w:rPr>
        <w:t>ממשית</w:t>
      </w:r>
      <w:r w:rsidRPr="00673ADB">
        <w:rPr>
          <w:rFonts w:ascii="David" w:hAnsi="David"/>
          <w:rtl/>
        </w:rPr>
        <w:t xml:space="preserve"> (4</w:t>
      </w:r>
      <w:r>
        <w:rPr>
          <w:rFonts w:ascii="David" w:hAnsi="David" w:hint="cs"/>
          <w:rtl/>
        </w:rPr>
        <w:t>4</w:t>
      </w:r>
      <w:r w:rsidRPr="00673ADB">
        <w:rPr>
          <w:rFonts w:ascii="David" w:hAnsi="David"/>
          <w:rtl/>
        </w:rPr>
        <w:t xml:space="preserve">) </w:t>
      </w:r>
      <w:r>
        <w:rPr>
          <w:rFonts w:ascii="David" w:hAnsi="David" w:hint="cs"/>
          <w:rtl/>
        </w:rPr>
        <w:t>ו</w:t>
      </w:r>
      <w:r w:rsidRPr="00673ADB">
        <w:rPr>
          <w:rFonts w:ascii="David" w:hAnsi="David" w:hint="eastAsia"/>
          <w:rtl/>
        </w:rPr>
        <w:t>בעניין</w:t>
      </w:r>
      <w:r w:rsidRPr="00673ADB">
        <w:rPr>
          <w:rFonts w:ascii="David" w:hAnsi="David"/>
          <w:rtl/>
        </w:rPr>
        <w:t xml:space="preserve"> </w:t>
      </w:r>
      <w:r w:rsidRPr="00673ADB">
        <w:rPr>
          <w:rFonts w:ascii="David" w:hAnsi="David" w:hint="eastAsia"/>
          <w:rtl/>
        </w:rPr>
        <w:t>זה</w:t>
      </w:r>
      <w:r w:rsidRPr="00673ADB">
        <w:rPr>
          <w:rFonts w:ascii="David" w:hAnsi="David"/>
          <w:rtl/>
        </w:rPr>
        <w:t xml:space="preserve"> </w:t>
      </w:r>
      <w:r>
        <w:rPr>
          <w:rFonts w:ascii="David" w:hAnsi="David" w:hint="cs"/>
          <w:rtl/>
        </w:rPr>
        <w:t>אציין כי בעבירת גידול, משקל השתילים אינו חזות הכל ובוודאי שאינו הנתון היחיד החשוב לצורך הערכת פוטנציאל הנזק החברתי. כפי שציינתי ב</w:t>
      </w:r>
      <w:hyperlink r:id="rId16" w:history="1">
        <w:r w:rsidR="007929C5" w:rsidRPr="007929C5">
          <w:rPr>
            <w:rStyle w:val="Hyperlink"/>
            <w:rFonts w:ascii="David" w:hAnsi="David" w:hint="eastAsia"/>
            <w:rtl/>
          </w:rPr>
          <w:t>ת</w:t>
        </w:r>
        <w:r w:rsidR="007929C5" w:rsidRPr="007929C5">
          <w:rPr>
            <w:rStyle w:val="Hyperlink"/>
            <w:rFonts w:ascii="David" w:hAnsi="David"/>
            <w:rtl/>
          </w:rPr>
          <w:t>"פ 33382-01-16</w:t>
        </w:r>
      </w:hyperlink>
      <w:r>
        <w:rPr>
          <w:rFonts w:ascii="David" w:hAnsi="David" w:hint="cs"/>
          <w:rtl/>
        </w:rPr>
        <w:t xml:space="preserve"> </w:t>
      </w:r>
      <w:r w:rsidRPr="00F954CE">
        <w:rPr>
          <w:rFonts w:ascii="David" w:hAnsi="David" w:hint="cs"/>
          <w:b/>
          <w:bCs/>
          <w:rtl/>
        </w:rPr>
        <w:t>מדינת ישראל נ' אליזדה</w:t>
      </w:r>
      <w:r>
        <w:rPr>
          <w:rFonts w:ascii="David" w:hAnsi="David" w:hint="cs"/>
          <w:rtl/>
        </w:rPr>
        <w:t xml:space="preserve"> (19.3.17), משקל השתילים הוא נתון שבעיקרו מושפע מעיתוי תפיסת המעבדה ולכן אין לייחס חשיבות רבה לכך שמדובר במשקל נמוך יחסית (1.85 ק"ג). במקרה זה מדובר בשתילים המצויים בתחילת מחזור חייהם (משקל ממוצע של 42 ג' לשתיל) ומשכך, ברי שאם המשטרה הייתה פושטת על ביתו של הנאשם לאחר מספר שבועות, מדובר היה במשקל גבוה יותר. מכך אנו למדים שאין לייחס חשיבות רבה למשקל הנמוך. את חומרת העבירה יש ללמוד בעיקר ממספר השתילים, שהוא הנתון המלמד על </w:t>
      </w:r>
      <w:r w:rsidRPr="008430EE">
        <w:rPr>
          <w:rFonts w:ascii="David" w:hAnsi="David" w:hint="cs"/>
          <w:u w:val="single"/>
          <w:rtl/>
        </w:rPr>
        <w:t>פוטנציאל</w:t>
      </w:r>
      <w:r>
        <w:rPr>
          <w:rFonts w:ascii="David" w:hAnsi="David" w:hint="cs"/>
          <w:rtl/>
        </w:rPr>
        <w:t xml:space="preserve"> הנזק שהיה בעבירה ובהיקפה. </w:t>
      </w:r>
    </w:p>
    <w:p w14:paraId="36F7C2BA" w14:textId="77777777" w:rsidR="00AB0220" w:rsidRDefault="00AB0220" w:rsidP="00AB0220">
      <w:pPr>
        <w:spacing w:line="360" w:lineRule="auto"/>
        <w:jc w:val="both"/>
        <w:rPr>
          <w:rFonts w:ascii="David" w:hAnsi="David"/>
          <w:rtl/>
        </w:rPr>
      </w:pPr>
    </w:p>
    <w:p w14:paraId="59F61852" w14:textId="77777777" w:rsidR="00AB0220" w:rsidRDefault="00AB0220" w:rsidP="00AB0220">
      <w:pPr>
        <w:spacing w:line="360" w:lineRule="auto"/>
        <w:ind w:left="720"/>
        <w:jc w:val="both"/>
        <w:rPr>
          <w:rFonts w:ascii="David" w:hAnsi="David"/>
          <w:rtl/>
        </w:rPr>
      </w:pPr>
      <w:r>
        <w:rPr>
          <w:rFonts w:ascii="David" w:hAnsi="David" w:hint="eastAsia"/>
          <w:u w:val="single"/>
          <w:rtl/>
        </w:rPr>
        <w:t>ג</w:t>
      </w:r>
      <w:r>
        <w:rPr>
          <w:rFonts w:ascii="David" w:hAnsi="David"/>
          <w:u w:val="single"/>
          <w:rtl/>
        </w:rPr>
        <w:t xml:space="preserve">. </w:t>
      </w:r>
      <w:r w:rsidRPr="00673ADB">
        <w:rPr>
          <w:rFonts w:ascii="David" w:hAnsi="David" w:hint="eastAsia"/>
          <w:u w:val="single"/>
          <w:rtl/>
        </w:rPr>
        <w:t>הסיבות</w:t>
      </w:r>
      <w:r w:rsidRPr="00673ADB">
        <w:rPr>
          <w:rFonts w:ascii="David" w:hAnsi="David"/>
          <w:u w:val="single"/>
          <w:rtl/>
        </w:rPr>
        <w:t xml:space="preserve"> </w:t>
      </w:r>
      <w:r w:rsidRPr="00673ADB">
        <w:rPr>
          <w:rFonts w:ascii="David" w:hAnsi="David" w:hint="eastAsia"/>
          <w:u w:val="single"/>
          <w:rtl/>
        </w:rPr>
        <w:t>שהביאו</w:t>
      </w:r>
      <w:r w:rsidRPr="00673ADB">
        <w:rPr>
          <w:rFonts w:ascii="David" w:hAnsi="David"/>
          <w:u w:val="single"/>
          <w:rtl/>
        </w:rPr>
        <w:t xml:space="preserve"> </w:t>
      </w:r>
      <w:r w:rsidRPr="00673ADB">
        <w:rPr>
          <w:rFonts w:ascii="David" w:hAnsi="David" w:hint="eastAsia"/>
          <w:u w:val="single"/>
          <w:rtl/>
        </w:rPr>
        <w:t>את</w:t>
      </w:r>
      <w:r w:rsidRPr="00673ADB">
        <w:rPr>
          <w:rFonts w:ascii="David" w:hAnsi="David"/>
          <w:u w:val="single"/>
          <w:rtl/>
        </w:rPr>
        <w:t xml:space="preserve"> </w:t>
      </w:r>
      <w:r w:rsidRPr="00673ADB">
        <w:rPr>
          <w:rFonts w:ascii="David" w:hAnsi="David" w:hint="eastAsia"/>
          <w:u w:val="single"/>
          <w:rtl/>
        </w:rPr>
        <w:t>הנאשם</w:t>
      </w:r>
      <w:r w:rsidRPr="00673ADB">
        <w:rPr>
          <w:rFonts w:ascii="David" w:hAnsi="David"/>
          <w:u w:val="single"/>
          <w:rtl/>
        </w:rPr>
        <w:t xml:space="preserve"> </w:t>
      </w:r>
      <w:r w:rsidRPr="00673ADB">
        <w:rPr>
          <w:rFonts w:ascii="David" w:hAnsi="David" w:hint="eastAsia"/>
          <w:u w:val="single"/>
          <w:rtl/>
        </w:rPr>
        <w:t>לביצוע</w:t>
      </w:r>
      <w:r w:rsidRPr="00673ADB">
        <w:rPr>
          <w:rFonts w:ascii="David" w:hAnsi="David"/>
          <w:u w:val="single"/>
          <w:rtl/>
        </w:rPr>
        <w:t xml:space="preserve"> </w:t>
      </w:r>
      <w:r w:rsidRPr="00673ADB">
        <w:rPr>
          <w:rFonts w:ascii="David" w:hAnsi="David" w:hint="eastAsia"/>
          <w:u w:val="single"/>
          <w:rtl/>
        </w:rPr>
        <w:t>העבירה</w:t>
      </w:r>
      <w:r w:rsidRPr="00673ADB">
        <w:rPr>
          <w:rFonts w:ascii="David" w:hAnsi="David"/>
          <w:rtl/>
        </w:rPr>
        <w:t xml:space="preserve"> – </w:t>
      </w:r>
      <w:r w:rsidRPr="00673ADB">
        <w:rPr>
          <w:rFonts w:ascii="David" w:hAnsi="David" w:hint="eastAsia"/>
          <w:rtl/>
        </w:rPr>
        <w:t>כתב</w:t>
      </w:r>
      <w:r w:rsidRPr="00673ADB">
        <w:rPr>
          <w:rFonts w:ascii="David" w:hAnsi="David"/>
          <w:rtl/>
        </w:rPr>
        <w:t xml:space="preserve"> </w:t>
      </w:r>
      <w:r w:rsidRPr="00673ADB">
        <w:rPr>
          <w:rFonts w:ascii="David" w:hAnsi="David" w:hint="eastAsia"/>
          <w:rtl/>
        </w:rPr>
        <w:t>האישום</w:t>
      </w:r>
      <w:r w:rsidRPr="00673ADB">
        <w:rPr>
          <w:rFonts w:ascii="David" w:hAnsi="David"/>
          <w:rtl/>
        </w:rPr>
        <w:t xml:space="preserve"> </w:t>
      </w:r>
      <w:r w:rsidRPr="00673ADB">
        <w:rPr>
          <w:rFonts w:ascii="David" w:hAnsi="David" w:hint="eastAsia"/>
          <w:rtl/>
        </w:rPr>
        <w:t>אינו</w:t>
      </w:r>
      <w:r w:rsidRPr="00673ADB">
        <w:rPr>
          <w:rFonts w:ascii="David" w:hAnsi="David"/>
          <w:rtl/>
        </w:rPr>
        <w:t xml:space="preserve"> </w:t>
      </w:r>
      <w:r w:rsidRPr="00673ADB">
        <w:rPr>
          <w:rFonts w:ascii="David" w:hAnsi="David" w:hint="eastAsia"/>
          <w:rtl/>
        </w:rPr>
        <w:t>מפרט</w:t>
      </w:r>
      <w:r w:rsidRPr="00673ADB">
        <w:rPr>
          <w:rFonts w:ascii="David" w:hAnsi="David"/>
          <w:rtl/>
        </w:rPr>
        <w:t xml:space="preserve"> </w:t>
      </w:r>
      <w:r w:rsidRPr="00673ADB">
        <w:rPr>
          <w:rFonts w:ascii="David" w:hAnsi="David" w:hint="eastAsia"/>
          <w:rtl/>
        </w:rPr>
        <w:t>את</w:t>
      </w:r>
      <w:r w:rsidRPr="00673ADB">
        <w:rPr>
          <w:rFonts w:ascii="David" w:hAnsi="David"/>
          <w:rtl/>
        </w:rPr>
        <w:t xml:space="preserve"> </w:t>
      </w:r>
      <w:r w:rsidRPr="00673ADB">
        <w:rPr>
          <w:rFonts w:ascii="David" w:hAnsi="David" w:hint="eastAsia"/>
          <w:rtl/>
        </w:rPr>
        <w:t>סיבת</w:t>
      </w:r>
      <w:r w:rsidRPr="00673ADB">
        <w:rPr>
          <w:rFonts w:ascii="David" w:hAnsi="David"/>
          <w:rtl/>
        </w:rPr>
        <w:t xml:space="preserve"> </w:t>
      </w:r>
      <w:r w:rsidRPr="00673ADB">
        <w:rPr>
          <w:rFonts w:ascii="David" w:hAnsi="David" w:hint="eastAsia"/>
          <w:rtl/>
        </w:rPr>
        <w:t>גידול</w:t>
      </w:r>
      <w:r w:rsidRPr="00673ADB">
        <w:rPr>
          <w:rFonts w:ascii="David" w:hAnsi="David"/>
          <w:rtl/>
        </w:rPr>
        <w:t xml:space="preserve"> </w:t>
      </w:r>
      <w:r w:rsidRPr="00673ADB">
        <w:rPr>
          <w:rFonts w:ascii="David" w:hAnsi="David" w:hint="eastAsia"/>
          <w:rtl/>
        </w:rPr>
        <w:t>הסמים</w:t>
      </w:r>
      <w:r>
        <w:rPr>
          <w:rFonts w:ascii="David" w:hAnsi="David" w:hint="cs"/>
          <w:rtl/>
        </w:rPr>
        <w:t xml:space="preserve">. אכן, לפי נוסחו של </w:t>
      </w:r>
      <w:hyperlink r:id="rId17" w:history="1">
        <w:r w:rsidR="004135C8" w:rsidRPr="004135C8">
          <w:rPr>
            <w:rFonts w:ascii="David" w:hAnsi="David"/>
            <w:color w:val="0000FF"/>
            <w:u w:val="single"/>
            <w:rtl/>
          </w:rPr>
          <w:t>סעיף 6</w:t>
        </w:r>
      </w:hyperlink>
      <w:r>
        <w:rPr>
          <w:rFonts w:ascii="David" w:hAnsi="David" w:hint="cs"/>
          <w:rtl/>
        </w:rPr>
        <w:t xml:space="preserve"> לפקודת הסמים, אין לנושא כל חשיבות לצורך השתכללות יסודות העבירה. עם זאת ברור שיש לכך חשיבות ממשית לצורך קביעת נסיבות ביצוע העבירה, שכן לעניין העונש, לא הרי גידול סם לצורך שימוש עצמי, כהרי גידול שלא למטרה זו (ראו בעניין זה גם דברים שציינתי ב</w:t>
      </w:r>
      <w:hyperlink r:id="rId18" w:history="1">
        <w:r w:rsidR="007929C5" w:rsidRPr="007929C5">
          <w:rPr>
            <w:rStyle w:val="Hyperlink"/>
            <w:rFonts w:ascii="David" w:hAnsi="David" w:hint="eastAsia"/>
            <w:rtl/>
          </w:rPr>
          <w:t>ת</w:t>
        </w:r>
        <w:r w:rsidR="007929C5" w:rsidRPr="007929C5">
          <w:rPr>
            <w:rStyle w:val="Hyperlink"/>
            <w:rFonts w:ascii="David" w:hAnsi="David"/>
            <w:rtl/>
          </w:rPr>
          <w:t>"פ 37259-10-15</w:t>
        </w:r>
      </w:hyperlink>
      <w:r>
        <w:rPr>
          <w:rFonts w:ascii="David" w:hAnsi="David" w:hint="cs"/>
          <w:rtl/>
        </w:rPr>
        <w:t xml:space="preserve"> </w:t>
      </w:r>
      <w:r>
        <w:rPr>
          <w:rFonts w:ascii="David" w:hAnsi="David" w:hint="cs"/>
          <w:b/>
          <w:bCs/>
          <w:rtl/>
        </w:rPr>
        <w:t>מדינת ישראל נ' אוחנה</w:t>
      </w:r>
      <w:r>
        <w:rPr>
          <w:rFonts w:ascii="David" w:hAnsi="David" w:hint="cs"/>
          <w:rtl/>
        </w:rPr>
        <w:t xml:space="preserve"> (15.3.17)). לעיתים, ניתן ללמוד על מטרה זו (ברמה הנדרשת) מהנסיבות המתוארות בכתב האישום בו הודה הנאשם (או שהוכחו במהלך פרשת ההוכחות) כגון השקעות כספיות ניכרות, כמות גדולה מאוד וכיוצב'. לעיתים ניתן להסיק מסקנה זו (ברמה הנדרשת לצורך הוכחת נסיבה מחמירה) גם מהקביעה שהכלים ששימשו לגידול הסמים, הוחזקו שלא לשימוש עצמי בלבד. בענייננו, הנאשם הורשע אמנם בעבירה של החזקת כלים, אך במסגרת הסדר הטיעון נמחקה הנסיבה שמדובר בהחזקה שלא לשימוש עצמי בלבד. הצדדים ציינו גם מפורשות במסגרת הסדר הטיעון כי לא יחרגו מעובדות כתב האישום. אמנם, מדובר בהצהרה של המצב המשפטי החולש  ממילא על הנושא </w:t>
      </w:r>
      <w:r>
        <w:rPr>
          <w:rFonts w:hint="cs"/>
          <w:rtl/>
        </w:rPr>
        <w:t>(</w:t>
      </w:r>
      <w:hyperlink r:id="rId19" w:history="1">
        <w:r w:rsidR="007929C5" w:rsidRPr="007929C5">
          <w:rPr>
            <w:rStyle w:val="Hyperlink"/>
            <w:rFonts w:hint="eastAsia"/>
            <w:noProof/>
            <w:rtl/>
          </w:rPr>
          <w:t>ע</w:t>
        </w:r>
        <w:r w:rsidR="007929C5" w:rsidRPr="007929C5">
          <w:rPr>
            <w:rStyle w:val="Hyperlink"/>
            <w:noProof/>
            <w:rtl/>
          </w:rPr>
          <w:t>"פ 5841/14</w:t>
        </w:r>
      </w:hyperlink>
      <w:r>
        <w:rPr>
          <w:rFonts w:hint="cs"/>
          <w:noProof/>
          <w:rtl/>
        </w:rPr>
        <w:t xml:space="preserve"> </w:t>
      </w:r>
      <w:r>
        <w:rPr>
          <w:rFonts w:hint="cs"/>
          <w:b/>
          <w:bCs/>
          <w:noProof/>
          <w:rtl/>
        </w:rPr>
        <w:t>ארקאן נגד מדינת ישראל</w:t>
      </w:r>
      <w:r>
        <w:rPr>
          <w:rFonts w:hint="cs"/>
          <w:noProof/>
          <w:rtl/>
        </w:rPr>
        <w:t xml:space="preserve"> (8.7.2015)</w:t>
      </w:r>
      <w:r>
        <w:rPr>
          <w:rFonts w:ascii="Century" w:hAnsi="Century" w:hint="cs"/>
          <w:rtl/>
        </w:rPr>
        <w:t xml:space="preserve">; </w:t>
      </w:r>
      <w:hyperlink r:id="rId20" w:history="1">
        <w:r w:rsidR="007929C5" w:rsidRPr="007929C5">
          <w:rPr>
            <w:rStyle w:val="Hyperlink"/>
            <w:rFonts w:ascii="Century" w:hAnsi="Century" w:hint="eastAsia"/>
            <w:rtl/>
          </w:rPr>
          <w:t>ע</w:t>
        </w:r>
        <w:r w:rsidR="007929C5" w:rsidRPr="007929C5">
          <w:rPr>
            <w:rStyle w:val="Hyperlink"/>
            <w:rFonts w:ascii="Century" w:hAnsi="Century"/>
            <w:rtl/>
          </w:rPr>
          <w:t>"</w:t>
        </w:r>
        <w:r w:rsidR="007929C5" w:rsidRPr="007929C5">
          <w:rPr>
            <w:rStyle w:val="Hyperlink"/>
            <w:rFonts w:ascii="Century" w:hAnsi="Century" w:hint="eastAsia"/>
            <w:rtl/>
          </w:rPr>
          <w:t>פ</w:t>
        </w:r>
        <w:r w:rsidR="007929C5" w:rsidRPr="007929C5">
          <w:rPr>
            <w:rStyle w:val="Hyperlink"/>
            <w:rFonts w:ascii="Century" w:hAnsi="Century"/>
            <w:rtl/>
          </w:rPr>
          <w:t xml:space="preserve"> 4289/14</w:t>
        </w:r>
      </w:hyperlink>
      <w:r>
        <w:rPr>
          <w:rFonts w:ascii="Century" w:hAnsi="Century" w:hint="cs"/>
          <w:rtl/>
        </w:rPr>
        <w:t xml:space="preserve"> </w:t>
      </w:r>
      <w:r>
        <w:rPr>
          <w:rFonts w:ascii="Century" w:hAnsi="Century" w:hint="cs"/>
          <w:b/>
          <w:bCs/>
          <w:rtl/>
        </w:rPr>
        <w:t>אורן חנוכה ושושן ברבי נ' מדינת ישראל</w:t>
      </w:r>
      <w:r>
        <w:rPr>
          <w:rFonts w:ascii="Century" w:hAnsi="Century" w:hint="cs"/>
          <w:rtl/>
        </w:rPr>
        <w:t xml:space="preserve"> (21.1.15)</w:t>
      </w:r>
      <w:r>
        <w:rPr>
          <w:rFonts w:hint="cs"/>
          <w:rtl/>
        </w:rPr>
        <w:t xml:space="preserve">; </w:t>
      </w:r>
      <w:hyperlink r:id="rId21" w:history="1">
        <w:r w:rsidR="007929C5" w:rsidRPr="007929C5">
          <w:rPr>
            <w:rStyle w:val="Hyperlink"/>
            <w:rFonts w:ascii="Calibri" w:hAnsi="Calibri" w:hint="eastAsia"/>
            <w:rtl/>
          </w:rPr>
          <w:t>ע</w:t>
        </w:r>
        <w:r w:rsidR="007929C5" w:rsidRPr="007929C5">
          <w:rPr>
            <w:rStyle w:val="Hyperlink"/>
            <w:rFonts w:ascii="Calibri" w:hAnsi="Calibri"/>
            <w:rtl/>
          </w:rPr>
          <w:t>"</w:t>
        </w:r>
        <w:r w:rsidR="007929C5" w:rsidRPr="007929C5">
          <w:rPr>
            <w:rStyle w:val="Hyperlink"/>
            <w:rFonts w:ascii="Calibri" w:hAnsi="Calibri" w:hint="eastAsia"/>
            <w:rtl/>
          </w:rPr>
          <w:t>פ</w:t>
        </w:r>
        <w:r w:rsidR="007929C5" w:rsidRPr="007929C5">
          <w:rPr>
            <w:rStyle w:val="Hyperlink"/>
            <w:rFonts w:ascii="Calibri" w:hAnsi="Calibri"/>
            <w:rtl/>
          </w:rPr>
          <w:t xml:space="preserve"> 7349/14</w:t>
        </w:r>
      </w:hyperlink>
      <w:r>
        <w:rPr>
          <w:rFonts w:ascii="Calibri" w:hAnsi="Calibri" w:hint="cs"/>
          <w:rtl/>
        </w:rPr>
        <w:t xml:space="preserve"> </w:t>
      </w:r>
      <w:r>
        <w:rPr>
          <w:rFonts w:ascii="Calibri" w:hAnsi="Calibri" w:hint="cs"/>
          <w:b/>
          <w:bCs/>
          <w:rtl/>
        </w:rPr>
        <w:t xml:space="preserve">מדינת ישראל נ' פלונית </w:t>
      </w:r>
      <w:r>
        <w:rPr>
          <w:rFonts w:ascii="Calibri" w:hAnsi="Calibri" w:hint="cs"/>
          <w:rtl/>
        </w:rPr>
        <w:t xml:space="preserve">(14.5.15)), ואולם יש לתת להסכמת הצדדים משמעות רחבה יותר, והיא שלא ניתן יהיה גם להסיק מעובדות כתב האישום </w:t>
      </w:r>
      <w:r w:rsidRPr="00F8595F">
        <w:rPr>
          <w:rFonts w:ascii="Calibri" w:hAnsi="Calibri" w:hint="cs"/>
          <w:u w:val="single"/>
          <w:rtl/>
        </w:rPr>
        <w:t>מסקנות</w:t>
      </w:r>
      <w:r>
        <w:rPr>
          <w:rFonts w:ascii="Calibri" w:hAnsi="Calibri" w:hint="cs"/>
          <w:rtl/>
        </w:rPr>
        <w:t xml:space="preserve"> ביחס לנסיבה זו, בין מחמירות ובין מקלות (לאפשרות הסקת מסקנות מעובדות כתב האישום </w:t>
      </w:r>
      <w:r>
        <w:rPr>
          <w:rFonts w:ascii="David" w:hAnsi="David" w:hint="cs"/>
          <w:rtl/>
        </w:rPr>
        <w:t xml:space="preserve">ראו </w:t>
      </w:r>
      <w:r>
        <w:rPr>
          <w:rFonts w:hint="cs"/>
          <w:rtl/>
        </w:rPr>
        <w:t xml:space="preserve">למשל </w:t>
      </w:r>
      <w:hyperlink r:id="rId22" w:history="1">
        <w:r w:rsidR="007929C5" w:rsidRPr="007929C5">
          <w:rPr>
            <w:rStyle w:val="Hyperlink"/>
            <w:rFonts w:ascii="Arial" w:hAnsi="Arial" w:hint="eastAsia"/>
            <w:rtl/>
          </w:rPr>
          <w:t>דנ</w:t>
        </w:r>
        <w:r w:rsidR="007929C5" w:rsidRPr="007929C5">
          <w:rPr>
            <w:rStyle w:val="Hyperlink"/>
            <w:rFonts w:ascii="Arial" w:hAnsi="Arial"/>
            <w:rtl/>
          </w:rPr>
          <w:t>"פ 10402/07</w:t>
        </w:r>
      </w:hyperlink>
      <w:r>
        <w:rPr>
          <w:rFonts w:ascii="Arial" w:hAnsi="Arial" w:hint="cs"/>
          <w:rtl/>
        </w:rPr>
        <w:t xml:space="preserve"> </w:t>
      </w:r>
      <w:r>
        <w:rPr>
          <w:rFonts w:ascii="Arial" w:hAnsi="Arial" w:hint="cs"/>
          <w:b/>
          <w:bCs/>
          <w:rtl/>
        </w:rPr>
        <w:t>מטיס נ' מדינת ישראל</w:t>
      </w:r>
      <w:r>
        <w:rPr>
          <w:rFonts w:ascii="Arial" w:hAnsi="Arial" w:hint="cs"/>
          <w:rtl/>
        </w:rPr>
        <w:t xml:space="preserve"> (29.1.08)</w:t>
      </w:r>
      <w:r>
        <w:rPr>
          <w:rFonts w:hint="cs"/>
          <w:rtl/>
        </w:rPr>
        <w:t xml:space="preserve">); לכך שאין מדובר בחריגה מעובדות כתב האישום, ראו: </w:t>
      </w:r>
      <w:hyperlink r:id="rId23" w:history="1">
        <w:r w:rsidR="007929C5" w:rsidRPr="007929C5">
          <w:rPr>
            <w:rStyle w:val="Hyperlink"/>
            <w:rFonts w:ascii="David" w:hAnsi="David" w:hint="eastAsia"/>
            <w:rtl/>
          </w:rPr>
          <w:t>דנ</w:t>
        </w:r>
        <w:r w:rsidR="007929C5" w:rsidRPr="007929C5">
          <w:rPr>
            <w:rStyle w:val="Hyperlink"/>
            <w:rFonts w:ascii="David" w:hAnsi="David"/>
            <w:rtl/>
          </w:rPr>
          <w:t>"פ 623/16</w:t>
        </w:r>
      </w:hyperlink>
      <w:r>
        <w:rPr>
          <w:rFonts w:ascii="David" w:hAnsi="David" w:hint="cs"/>
          <w:rtl/>
        </w:rPr>
        <w:t xml:space="preserve"> </w:t>
      </w:r>
      <w:r>
        <w:rPr>
          <w:rFonts w:ascii="David" w:hAnsi="David" w:hint="cs"/>
          <w:b/>
          <w:bCs/>
          <w:rtl/>
        </w:rPr>
        <w:t>יאשיהו יוסף פינטו נ' מדינת ישראל</w:t>
      </w:r>
      <w:r>
        <w:rPr>
          <w:rFonts w:ascii="David" w:hAnsi="David" w:hint="cs"/>
          <w:rtl/>
        </w:rPr>
        <w:t xml:space="preserve"> (8.2.16), סעיף 8). אציין כי הסנגור טען כך מפורשות והמאשימה לא חלקה על כך. לאור כך, מטרת הגידול נותרה לא מוכחת ולא ידועה, לא לחומרא ולא לקולא.</w:t>
      </w:r>
    </w:p>
    <w:p w14:paraId="510FF388" w14:textId="77777777" w:rsidR="00AB0220" w:rsidRPr="00CB4DD7" w:rsidRDefault="00AB0220" w:rsidP="00AB0220">
      <w:pPr>
        <w:pStyle w:val="ListParagraph"/>
        <w:spacing w:line="360" w:lineRule="auto"/>
        <w:ind w:left="1440"/>
        <w:jc w:val="both"/>
        <w:rPr>
          <w:rFonts w:ascii="David" w:hAnsi="David" w:cs="David"/>
          <w:rtl/>
        </w:rPr>
      </w:pPr>
    </w:p>
    <w:p w14:paraId="6BFE77E7" w14:textId="77777777" w:rsidR="00AB0220" w:rsidRPr="00090990" w:rsidRDefault="00AB0220" w:rsidP="00AB0220">
      <w:pPr>
        <w:pStyle w:val="ListParagraph"/>
        <w:numPr>
          <w:ilvl w:val="0"/>
          <w:numId w:val="1"/>
        </w:numPr>
        <w:spacing w:line="360" w:lineRule="auto"/>
        <w:jc w:val="both"/>
        <w:rPr>
          <w:rFonts w:ascii="David" w:hAnsi="David" w:cs="David"/>
        </w:rPr>
      </w:pPr>
      <w:r w:rsidRPr="00266023">
        <w:rPr>
          <w:rFonts w:cs="David"/>
          <w:b/>
          <w:bCs/>
          <w:rtl/>
        </w:rPr>
        <w:t>מדיניות הענישה:</w:t>
      </w:r>
      <w:r w:rsidRPr="00266023">
        <w:rPr>
          <w:rFonts w:ascii="David" w:hAnsi="David" w:cs="David"/>
          <w:rtl/>
        </w:rPr>
        <w:t xml:space="preserve"> </w:t>
      </w:r>
      <w:r>
        <w:rPr>
          <w:rFonts w:cs="David"/>
          <w:rtl/>
        </w:rPr>
        <w:t>מדיניות הענישה בעבירות סמים הקשורות לשרשרת ההפצה היא ככלל מחמירה ולנסיבות האישיות ניתן משקל מופחת</w:t>
      </w:r>
      <w:r>
        <w:rPr>
          <w:rFonts w:cs="David" w:hint="cs"/>
          <w:rtl/>
        </w:rPr>
        <w:t xml:space="preserve"> </w:t>
      </w:r>
      <w:r>
        <w:rPr>
          <w:rFonts w:cs="David"/>
          <w:rtl/>
        </w:rPr>
        <w:t>(</w:t>
      </w:r>
      <w:hyperlink r:id="rId24" w:history="1">
        <w:r w:rsidR="007929C5" w:rsidRPr="007929C5">
          <w:rPr>
            <w:rStyle w:val="Hyperlink"/>
            <w:rFonts w:cs="David"/>
            <w:rtl/>
          </w:rPr>
          <w:t>ע"פ 8988/16</w:t>
        </w:r>
      </w:hyperlink>
      <w:r>
        <w:rPr>
          <w:rFonts w:cs="David"/>
          <w:rtl/>
        </w:rPr>
        <w:t xml:space="preserve"> </w:t>
      </w:r>
      <w:r w:rsidRPr="004F6998">
        <w:rPr>
          <w:rFonts w:cs="David"/>
          <w:b/>
          <w:bCs/>
          <w:rtl/>
        </w:rPr>
        <w:t>אשר בן סימון נ' מדינת ישראל</w:t>
      </w:r>
      <w:r>
        <w:rPr>
          <w:rFonts w:cs="David"/>
          <w:rtl/>
        </w:rPr>
        <w:t xml:space="preserve"> </w:t>
      </w:r>
      <w:r w:rsidRPr="00F8595F">
        <w:rPr>
          <w:rFonts w:cs="David"/>
          <w:rtl/>
        </w:rPr>
        <w:t>(8.3.17))</w:t>
      </w:r>
      <w:r w:rsidRPr="00F8595F">
        <w:rPr>
          <w:rFonts w:cs="David" w:hint="cs"/>
          <w:rtl/>
        </w:rPr>
        <w:t>.</w:t>
      </w:r>
      <w:r w:rsidRPr="00F8595F">
        <w:rPr>
          <w:rFonts w:ascii="David" w:hAnsi="David" w:cs="David" w:hint="cs"/>
          <w:rtl/>
        </w:rPr>
        <w:t xml:space="preserve"> </w:t>
      </w:r>
      <w:r w:rsidRPr="00DF237C">
        <w:rPr>
          <w:rFonts w:cs="David"/>
          <w:rtl/>
        </w:rPr>
        <w:t xml:space="preserve">ביחס לענישה הראויה במקרים אלו, נקבע לא אחת כי יש להחמיר עם אלו </w:t>
      </w:r>
      <w:r>
        <w:rPr>
          <w:rFonts w:cs="David" w:hint="cs"/>
          <w:rtl/>
        </w:rPr>
        <w:t>ה</w:t>
      </w:r>
      <w:r w:rsidRPr="00DF237C">
        <w:rPr>
          <w:rFonts w:cs="David"/>
          <w:rtl/>
        </w:rPr>
        <w:t>מגדלים סמים (רא</w:t>
      </w:r>
      <w:r>
        <w:rPr>
          <w:rFonts w:cs="David" w:hint="cs"/>
          <w:rtl/>
        </w:rPr>
        <w:t>ו</w:t>
      </w:r>
      <w:r w:rsidRPr="00DF237C">
        <w:rPr>
          <w:rFonts w:cs="David"/>
          <w:rtl/>
        </w:rPr>
        <w:t xml:space="preserve">: </w:t>
      </w:r>
      <w:hyperlink r:id="rId25" w:history="1">
        <w:r w:rsidR="007929C5" w:rsidRPr="007929C5">
          <w:rPr>
            <w:rStyle w:val="Hyperlink"/>
            <w:rFonts w:cs="David"/>
            <w:rtl/>
          </w:rPr>
          <w:t>ע"פ 11220/03</w:t>
        </w:r>
      </w:hyperlink>
      <w:r w:rsidRPr="00DF237C">
        <w:rPr>
          <w:rFonts w:cs="David"/>
          <w:rtl/>
        </w:rPr>
        <w:t xml:space="preserve"> </w:t>
      </w:r>
      <w:r w:rsidRPr="00DF237C">
        <w:rPr>
          <w:rFonts w:cs="David"/>
          <w:b/>
          <w:bCs/>
          <w:rtl/>
        </w:rPr>
        <w:t>פלוני נ' מדינת ישראל</w:t>
      </w:r>
      <w:r w:rsidRPr="00DF237C">
        <w:rPr>
          <w:rFonts w:cs="David"/>
          <w:rtl/>
        </w:rPr>
        <w:t xml:space="preserve"> (6.7.05); </w:t>
      </w:r>
      <w:hyperlink r:id="rId26" w:history="1">
        <w:r w:rsidR="007929C5" w:rsidRPr="007929C5">
          <w:rPr>
            <w:rStyle w:val="Hyperlink"/>
            <w:rFonts w:cs="David"/>
            <w:rtl/>
          </w:rPr>
          <w:t>ע"פ (י-ם) 1987-04-10</w:t>
        </w:r>
      </w:hyperlink>
      <w:r w:rsidRPr="00DF237C">
        <w:rPr>
          <w:rFonts w:cs="David"/>
          <w:rtl/>
        </w:rPr>
        <w:t xml:space="preserve"> </w:t>
      </w:r>
      <w:r w:rsidRPr="00DF237C">
        <w:rPr>
          <w:rFonts w:cs="David"/>
          <w:b/>
          <w:bCs/>
          <w:rtl/>
        </w:rPr>
        <w:t>מדינת ישראל נ' אלוני</w:t>
      </w:r>
      <w:r w:rsidRPr="00DF237C">
        <w:rPr>
          <w:rFonts w:cs="David"/>
          <w:rtl/>
        </w:rPr>
        <w:t xml:space="preserve"> (28.6.2010)</w:t>
      </w:r>
      <w:r w:rsidRPr="00DF237C">
        <w:rPr>
          <w:rFonts w:cs="David" w:hint="cs"/>
          <w:rtl/>
        </w:rPr>
        <w:t xml:space="preserve">; </w:t>
      </w:r>
      <w:hyperlink r:id="rId27" w:history="1">
        <w:r w:rsidR="007929C5" w:rsidRPr="007929C5">
          <w:rPr>
            <w:rStyle w:val="Hyperlink"/>
            <w:rFonts w:cs="David"/>
            <w:rtl/>
          </w:rPr>
          <w:t>עפ"ג (ת"א) 12819-11-15</w:t>
        </w:r>
      </w:hyperlink>
      <w:r w:rsidRPr="00DF237C">
        <w:rPr>
          <w:rFonts w:cs="David"/>
          <w:rtl/>
        </w:rPr>
        <w:t xml:space="preserve"> </w:t>
      </w:r>
      <w:r w:rsidRPr="00DF237C">
        <w:rPr>
          <w:rFonts w:cs="David"/>
          <w:b/>
          <w:bCs/>
          <w:rtl/>
        </w:rPr>
        <w:t>מדינת ישראל נ' בן צבי</w:t>
      </w:r>
      <w:r w:rsidRPr="00DF237C">
        <w:rPr>
          <w:rFonts w:cs="David"/>
          <w:rtl/>
        </w:rPr>
        <w:t xml:space="preserve"> (16.12.15)</w:t>
      </w:r>
      <w:r w:rsidRPr="00DF237C">
        <w:rPr>
          <w:rFonts w:cs="David" w:hint="cs"/>
          <w:rtl/>
        </w:rPr>
        <w:t xml:space="preserve"> וכן</w:t>
      </w:r>
      <w:r w:rsidRPr="00DF237C">
        <w:rPr>
          <w:rFonts w:cs="David"/>
          <w:rtl/>
        </w:rPr>
        <w:t xml:space="preserve"> </w:t>
      </w:r>
      <w:hyperlink r:id="rId28" w:history="1">
        <w:r w:rsidR="007929C5" w:rsidRPr="007929C5">
          <w:rPr>
            <w:rStyle w:val="Hyperlink"/>
            <w:rFonts w:cs="David"/>
            <w:rtl/>
          </w:rPr>
          <w:t>עפ"ג 31126-05-14</w:t>
        </w:r>
      </w:hyperlink>
      <w:r w:rsidRPr="00DF237C">
        <w:rPr>
          <w:rFonts w:cs="David"/>
          <w:rtl/>
        </w:rPr>
        <w:t xml:space="preserve"> </w:t>
      </w:r>
      <w:r w:rsidRPr="00DF237C">
        <w:rPr>
          <w:rFonts w:cs="David"/>
          <w:b/>
          <w:bCs/>
          <w:rtl/>
        </w:rPr>
        <w:t>מדינת ישראל נ' חריט</w:t>
      </w:r>
      <w:r w:rsidRPr="00DF237C">
        <w:rPr>
          <w:rFonts w:cs="David"/>
          <w:rtl/>
        </w:rPr>
        <w:t xml:space="preserve"> (12.1.15)). </w:t>
      </w:r>
      <w:r w:rsidRPr="00090990">
        <w:rPr>
          <w:rFonts w:ascii="David" w:hAnsi="David" w:cs="David" w:hint="cs"/>
          <w:rtl/>
        </w:rPr>
        <w:t xml:space="preserve">כן ראו </w:t>
      </w:r>
      <w:hyperlink r:id="rId29" w:history="1">
        <w:r w:rsidR="007929C5" w:rsidRPr="007929C5">
          <w:rPr>
            <w:rStyle w:val="Hyperlink"/>
            <w:rFonts w:ascii="David" w:hAnsi="David" w:cs="David" w:hint="eastAsia"/>
            <w:rtl/>
          </w:rPr>
          <w:t>עפ</w:t>
        </w:r>
        <w:r w:rsidR="007929C5" w:rsidRPr="007929C5">
          <w:rPr>
            <w:rStyle w:val="Hyperlink"/>
            <w:rFonts w:ascii="David" w:hAnsi="David" w:cs="David"/>
            <w:rtl/>
          </w:rPr>
          <w:t>"ג (ת"א) 12819-11-15</w:t>
        </w:r>
      </w:hyperlink>
      <w:r w:rsidRPr="00090990">
        <w:rPr>
          <w:rFonts w:ascii="David" w:hAnsi="David" w:cs="David" w:hint="cs"/>
          <w:rtl/>
        </w:rPr>
        <w:t xml:space="preserve"> </w:t>
      </w:r>
      <w:r w:rsidRPr="00090990">
        <w:rPr>
          <w:rFonts w:ascii="David" w:hAnsi="David" w:cs="David" w:hint="cs"/>
          <w:b/>
          <w:bCs/>
          <w:rtl/>
        </w:rPr>
        <w:t>מדינת ישראל נ' בן צבי</w:t>
      </w:r>
      <w:r w:rsidRPr="00090990">
        <w:rPr>
          <w:rFonts w:ascii="David" w:hAnsi="David" w:cs="David" w:hint="cs"/>
          <w:rtl/>
        </w:rPr>
        <w:t xml:space="preserve"> (16.12.15) שם נקבע כי:</w:t>
      </w:r>
    </w:p>
    <w:p w14:paraId="1C4ACE68" w14:textId="77777777" w:rsidR="00AB0220" w:rsidRPr="00F8595F" w:rsidRDefault="00AB0220" w:rsidP="00AB0220">
      <w:pPr>
        <w:spacing w:line="360" w:lineRule="auto"/>
        <w:ind w:left="720"/>
        <w:jc w:val="both"/>
        <w:rPr>
          <w:b/>
          <w:bCs/>
        </w:rPr>
      </w:pPr>
    </w:p>
    <w:p w14:paraId="7CDD3E6C" w14:textId="77777777" w:rsidR="00AB0220" w:rsidRDefault="00AB0220" w:rsidP="00AB0220">
      <w:pPr>
        <w:spacing w:line="360" w:lineRule="auto"/>
        <w:ind w:left="1440" w:right="1134"/>
        <w:jc w:val="both"/>
        <w:rPr>
          <w:rFonts w:ascii="David" w:hAnsi="David" w:cs="Miriam"/>
        </w:rPr>
      </w:pPr>
      <w:r>
        <w:rPr>
          <w:rFonts w:ascii="David" w:hAnsi="David" w:cs="Miriam" w:hint="cs"/>
          <w:rtl/>
        </w:rPr>
        <w:t>"לא בכדִי הציב המחוקק בצדה של עברת גידול הסם עונש מקסימלי השווה לעונש שמוטל על הפצת סם וסחר בסמים. יש בכך אמירה נורמטיבית לצד אמירה אופרטיבית. מידת החומרה שבגידול סם איננה נופלת מזו של הפצת הסם. [ העונש] צריך לעמוד על תקופה שתחילתה במאסר שיינשא מאחורי סורג ובריח ולא במאסר שיינשא בעבודות שירות".</w:t>
      </w:r>
    </w:p>
    <w:p w14:paraId="4EB0C2D9" w14:textId="77777777" w:rsidR="00AB0220" w:rsidRPr="00400BF8" w:rsidRDefault="00AB0220" w:rsidP="00AB0220">
      <w:pPr>
        <w:spacing w:line="360" w:lineRule="auto"/>
        <w:jc w:val="both"/>
        <w:rPr>
          <w:rtl/>
        </w:rPr>
      </w:pPr>
    </w:p>
    <w:p w14:paraId="6E2FE45B" w14:textId="77777777" w:rsidR="00AB0220" w:rsidRPr="0075141B" w:rsidRDefault="00AB0220" w:rsidP="00AB0220">
      <w:pPr>
        <w:pStyle w:val="ListParagraph"/>
        <w:spacing w:line="360" w:lineRule="auto"/>
        <w:jc w:val="both"/>
        <w:rPr>
          <w:rFonts w:cs="David"/>
          <w:rtl/>
        </w:rPr>
      </w:pPr>
      <w:r w:rsidRPr="0075141B">
        <w:rPr>
          <w:rFonts w:cs="David"/>
          <w:rtl/>
        </w:rPr>
        <w:t xml:space="preserve">לצורך בחינת מדיניות הענישה הנוהגת במקרים דומים, ניתן להפנות לפסקי הדין הבאים: </w:t>
      </w:r>
    </w:p>
    <w:p w14:paraId="3E587BFB" w14:textId="77777777" w:rsidR="00AB0220" w:rsidRPr="0075141B" w:rsidRDefault="00AB0220" w:rsidP="00AB0220">
      <w:pPr>
        <w:pStyle w:val="ListParagraph"/>
        <w:spacing w:line="360" w:lineRule="auto"/>
        <w:jc w:val="both"/>
        <w:rPr>
          <w:rFonts w:cs="David"/>
          <w:rtl/>
        </w:rPr>
      </w:pPr>
    </w:p>
    <w:p w14:paraId="63992F03" w14:textId="77777777" w:rsidR="00AB0220" w:rsidRPr="0075141B" w:rsidRDefault="007929C5" w:rsidP="00AB0220">
      <w:pPr>
        <w:pStyle w:val="ListParagraph"/>
        <w:spacing w:line="360" w:lineRule="auto"/>
        <w:jc w:val="both"/>
        <w:rPr>
          <w:rFonts w:cs="David"/>
          <w:rtl/>
        </w:rPr>
      </w:pPr>
      <w:hyperlink r:id="rId30" w:history="1">
        <w:r w:rsidRPr="007929C5">
          <w:rPr>
            <w:rStyle w:val="Hyperlink"/>
            <w:rFonts w:cs="David"/>
            <w:rtl/>
          </w:rPr>
          <w:t>רע"פ 314/16</w:t>
        </w:r>
      </w:hyperlink>
      <w:r w:rsidR="00AB0220" w:rsidRPr="0075141B">
        <w:rPr>
          <w:rFonts w:cs="David"/>
          <w:rtl/>
        </w:rPr>
        <w:t xml:space="preserve"> </w:t>
      </w:r>
      <w:r w:rsidR="00AB0220" w:rsidRPr="0075141B">
        <w:rPr>
          <w:rFonts w:cs="David"/>
          <w:b/>
          <w:bCs/>
          <w:rtl/>
        </w:rPr>
        <w:t>בן צבי נ' מדינת ישראל</w:t>
      </w:r>
      <w:r w:rsidR="00AB0220" w:rsidRPr="0075141B">
        <w:rPr>
          <w:rFonts w:cs="David"/>
          <w:rtl/>
        </w:rPr>
        <w:t xml:space="preserve"> (22.2.16), בו </w:t>
      </w:r>
      <w:r w:rsidR="00AB0220">
        <w:rPr>
          <w:rFonts w:cs="David"/>
          <w:rtl/>
        </w:rPr>
        <w:t>הוטלו על ה</w:t>
      </w:r>
      <w:r w:rsidR="00AB0220" w:rsidRPr="0075141B">
        <w:rPr>
          <w:rFonts w:cs="David"/>
          <w:rtl/>
        </w:rPr>
        <w:t xml:space="preserve">נאשם 10 חודשי מאסר, בשל גידול </w:t>
      </w:r>
      <w:r w:rsidR="00AB0220" w:rsidRPr="00AA0106">
        <w:rPr>
          <w:rFonts w:cs="David"/>
          <w:u w:val="single"/>
          <w:rtl/>
        </w:rPr>
        <w:t>תשעה</w:t>
      </w:r>
      <w:r w:rsidR="00AB0220" w:rsidRPr="0075141B">
        <w:rPr>
          <w:rFonts w:cs="David"/>
          <w:rtl/>
        </w:rPr>
        <w:t xml:space="preserve"> שתילי קנבוס במשקל של 2.5 קילו במעבדה שכללה ציוד רב.</w:t>
      </w:r>
    </w:p>
    <w:p w14:paraId="06AD7656" w14:textId="77777777" w:rsidR="00AB0220" w:rsidRPr="0075141B" w:rsidRDefault="00AB0220" w:rsidP="00AB0220">
      <w:pPr>
        <w:pStyle w:val="ListParagraph"/>
        <w:spacing w:line="360" w:lineRule="auto"/>
        <w:jc w:val="both"/>
        <w:rPr>
          <w:rFonts w:cs="David"/>
          <w:rtl/>
        </w:rPr>
      </w:pPr>
    </w:p>
    <w:p w14:paraId="47A17877" w14:textId="77777777" w:rsidR="00AB0220" w:rsidRPr="0075141B" w:rsidRDefault="007929C5" w:rsidP="00AB0220">
      <w:pPr>
        <w:pStyle w:val="ListParagraph"/>
        <w:spacing w:line="360" w:lineRule="auto"/>
        <w:jc w:val="both"/>
        <w:rPr>
          <w:rFonts w:cs="David"/>
          <w:rtl/>
        </w:rPr>
      </w:pPr>
      <w:hyperlink r:id="rId31" w:history="1">
        <w:r w:rsidRPr="007929C5">
          <w:rPr>
            <w:rStyle w:val="Hyperlink"/>
            <w:rFonts w:cs="David"/>
            <w:rtl/>
          </w:rPr>
          <w:t>רע"פ 1787/15</w:t>
        </w:r>
      </w:hyperlink>
      <w:r w:rsidR="00AB0220" w:rsidRPr="0075141B">
        <w:rPr>
          <w:rFonts w:cs="David"/>
          <w:rtl/>
        </w:rPr>
        <w:t xml:space="preserve"> </w:t>
      </w:r>
      <w:r w:rsidR="00AB0220" w:rsidRPr="008269FA">
        <w:rPr>
          <w:rFonts w:cs="David"/>
          <w:b/>
          <w:bCs/>
          <w:rtl/>
        </w:rPr>
        <w:t>עמר נ' מדינת ישראל</w:t>
      </w:r>
      <w:r w:rsidR="00AB0220" w:rsidRPr="0075141B">
        <w:rPr>
          <w:rFonts w:cs="David"/>
          <w:rtl/>
        </w:rPr>
        <w:t xml:space="preserve"> (24.3.15), בו הוטלו על הנאשם 8 חודשי מאסר בשל גידול שתילי קנבוס במשקל 4,380 גרם והחזקה של כ-2.5 ק"ג סם מסוג קנבוס שלא לשימוש עצמי. יצוין כי בית המשפט העליון ראה במתחם שנקבע בבית המשפט השלום (8-20 חודשי מאסר) כראוי ונכון. </w:t>
      </w:r>
    </w:p>
    <w:p w14:paraId="1897420D" w14:textId="77777777" w:rsidR="00AB0220" w:rsidRPr="0075141B" w:rsidRDefault="00AB0220" w:rsidP="00AB0220">
      <w:pPr>
        <w:pStyle w:val="ListParagraph"/>
        <w:spacing w:line="360" w:lineRule="auto"/>
        <w:jc w:val="both"/>
        <w:rPr>
          <w:rFonts w:cs="David"/>
          <w:rtl/>
        </w:rPr>
      </w:pPr>
    </w:p>
    <w:p w14:paraId="7DCDB7DF" w14:textId="77777777" w:rsidR="00AB0220" w:rsidRPr="0075141B" w:rsidRDefault="007929C5" w:rsidP="00AB0220">
      <w:pPr>
        <w:pStyle w:val="ListParagraph"/>
        <w:spacing w:line="360" w:lineRule="auto"/>
        <w:jc w:val="both"/>
        <w:rPr>
          <w:rFonts w:cs="David"/>
          <w:rtl/>
        </w:rPr>
      </w:pPr>
      <w:hyperlink r:id="rId32" w:history="1">
        <w:r w:rsidRPr="007929C5">
          <w:rPr>
            <w:rStyle w:val="Hyperlink"/>
            <w:rFonts w:cs="David"/>
            <w:rtl/>
          </w:rPr>
          <w:t>רע"פ 7005/14</w:t>
        </w:r>
      </w:hyperlink>
      <w:r w:rsidR="00AB0220" w:rsidRPr="0075141B">
        <w:rPr>
          <w:rFonts w:cs="David"/>
          <w:rtl/>
        </w:rPr>
        <w:t xml:space="preserve"> </w:t>
      </w:r>
      <w:r w:rsidR="00AB0220" w:rsidRPr="008269FA">
        <w:rPr>
          <w:rFonts w:cs="David"/>
          <w:b/>
          <w:bCs/>
          <w:rtl/>
        </w:rPr>
        <w:t>דגן נ' מדינת ישראל</w:t>
      </w:r>
      <w:r w:rsidR="00AB0220" w:rsidRPr="0075141B">
        <w:rPr>
          <w:rFonts w:cs="David"/>
          <w:rtl/>
        </w:rPr>
        <w:t xml:space="preserve"> (30.11.14), בו הוטלו על הנאשם 10 חודשי מאסר בפועל בשל גידול סם מסוג קנביס במשקל כולל של 2,721 גרם. </w:t>
      </w:r>
    </w:p>
    <w:p w14:paraId="5813ED55" w14:textId="77777777" w:rsidR="00AB0220" w:rsidRPr="0075141B" w:rsidRDefault="00AB0220" w:rsidP="00AB0220">
      <w:pPr>
        <w:spacing w:line="360" w:lineRule="auto"/>
        <w:ind w:left="360"/>
        <w:jc w:val="both"/>
        <w:rPr>
          <w:rtl/>
        </w:rPr>
      </w:pPr>
    </w:p>
    <w:p w14:paraId="0F84B185" w14:textId="77777777" w:rsidR="00AB0220" w:rsidRDefault="007929C5" w:rsidP="00AB0220">
      <w:pPr>
        <w:pStyle w:val="ListParagraph"/>
        <w:spacing w:line="360" w:lineRule="auto"/>
        <w:jc w:val="both"/>
        <w:rPr>
          <w:rFonts w:cs="David"/>
          <w:rtl/>
        </w:rPr>
      </w:pPr>
      <w:hyperlink r:id="rId33" w:history="1">
        <w:r w:rsidRPr="007929C5">
          <w:rPr>
            <w:rStyle w:val="Hyperlink"/>
            <w:rFonts w:cs="David"/>
            <w:rtl/>
          </w:rPr>
          <w:t>רע"פ 6987/13</w:t>
        </w:r>
      </w:hyperlink>
      <w:r w:rsidR="00AB0220" w:rsidRPr="0075141B">
        <w:rPr>
          <w:rFonts w:cs="David"/>
          <w:rtl/>
        </w:rPr>
        <w:t xml:space="preserve"> </w:t>
      </w:r>
      <w:r w:rsidR="00AB0220" w:rsidRPr="008269FA">
        <w:rPr>
          <w:rFonts w:cs="David"/>
          <w:b/>
          <w:bCs/>
          <w:rtl/>
        </w:rPr>
        <w:t>אברמוב נ' מדינת ישראל</w:t>
      </w:r>
      <w:r w:rsidR="00AB0220" w:rsidRPr="0075141B">
        <w:rPr>
          <w:rFonts w:cs="David"/>
          <w:rtl/>
        </w:rPr>
        <w:t xml:space="preserve"> (21.10.13), בו הוטלו על הנאשם 12 חודשי מאסר בפועל בשל גידול  סם מסוג קנביס במשקל כולל של 10 ק"ג.  </w:t>
      </w:r>
    </w:p>
    <w:p w14:paraId="709AF469" w14:textId="77777777" w:rsidR="00AB0220" w:rsidRPr="00B833FA" w:rsidRDefault="00AB0220" w:rsidP="00AB0220">
      <w:pPr>
        <w:pStyle w:val="ListParagraph"/>
        <w:numPr>
          <w:ilvl w:val="0"/>
          <w:numId w:val="1"/>
        </w:numPr>
        <w:spacing w:line="360" w:lineRule="auto"/>
        <w:jc w:val="both"/>
        <w:rPr>
          <w:rFonts w:cs="David"/>
          <w:rtl/>
        </w:rPr>
      </w:pPr>
      <w:r w:rsidRPr="0047115A">
        <w:rPr>
          <w:rFonts w:cs="David"/>
          <w:rtl/>
        </w:rPr>
        <w:t xml:space="preserve">לאור כל זאת, אני בדעה כי מתחם הענישה ההולם את העבירה מושא ענייננו נע בין </w:t>
      </w:r>
      <w:r>
        <w:rPr>
          <w:rFonts w:cs="David" w:hint="cs"/>
          <w:rtl/>
        </w:rPr>
        <w:t>8</w:t>
      </w:r>
      <w:r w:rsidRPr="0047115A">
        <w:rPr>
          <w:rFonts w:cs="David"/>
          <w:rtl/>
        </w:rPr>
        <w:t xml:space="preserve"> חודשי מאסר בפועל ועד </w:t>
      </w:r>
      <w:r>
        <w:rPr>
          <w:rFonts w:cs="David" w:hint="cs"/>
          <w:rtl/>
        </w:rPr>
        <w:t>20</w:t>
      </w:r>
      <w:r>
        <w:rPr>
          <w:rFonts w:cs="David"/>
          <w:rtl/>
        </w:rPr>
        <w:t xml:space="preserve"> חודשי מאסר בפועל וכן ענישה כלכלית הולמת. </w:t>
      </w:r>
    </w:p>
    <w:p w14:paraId="039F49B9" w14:textId="77777777" w:rsidR="00AB0220" w:rsidRDefault="00AB0220" w:rsidP="00AB0220">
      <w:pPr>
        <w:spacing w:line="360" w:lineRule="auto"/>
        <w:ind w:firstLine="360"/>
        <w:jc w:val="both"/>
        <w:rPr>
          <w:b/>
          <w:bCs/>
          <w:u w:val="single"/>
          <w:rtl/>
        </w:rPr>
      </w:pPr>
    </w:p>
    <w:p w14:paraId="10DBEF23" w14:textId="77777777" w:rsidR="00AB0220" w:rsidRDefault="00AB0220" w:rsidP="00AB0220">
      <w:pPr>
        <w:spacing w:line="360" w:lineRule="auto"/>
        <w:ind w:firstLine="360"/>
        <w:jc w:val="both"/>
        <w:rPr>
          <w:b/>
          <w:bCs/>
          <w:u w:val="single"/>
          <w:rtl/>
        </w:rPr>
      </w:pPr>
      <w:r>
        <w:rPr>
          <w:rFonts w:hint="cs"/>
          <w:b/>
          <w:bCs/>
          <w:u w:val="single"/>
          <w:rtl/>
        </w:rPr>
        <w:t>קביעת עונשו של הנאשם</w:t>
      </w:r>
    </w:p>
    <w:p w14:paraId="6071DCA4" w14:textId="77777777" w:rsidR="00AB0220" w:rsidRDefault="00AB0220" w:rsidP="00AB0220">
      <w:pPr>
        <w:numPr>
          <w:ilvl w:val="0"/>
          <w:numId w:val="1"/>
        </w:numPr>
        <w:spacing w:line="360" w:lineRule="auto"/>
        <w:contextualSpacing/>
        <w:jc w:val="both"/>
      </w:pPr>
      <w:r>
        <w:rPr>
          <w:rFonts w:hint="cs"/>
          <w:rtl/>
        </w:rPr>
        <w:t xml:space="preserve">הצדדים לא היו חלוקים על כך שיש לגזור את העונש בגדרי המתחם וכי אין סיבה לחריגה ממנו. לצורך קביעת עונשו של הנאשם נתתי דעתי להודאתו של הנאשם בהזדמנות הראשונה. הודאתו ביטאה חרטה והיה בה משום חיסכון ממשי בזמן שיפוטי. נתתי גם דעתי לעובדה שמדובר בנאשם בודד, ללא מעגלי תמיכה, אשר שהה עד כה במעצר בשל חוסר יכולת להציג חלופה ראויה. </w:t>
      </w:r>
    </w:p>
    <w:p w14:paraId="0B2A71FF" w14:textId="77777777" w:rsidR="00AB0220" w:rsidRDefault="00AB0220" w:rsidP="00AB0220">
      <w:pPr>
        <w:spacing w:line="360" w:lineRule="auto"/>
        <w:ind w:left="720"/>
        <w:contextualSpacing/>
        <w:jc w:val="both"/>
      </w:pPr>
    </w:p>
    <w:p w14:paraId="7664051F" w14:textId="77777777" w:rsidR="00AB0220" w:rsidRDefault="00AB0220" w:rsidP="00AB0220">
      <w:pPr>
        <w:numPr>
          <w:ilvl w:val="0"/>
          <w:numId w:val="1"/>
        </w:numPr>
        <w:spacing w:line="360" w:lineRule="auto"/>
        <w:contextualSpacing/>
        <w:jc w:val="both"/>
      </w:pPr>
      <w:r>
        <w:rPr>
          <w:rFonts w:hint="cs"/>
          <w:rtl/>
        </w:rPr>
        <w:t xml:space="preserve">הבאתי עוד בחשבון את עברו הפלילי של הנאשם. העבירה האחרונה בה הורשע הנאשם היא משנת 2010 ומדובר בהחזקת סם לשימוש עצמי. כן אציין כי עברו הפלילי של הנאשם אמנם מכביד יחסית, אך רובו כולל עבירות של שימוש עצמי בסם. עבירות הסמים החמורות יותר, נעברו בשנת 1992 ולנתון זה יינתן משקל. </w:t>
      </w:r>
    </w:p>
    <w:p w14:paraId="76256D05" w14:textId="77777777" w:rsidR="00AB0220" w:rsidRDefault="00AB0220" w:rsidP="00AB0220">
      <w:pPr>
        <w:spacing w:line="360" w:lineRule="auto"/>
        <w:ind w:left="720"/>
        <w:contextualSpacing/>
        <w:jc w:val="both"/>
      </w:pPr>
    </w:p>
    <w:p w14:paraId="14D45546" w14:textId="77777777" w:rsidR="00AB0220" w:rsidRDefault="00AB0220" w:rsidP="00AB0220">
      <w:pPr>
        <w:numPr>
          <w:ilvl w:val="0"/>
          <w:numId w:val="1"/>
        </w:numPr>
        <w:spacing w:line="360" w:lineRule="auto"/>
        <w:contextualSpacing/>
        <w:jc w:val="both"/>
      </w:pPr>
      <w:r>
        <w:rPr>
          <w:rFonts w:hint="cs"/>
          <w:rtl/>
        </w:rPr>
        <w:t>סיכומו של דבר,  ו</w:t>
      </w:r>
      <w:r w:rsidRPr="00C95B30">
        <w:rPr>
          <w:rFonts w:hint="cs"/>
          <w:rtl/>
        </w:rPr>
        <w:t>לאחר שבחנתי את מכלול השיקולים, הן לקול</w:t>
      </w:r>
      <w:r>
        <w:rPr>
          <w:rFonts w:hint="cs"/>
          <w:rtl/>
        </w:rPr>
        <w:t>א</w:t>
      </w:r>
      <w:r w:rsidRPr="00C95B30">
        <w:rPr>
          <w:rFonts w:hint="cs"/>
          <w:rtl/>
        </w:rPr>
        <w:t xml:space="preserve"> והן לחומר</w:t>
      </w:r>
      <w:r>
        <w:rPr>
          <w:rFonts w:hint="cs"/>
          <w:rtl/>
        </w:rPr>
        <w:t>א</w:t>
      </w:r>
      <w:r w:rsidRPr="00C95B30">
        <w:rPr>
          <w:rFonts w:hint="cs"/>
          <w:rtl/>
        </w:rPr>
        <w:t>,  אני מטיל על הנאשם את העונשים הבאים:</w:t>
      </w:r>
    </w:p>
    <w:p w14:paraId="30D82D08" w14:textId="77777777" w:rsidR="00AB0220" w:rsidRDefault="00AB0220" w:rsidP="00AB0220">
      <w:pPr>
        <w:pStyle w:val="ListParagraph"/>
        <w:numPr>
          <w:ilvl w:val="0"/>
          <w:numId w:val="2"/>
        </w:numPr>
        <w:spacing w:before="120" w:after="120" w:line="360" w:lineRule="auto"/>
        <w:jc w:val="both"/>
        <w:rPr>
          <w:rFonts w:cs="David"/>
        </w:rPr>
      </w:pPr>
      <w:r w:rsidRPr="00C063DD">
        <w:rPr>
          <w:rFonts w:cs="David"/>
          <w:rtl/>
        </w:rPr>
        <w:t xml:space="preserve">מאסר בפועל למשך </w:t>
      </w:r>
      <w:r>
        <w:rPr>
          <w:rFonts w:cs="David" w:hint="cs"/>
          <w:rtl/>
        </w:rPr>
        <w:t xml:space="preserve">10 </w:t>
      </w:r>
      <w:r>
        <w:rPr>
          <w:rFonts w:cs="David"/>
          <w:rtl/>
        </w:rPr>
        <w:t xml:space="preserve">חודשים, </w:t>
      </w:r>
      <w:r>
        <w:rPr>
          <w:rFonts w:cs="David" w:hint="cs"/>
          <w:rtl/>
        </w:rPr>
        <w:t xml:space="preserve">החל מיום </w:t>
      </w:r>
      <w:r>
        <w:rPr>
          <w:rFonts w:cs="David"/>
          <w:rtl/>
        </w:rPr>
        <w:t>מעצרו</w:t>
      </w:r>
      <w:r>
        <w:rPr>
          <w:rFonts w:cs="David" w:hint="cs"/>
          <w:rtl/>
        </w:rPr>
        <w:t xml:space="preserve"> </w:t>
      </w:r>
      <w:r>
        <w:rPr>
          <w:rFonts w:cs="David"/>
          <w:rtl/>
        </w:rPr>
        <w:t>–</w:t>
      </w:r>
      <w:r>
        <w:rPr>
          <w:rFonts w:cs="David" w:hint="cs"/>
          <w:rtl/>
        </w:rPr>
        <w:t xml:space="preserve"> 25.1.17 .</w:t>
      </w:r>
    </w:p>
    <w:p w14:paraId="70445422" w14:textId="77777777" w:rsidR="00AB0220" w:rsidRPr="00782EF3" w:rsidRDefault="00AB0220" w:rsidP="00AB0220">
      <w:pPr>
        <w:pStyle w:val="ListParagraph"/>
        <w:spacing w:before="120" w:after="120" w:line="360" w:lineRule="auto"/>
        <w:ind w:left="1440"/>
        <w:jc w:val="both"/>
        <w:rPr>
          <w:rFonts w:cs="David"/>
          <w:rtl/>
        </w:rPr>
      </w:pPr>
    </w:p>
    <w:p w14:paraId="085CA074" w14:textId="77777777" w:rsidR="00AB0220" w:rsidRPr="00EE6DE2" w:rsidRDefault="00AB0220" w:rsidP="00AB0220">
      <w:pPr>
        <w:pStyle w:val="ListParagraph"/>
        <w:numPr>
          <w:ilvl w:val="0"/>
          <w:numId w:val="2"/>
        </w:numPr>
        <w:spacing w:line="360" w:lineRule="auto"/>
        <w:jc w:val="both"/>
        <w:rPr>
          <w:rFonts w:cs="David"/>
          <w:rtl/>
        </w:rPr>
      </w:pPr>
      <w:r w:rsidRPr="00EE6DE2">
        <w:rPr>
          <w:rFonts w:cs="David"/>
          <w:rtl/>
        </w:rPr>
        <w:t xml:space="preserve">מאסר על תנאי למשך </w:t>
      </w:r>
      <w:r>
        <w:rPr>
          <w:rFonts w:cs="David" w:hint="cs"/>
          <w:rtl/>
        </w:rPr>
        <w:t>5</w:t>
      </w:r>
      <w:r w:rsidRPr="00EE6DE2">
        <w:rPr>
          <w:rFonts w:cs="David" w:hint="cs"/>
          <w:rtl/>
        </w:rPr>
        <w:t xml:space="preserve"> </w:t>
      </w:r>
      <w:r w:rsidRPr="00EE6DE2">
        <w:rPr>
          <w:rFonts w:cs="David"/>
          <w:rtl/>
        </w:rPr>
        <w:t xml:space="preserve">חודשים והתנאי הוא שהנאשם לא יעבור במשך 3 שנים מיום שחרורו, כל עבירת סמים שהיא פשע. </w:t>
      </w:r>
    </w:p>
    <w:p w14:paraId="64843E9B" w14:textId="77777777" w:rsidR="00AB0220" w:rsidRPr="004533AC" w:rsidRDefault="00AB0220" w:rsidP="00AB0220">
      <w:pPr>
        <w:pStyle w:val="ListParagraph"/>
        <w:spacing w:before="120" w:after="120" w:line="360" w:lineRule="auto"/>
        <w:ind w:left="1440"/>
        <w:jc w:val="both"/>
        <w:rPr>
          <w:rFonts w:cs="David"/>
          <w:rtl/>
        </w:rPr>
      </w:pPr>
    </w:p>
    <w:p w14:paraId="4062B08D" w14:textId="77777777" w:rsidR="00AB0220" w:rsidRPr="00C063DD" w:rsidRDefault="00AB0220" w:rsidP="00AB0220">
      <w:pPr>
        <w:pStyle w:val="ListParagraph"/>
        <w:numPr>
          <w:ilvl w:val="0"/>
          <w:numId w:val="2"/>
        </w:numPr>
        <w:spacing w:before="120" w:after="120" w:line="360" w:lineRule="auto"/>
        <w:jc w:val="both"/>
        <w:rPr>
          <w:rFonts w:cs="David"/>
          <w:rtl/>
        </w:rPr>
      </w:pPr>
      <w:r w:rsidRPr="00C063DD">
        <w:rPr>
          <w:rFonts w:cs="David"/>
          <w:rtl/>
        </w:rPr>
        <w:t xml:space="preserve">קנס בסך 8,000 ש"ח או 25 ימי מאסר תמורתו. הקנס ישולם ב-8 תשלומים שווים ורצופים </w:t>
      </w:r>
      <w:r>
        <w:rPr>
          <w:rFonts w:cs="David" w:hint="cs"/>
          <w:rtl/>
        </w:rPr>
        <w:t xml:space="preserve">החל מיום 1.8.17; </w:t>
      </w:r>
      <w:r w:rsidRPr="00C063DD">
        <w:rPr>
          <w:rFonts w:cs="David"/>
          <w:rtl/>
        </w:rPr>
        <w:t>אי עמידה באחד התשלומים במועד, תעמיד את יתרת הסכום לפירעון מידי.</w:t>
      </w:r>
    </w:p>
    <w:p w14:paraId="251BEECF" w14:textId="77777777" w:rsidR="00AB0220" w:rsidRDefault="00AB0220" w:rsidP="00AB0220">
      <w:pPr>
        <w:rPr>
          <w:b/>
          <w:bCs/>
          <w:u w:val="single"/>
          <w:rtl/>
        </w:rPr>
      </w:pPr>
      <w:r>
        <w:rPr>
          <w:b/>
          <w:bCs/>
          <w:u w:val="single"/>
          <w:rtl/>
        </w:rPr>
        <w:t>הסמים והכלים להשמיד בחלוף תקופת הערעור.</w:t>
      </w:r>
    </w:p>
    <w:p w14:paraId="3BA55005" w14:textId="77777777" w:rsidR="00AB0220" w:rsidRDefault="00AB0220" w:rsidP="00AB0220">
      <w:pPr>
        <w:rPr>
          <w:b/>
          <w:bCs/>
          <w:u w:val="single"/>
          <w:rtl/>
        </w:rPr>
      </w:pPr>
    </w:p>
    <w:p w14:paraId="4FFB9AF8" w14:textId="77777777" w:rsidR="00AB0220" w:rsidRPr="007C2DA5" w:rsidRDefault="00AB0220" w:rsidP="00AB0220">
      <w:pPr>
        <w:rPr>
          <w:b/>
          <w:bCs/>
          <w:u w:val="single"/>
          <w:rtl/>
        </w:rPr>
      </w:pPr>
      <w:r w:rsidRPr="007C2DA5">
        <w:rPr>
          <w:b/>
          <w:bCs/>
          <w:u w:val="single"/>
          <w:rtl/>
        </w:rPr>
        <w:t>זכות ערעור בתוך 45 יום .</w:t>
      </w:r>
    </w:p>
    <w:p w14:paraId="0274FD0E" w14:textId="77777777" w:rsidR="00AB0220" w:rsidRPr="007929C5" w:rsidRDefault="007929C5" w:rsidP="00AB0220">
      <w:pPr>
        <w:rPr>
          <w:color w:val="FFFFFF"/>
          <w:sz w:val="2"/>
          <w:szCs w:val="2"/>
          <w:rtl/>
        </w:rPr>
      </w:pPr>
      <w:r w:rsidRPr="007929C5">
        <w:rPr>
          <w:color w:val="FFFFFF"/>
          <w:sz w:val="2"/>
          <w:szCs w:val="2"/>
          <w:rtl/>
        </w:rPr>
        <w:t>5129371</w:t>
      </w:r>
    </w:p>
    <w:p w14:paraId="5D1CB735" w14:textId="77777777" w:rsidR="00AB0220" w:rsidRDefault="007929C5" w:rsidP="00AB0220">
      <w:pPr>
        <w:rPr>
          <w:rFonts w:cs="FrankRuehl"/>
          <w:sz w:val="28"/>
          <w:szCs w:val="28"/>
          <w:rtl/>
        </w:rPr>
      </w:pPr>
      <w:r w:rsidRPr="007929C5">
        <w:rPr>
          <w:rFonts w:ascii="Arial" w:hAnsi="Arial"/>
          <w:color w:val="FFFFFF"/>
          <w:sz w:val="2"/>
          <w:szCs w:val="2"/>
          <w:rtl/>
        </w:rPr>
        <w:t>54678313</w:t>
      </w:r>
      <w:r>
        <w:rPr>
          <w:rFonts w:ascii="Arial" w:hAnsi="Arial"/>
          <w:rtl/>
        </w:rPr>
        <w:t xml:space="preserve">ניתן היום,  י' סיוון תשע"ז, 04 יוני 2017, במעמד הצדדים. </w:t>
      </w:r>
    </w:p>
    <w:p w14:paraId="31AD6425" w14:textId="77777777" w:rsidR="007929C5" w:rsidRPr="007929C5" w:rsidRDefault="007929C5" w:rsidP="007929C5">
      <w:pPr>
        <w:keepNext/>
        <w:rPr>
          <w:rFonts w:ascii="David" w:hAnsi="David"/>
          <w:color w:val="000000"/>
          <w:sz w:val="22"/>
          <w:szCs w:val="22"/>
          <w:rtl/>
        </w:rPr>
      </w:pPr>
    </w:p>
    <w:p w14:paraId="63E79B88" w14:textId="77777777" w:rsidR="007929C5" w:rsidRPr="007929C5" w:rsidRDefault="007929C5" w:rsidP="007929C5">
      <w:pPr>
        <w:keepNext/>
        <w:rPr>
          <w:rFonts w:ascii="David" w:hAnsi="David"/>
          <w:color w:val="000000"/>
          <w:sz w:val="22"/>
          <w:szCs w:val="22"/>
          <w:rtl/>
        </w:rPr>
      </w:pPr>
      <w:r w:rsidRPr="007929C5">
        <w:rPr>
          <w:rFonts w:ascii="David" w:hAnsi="David"/>
          <w:color w:val="000000"/>
          <w:sz w:val="22"/>
          <w:szCs w:val="22"/>
          <w:rtl/>
        </w:rPr>
        <w:t>יוסי טורס 54678313</w:t>
      </w:r>
    </w:p>
    <w:p w14:paraId="4746A42C" w14:textId="77777777" w:rsidR="007929C5" w:rsidRDefault="007929C5" w:rsidP="007929C5">
      <w:pPr>
        <w:rPr>
          <w:color w:val="000000"/>
          <w:rtl/>
        </w:rPr>
      </w:pPr>
      <w:r w:rsidRPr="007929C5">
        <w:rPr>
          <w:color w:val="000000"/>
          <w:rtl/>
        </w:rPr>
        <w:t>נוסח מסמך זה כפוף לשינויי ניסוח ועריכה</w:t>
      </w:r>
    </w:p>
    <w:p w14:paraId="7C14F7CF" w14:textId="77777777" w:rsidR="007929C5" w:rsidRDefault="007929C5" w:rsidP="007929C5">
      <w:pPr>
        <w:jc w:val="center"/>
        <w:rPr>
          <w:color w:val="0000FF"/>
          <w:u w:val="single"/>
          <w:rtl/>
        </w:rPr>
      </w:pPr>
      <w:hyperlink r:id="rId34" w:history="1">
        <w:r>
          <w:rPr>
            <w:rStyle w:val="Hyperlink"/>
            <w:rtl/>
          </w:rPr>
          <w:t>בעניין עריכה ושינויים במסמכי פסיקה, חקיקה ועוד באתר נבו – הקש כאן</w:t>
        </w:r>
      </w:hyperlink>
    </w:p>
    <w:sectPr w:rsidR="007929C5" w:rsidSect="007929C5">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66436" w14:textId="77777777" w:rsidR="00B40AE3" w:rsidRDefault="00B40AE3">
      <w:r>
        <w:separator/>
      </w:r>
    </w:p>
  </w:endnote>
  <w:endnote w:type="continuationSeparator" w:id="0">
    <w:p w14:paraId="7A0DAA49" w14:textId="77777777" w:rsidR="00B40AE3" w:rsidRDefault="00B4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B801B" w14:textId="77777777" w:rsidR="007929C5" w:rsidRDefault="007929C5" w:rsidP="007929C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7FE37F2" w14:textId="77777777" w:rsidR="007929C5" w:rsidRPr="007929C5" w:rsidRDefault="007929C5" w:rsidP="007929C5">
    <w:pPr>
      <w:pStyle w:val="a5"/>
      <w:pBdr>
        <w:top w:val="single" w:sz="4" w:space="1" w:color="auto"/>
        <w:between w:val="single" w:sz="4" w:space="0" w:color="auto"/>
      </w:pBdr>
      <w:spacing w:after="60"/>
      <w:jc w:val="center"/>
      <w:rPr>
        <w:rFonts w:ascii="FrankRuehl" w:hAnsi="FrankRuehl" w:cs="FrankRuehl"/>
        <w:color w:val="000000"/>
      </w:rPr>
    </w:pPr>
    <w:r w:rsidRPr="007929C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F98E8" w14:textId="77777777" w:rsidR="007929C5" w:rsidRDefault="007929C5" w:rsidP="007929C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5D17">
      <w:rPr>
        <w:rFonts w:ascii="FrankRuehl" w:hAnsi="FrankRuehl" w:cs="FrankRuehl"/>
        <w:noProof/>
        <w:rtl/>
      </w:rPr>
      <w:t>1</w:t>
    </w:r>
    <w:r>
      <w:rPr>
        <w:rFonts w:ascii="FrankRuehl" w:hAnsi="FrankRuehl" w:cs="FrankRuehl"/>
        <w:rtl/>
      </w:rPr>
      <w:fldChar w:fldCharType="end"/>
    </w:r>
  </w:p>
  <w:p w14:paraId="4189CC28" w14:textId="77777777" w:rsidR="007929C5" w:rsidRPr="007929C5" w:rsidRDefault="007929C5" w:rsidP="007929C5">
    <w:pPr>
      <w:pStyle w:val="a5"/>
      <w:pBdr>
        <w:top w:val="single" w:sz="4" w:space="1" w:color="auto"/>
        <w:between w:val="single" w:sz="4" w:space="0" w:color="auto"/>
      </w:pBdr>
      <w:spacing w:after="60"/>
      <w:jc w:val="center"/>
      <w:rPr>
        <w:rFonts w:ascii="FrankRuehl" w:hAnsi="FrankRuehl" w:cs="FrankRuehl"/>
        <w:color w:val="000000"/>
      </w:rPr>
    </w:pPr>
    <w:r w:rsidRPr="007929C5">
      <w:rPr>
        <w:rFonts w:ascii="FrankRuehl" w:hAnsi="FrankRuehl" w:cs="FrankRuehl"/>
        <w:color w:val="000000"/>
      </w:rPr>
      <w:pict w14:anchorId="060DF7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08D10" w14:textId="77777777" w:rsidR="00B40AE3" w:rsidRDefault="00B40AE3">
      <w:r>
        <w:separator/>
      </w:r>
    </w:p>
  </w:footnote>
  <w:footnote w:type="continuationSeparator" w:id="0">
    <w:p w14:paraId="657F0CD9" w14:textId="77777777" w:rsidR="00B40AE3" w:rsidRDefault="00B40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31C03" w14:textId="77777777" w:rsidR="007929C5" w:rsidRPr="007929C5" w:rsidRDefault="007929C5" w:rsidP="007929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864-02-17</w:t>
    </w:r>
    <w:r>
      <w:rPr>
        <w:rFonts w:ascii="David" w:hAnsi="David"/>
        <w:color w:val="000000"/>
        <w:sz w:val="22"/>
        <w:szCs w:val="22"/>
        <w:rtl/>
      </w:rPr>
      <w:tab/>
      <w:t xml:space="preserve"> מדינת ישראל נ' דוד סעד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0EDBE" w14:textId="77777777" w:rsidR="007929C5" w:rsidRPr="007929C5" w:rsidRDefault="007929C5" w:rsidP="007929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864-02-17</w:t>
    </w:r>
    <w:r>
      <w:rPr>
        <w:rFonts w:ascii="David" w:hAnsi="David"/>
        <w:color w:val="000000"/>
        <w:sz w:val="22"/>
        <w:szCs w:val="22"/>
        <w:rtl/>
      </w:rPr>
      <w:tab/>
      <w:t xml:space="preserve"> מדינת ישראל נ' דוד סעד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E1EE1"/>
    <w:multiLevelType w:val="hybridMultilevel"/>
    <w:tmpl w:val="B21C6BE8"/>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0762784"/>
    <w:multiLevelType w:val="hybridMultilevel"/>
    <w:tmpl w:val="ABC2E0F6"/>
    <w:lvl w:ilvl="0" w:tplc="E38C1434">
      <w:start w:val="1"/>
      <w:numFmt w:val="decimal"/>
      <w:lvlText w:val="%1."/>
      <w:lvlJc w:val="left"/>
      <w:pPr>
        <w:ind w:left="720" w:hanging="360"/>
      </w:pPr>
      <w:rPr>
        <w:rFonts w:cs="David"/>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91763546">
    <w:abstractNumId w:val="1"/>
  </w:num>
  <w:num w:numId="2" w16cid:durableId="1240822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B0220"/>
    <w:rsid w:val="002A4D72"/>
    <w:rsid w:val="002D7B2F"/>
    <w:rsid w:val="004135C8"/>
    <w:rsid w:val="005F6AC7"/>
    <w:rsid w:val="007929C5"/>
    <w:rsid w:val="00825D17"/>
    <w:rsid w:val="0085383A"/>
    <w:rsid w:val="00AB0220"/>
    <w:rsid w:val="00B40AE3"/>
    <w:rsid w:val="00BA16A0"/>
    <w:rsid w:val="00F80706"/>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0E273127"/>
  <w15:chartTrackingRefBased/>
  <w15:docId w15:val="{1CBFFF8D-C07A-41D5-AA7F-96F92501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0220"/>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AB0220"/>
    <w:pPr>
      <w:tabs>
        <w:tab w:val="center" w:pos="4153"/>
        <w:tab w:val="right" w:pos="8306"/>
      </w:tabs>
    </w:pPr>
  </w:style>
  <w:style w:type="character" w:customStyle="1" w:styleId="a4">
    <w:name w:val="כותרת עליונה תו"/>
    <w:link w:val="a3"/>
    <w:rsid w:val="00AB0220"/>
    <w:rPr>
      <w:rFonts w:ascii="Times New Roman" w:eastAsia="Times New Roman" w:hAnsi="Times New Roman" w:cs="David"/>
      <w:sz w:val="24"/>
      <w:szCs w:val="24"/>
    </w:rPr>
  </w:style>
  <w:style w:type="paragraph" w:styleId="a5">
    <w:name w:val="footer"/>
    <w:basedOn w:val="a"/>
    <w:link w:val="a6"/>
    <w:rsid w:val="00AB0220"/>
    <w:pPr>
      <w:tabs>
        <w:tab w:val="center" w:pos="4153"/>
        <w:tab w:val="right" w:pos="8306"/>
      </w:tabs>
    </w:pPr>
  </w:style>
  <w:style w:type="character" w:customStyle="1" w:styleId="a6">
    <w:name w:val="כותרת תחתונה תו"/>
    <w:link w:val="a5"/>
    <w:rsid w:val="00AB0220"/>
    <w:rPr>
      <w:rFonts w:ascii="Times New Roman" w:eastAsia="Times New Roman" w:hAnsi="Times New Roman" w:cs="David"/>
      <w:sz w:val="24"/>
      <w:szCs w:val="24"/>
    </w:rPr>
  </w:style>
  <w:style w:type="table" w:styleId="a7">
    <w:name w:val="Table Grid"/>
    <w:basedOn w:val="a1"/>
    <w:rsid w:val="00AB022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B0220"/>
  </w:style>
  <w:style w:type="paragraph" w:customStyle="1" w:styleId="ListParagraph">
    <w:name w:val="List Paragraph"/>
    <w:basedOn w:val="a"/>
    <w:rsid w:val="00AB0220"/>
    <w:pPr>
      <w:ind w:left="720"/>
      <w:contextualSpacing/>
    </w:pPr>
    <w:rPr>
      <w:rFonts w:cs="Times New Roman"/>
    </w:rPr>
  </w:style>
  <w:style w:type="character" w:styleId="Hyperlink">
    <w:name w:val="Hyperlink"/>
    <w:basedOn w:val="a0"/>
    <w:rsid w:val="007929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0" TargetMode="External"/><Relationship Id="rId18" Type="http://schemas.openxmlformats.org/officeDocument/2006/relationships/hyperlink" Target="http://www.nevo.co.il/case/20643420" TargetMode="External"/><Relationship Id="rId26" Type="http://schemas.openxmlformats.org/officeDocument/2006/relationships/hyperlink" Target="http://www.nevo.co.il/case/4804940" TargetMode="External"/><Relationship Id="rId39" Type="http://schemas.openxmlformats.org/officeDocument/2006/relationships/fontTable" Target="fontTable.xml"/><Relationship Id="rId21" Type="http://schemas.openxmlformats.org/officeDocument/2006/relationships/hyperlink" Target="http://www.nevo.co.il/case/18131336"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law/4216/6" TargetMode="External"/><Relationship Id="rId25" Type="http://schemas.openxmlformats.org/officeDocument/2006/relationships/hyperlink" Target="http://www.nevo.co.il/case/6241434" TargetMode="External"/><Relationship Id="rId33" Type="http://schemas.openxmlformats.org/officeDocument/2006/relationships/hyperlink" Target="http://www.nevo.co.il/case/8291661"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0888964" TargetMode="External"/><Relationship Id="rId20" Type="http://schemas.openxmlformats.org/officeDocument/2006/relationships/hyperlink" Target="http://www.nevo.co.il/case/17009738" TargetMode="External"/><Relationship Id="rId29" Type="http://schemas.openxmlformats.org/officeDocument/2006/relationships/hyperlink" Target="http://www.nevo.co.il/case/207055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21644133" TargetMode="External"/><Relationship Id="rId32" Type="http://schemas.openxmlformats.org/officeDocument/2006/relationships/hyperlink" Target="http://www.nevo.co.il/case/18107527"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13093721" TargetMode="External"/><Relationship Id="rId23" Type="http://schemas.openxmlformats.org/officeDocument/2006/relationships/hyperlink" Target="http://www.nevo.co.il/case/20930804" TargetMode="External"/><Relationship Id="rId28" Type="http://schemas.openxmlformats.org/officeDocument/2006/relationships/hyperlink" Target="http://www.nevo.co.il/case/16938303" TargetMode="External"/><Relationship Id="rId36"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17948082" TargetMode="External"/><Relationship Id="rId31" Type="http://schemas.openxmlformats.org/officeDocument/2006/relationships/hyperlink" Target="http://www.nevo.co.il/case/20111708"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681790" TargetMode="External"/><Relationship Id="rId27" Type="http://schemas.openxmlformats.org/officeDocument/2006/relationships/hyperlink" Target="http://www.nevo.co.il/case/20705570" TargetMode="External"/><Relationship Id="rId30" Type="http://schemas.openxmlformats.org/officeDocument/2006/relationships/hyperlink" Target="http://www.nevo.co.il/case/20881083" TargetMode="External"/><Relationship Id="rId35" Type="http://schemas.openxmlformats.org/officeDocument/2006/relationships/header" Target="head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1614</Words>
  <Characters>8071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9666</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3539057</vt:i4>
      </vt:variant>
      <vt:variant>
        <vt:i4>78</vt:i4>
      </vt:variant>
      <vt:variant>
        <vt:i4>0</vt:i4>
      </vt:variant>
      <vt:variant>
        <vt:i4>5</vt:i4>
      </vt:variant>
      <vt:variant>
        <vt:lpwstr>http://www.nevo.co.il/case/8291661</vt:lpwstr>
      </vt:variant>
      <vt:variant>
        <vt:lpwstr/>
      </vt:variant>
      <vt:variant>
        <vt:i4>3473529</vt:i4>
      </vt:variant>
      <vt:variant>
        <vt:i4>75</vt:i4>
      </vt:variant>
      <vt:variant>
        <vt:i4>0</vt:i4>
      </vt:variant>
      <vt:variant>
        <vt:i4>5</vt:i4>
      </vt:variant>
      <vt:variant>
        <vt:lpwstr>http://www.nevo.co.il/case/18107527</vt:lpwstr>
      </vt:variant>
      <vt:variant>
        <vt:lpwstr/>
      </vt:variant>
      <vt:variant>
        <vt:i4>3276914</vt:i4>
      </vt:variant>
      <vt:variant>
        <vt:i4>72</vt:i4>
      </vt:variant>
      <vt:variant>
        <vt:i4>0</vt:i4>
      </vt:variant>
      <vt:variant>
        <vt:i4>5</vt:i4>
      </vt:variant>
      <vt:variant>
        <vt:lpwstr>http://www.nevo.co.il/case/20111708</vt:lpwstr>
      </vt:variant>
      <vt:variant>
        <vt:lpwstr/>
      </vt:variant>
      <vt:variant>
        <vt:i4>3342460</vt:i4>
      </vt:variant>
      <vt:variant>
        <vt:i4>69</vt:i4>
      </vt:variant>
      <vt:variant>
        <vt:i4>0</vt:i4>
      </vt:variant>
      <vt:variant>
        <vt:i4>5</vt:i4>
      </vt:variant>
      <vt:variant>
        <vt:lpwstr>http://www.nevo.co.il/case/20881083</vt:lpwstr>
      </vt:variant>
      <vt:variant>
        <vt:lpwstr/>
      </vt:variant>
      <vt:variant>
        <vt:i4>3604593</vt:i4>
      </vt:variant>
      <vt:variant>
        <vt:i4>66</vt:i4>
      </vt:variant>
      <vt:variant>
        <vt:i4>0</vt:i4>
      </vt:variant>
      <vt:variant>
        <vt:i4>5</vt:i4>
      </vt:variant>
      <vt:variant>
        <vt:lpwstr>http://www.nevo.co.il/case/20705570</vt:lpwstr>
      </vt:variant>
      <vt:variant>
        <vt:lpwstr/>
      </vt:variant>
      <vt:variant>
        <vt:i4>3145842</vt:i4>
      </vt:variant>
      <vt:variant>
        <vt:i4>63</vt:i4>
      </vt:variant>
      <vt:variant>
        <vt:i4>0</vt:i4>
      </vt:variant>
      <vt:variant>
        <vt:i4>5</vt:i4>
      </vt:variant>
      <vt:variant>
        <vt:lpwstr>http://www.nevo.co.il/case/16938303</vt:lpwstr>
      </vt:variant>
      <vt:variant>
        <vt:lpwstr/>
      </vt:variant>
      <vt:variant>
        <vt:i4>3604593</vt:i4>
      </vt:variant>
      <vt:variant>
        <vt:i4>60</vt:i4>
      </vt:variant>
      <vt:variant>
        <vt:i4>0</vt:i4>
      </vt:variant>
      <vt:variant>
        <vt:i4>5</vt:i4>
      </vt:variant>
      <vt:variant>
        <vt:lpwstr>http://www.nevo.co.il/case/20705570</vt:lpwstr>
      </vt:variant>
      <vt:variant>
        <vt:lpwstr/>
      </vt:variant>
      <vt:variant>
        <vt:i4>3997820</vt:i4>
      </vt:variant>
      <vt:variant>
        <vt:i4>57</vt:i4>
      </vt:variant>
      <vt:variant>
        <vt:i4>0</vt:i4>
      </vt:variant>
      <vt:variant>
        <vt:i4>5</vt:i4>
      </vt:variant>
      <vt:variant>
        <vt:lpwstr>http://www.nevo.co.il/case/4804940</vt:lpwstr>
      </vt:variant>
      <vt:variant>
        <vt:lpwstr/>
      </vt:variant>
      <vt:variant>
        <vt:i4>3276916</vt:i4>
      </vt:variant>
      <vt:variant>
        <vt:i4>54</vt:i4>
      </vt:variant>
      <vt:variant>
        <vt:i4>0</vt:i4>
      </vt:variant>
      <vt:variant>
        <vt:i4>5</vt:i4>
      </vt:variant>
      <vt:variant>
        <vt:lpwstr>http://www.nevo.co.il/case/6241434</vt:lpwstr>
      </vt:variant>
      <vt:variant>
        <vt:lpwstr/>
      </vt:variant>
      <vt:variant>
        <vt:i4>3342448</vt:i4>
      </vt:variant>
      <vt:variant>
        <vt:i4>51</vt:i4>
      </vt:variant>
      <vt:variant>
        <vt:i4>0</vt:i4>
      </vt:variant>
      <vt:variant>
        <vt:i4>5</vt:i4>
      </vt:variant>
      <vt:variant>
        <vt:lpwstr>http://www.nevo.co.il/case/21644133</vt:lpwstr>
      </vt:variant>
      <vt:variant>
        <vt:lpwstr/>
      </vt:variant>
      <vt:variant>
        <vt:i4>3866751</vt:i4>
      </vt:variant>
      <vt:variant>
        <vt:i4>48</vt:i4>
      </vt:variant>
      <vt:variant>
        <vt:i4>0</vt:i4>
      </vt:variant>
      <vt:variant>
        <vt:i4>5</vt:i4>
      </vt:variant>
      <vt:variant>
        <vt:lpwstr>http://www.nevo.co.il/case/20930804</vt:lpwstr>
      </vt:variant>
      <vt:variant>
        <vt:lpwstr/>
      </vt:variant>
      <vt:variant>
        <vt:i4>3801210</vt:i4>
      </vt:variant>
      <vt:variant>
        <vt:i4>45</vt:i4>
      </vt:variant>
      <vt:variant>
        <vt:i4>0</vt:i4>
      </vt:variant>
      <vt:variant>
        <vt:i4>5</vt:i4>
      </vt:variant>
      <vt:variant>
        <vt:lpwstr>http://www.nevo.co.il/case/5681790</vt:lpwstr>
      </vt:variant>
      <vt:variant>
        <vt:lpwstr/>
      </vt:variant>
      <vt:variant>
        <vt:i4>3276924</vt:i4>
      </vt:variant>
      <vt:variant>
        <vt:i4>42</vt:i4>
      </vt:variant>
      <vt:variant>
        <vt:i4>0</vt:i4>
      </vt:variant>
      <vt:variant>
        <vt:i4>5</vt:i4>
      </vt:variant>
      <vt:variant>
        <vt:lpwstr>http://www.nevo.co.il/case/18131336</vt:lpwstr>
      </vt:variant>
      <vt:variant>
        <vt:lpwstr/>
      </vt:variant>
      <vt:variant>
        <vt:i4>3866740</vt:i4>
      </vt:variant>
      <vt:variant>
        <vt:i4>39</vt:i4>
      </vt:variant>
      <vt:variant>
        <vt:i4>0</vt:i4>
      </vt:variant>
      <vt:variant>
        <vt:i4>5</vt:i4>
      </vt:variant>
      <vt:variant>
        <vt:lpwstr>http://www.nevo.co.il/case/17009738</vt:lpwstr>
      </vt:variant>
      <vt:variant>
        <vt:lpwstr/>
      </vt:variant>
      <vt:variant>
        <vt:i4>3670135</vt:i4>
      </vt:variant>
      <vt:variant>
        <vt:i4>36</vt:i4>
      </vt:variant>
      <vt:variant>
        <vt:i4>0</vt:i4>
      </vt:variant>
      <vt:variant>
        <vt:i4>5</vt:i4>
      </vt:variant>
      <vt:variant>
        <vt:lpwstr>http://www.nevo.co.il/case/17948082</vt:lpwstr>
      </vt:variant>
      <vt:variant>
        <vt:lpwstr/>
      </vt:variant>
      <vt:variant>
        <vt:i4>3473524</vt:i4>
      </vt:variant>
      <vt:variant>
        <vt:i4>33</vt:i4>
      </vt:variant>
      <vt:variant>
        <vt:i4>0</vt:i4>
      </vt:variant>
      <vt:variant>
        <vt:i4>5</vt:i4>
      </vt:variant>
      <vt:variant>
        <vt:lpwstr>http://www.nevo.co.il/case/20643420</vt:lpwstr>
      </vt:variant>
      <vt:variant>
        <vt:lpwstr/>
      </vt:variant>
      <vt:variant>
        <vt:i4>4718666</vt:i4>
      </vt:variant>
      <vt:variant>
        <vt:i4>30</vt:i4>
      </vt:variant>
      <vt:variant>
        <vt:i4>0</vt:i4>
      </vt:variant>
      <vt:variant>
        <vt:i4>5</vt:i4>
      </vt:variant>
      <vt:variant>
        <vt:lpwstr>http://www.nevo.co.il/law/4216/6</vt:lpwstr>
      </vt:variant>
      <vt:variant>
        <vt:lpwstr/>
      </vt:variant>
      <vt:variant>
        <vt:i4>3407989</vt:i4>
      </vt:variant>
      <vt:variant>
        <vt:i4>27</vt:i4>
      </vt:variant>
      <vt:variant>
        <vt:i4>0</vt:i4>
      </vt:variant>
      <vt:variant>
        <vt:i4>5</vt:i4>
      </vt:variant>
      <vt:variant>
        <vt:lpwstr>http://www.nevo.co.il/case/20888964</vt:lpwstr>
      </vt:variant>
      <vt:variant>
        <vt:lpwstr/>
      </vt:variant>
      <vt:variant>
        <vt:i4>3145849</vt:i4>
      </vt:variant>
      <vt:variant>
        <vt:i4>24</vt:i4>
      </vt:variant>
      <vt:variant>
        <vt:i4>0</vt:i4>
      </vt:variant>
      <vt:variant>
        <vt:i4>5</vt:i4>
      </vt:variant>
      <vt:variant>
        <vt:lpwstr>http://www.nevo.co.il/case/13093721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5177418</vt:i4>
      </vt:variant>
      <vt:variant>
        <vt:i4>18</vt:i4>
      </vt:variant>
      <vt:variant>
        <vt:i4>0</vt:i4>
      </vt:variant>
      <vt:variant>
        <vt:i4>5</vt:i4>
      </vt:variant>
      <vt:variant>
        <vt:lpwstr>http://www.nevo.co.il/law/4216/10</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2025-04-22T23:20:00Z</dcterms:created>
  <dcterms:modified xsi:type="dcterms:W3CDTF">2025-04-22T23:20:00Z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864</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דוד סעד</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20170604</vt:lpwstr>
  </property>
  <property fmtid="{D5CDD505-2E9C-101B-9397-08002B2CF9AE}" pid="13" name="TYPE_N_DATE">
    <vt:lpwstr>38020170604</vt:lpwstr>
  </property>
  <property fmtid="{D5CDD505-2E9C-101B-9397-08002B2CF9AE}" pid="14" name="CASESLISTTMP1">
    <vt:lpwstr>13093721;20888964;20643420;17948082;17009738;18131336;5681790;20930804;21644133;6241434;4804940;20705570:2;16938303;20881083;20111708;18107527;8291661</vt:lpwstr>
  </property>
  <property fmtid="{D5CDD505-2E9C-101B-9397-08002B2CF9AE}" pid="15" name="CASENOTES1">
    <vt:lpwstr>ProcID=179&amp;PartA=11&amp;PartC=16</vt:lpwstr>
  </property>
  <property fmtid="{D5CDD505-2E9C-101B-9397-08002B2CF9AE}" pid="16" name="WORDNUMPAGES">
    <vt:lpwstr>5</vt:lpwstr>
  </property>
  <property fmtid="{D5CDD505-2E9C-101B-9397-08002B2CF9AE}" pid="17" name="TYPE_ABS_DATE">
    <vt:lpwstr>380020170604</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4216/006:2;010</vt:lpwstr>
  </property>
  <property fmtid="{D5CDD505-2E9C-101B-9397-08002B2CF9AE}" pid="38" name="LAWLISTTMP2">
    <vt:lpwstr>70301</vt:lpwstr>
  </property>
</Properties>
</file>