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4300A" w:rsidRPr="00991EE2" w14:paraId="2EF79DDF" w14:textId="77777777" w:rsidTr="00E27F05">
        <w:trPr>
          <w:trHeight w:hRule="exact" w:val="418"/>
          <w:jc w:val="center"/>
        </w:trPr>
        <w:tc>
          <w:tcPr>
            <w:tcW w:w="8721" w:type="dxa"/>
            <w:gridSpan w:val="2"/>
          </w:tcPr>
          <w:p w14:paraId="1F342838" w14:textId="77777777" w:rsidR="0024300A" w:rsidRPr="00991EE2" w:rsidRDefault="0024300A" w:rsidP="00BC096B">
            <w:pPr>
              <w:pStyle w:val="a3"/>
              <w:jc w:val="center"/>
              <w:rPr>
                <w:rFonts w:ascii="Tahoma" w:hAnsi="Tahoma" w:cs="Tahoma"/>
                <w:color w:val="000080"/>
                <w:rtl/>
              </w:rPr>
            </w:pPr>
            <w:bookmarkStart w:id="0" w:name="LastJudge"/>
            <w:r w:rsidRPr="00991EE2">
              <w:rPr>
                <w:rFonts w:ascii="Tahoma" w:hAnsi="Tahoma" w:cs="Tahoma"/>
                <w:b/>
                <w:bCs/>
                <w:color w:val="000080"/>
                <w:rtl/>
              </w:rPr>
              <w:t>בית משפט השלום בירושלים</w:t>
            </w:r>
          </w:p>
        </w:tc>
      </w:tr>
      <w:tr w:rsidR="0024300A" w:rsidRPr="00991EE2" w14:paraId="00B8476D" w14:textId="77777777" w:rsidTr="00E27F05">
        <w:trPr>
          <w:trHeight w:val="337"/>
          <w:jc w:val="center"/>
        </w:trPr>
        <w:tc>
          <w:tcPr>
            <w:tcW w:w="5054" w:type="dxa"/>
          </w:tcPr>
          <w:p w14:paraId="6C705052" w14:textId="77777777" w:rsidR="0024300A" w:rsidRPr="00991EE2" w:rsidRDefault="0024300A" w:rsidP="00BC096B">
            <w:pPr>
              <w:rPr>
                <w:rFonts w:cs="FrankRuehl"/>
                <w:sz w:val="28"/>
                <w:szCs w:val="28"/>
                <w:rtl/>
              </w:rPr>
            </w:pPr>
            <w:r w:rsidRPr="00991EE2">
              <w:rPr>
                <w:rFonts w:cs="FrankRuehl"/>
                <w:sz w:val="28"/>
                <w:szCs w:val="28"/>
                <w:rtl/>
              </w:rPr>
              <w:t>ת"פ</w:t>
            </w:r>
            <w:r w:rsidRPr="00991EE2">
              <w:rPr>
                <w:rFonts w:cs="FrankRuehl" w:hint="cs"/>
                <w:sz w:val="28"/>
                <w:szCs w:val="28"/>
                <w:rtl/>
              </w:rPr>
              <w:t xml:space="preserve"> </w:t>
            </w:r>
            <w:r w:rsidRPr="00991EE2">
              <w:rPr>
                <w:rFonts w:cs="FrankRuehl"/>
                <w:sz w:val="28"/>
                <w:szCs w:val="28"/>
                <w:rtl/>
              </w:rPr>
              <w:t>16678-03-17</w:t>
            </w:r>
            <w:r w:rsidRPr="00991EE2">
              <w:rPr>
                <w:rFonts w:cs="FrankRuehl" w:hint="cs"/>
                <w:sz w:val="28"/>
                <w:szCs w:val="28"/>
                <w:rtl/>
              </w:rPr>
              <w:t xml:space="preserve"> </w:t>
            </w:r>
            <w:r w:rsidRPr="00991EE2">
              <w:rPr>
                <w:rFonts w:cs="FrankRuehl"/>
                <w:sz w:val="28"/>
                <w:szCs w:val="28"/>
                <w:rtl/>
              </w:rPr>
              <w:t>מדינת ישראל נ' מאדי</w:t>
            </w:r>
          </w:p>
          <w:p w14:paraId="2BC6519A" w14:textId="77777777" w:rsidR="0024300A" w:rsidRPr="00991EE2" w:rsidRDefault="0024300A" w:rsidP="00BC096B">
            <w:pPr>
              <w:pStyle w:val="a3"/>
              <w:rPr>
                <w:rFonts w:cs="FrankRuehl"/>
                <w:sz w:val="28"/>
                <w:szCs w:val="28"/>
                <w:rtl/>
              </w:rPr>
            </w:pPr>
          </w:p>
        </w:tc>
        <w:tc>
          <w:tcPr>
            <w:tcW w:w="3667" w:type="dxa"/>
          </w:tcPr>
          <w:p w14:paraId="72354581" w14:textId="77777777" w:rsidR="0024300A" w:rsidRPr="00991EE2" w:rsidRDefault="0024300A" w:rsidP="00BC096B">
            <w:pPr>
              <w:pStyle w:val="a3"/>
              <w:jc w:val="right"/>
              <w:rPr>
                <w:rFonts w:cs="FrankRuehl"/>
                <w:sz w:val="28"/>
                <w:szCs w:val="28"/>
                <w:rtl/>
              </w:rPr>
            </w:pPr>
          </w:p>
        </w:tc>
      </w:tr>
    </w:tbl>
    <w:p w14:paraId="3898C0E4" w14:textId="77777777" w:rsidR="0024300A" w:rsidRPr="00991EE2" w:rsidRDefault="0024300A" w:rsidP="0024300A">
      <w:pPr>
        <w:pStyle w:val="a3"/>
        <w:rPr>
          <w:rtl/>
        </w:rPr>
      </w:pPr>
      <w:r w:rsidRPr="00991EE2">
        <w:rPr>
          <w:rFonts w:hint="cs"/>
          <w:rtl/>
        </w:rPr>
        <w:t xml:space="preserve"> </w:t>
      </w:r>
    </w:p>
    <w:p w14:paraId="572CCFAF" w14:textId="77777777" w:rsidR="0024300A" w:rsidRPr="00991EE2" w:rsidRDefault="0024300A" w:rsidP="0024300A">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4300A" w:rsidRPr="00991EE2" w14:paraId="009527E9" w14:textId="77777777" w:rsidTr="0024300A">
        <w:trPr>
          <w:trHeight w:val="295"/>
          <w:jc w:val="center"/>
        </w:trPr>
        <w:tc>
          <w:tcPr>
            <w:tcW w:w="923" w:type="dxa"/>
            <w:tcBorders>
              <w:top w:val="nil"/>
              <w:left w:val="nil"/>
              <w:bottom w:val="nil"/>
              <w:right w:val="nil"/>
            </w:tcBorders>
            <w:shd w:val="clear" w:color="auto" w:fill="auto"/>
          </w:tcPr>
          <w:p w14:paraId="6D283E3E" w14:textId="77777777" w:rsidR="0024300A" w:rsidRPr="00991EE2" w:rsidRDefault="0024300A" w:rsidP="0024300A">
            <w:pPr>
              <w:spacing w:line="360" w:lineRule="auto"/>
              <w:jc w:val="both"/>
              <w:rPr>
                <w:rFonts w:ascii="Arial" w:hAnsi="Arial" w:cs="FrankRuehl"/>
                <w:sz w:val="28"/>
                <w:szCs w:val="28"/>
              </w:rPr>
            </w:pPr>
            <w:r w:rsidRPr="00991EE2">
              <w:rPr>
                <w:rFonts w:ascii="Arial" w:hAnsi="Arial" w:cs="FrankRuehl" w:hint="cs"/>
                <w:sz w:val="28"/>
                <w:szCs w:val="28"/>
                <w:rtl/>
              </w:rPr>
              <w:t>ב</w:t>
            </w:r>
            <w:r w:rsidRPr="00991EE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BE8D047" w14:textId="77777777" w:rsidR="0024300A" w:rsidRPr="00991EE2" w:rsidRDefault="0024300A" w:rsidP="0024300A">
            <w:pPr>
              <w:spacing w:line="360" w:lineRule="auto"/>
              <w:rPr>
                <w:rFonts w:ascii="Arial" w:hAnsi="Arial"/>
                <w:b/>
                <w:bCs/>
                <w:rtl/>
              </w:rPr>
            </w:pPr>
            <w:r w:rsidRPr="00991EE2">
              <w:rPr>
                <w:rFonts w:ascii="Arial" w:hAnsi="Arial" w:hint="cs"/>
                <w:b/>
                <w:bCs/>
                <w:rtl/>
              </w:rPr>
              <w:t>כבוד ה</w:t>
            </w:r>
            <w:r w:rsidRPr="00991EE2">
              <w:rPr>
                <w:rFonts w:ascii="Arial" w:hAnsi="Arial"/>
                <w:b/>
                <w:bCs/>
                <w:rtl/>
              </w:rPr>
              <w:t>שופטת</w:t>
            </w:r>
            <w:r w:rsidRPr="00991EE2">
              <w:rPr>
                <w:rFonts w:ascii="Arial" w:hAnsi="Arial" w:hint="cs"/>
                <w:b/>
                <w:bCs/>
                <w:rtl/>
              </w:rPr>
              <w:t xml:space="preserve">  </w:t>
            </w:r>
            <w:r w:rsidRPr="00991EE2">
              <w:rPr>
                <w:rFonts w:ascii="Arial" w:hAnsi="Arial"/>
                <w:b/>
                <w:bCs/>
                <w:rtl/>
              </w:rPr>
              <w:t>ג'ויה סקפה שפירא</w:t>
            </w:r>
          </w:p>
          <w:p w14:paraId="6D8B0217" w14:textId="77777777" w:rsidR="0024300A" w:rsidRPr="00991EE2" w:rsidRDefault="0024300A" w:rsidP="0024300A">
            <w:pPr>
              <w:spacing w:line="360" w:lineRule="auto"/>
              <w:rPr>
                <w:rtl/>
              </w:rPr>
            </w:pPr>
          </w:p>
          <w:p w14:paraId="08DC2571" w14:textId="77777777" w:rsidR="0024300A" w:rsidRPr="00991EE2" w:rsidRDefault="0024300A" w:rsidP="0024300A">
            <w:pPr>
              <w:spacing w:line="360" w:lineRule="auto"/>
              <w:jc w:val="both"/>
              <w:rPr>
                <w:rFonts w:ascii="Arial" w:hAnsi="Arial" w:cs="FrankRuehl"/>
                <w:sz w:val="28"/>
                <w:szCs w:val="28"/>
              </w:rPr>
            </w:pPr>
          </w:p>
        </w:tc>
      </w:tr>
      <w:tr w:rsidR="0024300A" w:rsidRPr="00991EE2" w14:paraId="7DE6F13B" w14:textId="77777777" w:rsidTr="0024300A">
        <w:trPr>
          <w:trHeight w:val="355"/>
          <w:jc w:val="center"/>
        </w:trPr>
        <w:tc>
          <w:tcPr>
            <w:tcW w:w="923" w:type="dxa"/>
            <w:tcBorders>
              <w:top w:val="nil"/>
              <w:left w:val="nil"/>
              <w:bottom w:val="nil"/>
              <w:right w:val="nil"/>
            </w:tcBorders>
            <w:shd w:val="clear" w:color="auto" w:fill="auto"/>
          </w:tcPr>
          <w:p w14:paraId="7528D089" w14:textId="77777777" w:rsidR="0024300A" w:rsidRPr="00991EE2" w:rsidRDefault="0024300A" w:rsidP="0024300A">
            <w:pPr>
              <w:spacing w:line="360" w:lineRule="auto"/>
              <w:jc w:val="both"/>
              <w:rPr>
                <w:rFonts w:ascii="Arial" w:hAnsi="Arial" w:cs="FrankRuehl"/>
                <w:sz w:val="28"/>
                <w:szCs w:val="28"/>
              </w:rPr>
            </w:pPr>
            <w:bookmarkStart w:id="1" w:name="FirstAppellant"/>
            <w:r w:rsidRPr="00991EE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9D50F22" w14:textId="77777777" w:rsidR="0024300A" w:rsidRPr="00991EE2" w:rsidRDefault="0024300A" w:rsidP="0024300A">
            <w:pPr>
              <w:spacing w:line="360" w:lineRule="auto"/>
            </w:pPr>
            <w:r w:rsidRPr="00991EE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3DB25801" w14:textId="77777777" w:rsidR="0024300A" w:rsidRPr="00991EE2" w:rsidRDefault="0024300A" w:rsidP="0024300A">
            <w:pPr>
              <w:spacing w:line="360" w:lineRule="auto"/>
              <w:jc w:val="both"/>
              <w:rPr>
                <w:rFonts w:ascii="Arial" w:hAnsi="Arial" w:cs="FrankRuehl"/>
                <w:sz w:val="28"/>
                <w:szCs w:val="28"/>
              </w:rPr>
            </w:pPr>
          </w:p>
        </w:tc>
      </w:tr>
      <w:bookmarkEnd w:id="1"/>
      <w:tr w:rsidR="0024300A" w:rsidRPr="00991EE2" w14:paraId="5E1A09B9" w14:textId="77777777" w:rsidTr="0024300A">
        <w:trPr>
          <w:trHeight w:val="355"/>
          <w:jc w:val="center"/>
        </w:trPr>
        <w:tc>
          <w:tcPr>
            <w:tcW w:w="923" w:type="dxa"/>
            <w:tcBorders>
              <w:top w:val="nil"/>
              <w:left w:val="nil"/>
              <w:bottom w:val="nil"/>
              <w:right w:val="nil"/>
            </w:tcBorders>
            <w:shd w:val="clear" w:color="auto" w:fill="auto"/>
          </w:tcPr>
          <w:p w14:paraId="1FC16098" w14:textId="77777777" w:rsidR="0024300A" w:rsidRPr="00991EE2" w:rsidRDefault="0024300A" w:rsidP="0024300A">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58A359F2" w14:textId="77777777" w:rsidR="0024300A" w:rsidRPr="00991EE2" w:rsidRDefault="0024300A" w:rsidP="0024300A">
            <w:pPr>
              <w:spacing w:line="360" w:lineRule="auto"/>
              <w:jc w:val="both"/>
              <w:rPr>
                <w:rtl/>
              </w:rPr>
            </w:pPr>
          </w:p>
        </w:tc>
        <w:tc>
          <w:tcPr>
            <w:tcW w:w="3771" w:type="dxa"/>
            <w:tcBorders>
              <w:top w:val="nil"/>
              <w:left w:val="nil"/>
              <w:bottom w:val="nil"/>
              <w:right w:val="nil"/>
            </w:tcBorders>
            <w:shd w:val="clear" w:color="auto" w:fill="auto"/>
          </w:tcPr>
          <w:p w14:paraId="0DBE71A2" w14:textId="77777777" w:rsidR="0024300A" w:rsidRPr="00991EE2" w:rsidRDefault="0024300A" w:rsidP="0024300A">
            <w:pPr>
              <w:spacing w:line="360" w:lineRule="auto"/>
              <w:jc w:val="right"/>
              <w:rPr>
                <w:rFonts w:ascii="Arial" w:hAnsi="Arial" w:cs="FrankRuehl"/>
                <w:sz w:val="28"/>
                <w:szCs w:val="28"/>
                <w:rtl/>
              </w:rPr>
            </w:pPr>
            <w:r w:rsidRPr="00991EE2">
              <w:rPr>
                <w:rFonts w:ascii="Arial" w:hAnsi="Arial" w:cs="FrankRuehl" w:hint="cs"/>
                <w:sz w:val="28"/>
                <w:szCs w:val="28"/>
                <w:rtl/>
              </w:rPr>
              <w:t>ה</w:t>
            </w:r>
            <w:r w:rsidRPr="00991EE2">
              <w:rPr>
                <w:rFonts w:ascii="Arial" w:hAnsi="Arial" w:cs="FrankRuehl"/>
                <w:sz w:val="28"/>
                <w:szCs w:val="28"/>
                <w:rtl/>
              </w:rPr>
              <w:t>מאשימה</w:t>
            </w:r>
          </w:p>
        </w:tc>
      </w:tr>
      <w:tr w:rsidR="0024300A" w:rsidRPr="00991EE2" w14:paraId="74B6CAC6" w14:textId="77777777" w:rsidTr="0024300A">
        <w:trPr>
          <w:trHeight w:val="355"/>
          <w:jc w:val="center"/>
        </w:trPr>
        <w:tc>
          <w:tcPr>
            <w:tcW w:w="923" w:type="dxa"/>
            <w:tcBorders>
              <w:top w:val="nil"/>
              <w:left w:val="nil"/>
              <w:bottom w:val="nil"/>
              <w:right w:val="nil"/>
            </w:tcBorders>
            <w:shd w:val="clear" w:color="auto" w:fill="auto"/>
          </w:tcPr>
          <w:p w14:paraId="27F3EF0D" w14:textId="77777777" w:rsidR="0024300A" w:rsidRPr="00991EE2" w:rsidRDefault="0024300A" w:rsidP="0024300A">
            <w:pPr>
              <w:spacing w:line="360" w:lineRule="auto"/>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4268E54" w14:textId="77777777" w:rsidR="0024300A" w:rsidRPr="00991EE2" w:rsidRDefault="0024300A" w:rsidP="0024300A">
            <w:pPr>
              <w:spacing w:line="360" w:lineRule="auto"/>
              <w:jc w:val="center"/>
              <w:rPr>
                <w:rFonts w:ascii="Arial" w:hAnsi="Arial" w:cs="FrankRuehl"/>
                <w:b/>
                <w:bCs/>
                <w:sz w:val="28"/>
                <w:szCs w:val="28"/>
                <w:rtl/>
              </w:rPr>
            </w:pPr>
          </w:p>
          <w:p w14:paraId="662F06BA" w14:textId="77777777" w:rsidR="0024300A" w:rsidRPr="00991EE2" w:rsidRDefault="0024300A" w:rsidP="0024300A">
            <w:pPr>
              <w:spacing w:line="360" w:lineRule="auto"/>
              <w:jc w:val="center"/>
              <w:rPr>
                <w:rFonts w:ascii="Arial" w:hAnsi="Arial" w:cs="FrankRuehl"/>
                <w:b/>
                <w:bCs/>
                <w:sz w:val="28"/>
                <w:szCs w:val="28"/>
                <w:rtl/>
              </w:rPr>
            </w:pPr>
            <w:r w:rsidRPr="00991EE2">
              <w:rPr>
                <w:rFonts w:ascii="Arial" w:hAnsi="Arial" w:cs="FrankRuehl"/>
                <w:b/>
                <w:bCs/>
                <w:sz w:val="28"/>
                <w:szCs w:val="28"/>
                <w:rtl/>
              </w:rPr>
              <w:t>נגד</w:t>
            </w:r>
          </w:p>
          <w:p w14:paraId="35220216" w14:textId="77777777" w:rsidR="0024300A" w:rsidRPr="00991EE2" w:rsidRDefault="0024300A" w:rsidP="0024300A">
            <w:pPr>
              <w:spacing w:line="360" w:lineRule="auto"/>
              <w:jc w:val="both"/>
              <w:rPr>
                <w:rFonts w:ascii="Arial" w:hAnsi="Arial" w:cs="FrankRuehl"/>
                <w:sz w:val="28"/>
                <w:szCs w:val="28"/>
              </w:rPr>
            </w:pPr>
          </w:p>
        </w:tc>
      </w:tr>
      <w:tr w:rsidR="0024300A" w:rsidRPr="00991EE2" w14:paraId="0289C1CD" w14:textId="77777777" w:rsidTr="0024300A">
        <w:trPr>
          <w:trHeight w:val="355"/>
          <w:jc w:val="center"/>
        </w:trPr>
        <w:tc>
          <w:tcPr>
            <w:tcW w:w="923" w:type="dxa"/>
            <w:tcBorders>
              <w:top w:val="nil"/>
              <w:left w:val="nil"/>
              <w:bottom w:val="nil"/>
              <w:right w:val="nil"/>
            </w:tcBorders>
            <w:shd w:val="clear" w:color="auto" w:fill="auto"/>
          </w:tcPr>
          <w:p w14:paraId="238E0465" w14:textId="77777777" w:rsidR="0024300A" w:rsidRPr="00991EE2" w:rsidRDefault="0024300A" w:rsidP="0024300A">
            <w:pPr>
              <w:spacing w:line="360" w:lineRule="auto"/>
              <w:rPr>
                <w:rFonts w:ascii="Arial" w:hAnsi="Arial" w:cs="FrankRuehl"/>
                <w:sz w:val="28"/>
                <w:szCs w:val="28"/>
                <w:rtl/>
              </w:rPr>
            </w:pPr>
          </w:p>
        </w:tc>
        <w:tc>
          <w:tcPr>
            <w:tcW w:w="4126" w:type="dxa"/>
            <w:tcBorders>
              <w:top w:val="nil"/>
              <w:left w:val="nil"/>
              <w:bottom w:val="nil"/>
              <w:right w:val="nil"/>
            </w:tcBorders>
            <w:shd w:val="clear" w:color="auto" w:fill="auto"/>
          </w:tcPr>
          <w:p w14:paraId="1A4B50EA" w14:textId="77777777" w:rsidR="0024300A" w:rsidRPr="00991EE2" w:rsidRDefault="0024300A" w:rsidP="0024300A">
            <w:pPr>
              <w:spacing w:line="360" w:lineRule="auto"/>
              <w:rPr>
                <w:rtl/>
              </w:rPr>
            </w:pPr>
            <w:r w:rsidRPr="00991EE2">
              <w:rPr>
                <w:rFonts w:ascii="Arial" w:hAnsi="Arial" w:cs="FrankRuehl"/>
                <w:sz w:val="28"/>
                <w:szCs w:val="28"/>
                <w:rtl/>
              </w:rPr>
              <w:t>עבדאללה מאדי</w:t>
            </w:r>
          </w:p>
        </w:tc>
        <w:tc>
          <w:tcPr>
            <w:tcW w:w="3771" w:type="dxa"/>
            <w:tcBorders>
              <w:top w:val="nil"/>
              <w:left w:val="nil"/>
              <w:bottom w:val="nil"/>
              <w:right w:val="nil"/>
            </w:tcBorders>
            <w:shd w:val="clear" w:color="auto" w:fill="auto"/>
          </w:tcPr>
          <w:p w14:paraId="566BD9A7" w14:textId="77777777" w:rsidR="0024300A" w:rsidRPr="00991EE2" w:rsidRDefault="0024300A" w:rsidP="0024300A">
            <w:pPr>
              <w:spacing w:line="360" w:lineRule="auto"/>
              <w:jc w:val="right"/>
              <w:rPr>
                <w:rFonts w:ascii="Arial" w:hAnsi="Arial" w:cs="FrankRuehl"/>
                <w:sz w:val="28"/>
                <w:szCs w:val="28"/>
              </w:rPr>
            </w:pPr>
          </w:p>
        </w:tc>
      </w:tr>
      <w:tr w:rsidR="0024300A" w:rsidRPr="00991EE2" w14:paraId="7E853CA4" w14:textId="77777777" w:rsidTr="0024300A">
        <w:trPr>
          <w:trHeight w:val="355"/>
          <w:jc w:val="center"/>
        </w:trPr>
        <w:tc>
          <w:tcPr>
            <w:tcW w:w="923" w:type="dxa"/>
            <w:tcBorders>
              <w:top w:val="nil"/>
              <w:left w:val="nil"/>
              <w:bottom w:val="nil"/>
              <w:right w:val="nil"/>
            </w:tcBorders>
            <w:shd w:val="clear" w:color="auto" w:fill="auto"/>
          </w:tcPr>
          <w:p w14:paraId="79DC78B0" w14:textId="77777777" w:rsidR="0024300A" w:rsidRPr="00991EE2" w:rsidRDefault="0024300A" w:rsidP="0024300A">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1A0EE005" w14:textId="77777777" w:rsidR="0024300A" w:rsidRPr="00991EE2" w:rsidRDefault="0024300A" w:rsidP="0024300A">
            <w:pPr>
              <w:spacing w:line="360" w:lineRule="auto"/>
              <w:jc w:val="both"/>
              <w:rPr>
                <w:rtl/>
              </w:rPr>
            </w:pPr>
          </w:p>
        </w:tc>
        <w:tc>
          <w:tcPr>
            <w:tcW w:w="3771" w:type="dxa"/>
            <w:tcBorders>
              <w:top w:val="nil"/>
              <w:left w:val="nil"/>
              <w:bottom w:val="nil"/>
              <w:right w:val="nil"/>
            </w:tcBorders>
            <w:shd w:val="clear" w:color="auto" w:fill="auto"/>
          </w:tcPr>
          <w:p w14:paraId="47B4CF65" w14:textId="77777777" w:rsidR="0024300A" w:rsidRPr="00991EE2" w:rsidRDefault="0024300A" w:rsidP="0024300A">
            <w:pPr>
              <w:spacing w:line="360" w:lineRule="auto"/>
              <w:jc w:val="right"/>
              <w:rPr>
                <w:rFonts w:ascii="Arial" w:hAnsi="Arial" w:cs="FrankRuehl"/>
                <w:sz w:val="28"/>
                <w:szCs w:val="28"/>
              </w:rPr>
            </w:pPr>
            <w:r w:rsidRPr="00991EE2">
              <w:rPr>
                <w:rFonts w:ascii="Arial" w:hAnsi="Arial" w:cs="FrankRuehl" w:hint="cs"/>
                <w:sz w:val="28"/>
                <w:szCs w:val="28"/>
                <w:rtl/>
              </w:rPr>
              <w:t>ה</w:t>
            </w:r>
            <w:r w:rsidRPr="00991EE2">
              <w:rPr>
                <w:rFonts w:ascii="Arial" w:hAnsi="Arial" w:cs="FrankRuehl"/>
                <w:sz w:val="28"/>
                <w:szCs w:val="28"/>
                <w:rtl/>
              </w:rPr>
              <w:t>נאשם</w:t>
            </w:r>
          </w:p>
        </w:tc>
      </w:tr>
    </w:tbl>
    <w:p w14:paraId="58744F72" w14:textId="77777777" w:rsidR="0024300A" w:rsidRPr="00991EE2" w:rsidRDefault="0024300A" w:rsidP="0024300A">
      <w:pPr>
        <w:spacing w:line="360" w:lineRule="auto"/>
        <w:rPr>
          <w:rtl/>
        </w:rPr>
      </w:pPr>
      <w:bookmarkStart w:id="2" w:name="FirstLawyer"/>
      <w:r w:rsidRPr="00991EE2">
        <w:rPr>
          <w:rFonts w:hint="cs"/>
          <w:rtl/>
        </w:rPr>
        <w:t>ב"כ</w:t>
      </w:r>
      <w:bookmarkEnd w:id="2"/>
      <w:r w:rsidRPr="00991EE2">
        <w:rPr>
          <w:rFonts w:hint="cs"/>
          <w:rtl/>
        </w:rPr>
        <w:t xml:space="preserve"> המאשימה: עו"ד איהאב חלבי</w:t>
      </w:r>
    </w:p>
    <w:p w14:paraId="0118A99A" w14:textId="77777777" w:rsidR="00E27F05" w:rsidRDefault="0024300A" w:rsidP="00991EE2">
      <w:pPr>
        <w:spacing w:after="120" w:line="240" w:lineRule="exact"/>
        <w:ind w:left="283" w:hanging="283"/>
        <w:jc w:val="both"/>
        <w:rPr>
          <w:rFonts w:hint="cs"/>
          <w:rtl/>
        </w:rPr>
      </w:pPr>
      <w:r w:rsidRPr="00991EE2">
        <w:rPr>
          <w:rFonts w:hint="cs"/>
          <w:rtl/>
        </w:rPr>
        <w:t>ב"כ הנאשם עו"ד עיסא אבו אל הוו</w:t>
      </w:r>
      <w:bookmarkStart w:id="3" w:name="LawTable"/>
      <w:bookmarkEnd w:id="3"/>
      <w:r w:rsidR="00E27F05">
        <w:rPr>
          <w:rFonts w:hint="cs"/>
          <w:rtl/>
        </w:rPr>
        <w:t>א</w:t>
      </w:r>
    </w:p>
    <w:p w14:paraId="2A2F1C9D" w14:textId="77777777" w:rsidR="00E27F05" w:rsidRPr="00E27F05" w:rsidRDefault="00E27F05" w:rsidP="00E27F05">
      <w:pPr>
        <w:spacing w:after="120" w:line="240" w:lineRule="exact"/>
        <w:ind w:left="283" w:hanging="283"/>
        <w:jc w:val="both"/>
        <w:rPr>
          <w:rFonts w:ascii="FrankRuehl" w:hAnsi="FrankRuehl" w:cs="FrankRuehl"/>
          <w:rtl/>
        </w:rPr>
      </w:pPr>
    </w:p>
    <w:p w14:paraId="6C697831" w14:textId="77777777" w:rsidR="00E27F05" w:rsidRPr="00E27F05" w:rsidRDefault="00E27F05" w:rsidP="00E27F05">
      <w:pPr>
        <w:spacing w:after="120" w:line="240" w:lineRule="exact"/>
        <w:ind w:left="283" w:hanging="283"/>
        <w:jc w:val="both"/>
        <w:rPr>
          <w:rFonts w:ascii="FrankRuehl" w:hAnsi="FrankRuehl" w:cs="FrankRuehl"/>
          <w:rtl/>
        </w:rPr>
      </w:pPr>
      <w:r w:rsidRPr="00E27F05">
        <w:rPr>
          <w:rFonts w:ascii="FrankRuehl" w:hAnsi="FrankRuehl" w:cs="FrankRuehl"/>
          <w:rtl/>
        </w:rPr>
        <w:t xml:space="preserve">חקיקה שאוזכרה: </w:t>
      </w:r>
    </w:p>
    <w:p w14:paraId="2534EE3F" w14:textId="77777777" w:rsidR="00E27F05" w:rsidRPr="00E27F05" w:rsidRDefault="00E27F05" w:rsidP="00E27F05">
      <w:pPr>
        <w:spacing w:after="120" w:line="240" w:lineRule="exact"/>
        <w:ind w:left="283" w:hanging="283"/>
        <w:jc w:val="both"/>
        <w:rPr>
          <w:rFonts w:ascii="FrankRuehl" w:hAnsi="FrankRuehl" w:cs="FrankRuehl"/>
          <w:rtl/>
        </w:rPr>
      </w:pPr>
      <w:hyperlink r:id="rId7" w:history="1">
        <w:r w:rsidRPr="00E27F05">
          <w:rPr>
            <w:rFonts w:ascii="FrankRuehl" w:hAnsi="FrankRuehl" w:cs="FrankRuehl"/>
            <w:color w:val="0000FF"/>
            <w:u w:val="single"/>
            <w:rtl/>
          </w:rPr>
          <w:t>פקודת הסמים המסוכנים [נוסח חדש], תשל"ג-1973</w:t>
        </w:r>
      </w:hyperlink>
    </w:p>
    <w:p w14:paraId="7AA49B1C" w14:textId="77777777" w:rsidR="00E27F05" w:rsidRPr="00E27F05" w:rsidRDefault="00E27F05" w:rsidP="00E27F0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300A" w14:paraId="0B9F0973" w14:textId="77777777" w:rsidTr="0024300A">
        <w:trPr>
          <w:trHeight w:val="355"/>
          <w:jc w:val="center"/>
        </w:trPr>
        <w:tc>
          <w:tcPr>
            <w:tcW w:w="8820" w:type="dxa"/>
            <w:tcBorders>
              <w:top w:val="nil"/>
              <w:left w:val="nil"/>
              <w:bottom w:val="nil"/>
              <w:right w:val="nil"/>
            </w:tcBorders>
            <w:shd w:val="clear" w:color="auto" w:fill="auto"/>
          </w:tcPr>
          <w:p w14:paraId="17DF722B" w14:textId="77777777" w:rsidR="00991EE2" w:rsidRPr="00991EE2" w:rsidRDefault="00991EE2" w:rsidP="00991EE2">
            <w:pPr>
              <w:spacing w:line="360" w:lineRule="auto"/>
              <w:jc w:val="center"/>
              <w:rPr>
                <w:rFonts w:ascii="Arial" w:hAnsi="Arial" w:cs="FrankRuehl"/>
                <w:b/>
                <w:bCs/>
                <w:sz w:val="32"/>
                <w:szCs w:val="32"/>
                <w:u w:val="single"/>
                <w:rtl/>
              </w:rPr>
            </w:pPr>
            <w:bookmarkStart w:id="4" w:name="LawTable_End"/>
            <w:bookmarkStart w:id="5" w:name="PsakDin" w:colFirst="0" w:colLast="0"/>
            <w:bookmarkEnd w:id="0"/>
            <w:bookmarkEnd w:id="4"/>
            <w:r w:rsidRPr="00991EE2">
              <w:rPr>
                <w:rFonts w:ascii="Arial" w:hAnsi="Arial" w:cs="FrankRuehl"/>
                <w:b/>
                <w:bCs/>
                <w:sz w:val="32"/>
                <w:szCs w:val="32"/>
                <w:u w:val="single"/>
                <w:rtl/>
              </w:rPr>
              <w:t>גזר דין</w:t>
            </w:r>
          </w:p>
          <w:p w14:paraId="722B8BCC" w14:textId="77777777" w:rsidR="0024300A" w:rsidRPr="00991EE2" w:rsidRDefault="0024300A" w:rsidP="00991EE2">
            <w:pPr>
              <w:spacing w:line="360" w:lineRule="auto"/>
              <w:jc w:val="center"/>
              <w:rPr>
                <w:rFonts w:ascii="Arial" w:hAnsi="Arial" w:cs="FrankRuehl"/>
                <w:bCs/>
                <w:sz w:val="32"/>
                <w:szCs w:val="32"/>
                <w:u w:val="single"/>
                <w:rtl/>
              </w:rPr>
            </w:pPr>
          </w:p>
        </w:tc>
      </w:tr>
    </w:tbl>
    <w:bookmarkEnd w:id="5"/>
    <w:p w14:paraId="6F3A2976" w14:textId="77777777" w:rsidR="0024300A" w:rsidRPr="0004227D" w:rsidRDefault="0024300A" w:rsidP="0024300A">
      <w:pPr>
        <w:spacing w:line="360" w:lineRule="auto"/>
        <w:rPr>
          <w:b/>
          <w:bCs/>
          <w:u w:val="single"/>
        </w:rPr>
      </w:pPr>
      <w:r>
        <w:rPr>
          <w:rFonts w:hint="cs"/>
          <w:b/>
          <w:bCs/>
          <w:u w:val="single"/>
          <w:rtl/>
        </w:rPr>
        <w:t>כללי</w:t>
      </w:r>
    </w:p>
    <w:p w14:paraId="255585E9" w14:textId="77777777" w:rsidR="0024300A" w:rsidRDefault="0024300A" w:rsidP="0024300A">
      <w:pPr>
        <w:pStyle w:val="ListParagraph1"/>
        <w:numPr>
          <w:ilvl w:val="0"/>
          <w:numId w:val="1"/>
        </w:numPr>
        <w:spacing w:line="360" w:lineRule="auto"/>
        <w:jc w:val="both"/>
      </w:pPr>
      <w:bookmarkStart w:id="6" w:name="ABSTRACT_START"/>
      <w:bookmarkEnd w:id="6"/>
      <w:r>
        <w:rPr>
          <w:rFonts w:hint="cs"/>
          <w:rtl/>
        </w:rPr>
        <w:t xml:space="preserve">הנאשם הורשע, על פי הודאתו בכתב אישום מתוקן, בשתי עבירות סחר בסם מסוכן ובעבירה אחת של סיוע לסחר בסם מסוכן. </w:t>
      </w:r>
    </w:p>
    <w:p w14:paraId="5CFF00CD" w14:textId="77777777" w:rsidR="0024300A" w:rsidRDefault="0024300A" w:rsidP="0024300A">
      <w:pPr>
        <w:pStyle w:val="ListParagraph1"/>
        <w:spacing w:line="360" w:lineRule="auto"/>
        <w:jc w:val="both"/>
      </w:pPr>
      <w:bookmarkStart w:id="7" w:name="ABSTRACT_END"/>
      <w:bookmarkEnd w:id="7"/>
    </w:p>
    <w:p w14:paraId="3DCEAB6A" w14:textId="77777777" w:rsidR="0024300A" w:rsidRDefault="0024300A" w:rsidP="0024300A">
      <w:pPr>
        <w:pStyle w:val="ListParagraph1"/>
        <w:numPr>
          <w:ilvl w:val="0"/>
          <w:numId w:val="1"/>
        </w:numPr>
        <w:spacing w:line="360" w:lineRule="auto"/>
        <w:jc w:val="both"/>
      </w:pPr>
      <w:r>
        <w:rPr>
          <w:rFonts w:hint="cs"/>
          <w:rtl/>
        </w:rPr>
        <w:t xml:space="preserve">באישום הראשון, שבגינו הורשע הנאשם בעבירת סיוע לסחר בסם מסוכן מתואר כי בשתי הזדמנויות שונות, סיכם הנאשם עם סוכנת משטרתית באמצעות הטלפון כי ימכור לה סם מסוג חשיש בתמורה ל 100 ₪. ביום 17.11.16 הגיעה הסוכנת למקום שאותו תיאמה עם הנאשם, פגשה באחרת, שלה סייע הנאשם למכור סמים, אשר מסרה לסוכנת חשיש במשקל 1.49 גרם והסוכנת מסרה לה 100 ש"ח. ביום 6.12.16 סיכם הנאשם עם הסוכנת בטלפון כי ימכור לה חשיש. הסוכנת הגיעה למקום שאותו תיאמה עם הנאשם, והנאשם הורה לה </w:t>
      </w:r>
      <w:r>
        <w:rPr>
          <w:rFonts w:hint="cs"/>
          <w:rtl/>
        </w:rPr>
        <w:lastRenderedPageBreak/>
        <w:t xml:space="preserve">להמתין עד להגעתה של האחרת למקום. כשהגיעה האחרת, היא מסרה לסוכנת חשיש  במשקל 1.61 גרם והסוכנת שילמה לאחרת 100 ₪. </w:t>
      </w:r>
    </w:p>
    <w:p w14:paraId="3C92CD69" w14:textId="77777777" w:rsidR="0024300A" w:rsidRDefault="0024300A" w:rsidP="0024300A">
      <w:pPr>
        <w:pStyle w:val="ListParagraph1"/>
        <w:spacing w:line="360" w:lineRule="auto"/>
        <w:jc w:val="both"/>
        <w:rPr>
          <w:rtl/>
        </w:rPr>
      </w:pPr>
      <w:r>
        <w:rPr>
          <w:rFonts w:hint="cs"/>
          <w:rtl/>
        </w:rPr>
        <w:t xml:space="preserve">במסגרת האישום השני הורשע הנאשם בעבירת סחר בסמים בשל כך שביום 5.1.17 מכר  לסוכנת חשיש במשקל 22.93 גרם תמורת 1000 ₪, לאחר תיאום מוקדם ביניהם. </w:t>
      </w:r>
    </w:p>
    <w:p w14:paraId="66DF0F0E" w14:textId="77777777" w:rsidR="0024300A" w:rsidRDefault="0024300A" w:rsidP="0024300A">
      <w:pPr>
        <w:pStyle w:val="ListParagraph1"/>
        <w:spacing w:line="360" w:lineRule="auto"/>
        <w:jc w:val="both"/>
      </w:pPr>
      <w:r>
        <w:rPr>
          <w:rFonts w:hint="cs"/>
          <w:rtl/>
        </w:rPr>
        <w:t>במסגרת האישום השלישי הורשע הנאשם בעבירת סחר בסמים בשל כך שביום 24.2.17, לאחר תיאום מוקדם ביניהם, מכר לסוכנת סם מסוג חשיש במשקל 33.99 גרם תמורת 2,000 ₪. הסוכנת החלה בספירת הכסף והעברתו לידי הנאשם, וכשהגיעה ל- 1400 ₪ הנאשם נעצר.</w:t>
      </w:r>
    </w:p>
    <w:p w14:paraId="16518B18" w14:textId="77777777" w:rsidR="0024300A" w:rsidRDefault="0024300A" w:rsidP="0024300A">
      <w:pPr>
        <w:pStyle w:val="ListParagraph1"/>
        <w:spacing w:line="360" w:lineRule="auto"/>
        <w:jc w:val="both"/>
      </w:pPr>
    </w:p>
    <w:p w14:paraId="5151C6A0" w14:textId="77777777" w:rsidR="0024300A" w:rsidRDefault="0024300A" w:rsidP="0024300A">
      <w:pPr>
        <w:pStyle w:val="ListParagraph1"/>
        <w:numPr>
          <w:ilvl w:val="0"/>
          <w:numId w:val="1"/>
        </w:numPr>
        <w:spacing w:line="360" w:lineRule="auto"/>
        <w:jc w:val="both"/>
      </w:pPr>
      <w:r>
        <w:rPr>
          <w:rFonts w:hint="cs"/>
          <w:rtl/>
        </w:rPr>
        <w:t xml:space="preserve">הצדדים הציגו הסדר דיוני במסגרתו כתב האישום תוקן והוסכם כי יוכן בעניינו של הנאשם תסקיר מבחן. לא הוצג הסדר לעניין העונש. </w:t>
      </w:r>
    </w:p>
    <w:p w14:paraId="493DB6B9" w14:textId="77777777" w:rsidR="0024300A" w:rsidRDefault="0024300A" w:rsidP="0024300A">
      <w:pPr>
        <w:pStyle w:val="ListParagraph1"/>
        <w:spacing w:line="360" w:lineRule="auto"/>
        <w:jc w:val="both"/>
      </w:pPr>
    </w:p>
    <w:p w14:paraId="5F97C5CD" w14:textId="77777777" w:rsidR="0024300A" w:rsidRDefault="0024300A" w:rsidP="0024300A">
      <w:pPr>
        <w:pStyle w:val="ListParagraph1"/>
        <w:numPr>
          <w:ilvl w:val="0"/>
          <w:numId w:val="1"/>
        </w:numPr>
        <w:spacing w:line="360" w:lineRule="auto"/>
        <w:jc w:val="both"/>
      </w:pPr>
      <w:r>
        <w:rPr>
          <w:rFonts w:hint="cs"/>
          <w:rtl/>
        </w:rPr>
        <w:t xml:space="preserve">תסקיר שירות מבחן שהוגש בעניינו של הנאשם מלמד כי הוא </w:t>
      </w:r>
      <w:r>
        <w:rPr>
          <w:rtl/>
        </w:rPr>
        <w:t xml:space="preserve">בן 32, רווק </w:t>
      </w:r>
      <w:r>
        <w:rPr>
          <w:rFonts w:hint="cs"/>
          <w:rtl/>
        </w:rPr>
        <w:t>ו</w:t>
      </w:r>
      <w:r>
        <w:rPr>
          <w:rtl/>
        </w:rPr>
        <w:t>אינו עובד</w:t>
      </w:r>
      <w:r>
        <w:rPr>
          <w:rFonts w:hint="cs"/>
          <w:rtl/>
        </w:rPr>
        <w:t>.</w:t>
      </w:r>
      <w:r>
        <w:rPr>
          <w:rtl/>
        </w:rPr>
        <w:t xml:space="preserve"> </w:t>
      </w:r>
      <w:r>
        <w:rPr>
          <w:rFonts w:hint="cs"/>
          <w:rtl/>
        </w:rPr>
        <w:t xml:space="preserve">הנאשם סובל מילדותו ממחלה בעיניו, מוכר </w:t>
      </w:r>
      <w:r>
        <w:rPr>
          <w:rtl/>
        </w:rPr>
        <w:t>ע</w:t>
      </w:r>
      <w:r>
        <w:rPr>
          <w:rFonts w:hint="cs"/>
          <w:rtl/>
        </w:rPr>
        <w:t xml:space="preserve">ל ידי המוסד לביטוח לאומי </w:t>
      </w:r>
      <w:r>
        <w:rPr>
          <w:rtl/>
        </w:rPr>
        <w:t>כעיוור ו</w:t>
      </w:r>
      <w:r>
        <w:rPr>
          <w:rFonts w:hint="cs"/>
          <w:rtl/>
        </w:rPr>
        <w:t>מקבל ק</w:t>
      </w:r>
      <w:r>
        <w:rPr>
          <w:rtl/>
        </w:rPr>
        <w:t xml:space="preserve">צבת נכות בשיעור של 100%. </w:t>
      </w:r>
      <w:r>
        <w:rPr>
          <w:rFonts w:hint="cs"/>
          <w:rtl/>
        </w:rPr>
        <w:t xml:space="preserve">הנאשם בוגר </w:t>
      </w:r>
      <w:r>
        <w:rPr>
          <w:rtl/>
        </w:rPr>
        <w:t>12 שנו</w:t>
      </w:r>
      <w:r>
        <w:rPr>
          <w:rFonts w:hint="cs"/>
          <w:rtl/>
        </w:rPr>
        <w:t>ת לימוד</w:t>
      </w:r>
      <w:r>
        <w:rPr>
          <w:rtl/>
        </w:rPr>
        <w:t>. עם תום לימודי</w:t>
      </w:r>
      <w:r>
        <w:rPr>
          <w:rFonts w:hint="cs"/>
          <w:rtl/>
        </w:rPr>
        <w:t>ו</w:t>
      </w:r>
      <w:r>
        <w:rPr>
          <w:rtl/>
        </w:rPr>
        <w:t xml:space="preserve"> השתלב בפנימייה לאנשים בעלי צרכים מיוחדים מתוך ניסיון לפתח חיים עצמאיים. </w:t>
      </w:r>
      <w:r>
        <w:rPr>
          <w:rFonts w:hint="cs"/>
          <w:rtl/>
        </w:rPr>
        <w:t xml:space="preserve">הנאשם </w:t>
      </w:r>
      <w:r>
        <w:rPr>
          <w:rtl/>
        </w:rPr>
        <w:t xml:space="preserve">למד במכינה </w:t>
      </w:r>
      <w:r>
        <w:rPr>
          <w:rFonts w:hint="cs"/>
          <w:rtl/>
        </w:rPr>
        <w:t xml:space="preserve">קדם </w:t>
      </w:r>
      <w:r>
        <w:rPr>
          <w:rtl/>
        </w:rPr>
        <w:t xml:space="preserve">אקדמית והשתלב בלימודי עיסוי רפואי ורפואה אלטרנטיבית. </w:t>
      </w:r>
      <w:r>
        <w:rPr>
          <w:rFonts w:hint="cs"/>
          <w:rtl/>
        </w:rPr>
        <w:t xml:space="preserve">בתקופה זו הנאשם </w:t>
      </w:r>
      <w:r>
        <w:rPr>
          <w:rtl/>
        </w:rPr>
        <w:t xml:space="preserve">התגורר במעונות </w:t>
      </w:r>
      <w:r>
        <w:rPr>
          <w:rFonts w:hint="cs"/>
          <w:rtl/>
        </w:rPr>
        <w:t xml:space="preserve">המוסד האקדמי שבו למד </w:t>
      </w:r>
      <w:r>
        <w:rPr>
          <w:rtl/>
        </w:rPr>
        <w:t>ובהמשך שכר דירה באופן עצמאי עם בת זוגו</w:t>
      </w:r>
      <w:r>
        <w:rPr>
          <w:rFonts w:hint="cs"/>
          <w:rtl/>
        </w:rPr>
        <w:t>,</w:t>
      </w:r>
      <w:r>
        <w:rPr>
          <w:rtl/>
        </w:rPr>
        <w:t xml:space="preserve"> </w:t>
      </w:r>
      <w:r>
        <w:rPr>
          <w:rFonts w:hint="cs"/>
          <w:rtl/>
        </w:rPr>
        <w:t>ואז</w:t>
      </w:r>
      <w:r>
        <w:rPr>
          <w:rtl/>
        </w:rPr>
        <w:t xml:space="preserve"> ביצע את העבירות. </w:t>
      </w:r>
      <w:r>
        <w:rPr>
          <w:rFonts w:hint="cs"/>
          <w:rtl/>
        </w:rPr>
        <w:t xml:space="preserve">משפחת המוצא של הנאשם מנהלת אורח חיים </w:t>
      </w:r>
      <w:r>
        <w:rPr>
          <w:rtl/>
        </w:rPr>
        <w:t>נורמטיבי</w:t>
      </w:r>
      <w:r>
        <w:rPr>
          <w:rFonts w:hint="cs"/>
          <w:rtl/>
        </w:rPr>
        <w:t xml:space="preserve"> ולו עצמו אין הרשעות קודמות</w:t>
      </w:r>
      <w:r>
        <w:rPr>
          <w:rtl/>
        </w:rPr>
        <w:t xml:space="preserve">. </w:t>
      </w:r>
      <w:r>
        <w:rPr>
          <w:rFonts w:hint="cs"/>
          <w:rtl/>
        </w:rPr>
        <w:t>באבחון שערך שירות המבחן בעת מעצרו של הנאשם ה</w:t>
      </w:r>
      <w:r>
        <w:rPr>
          <w:rtl/>
        </w:rPr>
        <w:t xml:space="preserve">תרשמו מתחושות בדידות </w:t>
      </w:r>
      <w:r>
        <w:rPr>
          <w:rFonts w:hint="cs"/>
          <w:rtl/>
        </w:rPr>
        <w:t xml:space="preserve">שחש </w:t>
      </w:r>
      <w:r>
        <w:rPr>
          <w:rtl/>
        </w:rPr>
        <w:t>בשל הימצאותו בקרב אוכלוסיי</w:t>
      </w:r>
      <w:r>
        <w:rPr>
          <w:rFonts w:hint="cs"/>
          <w:rtl/>
        </w:rPr>
        <w:t>ה</w:t>
      </w:r>
      <w:r>
        <w:rPr>
          <w:rtl/>
        </w:rPr>
        <w:t xml:space="preserve"> שהיא זרה לו, </w:t>
      </w:r>
      <w:r>
        <w:rPr>
          <w:rFonts w:hint="cs"/>
          <w:rtl/>
        </w:rPr>
        <w:t xml:space="preserve">הוא </w:t>
      </w:r>
      <w:r>
        <w:rPr>
          <w:rtl/>
        </w:rPr>
        <w:t xml:space="preserve">היה מכונס בעצמו ונמנע מתקשורת עם אחרים. </w:t>
      </w:r>
      <w:r>
        <w:rPr>
          <w:rFonts w:hint="cs"/>
          <w:rtl/>
        </w:rPr>
        <w:t xml:space="preserve">הנאשם </w:t>
      </w:r>
      <w:r>
        <w:rPr>
          <w:rtl/>
        </w:rPr>
        <w:t xml:space="preserve">תיאר </w:t>
      </w:r>
      <w:r>
        <w:rPr>
          <w:rFonts w:hint="cs"/>
          <w:rtl/>
        </w:rPr>
        <w:t>את</w:t>
      </w:r>
      <w:r>
        <w:rPr>
          <w:rtl/>
        </w:rPr>
        <w:t xml:space="preserve"> התקופה שקדמה למעצרו</w:t>
      </w:r>
      <w:r>
        <w:rPr>
          <w:rFonts w:hint="cs"/>
          <w:rtl/>
        </w:rPr>
        <w:t>,</w:t>
      </w:r>
      <w:r>
        <w:rPr>
          <w:rtl/>
        </w:rPr>
        <w:t xml:space="preserve"> במסגרת הלימודים האקדמאים</w:t>
      </w:r>
      <w:r>
        <w:rPr>
          <w:rFonts w:hint="cs"/>
          <w:rtl/>
        </w:rPr>
        <w:t>,</w:t>
      </w:r>
      <w:r>
        <w:rPr>
          <w:rtl/>
        </w:rPr>
        <w:t xml:space="preserve"> כתקופה טובה וחיובית בחייו בה חווה עצמאות, התפתחות א</w:t>
      </w:r>
      <w:r>
        <w:rPr>
          <w:rFonts w:hint="cs"/>
          <w:rtl/>
        </w:rPr>
        <w:t>י</w:t>
      </w:r>
      <w:r>
        <w:rPr>
          <w:rtl/>
        </w:rPr>
        <w:t>שית</w:t>
      </w:r>
      <w:r>
        <w:rPr>
          <w:rFonts w:hint="cs"/>
          <w:rtl/>
        </w:rPr>
        <w:t>,</w:t>
      </w:r>
      <w:r>
        <w:rPr>
          <w:rtl/>
        </w:rPr>
        <w:t xml:space="preserve"> חברתית וזוגית</w:t>
      </w:r>
      <w:r>
        <w:rPr>
          <w:rFonts w:hint="cs"/>
          <w:rtl/>
        </w:rPr>
        <w:t>. יחד עם זאת תיאר כי  בתקופה זו נהג לצרוך</w:t>
      </w:r>
      <w:r>
        <w:rPr>
          <w:rtl/>
        </w:rPr>
        <w:t xml:space="preserve"> סמים ואלכוהול, אך שלל התמכרות </w:t>
      </w:r>
      <w:r>
        <w:rPr>
          <w:rFonts w:hint="cs"/>
          <w:rtl/>
        </w:rPr>
        <w:t xml:space="preserve">להם. השימוש בסמים היווה עבורו מקור </w:t>
      </w:r>
      <w:r>
        <w:rPr>
          <w:rtl/>
        </w:rPr>
        <w:t xml:space="preserve">לתחושת שייכות, הקלה ביצירת קשרים חברתיים, על רקע תחושת חריגות שחש בשל עיוורונו. </w:t>
      </w:r>
      <w:r>
        <w:rPr>
          <w:rFonts w:hint="cs"/>
          <w:rtl/>
        </w:rPr>
        <w:t xml:space="preserve">שירות המבחן התרשם כי הנאשם מביע </w:t>
      </w:r>
      <w:r>
        <w:rPr>
          <w:rtl/>
        </w:rPr>
        <w:t xml:space="preserve">שאיפות </w:t>
      </w:r>
      <w:r>
        <w:rPr>
          <w:rFonts w:hint="cs"/>
          <w:rtl/>
        </w:rPr>
        <w:t>לקיים אורח ח</w:t>
      </w:r>
      <w:r>
        <w:rPr>
          <w:rtl/>
        </w:rPr>
        <w:t>יים תקי</w:t>
      </w:r>
      <w:r>
        <w:rPr>
          <w:rFonts w:hint="cs"/>
          <w:rtl/>
        </w:rPr>
        <w:t>ן</w:t>
      </w:r>
      <w:r>
        <w:rPr>
          <w:rtl/>
        </w:rPr>
        <w:t xml:space="preserve"> ונורמטיבי, </w:t>
      </w:r>
      <w:r>
        <w:rPr>
          <w:rFonts w:hint="cs"/>
          <w:rtl/>
        </w:rPr>
        <w:t xml:space="preserve">כי הוא </w:t>
      </w:r>
      <w:r>
        <w:rPr>
          <w:rtl/>
        </w:rPr>
        <w:t>נעדר דפוסי עבריינות מגובשים ובעל יכולת לתת אמון בסביבתו</w:t>
      </w:r>
      <w:r>
        <w:rPr>
          <w:rFonts w:hint="cs"/>
          <w:rtl/>
        </w:rPr>
        <w:t xml:space="preserve">, אך </w:t>
      </w:r>
      <w:r>
        <w:rPr>
          <w:rtl/>
        </w:rPr>
        <w:t xml:space="preserve">בעל דימוי עצמי נמוך </w:t>
      </w:r>
      <w:r>
        <w:rPr>
          <w:rFonts w:hint="cs"/>
          <w:rtl/>
        </w:rPr>
        <w:t>וחש</w:t>
      </w:r>
      <w:r>
        <w:rPr>
          <w:rtl/>
        </w:rPr>
        <w:t xml:space="preserve"> דחיה חברתית ובדידות. </w:t>
      </w:r>
      <w:r>
        <w:rPr>
          <w:rFonts w:hint="cs"/>
          <w:rtl/>
        </w:rPr>
        <w:t xml:space="preserve">עוד התרשם שירות המבחן כי </w:t>
      </w:r>
      <w:r>
        <w:rPr>
          <w:rtl/>
        </w:rPr>
        <w:t>קיים פער בין אורח חייו התקין לבין התנהלותו הבעייתית טרם מעצרו</w:t>
      </w:r>
      <w:r>
        <w:rPr>
          <w:rFonts w:hint="cs"/>
          <w:rtl/>
        </w:rPr>
        <w:t>. התרשמות שירות המבחן היא</w:t>
      </w:r>
      <w:r>
        <w:rPr>
          <w:rtl/>
        </w:rPr>
        <w:t xml:space="preserve"> כי מעצרו לראשונה בחייו היווה גורם מטלטל ומשברי עבור</w:t>
      </w:r>
      <w:r>
        <w:rPr>
          <w:rFonts w:hint="cs"/>
          <w:rtl/>
        </w:rPr>
        <w:t xml:space="preserve"> הנאשם. לאחר שחרורו של הנאשם ממעצר הוא היה נתון בפיקוח מעצרים של שירות המבחן, אשר הבחין ב</w:t>
      </w:r>
      <w:r>
        <w:rPr>
          <w:rtl/>
        </w:rPr>
        <w:t>ה</w:t>
      </w:r>
      <w:r>
        <w:rPr>
          <w:rFonts w:hint="cs"/>
          <w:rtl/>
        </w:rPr>
        <w:t>י</w:t>
      </w:r>
      <w:r>
        <w:rPr>
          <w:rtl/>
        </w:rPr>
        <w:t>דרדרות במצבו הנפשי</w:t>
      </w:r>
      <w:r>
        <w:rPr>
          <w:rFonts w:hint="cs"/>
          <w:rtl/>
        </w:rPr>
        <w:t xml:space="preserve"> של הנאשם וב</w:t>
      </w:r>
      <w:r>
        <w:rPr>
          <w:rtl/>
        </w:rPr>
        <w:t>סימני חרדה</w:t>
      </w:r>
      <w:r>
        <w:rPr>
          <w:rFonts w:hint="cs"/>
          <w:rtl/>
        </w:rPr>
        <w:t>,</w:t>
      </w:r>
      <w:r>
        <w:rPr>
          <w:rtl/>
        </w:rPr>
        <w:t xml:space="preserve"> דיכאון ו</w:t>
      </w:r>
      <w:r>
        <w:rPr>
          <w:rFonts w:hint="cs"/>
          <w:rtl/>
        </w:rPr>
        <w:t>מ</w:t>
      </w:r>
      <w:r>
        <w:rPr>
          <w:rtl/>
        </w:rPr>
        <w:t>תח</w:t>
      </w:r>
      <w:r>
        <w:rPr>
          <w:rFonts w:hint="cs"/>
          <w:rtl/>
        </w:rPr>
        <w:t>. הנאשם</w:t>
      </w:r>
      <w:r>
        <w:rPr>
          <w:rtl/>
        </w:rPr>
        <w:t xml:space="preserve"> </w:t>
      </w:r>
      <w:r>
        <w:rPr>
          <w:rFonts w:hint="cs"/>
          <w:rtl/>
        </w:rPr>
        <w:t xml:space="preserve">עבר </w:t>
      </w:r>
      <w:r>
        <w:rPr>
          <w:rtl/>
        </w:rPr>
        <w:t xml:space="preserve">אבחון פסיכיאטרי </w:t>
      </w:r>
      <w:r>
        <w:rPr>
          <w:rFonts w:hint="cs"/>
          <w:rtl/>
        </w:rPr>
        <w:t>ו</w:t>
      </w:r>
      <w:r>
        <w:rPr>
          <w:rtl/>
        </w:rPr>
        <w:t>הומלץ על טיפול שיחתי ותרופתי</w:t>
      </w:r>
      <w:r>
        <w:rPr>
          <w:rFonts w:hint="cs"/>
          <w:rtl/>
        </w:rPr>
        <w:t>, אך</w:t>
      </w:r>
      <w:r>
        <w:rPr>
          <w:rtl/>
        </w:rPr>
        <w:t xml:space="preserve"> עד כה </w:t>
      </w:r>
      <w:r>
        <w:rPr>
          <w:rFonts w:hint="cs"/>
          <w:rtl/>
        </w:rPr>
        <w:t>טרם</w:t>
      </w:r>
      <w:r>
        <w:rPr>
          <w:rtl/>
        </w:rPr>
        <w:t xml:space="preserve"> שולב</w:t>
      </w:r>
      <w:r>
        <w:rPr>
          <w:rFonts w:hint="cs"/>
          <w:rtl/>
        </w:rPr>
        <w:t xml:space="preserve"> בשיחות ונוטל טיפול תרופתי בלבד</w:t>
      </w:r>
      <w:r>
        <w:rPr>
          <w:rtl/>
        </w:rPr>
        <w:t xml:space="preserve">. במקביל מסר </w:t>
      </w:r>
      <w:r>
        <w:rPr>
          <w:rFonts w:hint="cs"/>
          <w:rtl/>
        </w:rPr>
        <w:t xml:space="preserve">הנאשם </w:t>
      </w:r>
      <w:r>
        <w:rPr>
          <w:rtl/>
        </w:rPr>
        <w:t xml:space="preserve">בדיקות לאיתור </w:t>
      </w:r>
      <w:r>
        <w:rPr>
          <w:rFonts w:hint="cs"/>
          <w:rtl/>
        </w:rPr>
        <w:t xml:space="preserve">שרידי </w:t>
      </w:r>
      <w:r>
        <w:rPr>
          <w:rtl/>
        </w:rPr>
        <w:t>סם</w:t>
      </w:r>
      <w:r>
        <w:rPr>
          <w:rFonts w:hint="cs"/>
          <w:rtl/>
        </w:rPr>
        <w:t>. ב</w:t>
      </w:r>
      <w:r>
        <w:rPr>
          <w:rtl/>
        </w:rPr>
        <w:t xml:space="preserve">בדיקה הראשונה </w:t>
      </w:r>
      <w:r>
        <w:rPr>
          <w:rFonts w:hint="cs"/>
          <w:rtl/>
        </w:rPr>
        <w:t xml:space="preserve">נמצאו שרידי קנבוס, אך שש בדיקות </w:t>
      </w:r>
      <w:r>
        <w:rPr>
          <w:rFonts w:hint="cs"/>
          <w:rtl/>
        </w:rPr>
        <w:lastRenderedPageBreak/>
        <w:t>שנמסרו אחריה</w:t>
      </w:r>
      <w:r>
        <w:rPr>
          <w:rtl/>
        </w:rPr>
        <w:t xml:space="preserve"> הצביעו על ניקיון מסמים. </w:t>
      </w:r>
      <w:r>
        <w:rPr>
          <w:rFonts w:hint="cs"/>
          <w:rtl/>
        </w:rPr>
        <w:t>הנאשם קיבל אחריות על העבירות והסביר את ביצוען על רקע של רצון להרשים בחורה,</w:t>
      </w:r>
      <w:r>
        <w:rPr>
          <w:rtl/>
        </w:rPr>
        <w:t xml:space="preserve"> תוך טשטוש חומרת מעשיו</w:t>
      </w:r>
      <w:r>
        <w:rPr>
          <w:rFonts w:hint="cs"/>
          <w:rtl/>
        </w:rPr>
        <w:t>. הנאשם</w:t>
      </w:r>
      <w:r>
        <w:rPr>
          <w:rtl/>
        </w:rPr>
        <w:t xml:space="preserve"> שלל מניע כלכלי</w:t>
      </w:r>
      <w:r>
        <w:rPr>
          <w:rFonts w:hint="cs"/>
          <w:rtl/>
        </w:rPr>
        <w:t xml:space="preserve"> לביצוע העבירות, וכן כי מאז ביצוע העבירות הוא נמנע</w:t>
      </w:r>
      <w:r>
        <w:rPr>
          <w:rtl/>
        </w:rPr>
        <w:t xml:space="preserve"> משימוש בסמים או באלכוהול. </w:t>
      </w:r>
      <w:r>
        <w:rPr>
          <w:rFonts w:hint="cs"/>
          <w:rtl/>
        </w:rPr>
        <w:t>כ</w:t>
      </w:r>
      <w:r>
        <w:rPr>
          <w:rtl/>
        </w:rPr>
        <w:t>יום</w:t>
      </w:r>
      <w:r>
        <w:rPr>
          <w:rFonts w:hint="cs"/>
          <w:rtl/>
        </w:rPr>
        <w:t xml:space="preserve">, לצד הטיפול הפסיכיאטרי, הנאשם </w:t>
      </w:r>
      <w:r>
        <w:rPr>
          <w:rtl/>
        </w:rPr>
        <w:t xml:space="preserve">נעזר בלשכת הרווחה במקום מגוריו, על מנת להשתלב בתעסוקה מוגנת ולשפר </w:t>
      </w:r>
      <w:r>
        <w:rPr>
          <w:rFonts w:hint="cs"/>
          <w:rtl/>
        </w:rPr>
        <w:t xml:space="preserve">את </w:t>
      </w:r>
      <w:r>
        <w:rPr>
          <w:rtl/>
        </w:rPr>
        <w:t>מצבו הרגשי</w:t>
      </w:r>
      <w:r>
        <w:rPr>
          <w:rFonts w:hint="cs"/>
          <w:rtl/>
        </w:rPr>
        <w:t>.</w:t>
      </w:r>
      <w:r>
        <w:rPr>
          <w:rtl/>
        </w:rPr>
        <w:t xml:space="preserve"> </w:t>
      </w:r>
    </w:p>
    <w:p w14:paraId="5C8C2735" w14:textId="77777777" w:rsidR="0024300A" w:rsidRDefault="0024300A" w:rsidP="0024300A">
      <w:pPr>
        <w:pStyle w:val="ListParagraph1"/>
        <w:spacing w:line="360" w:lineRule="auto"/>
        <w:jc w:val="both"/>
      </w:pPr>
      <w:r>
        <w:rPr>
          <w:rFonts w:hint="cs"/>
          <w:rtl/>
        </w:rPr>
        <w:t xml:space="preserve">שירות המבחן מעריך </w:t>
      </w:r>
      <w:r>
        <w:rPr>
          <w:rtl/>
        </w:rPr>
        <w:t xml:space="preserve">כי </w:t>
      </w:r>
      <w:r>
        <w:rPr>
          <w:rFonts w:hint="cs"/>
          <w:rtl/>
        </w:rPr>
        <w:t xml:space="preserve">הנאשם </w:t>
      </w:r>
      <w:r>
        <w:rPr>
          <w:rtl/>
        </w:rPr>
        <w:t>ביצע את העבירות על רקע התמודדות לא מותאמת עם תחושות בדידות שחווה וחיפ</w:t>
      </w:r>
      <w:r>
        <w:rPr>
          <w:rFonts w:hint="cs"/>
          <w:rtl/>
        </w:rPr>
        <w:t>ו</w:t>
      </w:r>
      <w:r>
        <w:rPr>
          <w:rtl/>
        </w:rPr>
        <w:t xml:space="preserve">ש שייכות </w:t>
      </w:r>
      <w:r>
        <w:rPr>
          <w:rFonts w:hint="cs"/>
          <w:rtl/>
        </w:rPr>
        <w:t>על ידי</w:t>
      </w:r>
      <w:r>
        <w:rPr>
          <w:rtl/>
        </w:rPr>
        <w:t xml:space="preserve"> יצירת קשרים שוליים, רצון ברציה חברתית וחוויה עמוקה של פגיעה, דחיה</w:t>
      </w:r>
      <w:r>
        <w:rPr>
          <w:rFonts w:hint="cs"/>
          <w:rtl/>
        </w:rPr>
        <w:t>,</w:t>
      </w:r>
      <w:r>
        <w:rPr>
          <w:rtl/>
        </w:rPr>
        <w:t xml:space="preserve"> כמיהה לקשרים חברתיים </w:t>
      </w:r>
      <w:r>
        <w:rPr>
          <w:rFonts w:hint="cs"/>
          <w:rtl/>
        </w:rPr>
        <w:t>ו</w:t>
      </w:r>
      <w:r>
        <w:rPr>
          <w:rtl/>
        </w:rPr>
        <w:t>תחושת תלות בסביבתו</w:t>
      </w:r>
      <w:r>
        <w:rPr>
          <w:rFonts w:hint="cs"/>
          <w:rtl/>
        </w:rPr>
        <w:t>,</w:t>
      </w:r>
      <w:r>
        <w:rPr>
          <w:rtl/>
        </w:rPr>
        <w:t xml:space="preserve"> תחוש</w:t>
      </w:r>
      <w:r>
        <w:rPr>
          <w:rFonts w:hint="cs"/>
          <w:rtl/>
        </w:rPr>
        <w:t>ו</w:t>
      </w:r>
      <w:r>
        <w:rPr>
          <w:rtl/>
        </w:rPr>
        <w:t xml:space="preserve">ת אשר עמן מתקשה להשלים על אף מוגבלותו. לאור האמור </w:t>
      </w:r>
      <w:r>
        <w:rPr>
          <w:rFonts w:hint="cs"/>
          <w:rtl/>
        </w:rPr>
        <w:t>ה</w:t>
      </w:r>
      <w:r>
        <w:rPr>
          <w:rtl/>
        </w:rPr>
        <w:t>עריכ</w:t>
      </w:r>
      <w:r>
        <w:rPr>
          <w:rFonts w:hint="cs"/>
          <w:rtl/>
        </w:rPr>
        <w:t>ו</w:t>
      </w:r>
      <w:r>
        <w:rPr>
          <w:rtl/>
        </w:rPr>
        <w:t xml:space="preserve"> כי הסיכון הנשקף מ</w:t>
      </w:r>
      <w:r>
        <w:rPr>
          <w:rFonts w:hint="cs"/>
          <w:rtl/>
        </w:rPr>
        <w:t>הנאשם כ</w:t>
      </w:r>
      <w:r>
        <w:rPr>
          <w:rtl/>
        </w:rPr>
        <w:t>יום פחת</w:t>
      </w:r>
      <w:r>
        <w:rPr>
          <w:rFonts w:hint="cs"/>
          <w:rtl/>
        </w:rPr>
        <w:t>, והמליצו</w:t>
      </w:r>
      <w:r>
        <w:rPr>
          <w:rFonts w:hint="cs"/>
          <w:b/>
          <w:bCs/>
          <w:rtl/>
        </w:rPr>
        <w:t xml:space="preserve"> </w:t>
      </w:r>
      <w:r>
        <w:rPr>
          <w:rFonts w:hint="cs"/>
          <w:rtl/>
        </w:rPr>
        <w:t>להטיל עליו צו מבחן לשנה וצו שרות לתועלת ה</w:t>
      </w:r>
      <w:r w:rsidRPr="007D0E19">
        <w:rPr>
          <w:rFonts w:hint="cs"/>
          <w:rtl/>
        </w:rPr>
        <w:t>ציבור בהיקף משמעותי</w:t>
      </w:r>
      <w:r>
        <w:rPr>
          <w:rFonts w:hint="cs"/>
          <w:rtl/>
        </w:rPr>
        <w:t>, תוך</w:t>
      </w:r>
      <w:r w:rsidRPr="007D0E19">
        <w:rPr>
          <w:rFonts w:hint="cs"/>
          <w:rtl/>
        </w:rPr>
        <w:t xml:space="preserve"> </w:t>
      </w:r>
      <w:r>
        <w:rPr>
          <w:rFonts w:hint="cs"/>
          <w:rtl/>
        </w:rPr>
        <w:t xml:space="preserve">שהתבקשה דחייה לשם </w:t>
      </w:r>
      <w:r w:rsidRPr="007D0E19">
        <w:rPr>
          <w:rFonts w:hint="cs"/>
          <w:rtl/>
        </w:rPr>
        <w:t>הכנת תכנית המותאמת למוגבלותו.</w:t>
      </w:r>
    </w:p>
    <w:p w14:paraId="07C8FF03" w14:textId="77777777" w:rsidR="0024300A" w:rsidRDefault="0024300A" w:rsidP="0024300A">
      <w:pPr>
        <w:pStyle w:val="ListParagraph1"/>
        <w:spacing w:line="360" w:lineRule="auto"/>
        <w:jc w:val="both"/>
      </w:pPr>
    </w:p>
    <w:p w14:paraId="44EBD900" w14:textId="77777777" w:rsidR="0024300A" w:rsidRDefault="0024300A" w:rsidP="0024300A">
      <w:pPr>
        <w:pStyle w:val="ListParagraph1"/>
        <w:numPr>
          <w:ilvl w:val="0"/>
          <w:numId w:val="1"/>
        </w:numPr>
        <w:spacing w:line="360" w:lineRule="auto"/>
        <w:jc w:val="both"/>
      </w:pPr>
      <w:r>
        <w:rPr>
          <w:rFonts w:hint="cs"/>
          <w:rtl/>
        </w:rPr>
        <w:t xml:space="preserve">המאשימה ביקשה להתייחס לכל אחד מהאישומים כאל אירוע נפרד. ביחס לאישום הראשון ביקשה לקבוע מתחם עונש הולם שבין שלושה לשישה חודשי מאסר בפועל וביחס לאישומים השני והשלישי ביקשה לקבוע מתחם עונש הולם הנע בין שישה לשנים-עשר חודשי מאסר בפועל לכל אישום. ב"כ המאשימה עתר למקם את עונשו של הנאשם בחלקם התחתון של המתחמים וביקש לגזור עליו חמישה- עשר חודשי מאסר בפועל, מאסר על תנאי, קנס ופסילה בפועל ועל תנאי מלקבל או להחזיק רישיון נהיגה. המאשימה הדגישה בטיעוניה את הערכים המוגנים באמצעות העבירות שביצע הנאשם. </w:t>
      </w:r>
    </w:p>
    <w:p w14:paraId="26F0B6B5" w14:textId="77777777" w:rsidR="0024300A" w:rsidRDefault="0024300A" w:rsidP="0024300A">
      <w:pPr>
        <w:pStyle w:val="ListParagraph1"/>
        <w:spacing w:line="360" w:lineRule="auto"/>
        <w:jc w:val="both"/>
      </w:pPr>
    </w:p>
    <w:p w14:paraId="7B9E1232" w14:textId="77777777" w:rsidR="0024300A" w:rsidRDefault="0024300A" w:rsidP="0024300A">
      <w:pPr>
        <w:pStyle w:val="ListParagraph1"/>
        <w:numPr>
          <w:ilvl w:val="0"/>
          <w:numId w:val="1"/>
        </w:numPr>
        <w:spacing w:line="360" w:lineRule="auto"/>
        <w:jc w:val="both"/>
      </w:pPr>
      <w:r>
        <w:rPr>
          <w:rFonts w:hint="cs"/>
          <w:rtl/>
        </w:rPr>
        <w:t xml:space="preserve">ב"כ הנאשם ביקש לקבוע כי כלל האישומים מהווים אירוע אחד, וביקש לאמץ את המלצת שירות המבחן, תוך הדגשת מצבו האישי של הנאשם והנכות שממנה סובל. עוד טען ב"כ הנאשם, כי מעצרו של הנאשם היווה עבורו גורם מרתיע ומטלטל ממנו הפיק לקחים, השתלב בהליך טיפולי, הפסיק להשתמש בסמים, הוא נמצא בהליך שיקום ממושך, ומביע נכונות ורצון להמשיך בו. ב"כ הנאשם ביקש שהעונש שייגזר על הנאשם יחרוג לקולא ממתחם העונש ההולם מטעמי שיקום, ותמך עמדתו בפסיקה. </w:t>
      </w:r>
    </w:p>
    <w:p w14:paraId="7A2CFD33" w14:textId="77777777" w:rsidR="0024300A" w:rsidRPr="00952A32" w:rsidRDefault="0024300A" w:rsidP="0024300A">
      <w:pPr>
        <w:pStyle w:val="ListParagraph1"/>
        <w:spacing w:line="360" w:lineRule="auto"/>
        <w:jc w:val="both"/>
      </w:pPr>
    </w:p>
    <w:p w14:paraId="2AFA833E" w14:textId="77777777" w:rsidR="0024300A" w:rsidRDefault="0024300A" w:rsidP="0024300A">
      <w:pPr>
        <w:pStyle w:val="ListParagraph1"/>
        <w:numPr>
          <w:ilvl w:val="0"/>
          <w:numId w:val="1"/>
        </w:numPr>
        <w:spacing w:line="360" w:lineRule="auto"/>
        <w:jc w:val="both"/>
      </w:pPr>
      <w:r>
        <w:rPr>
          <w:rFonts w:hint="cs"/>
          <w:rtl/>
        </w:rPr>
        <w:t>אביו של הנאשם העיד כעד אופי ודיבר בשבחו של הנאשם ובשבח המשפחה. בנוסף הוגשה מטעם ההגנה ההערכה הפסיכולוגית שנערכה לנאשם ביום 17.6.17.</w:t>
      </w:r>
    </w:p>
    <w:p w14:paraId="6789A2C9" w14:textId="77777777" w:rsidR="0024300A" w:rsidRDefault="0024300A" w:rsidP="0024300A">
      <w:pPr>
        <w:pStyle w:val="ListParagraph1"/>
        <w:spacing w:line="360" w:lineRule="auto"/>
        <w:jc w:val="both"/>
      </w:pPr>
    </w:p>
    <w:p w14:paraId="2636DAE1" w14:textId="77777777" w:rsidR="0024300A" w:rsidRDefault="0024300A" w:rsidP="0024300A">
      <w:pPr>
        <w:pStyle w:val="ListParagraph1"/>
        <w:numPr>
          <w:ilvl w:val="0"/>
          <w:numId w:val="1"/>
        </w:numPr>
        <w:spacing w:line="360" w:lineRule="auto"/>
        <w:jc w:val="both"/>
      </w:pPr>
      <w:r>
        <w:rPr>
          <w:rFonts w:hint="cs"/>
          <w:rtl/>
        </w:rPr>
        <w:t xml:space="preserve">הנאשם בדברו האחרון תיאר כי ביצע את העבירות מתוך בדידות ורצון לקשור קשרים חברתיים. הנאשם אמר שמבין כי טעה וכי פעל מתוך מצב נפשי ירוד. הנאשם הביע חרטה על מעשיו והביע רצון לחזור למוטב, תיאר כי שואף להתחתן ולהקים משפחה ותיאר את הקשיים שחווה במסגרת מעצר הבית ובהיותו נטול חברים. </w:t>
      </w:r>
    </w:p>
    <w:p w14:paraId="2177A5C2" w14:textId="77777777" w:rsidR="0024300A" w:rsidRDefault="0024300A" w:rsidP="0024300A">
      <w:pPr>
        <w:spacing w:line="360" w:lineRule="auto"/>
        <w:jc w:val="both"/>
        <w:rPr>
          <w:b/>
          <w:bCs/>
          <w:u w:val="single"/>
          <w:rtl/>
        </w:rPr>
      </w:pPr>
    </w:p>
    <w:p w14:paraId="061EC9EA" w14:textId="77777777" w:rsidR="0024300A" w:rsidRPr="0004227D" w:rsidRDefault="0024300A" w:rsidP="0024300A">
      <w:pPr>
        <w:spacing w:line="360" w:lineRule="auto"/>
        <w:jc w:val="both"/>
        <w:rPr>
          <w:b/>
          <w:bCs/>
          <w:u w:val="single"/>
        </w:rPr>
      </w:pPr>
      <w:r>
        <w:rPr>
          <w:rFonts w:hint="cs"/>
          <w:b/>
          <w:bCs/>
          <w:u w:val="single"/>
          <w:rtl/>
        </w:rPr>
        <w:t>מתחם העונש ההולם</w:t>
      </w:r>
    </w:p>
    <w:p w14:paraId="6634BF97" w14:textId="77777777" w:rsidR="0024300A" w:rsidRDefault="0024300A" w:rsidP="0024300A">
      <w:pPr>
        <w:pStyle w:val="ListParagraph1"/>
        <w:numPr>
          <w:ilvl w:val="0"/>
          <w:numId w:val="1"/>
        </w:numPr>
        <w:spacing w:line="360" w:lineRule="auto"/>
        <w:jc w:val="both"/>
      </w:pPr>
      <w:r>
        <w:rPr>
          <w:rFonts w:hint="cs"/>
          <w:rtl/>
        </w:rPr>
        <w:t xml:space="preserve">הגם שבכל ההזדמנויות הסמים נמכרו על ידי הנאשם או שהוא סייע למכירתם לאותה לקוחה, הסוכנת המשטרתית, העובדה כי מדובר במועדים שונים ופערי הזמנים בין העבירות מביאים למסקנה לפיה כל אחד מהאישומים מהווה אירוע נפרד שיש לקבוע בגינו מתחם עונש הולם נפרד. </w:t>
      </w:r>
    </w:p>
    <w:p w14:paraId="10A6FCCB" w14:textId="77777777" w:rsidR="0024300A" w:rsidRDefault="0024300A" w:rsidP="0024300A">
      <w:pPr>
        <w:pStyle w:val="ListParagraph1"/>
        <w:spacing w:line="360" w:lineRule="auto"/>
        <w:jc w:val="both"/>
      </w:pPr>
    </w:p>
    <w:p w14:paraId="713CB1AA" w14:textId="77777777" w:rsidR="0024300A" w:rsidRDefault="0024300A" w:rsidP="0024300A">
      <w:pPr>
        <w:pStyle w:val="ListParagraph1"/>
        <w:numPr>
          <w:ilvl w:val="0"/>
          <w:numId w:val="1"/>
        </w:numPr>
        <w:spacing w:line="360" w:lineRule="auto"/>
        <w:jc w:val="both"/>
      </w:pPr>
      <w:r>
        <w:rPr>
          <w:rFonts w:hint="cs"/>
          <w:rtl/>
        </w:rPr>
        <w:t xml:space="preserve">עבירות הסמים נועדו למנוע את הנזקים הישירים והעקיפים הנגרמים כתוצאה </w:t>
      </w:r>
      <w:r>
        <w:rPr>
          <w:rtl/>
        </w:rPr>
        <w:t>משימוש</w:t>
      </w:r>
      <w:r>
        <w:t xml:space="preserve"> </w:t>
      </w:r>
      <w:r>
        <w:rPr>
          <w:rtl/>
        </w:rPr>
        <w:t>בסמים</w:t>
      </w:r>
      <w:r>
        <w:rPr>
          <w:rFonts w:hint="cs"/>
          <w:rtl/>
        </w:rPr>
        <w:t xml:space="preserve">, </w:t>
      </w:r>
      <w:r>
        <w:rPr>
          <w:rtl/>
        </w:rPr>
        <w:t>לרבות</w:t>
      </w:r>
      <w:r>
        <w:t xml:space="preserve"> </w:t>
      </w:r>
      <w:r>
        <w:rPr>
          <w:rtl/>
        </w:rPr>
        <w:t>ביצוע</w:t>
      </w:r>
      <w:r>
        <w:t xml:space="preserve"> </w:t>
      </w:r>
      <w:r>
        <w:rPr>
          <w:rtl/>
        </w:rPr>
        <w:t>עבירות</w:t>
      </w:r>
      <w:r>
        <w:t xml:space="preserve"> </w:t>
      </w:r>
      <w:r>
        <w:rPr>
          <w:rtl/>
        </w:rPr>
        <w:t>נלוות</w:t>
      </w:r>
      <w:r>
        <w:t xml:space="preserve"> </w:t>
      </w:r>
      <w:r>
        <w:rPr>
          <w:rtl/>
        </w:rPr>
        <w:t>על</w:t>
      </w:r>
      <w:r>
        <w:t xml:space="preserve"> </w:t>
      </w:r>
      <w:r>
        <w:rPr>
          <w:rtl/>
        </w:rPr>
        <w:t>ידי</w:t>
      </w:r>
      <w:r>
        <w:t xml:space="preserve"> </w:t>
      </w:r>
      <w:r>
        <w:rPr>
          <w:rtl/>
        </w:rPr>
        <w:t>המשתמשים</w:t>
      </w:r>
      <w:r>
        <w:t xml:space="preserve"> </w:t>
      </w:r>
      <w:r>
        <w:rPr>
          <w:rtl/>
        </w:rPr>
        <w:t>בסמים</w:t>
      </w:r>
      <w:r>
        <w:t xml:space="preserve"> </w:t>
      </w:r>
      <w:r>
        <w:rPr>
          <w:rtl/>
        </w:rPr>
        <w:t>כדי</w:t>
      </w:r>
      <w:r>
        <w:t xml:space="preserve"> </w:t>
      </w:r>
      <w:r>
        <w:rPr>
          <w:rtl/>
        </w:rPr>
        <w:t>לממן</w:t>
      </w:r>
      <w:r>
        <w:t xml:space="preserve"> </w:t>
      </w:r>
      <w:r>
        <w:rPr>
          <w:rtl/>
        </w:rPr>
        <w:t>את</w:t>
      </w:r>
      <w:r>
        <w:t xml:space="preserve"> </w:t>
      </w:r>
      <w:r>
        <w:rPr>
          <w:rtl/>
        </w:rPr>
        <w:t>צריכת</w:t>
      </w:r>
      <w:r>
        <w:t xml:space="preserve"> </w:t>
      </w:r>
      <w:r>
        <w:rPr>
          <w:rtl/>
        </w:rPr>
        <w:t>הסם</w:t>
      </w:r>
      <w:r>
        <w:rPr>
          <w:rFonts w:hint="cs"/>
          <w:rtl/>
        </w:rPr>
        <w:t xml:space="preserve">. </w:t>
      </w:r>
      <w:r>
        <w:rPr>
          <w:rtl/>
        </w:rPr>
        <w:t>השימוש</w:t>
      </w:r>
      <w:r>
        <w:t xml:space="preserve"> </w:t>
      </w:r>
      <w:r>
        <w:rPr>
          <w:rtl/>
        </w:rPr>
        <w:t>בסמים</w:t>
      </w:r>
      <w:r>
        <w:t xml:space="preserve"> </w:t>
      </w:r>
      <w:r>
        <w:rPr>
          <w:rtl/>
        </w:rPr>
        <w:t>אינו</w:t>
      </w:r>
      <w:r>
        <w:t xml:space="preserve"> </w:t>
      </w:r>
      <w:r>
        <w:rPr>
          <w:rtl/>
        </w:rPr>
        <w:t>פוגע</w:t>
      </w:r>
      <w:r>
        <w:t xml:space="preserve"> </w:t>
      </w:r>
      <w:r>
        <w:rPr>
          <w:rtl/>
        </w:rPr>
        <w:t>רק</w:t>
      </w:r>
      <w:r>
        <w:t xml:space="preserve"> </w:t>
      </w:r>
      <w:r>
        <w:rPr>
          <w:rtl/>
        </w:rPr>
        <w:t>פגיעה</w:t>
      </w:r>
      <w:r>
        <w:t xml:space="preserve"> </w:t>
      </w:r>
      <w:r>
        <w:rPr>
          <w:rtl/>
        </w:rPr>
        <w:t>פיזית</w:t>
      </w:r>
      <w:r>
        <w:t xml:space="preserve"> </w:t>
      </w:r>
      <w:r>
        <w:rPr>
          <w:rtl/>
        </w:rPr>
        <w:t>ונפשית</w:t>
      </w:r>
      <w:r>
        <w:t xml:space="preserve"> </w:t>
      </w:r>
      <w:r>
        <w:rPr>
          <w:rtl/>
        </w:rPr>
        <w:t>במשתמש</w:t>
      </w:r>
      <w:r>
        <w:t xml:space="preserve"> </w:t>
      </w:r>
      <w:r>
        <w:rPr>
          <w:rtl/>
        </w:rPr>
        <w:t>עצמו</w:t>
      </w:r>
      <w:r>
        <w:rPr>
          <w:rFonts w:hint="cs"/>
          <w:rtl/>
        </w:rPr>
        <w:t xml:space="preserve">, </w:t>
      </w:r>
      <w:r>
        <w:rPr>
          <w:rtl/>
        </w:rPr>
        <w:t>אלא</w:t>
      </w:r>
      <w:r>
        <w:t xml:space="preserve"> </w:t>
      </w:r>
      <w:r>
        <w:rPr>
          <w:rtl/>
        </w:rPr>
        <w:t>יש</w:t>
      </w:r>
      <w:r>
        <w:t xml:space="preserve"> </w:t>
      </w:r>
      <w:r>
        <w:rPr>
          <w:rtl/>
        </w:rPr>
        <w:t>לו</w:t>
      </w:r>
      <w:r>
        <w:t xml:space="preserve"> </w:t>
      </w:r>
      <w:r>
        <w:rPr>
          <w:rtl/>
        </w:rPr>
        <w:t>השלכות</w:t>
      </w:r>
      <w:r>
        <w:t xml:space="preserve"> </w:t>
      </w:r>
      <w:r>
        <w:rPr>
          <w:rtl/>
        </w:rPr>
        <w:t>פוגע</w:t>
      </w:r>
      <w:r>
        <w:rPr>
          <w:rFonts w:hint="cs"/>
          <w:rtl/>
        </w:rPr>
        <w:t>ניו</w:t>
      </w:r>
      <w:r>
        <w:rPr>
          <w:rtl/>
        </w:rPr>
        <w:t>ת</w:t>
      </w:r>
      <w:r>
        <w:t xml:space="preserve"> </w:t>
      </w:r>
      <w:r>
        <w:rPr>
          <w:rtl/>
        </w:rPr>
        <w:t>גם</w:t>
      </w:r>
      <w:r>
        <w:t xml:space="preserve"> </w:t>
      </w:r>
      <w:r>
        <w:rPr>
          <w:rtl/>
        </w:rPr>
        <w:t>על</w:t>
      </w:r>
      <w:r>
        <w:t xml:space="preserve"> </w:t>
      </w:r>
      <w:r>
        <w:rPr>
          <w:rtl/>
        </w:rPr>
        <w:t>בני</w:t>
      </w:r>
      <w:r>
        <w:t xml:space="preserve"> </w:t>
      </w:r>
      <w:r>
        <w:rPr>
          <w:rtl/>
        </w:rPr>
        <w:t>משפחותיהם</w:t>
      </w:r>
      <w:r>
        <w:t xml:space="preserve"> </w:t>
      </w:r>
      <w:r>
        <w:rPr>
          <w:rtl/>
        </w:rPr>
        <w:t>של</w:t>
      </w:r>
      <w:r>
        <w:t xml:space="preserve"> </w:t>
      </w:r>
      <w:r>
        <w:rPr>
          <w:rtl/>
        </w:rPr>
        <w:t>המשתמשים</w:t>
      </w:r>
      <w:r>
        <w:rPr>
          <w:rFonts w:hint="cs"/>
          <w:rtl/>
        </w:rPr>
        <w:t xml:space="preserve">, </w:t>
      </w:r>
      <w:r>
        <w:rPr>
          <w:rtl/>
        </w:rPr>
        <w:t>על</w:t>
      </w:r>
      <w:r>
        <w:t xml:space="preserve"> </w:t>
      </w:r>
      <w:r>
        <w:rPr>
          <w:rtl/>
        </w:rPr>
        <w:t>סביבתם</w:t>
      </w:r>
      <w:r>
        <w:t xml:space="preserve"> </w:t>
      </w:r>
      <w:r>
        <w:rPr>
          <w:rtl/>
        </w:rPr>
        <w:t>הקרובה</w:t>
      </w:r>
      <w:r>
        <w:t xml:space="preserve"> </w:t>
      </w:r>
      <w:r>
        <w:rPr>
          <w:rtl/>
        </w:rPr>
        <w:t>ולבסוף</w:t>
      </w:r>
      <w:r>
        <w:t xml:space="preserve"> </w:t>
      </w:r>
      <w:r>
        <w:rPr>
          <w:rtl/>
        </w:rPr>
        <w:t>יש</w:t>
      </w:r>
      <w:r>
        <w:t xml:space="preserve"> </w:t>
      </w:r>
      <w:r>
        <w:rPr>
          <w:rtl/>
        </w:rPr>
        <w:t>בו</w:t>
      </w:r>
      <w:r>
        <w:t xml:space="preserve"> </w:t>
      </w:r>
      <w:r>
        <w:rPr>
          <w:rtl/>
        </w:rPr>
        <w:t>פגיעה</w:t>
      </w:r>
      <w:r>
        <w:t xml:space="preserve"> </w:t>
      </w:r>
      <w:r>
        <w:rPr>
          <w:rtl/>
        </w:rPr>
        <w:t>אף</w:t>
      </w:r>
      <w:r>
        <w:t xml:space="preserve"> </w:t>
      </w:r>
      <w:r>
        <w:rPr>
          <w:rtl/>
        </w:rPr>
        <w:t>בחברה</w:t>
      </w:r>
      <w:r>
        <w:t xml:space="preserve"> </w:t>
      </w:r>
      <w:r>
        <w:rPr>
          <w:rtl/>
        </w:rPr>
        <w:t>כולה</w:t>
      </w:r>
      <w:r>
        <w:rPr>
          <w:rFonts w:hint="cs"/>
          <w:rtl/>
        </w:rPr>
        <w:t xml:space="preserve">. לעיתים קרובות המשתמשים בסמים ממשיכים לנהל שגרת חיים מתפקדת לצד השימוש, ובכלל זאת לבצע פעולות שהן מסוכנות מטבען, כגון נהיגה או הפעלת ציוד מכני כבד, תחת השפעת סמים, ובכך הם מסכנים את כל סביבתם. </w:t>
      </w:r>
    </w:p>
    <w:p w14:paraId="4078B042" w14:textId="77777777" w:rsidR="0024300A" w:rsidRDefault="0024300A" w:rsidP="0024300A">
      <w:pPr>
        <w:pStyle w:val="ListParagraph1"/>
        <w:spacing w:line="360" w:lineRule="auto"/>
        <w:jc w:val="both"/>
      </w:pPr>
    </w:p>
    <w:p w14:paraId="710EA439" w14:textId="77777777" w:rsidR="0024300A" w:rsidRDefault="0024300A" w:rsidP="0024300A">
      <w:pPr>
        <w:pStyle w:val="ListParagraph1"/>
        <w:numPr>
          <w:ilvl w:val="0"/>
          <w:numId w:val="1"/>
        </w:numPr>
        <w:spacing w:line="360" w:lineRule="auto"/>
        <w:jc w:val="both"/>
      </w:pPr>
      <w:r>
        <w:rPr>
          <w:rFonts w:hint="cs"/>
          <w:rtl/>
        </w:rPr>
        <w:t xml:space="preserve">כל עבירות הסמים שביצע הנאשם בוצעו בסם מסוג חשיש, </w:t>
      </w:r>
      <w:r>
        <w:t xml:space="preserve"> </w:t>
      </w:r>
      <w:r>
        <w:rPr>
          <w:rtl/>
        </w:rPr>
        <w:t>שאינו</w:t>
      </w:r>
      <w:r>
        <w:t xml:space="preserve"> </w:t>
      </w:r>
      <w:r>
        <w:rPr>
          <w:rtl/>
        </w:rPr>
        <w:t>נמנה</w:t>
      </w:r>
      <w:r>
        <w:t xml:space="preserve"> </w:t>
      </w:r>
      <w:r>
        <w:rPr>
          <w:rtl/>
        </w:rPr>
        <w:t>על</w:t>
      </w:r>
      <w:r>
        <w:t xml:space="preserve"> </w:t>
      </w:r>
      <w:r>
        <w:rPr>
          <w:rtl/>
        </w:rPr>
        <w:t>קבוצת</w:t>
      </w:r>
      <w:r>
        <w:t xml:space="preserve"> </w:t>
      </w:r>
      <w:r>
        <w:rPr>
          <w:rtl/>
        </w:rPr>
        <w:t>הסמים</w:t>
      </w:r>
      <w:r>
        <w:t xml:space="preserve"> </w:t>
      </w:r>
      <w:r>
        <w:rPr>
          <w:rFonts w:hint="cs"/>
          <w:rtl/>
        </w:rPr>
        <w:t>הנחשבים ל"</w:t>
      </w:r>
      <w:r>
        <w:rPr>
          <w:rtl/>
        </w:rPr>
        <w:t>קשים</w:t>
      </w:r>
      <w:r>
        <w:rPr>
          <w:rFonts w:hint="cs"/>
          <w:rtl/>
        </w:rPr>
        <w:t xml:space="preserve">". הנאשם סייע פעמים למכירה של כמויות קטנות, כפי שמתואר באישום הראשון, ובשתי הזדמנויות נוספות מכר כמויות בינוניות, כ- 23 גרם באירוע השני וכ- 34 גרם באירוע השלישי. </w:t>
      </w:r>
    </w:p>
    <w:p w14:paraId="59BF0D26" w14:textId="77777777" w:rsidR="0024300A" w:rsidRDefault="0024300A" w:rsidP="0024300A">
      <w:pPr>
        <w:pStyle w:val="ListParagraph1"/>
        <w:spacing w:line="360" w:lineRule="auto"/>
        <w:jc w:val="both"/>
      </w:pPr>
    </w:p>
    <w:p w14:paraId="1168611F" w14:textId="77777777" w:rsidR="0024300A" w:rsidRDefault="0024300A" w:rsidP="0024300A">
      <w:pPr>
        <w:pStyle w:val="ListParagraph1"/>
        <w:numPr>
          <w:ilvl w:val="0"/>
          <w:numId w:val="1"/>
        </w:numPr>
        <w:spacing w:line="360" w:lineRule="auto"/>
        <w:jc w:val="both"/>
      </w:pPr>
      <w:r>
        <w:rPr>
          <w:rFonts w:hint="cs"/>
          <w:rtl/>
        </w:rPr>
        <w:t>העבירות בוצעו על ידי הנאשם בצורה מתוכננת, לאחר תיאום מראש עם הסוכנת, וביחס לאירוע מושא האישום הראשון, גם יחד עם אדם נוסף.</w:t>
      </w:r>
    </w:p>
    <w:p w14:paraId="6C628E78" w14:textId="77777777" w:rsidR="0024300A" w:rsidRDefault="0024300A" w:rsidP="0024300A">
      <w:pPr>
        <w:pStyle w:val="ListParagraph1"/>
        <w:spacing w:line="360" w:lineRule="auto"/>
        <w:jc w:val="both"/>
      </w:pPr>
    </w:p>
    <w:p w14:paraId="1C0071E1" w14:textId="77777777" w:rsidR="0024300A" w:rsidRDefault="0024300A" w:rsidP="0024300A">
      <w:pPr>
        <w:pStyle w:val="ListParagraph1"/>
        <w:numPr>
          <w:ilvl w:val="0"/>
          <w:numId w:val="1"/>
        </w:numPr>
        <w:spacing w:line="360" w:lineRule="auto"/>
        <w:jc w:val="both"/>
      </w:pPr>
      <w:r>
        <w:rPr>
          <w:rFonts w:hint="cs"/>
          <w:rtl/>
        </w:rPr>
        <w:t xml:space="preserve">שקלתי את העובדה כי באירוע מושא האישום הראשון בוצעה עבירת הסיוע בשתי הזדמנויות שונות. </w:t>
      </w:r>
    </w:p>
    <w:p w14:paraId="581D87F3" w14:textId="77777777" w:rsidR="0024300A" w:rsidRPr="00EF4B87" w:rsidRDefault="0024300A" w:rsidP="0024300A">
      <w:pPr>
        <w:pStyle w:val="ListParagraph1"/>
        <w:spacing w:line="360" w:lineRule="auto"/>
        <w:jc w:val="both"/>
      </w:pPr>
    </w:p>
    <w:p w14:paraId="7FF54C7E" w14:textId="77777777" w:rsidR="0024300A" w:rsidRDefault="0024300A" w:rsidP="0024300A">
      <w:pPr>
        <w:pStyle w:val="ListParagraph1"/>
        <w:numPr>
          <w:ilvl w:val="0"/>
          <w:numId w:val="1"/>
        </w:numPr>
        <w:spacing w:line="360" w:lineRule="auto"/>
        <w:jc w:val="both"/>
      </w:pPr>
      <w:r>
        <w:rPr>
          <w:rFonts w:hint="cs"/>
          <w:rtl/>
        </w:rPr>
        <w:t xml:space="preserve">למרבה המזל בעניינו של הנאשם הסמים לא הופצו לציבור אלא הגיעו בסופו של דבר לידי משטרת ישראל. </w:t>
      </w:r>
    </w:p>
    <w:p w14:paraId="0084681A" w14:textId="77777777" w:rsidR="0024300A" w:rsidRPr="00927AA7" w:rsidRDefault="0024300A" w:rsidP="0024300A">
      <w:pPr>
        <w:pStyle w:val="ListParagraph1"/>
        <w:spacing w:line="360" w:lineRule="auto"/>
        <w:jc w:val="both"/>
      </w:pPr>
    </w:p>
    <w:p w14:paraId="729A5754" w14:textId="77777777" w:rsidR="0024300A" w:rsidRDefault="0024300A" w:rsidP="0024300A">
      <w:pPr>
        <w:pStyle w:val="ListParagraph1"/>
        <w:numPr>
          <w:ilvl w:val="0"/>
          <w:numId w:val="1"/>
        </w:numPr>
        <w:spacing w:line="360" w:lineRule="auto"/>
        <w:jc w:val="both"/>
      </w:pPr>
      <w:r>
        <w:rPr>
          <w:rFonts w:hint="cs"/>
          <w:rtl/>
        </w:rPr>
        <w:t xml:space="preserve">בחינת רמת הענישה הנוהגת בעבירות של סחר בסם מלמדת על ענישה הכוללת, בדרך כלל, רכיב מוחשי של מאסר בפועל, לצד רכיבי ענישה נלווים. ראו למשל </w:t>
      </w:r>
      <w:hyperlink r:id="rId8" w:history="1">
        <w:r w:rsidR="00991EE2" w:rsidRPr="00991EE2">
          <w:rPr>
            <w:color w:val="0000FF"/>
            <w:u w:val="single"/>
            <w:rtl/>
          </w:rPr>
          <w:t>רע"פ 1271/13</w:t>
        </w:r>
      </w:hyperlink>
      <w:r>
        <w:rPr>
          <w:rFonts w:hint="cs"/>
          <w:rtl/>
        </w:rPr>
        <w:t xml:space="preserve"> </w:t>
      </w:r>
      <w:r w:rsidRPr="00DE200D">
        <w:rPr>
          <w:rFonts w:hint="cs"/>
          <w:b/>
          <w:bCs/>
          <w:rtl/>
        </w:rPr>
        <w:t>סויסה נ' מדינת ישראל</w:t>
      </w:r>
      <w:r>
        <w:rPr>
          <w:rFonts w:hint="cs"/>
          <w:rtl/>
        </w:rPr>
        <w:t xml:space="preserve"> (פורסם בנבו 7.3.13)</w:t>
      </w:r>
      <w:r w:rsidRPr="00900FAD">
        <w:rPr>
          <w:rFonts w:hint="cs"/>
          <w:rtl/>
        </w:rPr>
        <w:t xml:space="preserve">; </w:t>
      </w:r>
      <w:hyperlink r:id="rId9" w:history="1">
        <w:r w:rsidR="00991EE2" w:rsidRPr="00991EE2">
          <w:rPr>
            <w:color w:val="0000FF"/>
            <w:u w:val="single"/>
            <w:rtl/>
          </w:rPr>
          <w:t>רע"פ7996/12</w:t>
        </w:r>
      </w:hyperlink>
      <w:r>
        <w:rPr>
          <w:rFonts w:hint="cs"/>
          <w:rtl/>
        </w:rPr>
        <w:t xml:space="preserve"> </w:t>
      </w:r>
      <w:r w:rsidRPr="00DE200D">
        <w:rPr>
          <w:rFonts w:hint="cs"/>
          <w:b/>
          <w:bCs/>
          <w:rtl/>
        </w:rPr>
        <w:t xml:space="preserve">יוסף נ' מדינת ישראל </w:t>
      </w:r>
      <w:r>
        <w:rPr>
          <w:rFonts w:hint="cs"/>
          <w:rtl/>
        </w:rPr>
        <w:t>(פורסם בנבו 23.1.13)</w:t>
      </w:r>
      <w:r w:rsidRPr="008D2151">
        <w:rPr>
          <w:rFonts w:hint="cs"/>
          <w:rtl/>
        </w:rPr>
        <w:t xml:space="preserve">; </w:t>
      </w:r>
      <w:hyperlink r:id="rId10" w:history="1">
        <w:r w:rsidR="00991EE2" w:rsidRPr="00991EE2">
          <w:rPr>
            <w:color w:val="0000FF"/>
            <w:u w:val="single"/>
            <w:rtl/>
            <w:lang w:eastAsia="he-IL"/>
          </w:rPr>
          <w:t>ע"פ (חיפה) 7319-08-12</w:t>
        </w:r>
      </w:hyperlink>
      <w:r w:rsidRPr="00DE200D">
        <w:rPr>
          <w:rFonts w:ascii="David" w:hAnsi="David"/>
          <w:rtl/>
          <w:lang w:eastAsia="he-IL"/>
        </w:rPr>
        <w:t xml:space="preserve"> </w:t>
      </w:r>
      <w:r w:rsidRPr="00DE200D">
        <w:rPr>
          <w:rFonts w:ascii="David" w:hAnsi="David"/>
          <w:b/>
          <w:bCs/>
          <w:rtl/>
          <w:lang w:eastAsia="he-IL"/>
        </w:rPr>
        <w:t>סבח נ' מדינת ישראל</w:t>
      </w:r>
      <w:r w:rsidRPr="00DE200D">
        <w:rPr>
          <w:rFonts w:ascii="David" w:hAnsi="David"/>
          <w:rtl/>
          <w:lang w:eastAsia="he-IL"/>
        </w:rPr>
        <w:t xml:space="preserve"> (25.10.12)</w:t>
      </w:r>
      <w:r w:rsidRPr="00DE200D">
        <w:rPr>
          <w:rFonts w:ascii="David" w:hAnsi="David" w:hint="cs"/>
          <w:rtl/>
          <w:lang w:eastAsia="he-IL"/>
        </w:rPr>
        <w:t xml:space="preserve">; </w:t>
      </w:r>
      <w:hyperlink r:id="rId11" w:history="1">
        <w:r w:rsidR="00991EE2" w:rsidRPr="00991EE2">
          <w:rPr>
            <w:color w:val="0000FF"/>
            <w:u w:val="single"/>
            <w:rtl/>
          </w:rPr>
          <w:t>ת"פ (שלום י- ם)   29832-08-15</w:t>
        </w:r>
      </w:hyperlink>
      <w:r>
        <w:rPr>
          <w:rFonts w:hint="cs"/>
          <w:rtl/>
        </w:rPr>
        <w:t xml:space="preserve"> </w:t>
      </w:r>
      <w:r w:rsidRPr="00DE200D">
        <w:rPr>
          <w:rFonts w:hint="cs"/>
          <w:b/>
          <w:bCs/>
          <w:rtl/>
        </w:rPr>
        <w:t xml:space="preserve">מדינת ישראל נ' חמד סוליימה </w:t>
      </w:r>
      <w:r>
        <w:rPr>
          <w:rFonts w:hint="cs"/>
          <w:rtl/>
        </w:rPr>
        <w:t xml:space="preserve">(פורסם בנבו 5.12.16) והפסיקה הנזכרת שם. </w:t>
      </w:r>
    </w:p>
    <w:p w14:paraId="26151FF7" w14:textId="77777777" w:rsidR="0024300A" w:rsidRDefault="0024300A" w:rsidP="0024300A">
      <w:pPr>
        <w:pStyle w:val="ListParagraph1"/>
        <w:spacing w:line="360" w:lineRule="auto"/>
        <w:jc w:val="both"/>
      </w:pPr>
    </w:p>
    <w:p w14:paraId="1377FBB5" w14:textId="77777777" w:rsidR="0024300A" w:rsidRDefault="0024300A" w:rsidP="0024300A">
      <w:pPr>
        <w:pStyle w:val="ListParagraph1"/>
        <w:numPr>
          <w:ilvl w:val="0"/>
          <w:numId w:val="1"/>
        </w:numPr>
        <w:spacing w:line="360" w:lineRule="auto"/>
        <w:jc w:val="both"/>
      </w:pPr>
      <w:r>
        <w:rPr>
          <w:rFonts w:hint="cs"/>
          <w:rtl/>
        </w:rPr>
        <w:t xml:space="preserve">למרבה הצער, איש מן הצדדים לא מצא לנכון להגיש את גזר הדין של המבצעת העיקרית באישום הראשון, שלה סייע הנאשם, הגם שהעונש שנגזר עליה הוא שיקול רלבנטי בין יתר שיקולי הענישה. </w:t>
      </w:r>
    </w:p>
    <w:p w14:paraId="7D001256" w14:textId="77777777" w:rsidR="0024300A" w:rsidRDefault="0024300A" w:rsidP="0024300A">
      <w:pPr>
        <w:pStyle w:val="ListParagraph1"/>
        <w:spacing w:line="360" w:lineRule="auto"/>
        <w:jc w:val="both"/>
      </w:pPr>
    </w:p>
    <w:p w14:paraId="06CC674E" w14:textId="77777777" w:rsidR="0024300A" w:rsidRPr="00326014" w:rsidRDefault="0024300A" w:rsidP="0024300A">
      <w:pPr>
        <w:pStyle w:val="ListParagraph1"/>
        <w:numPr>
          <w:ilvl w:val="0"/>
          <w:numId w:val="1"/>
        </w:numPr>
        <w:spacing w:line="360" w:lineRule="auto"/>
        <w:jc w:val="both"/>
      </w:pPr>
      <w:r>
        <w:rPr>
          <w:rFonts w:hint="cs"/>
          <w:rtl/>
        </w:rPr>
        <w:t xml:space="preserve">לנוכח האמור לעיל, מתחם העונש ההולם את מעשיו של הנאשם באירוע מושא האישום הראשון נע בין מאסר בעבודות שירות לשבעה חודשי מאסר בפועל ולצדם מאסר מותנה, קנס, ובמקרים המתאימים גם פסילה מלקבל או להחזיק רישיון נהיגה. מתחם העונש ההולם את מעשיו של הנאשם באירועים מושא האישומים השני והשלישי, בהם כמות הסמים שנמכרה הייתה גדולה יותר, נע בין שישה לשישה- עשר חודשי מאסר בפועל ולצדם אותם רכיבי עונש נלווים. </w:t>
      </w:r>
    </w:p>
    <w:p w14:paraId="6AA3CAC3" w14:textId="77777777" w:rsidR="0024300A" w:rsidRDefault="0024300A" w:rsidP="0024300A">
      <w:pPr>
        <w:spacing w:line="360" w:lineRule="auto"/>
        <w:jc w:val="both"/>
        <w:rPr>
          <w:rFonts w:ascii="David" w:hAnsi="David"/>
          <w:b/>
          <w:bCs/>
          <w:u w:val="single"/>
          <w:rtl/>
          <w:lang w:eastAsia="he-IL"/>
        </w:rPr>
      </w:pPr>
    </w:p>
    <w:p w14:paraId="28A69A38" w14:textId="77777777" w:rsidR="0024300A" w:rsidRDefault="0024300A" w:rsidP="0024300A">
      <w:pPr>
        <w:spacing w:line="360" w:lineRule="auto"/>
        <w:jc w:val="both"/>
        <w:rPr>
          <w:rFonts w:ascii="David" w:hAnsi="David"/>
          <w:b/>
          <w:bCs/>
          <w:u w:val="single"/>
          <w:rtl/>
          <w:lang w:eastAsia="he-IL"/>
        </w:rPr>
      </w:pPr>
    </w:p>
    <w:p w14:paraId="1A772818" w14:textId="77777777" w:rsidR="0024300A" w:rsidRPr="00326014" w:rsidRDefault="0024300A" w:rsidP="0024300A">
      <w:pPr>
        <w:spacing w:line="360" w:lineRule="auto"/>
        <w:jc w:val="both"/>
        <w:rPr>
          <w:b/>
          <w:bCs/>
          <w:u w:val="single"/>
        </w:rPr>
      </w:pPr>
      <w:r w:rsidRPr="00326014">
        <w:rPr>
          <w:rFonts w:ascii="David" w:hAnsi="David" w:hint="cs"/>
          <w:b/>
          <w:bCs/>
          <w:u w:val="single"/>
          <w:rtl/>
          <w:lang w:eastAsia="he-IL"/>
        </w:rPr>
        <w:t>העונש המת</w:t>
      </w:r>
      <w:r>
        <w:rPr>
          <w:rFonts w:ascii="David" w:hAnsi="David" w:hint="cs"/>
          <w:b/>
          <w:bCs/>
          <w:u w:val="single"/>
          <w:rtl/>
          <w:lang w:eastAsia="he-IL"/>
        </w:rPr>
        <w:t>א</w:t>
      </w:r>
      <w:r w:rsidRPr="00326014">
        <w:rPr>
          <w:rFonts w:ascii="David" w:hAnsi="David" w:hint="cs"/>
          <w:b/>
          <w:bCs/>
          <w:u w:val="single"/>
          <w:rtl/>
          <w:lang w:eastAsia="he-IL"/>
        </w:rPr>
        <w:t>ים לנאשם</w:t>
      </w:r>
    </w:p>
    <w:p w14:paraId="6849DAB6" w14:textId="77777777" w:rsidR="0024300A" w:rsidRDefault="0024300A" w:rsidP="0024300A">
      <w:pPr>
        <w:pStyle w:val="ListParagraph1"/>
        <w:numPr>
          <w:ilvl w:val="0"/>
          <w:numId w:val="1"/>
        </w:numPr>
        <w:spacing w:line="360" w:lineRule="auto"/>
        <w:jc w:val="both"/>
      </w:pPr>
      <w:r>
        <w:rPr>
          <w:rFonts w:ascii="David" w:hAnsi="David" w:hint="cs"/>
          <w:rtl/>
          <w:lang w:eastAsia="he-IL"/>
        </w:rPr>
        <w:t xml:space="preserve">הנאשם בן 32 ושקלתי לזכותו את העובדה שאין לו הרשעות קודמות. </w:t>
      </w:r>
    </w:p>
    <w:p w14:paraId="74586895" w14:textId="77777777" w:rsidR="0024300A" w:rsidRPr="007458E2" w:rsidRDefault="0024300A" w:rsidP="0024300A">
      <w:pPr>
        <w:pStyle w:val="ListParagraph1"/>
        <w:spacing w:line="360" w:lineRule="auto"/>
        <w:jc w:val="both"/>
      </w:pPr>
    </w:p>
    <w:p w14:paraId="7EB10E9E" w14:textId="77777777" w:rsidR="0024300A" w:rsidRPr="007458E2" w:rsidRDefault="0024300A" w:rsidP="0024300A">
      <w:pPr>
        <w:pStyle w:val="ListParagraph1"/>
        <w:numPr>
          <w:ilvl w:val="0"/>
          <w:numId w:val="1"/>
        </w:numPr>
        <w:spacing w:line="360" w:lineRule="auto"/>
        <w:jc w:val="both"/>
      </w:pPr>
      <w:r>
        <w:rPr>
          <w:rFonts w:ascii="David" w:hAnsi="David" w:hint="cs"/>
          <w:rtl/>
          <w:lang w:eastAsia="he-IL"/>
        </w:rPr>
        <w:t xml:space="preserve">שקלתי לזכות הנאשם גם את הודאתו, אשר נמסרה במועד שנקבע לשמיעת הראיות. במצב דברים זה, החיסכון בזמן השיפוטי שהביאה עמה ההודאה אינו בעל משקל ממשי, ואולם כפי שעולה מתוך תסקיר המבחן ומדבריו של הנאשם לפני, הנאשם מקבל אחריות מלאה על מעשיו, מכיר בפסול שבהם ומבין את חומרתם. עובדות אלה מקטינות את הסיכון שהנאשם, המביע רצון עז לנהל אורח חיים נורמטיבי, יחזור לסורו. </w:t>
      </w:r>
    </w:p>
    <w:p w14:paraId="698AB237" w14:textId="77777777" w:rsidR="0024300A" w:rsidRPr="007458E2" w:rsidRDefault="0024300A" w:rsidP="0024300A">
      <w:pPr>
        <w:pStyle w:val="ListParagraph1"/>
        <w:spacing w:line="360" w:lineRule="auto"/>
        <w:jc w:val="both"/>
      </w:pPr>
    </w:p>
    <w:p w14:paraId="08E3DAB3" w14:textId="77777777" w:rsidR="0024300A" w:rsidRPr="00524E98" w:rsidRDefault="0024300A" w:rsidP="0024300A">
      <w:pPr>
        <w:pStyle w:val="ListParagraph1"/>
        <w:numPr>
          <w:ilvl w:val="0"/>
          <w:numId w:val="1"/>
        </w:numPr>
        <w:spacing w:line="360" w:lineRule="auto"/>
        <w:jc w:val="both"/>
      </w:pPr>
      <w:r>
        <w:rPr>
          <w:rFonts w:ascii="David" w:hAnsi="David" w:hint="cs"/>
          <w:rtl/>
          <w:lang w:eastAsia="he-IL"/>
        </w:rPr>
        <w:t xml:space="preserve">הנאשם שהה במעצר למעלה מחודש ימים, מיום 24.2.17 ועד יום 27.3.17, ולאחר מכן, במשך תקופה ארוכה, נתון במעצר בית. ניתן להניח, כי בשל הלקות ממנה סובל הנאשם, השהות במעצר קשה עבורו במידה רבה יותר ביחס לאדם רואה. כפי שניתן ללמוד מתוך תסקיר המבחן, המעצר היווה עבור הנאשם גורם משברי ומטלטל, שהוביל אותו להתבוננות פנימית ולתובנות בדבר הצורך בשיקום. ניתן לומר אף כי שהותו של הנאשם במעצר היו לה גם היבטים עונשים. </w:t>
      </w:r>
    </w:p>
    <w:p w14:paraId="2849BC07" w14:textId="77777777" w:rsidR="0024300A" w:rsidRPr="000E0146" w:rsidRDefault="0024300A" w:rsidP="0024300A">
      <w:pPr>
        <w:pStyle w:val="ListParagraph1"/>
        <w:spacing w:line="360" w:lineRule="auto"/>
        <w:jc w:val="both"/>
      </w:pPr>
    </w:p>
    <w:p w14:paraId="2FBF1875" w14:textId="77777777" w:rsidR="0024300A" w:rsidRDefault="0024300A" w:rsidP="0024300A">
      <w:pPr>
        <w:pStyle w:val="ListParagraph1"/>
        <w:numPr>
          <w:ilvl w:val="0"/>
          <w:numId w:val="1"/>
        </w:numPr>
        <w:spacing w:line="360" w:lineRule="auto"/>
        <w:jc w:val="both"/>
      </w:pPr>
      <w:r>
        <w:rPr>
          <w:rFonts w:ascii="David" w:hAnsi="David" w:hint="cs"/>
          <w:rtl/>
          <w:lang w:eastAsia="he-IL"/>
        </w:rPr>
        <w:t xml:space="preserve">שירות המבחן תיאר כי לאחר שחרורו של הנאשם ממעצר הוא החל להסתייע בגורמים טיפוליים, הפסיק את השימוש בסמים והביע רצון עז ומוטיבציה לשנות את דרכיו ולחזור למוטב, ואף החל לצעוד בדרך זו. </w:t>
      </w:r>
      <w:r>
        <w:rPr>
          <w:rFonts w:hint="cs"/>
          <w:rtl/>
        </w:rPr>
        <w:t xml:space="preserve">עובדות אלה מקימות סיכוי של ממש שהנאשם ישתקם.  התרשמתי, מתוך האמור בתסקיר ומתוך דברי אביו של הנאשם, כי לנאשם רשת תמיכה הכוללת לא רק את גורמי הטיפול אלא גם את משפחתו, וזו מגבירה את הסיכוי להצלחתו של הליך השיקום. </w:t>
      </w:r>
    </w:p>
    <w:p w14:paraId="511A1805" w14:textId="77777777" w:rsidR="0024300A" w:rsidRDefault="0024300A" w:rsidP="0024300A">
      <w:pPr>
        <w:pStyle w:val="ListParagraph1"/>
        <w:spacing w:line="360" w:lineRule="auto"/>
        <w:jc w:val="both"/>
      </w:pPr>
    </w:p>
    <w:p w14:paraId="711857A6" w14:textId="77777777" w:rsidR="0024300A" w:rsidRPr="00326014" w:rsidRDefault="0024300A" w:rsidP="0024300A">
      <w:pPr>
        <w:pStyle w:val="ListParagraph1"/>
        <w:numPr>
          <w:ilvl w:val="0"/>
          <w:numId w:val="1"/>
        </w:numPr>
        <w:spacing w:line="360" w:lineRule="auto"/>
        <w:jc w:val="both"/>
      </w:pPr>
      <w:r>
        <w:rPr>
          <w:rFonts w:hint="cs"/>
          <w:rtl/>
        </w:rPr>
        <w:t xml:space="preserve">אני סבורה שגזירת עונשו של הנאשם בתוך מתחם העונש ההולם עשויה לפגוע בהליך השיקום, ומשכך מצאתי לחרוג בעניינו של הנאשם לקולא ממתחם העונש ההולם. </w:t>
      </w:r>
    </w:p>
    <w:p w14:paraId="4DE7615B" w14:textId="77777777" w:rsidR="0024300A" w:rsidRPr="00326014" w:rsidRDefault="0024300A" w:rsidP="0024300A">
      <w:pPr>
        <w:pStyle w:val="ListParagraph1"/>
        <w:spacing w:line="360" w:lineRule="auto"/>
        <w:jc w:val="both"/>
      </w:pPr>
    </w:p>
    <w:p w14:paraId="408EC92F" w14:textId="77777777" w:rsidR="0024300A" w:rsidRPr="000D484E" w:rsidRDefault="0024300A" w:rsidP="0024300A">
      <w:pPr>
        <w:pStyle w:val="ListParagraph1"/>
        <w:numPr>
          <w:ilvl w:val="0"/>
          <w:numId w:val="1"/>
        </w:numPr>
        <w:spacing w:line="360" w:lineRule="auto"/>
        <w:jc w:val="both"/>
      </w:pPr>
      <w:r>
        <w:rPr>
          <w:rFonts w:hint="cs"/>
          <w:rtl/>
        </w:rPr>
        <w:t xml:space="preserve">בשולי הדברים אשוב ואציין כי עיוורנו של הנאשם הופך את שהותו בכלא לקשה מאוד, מעבר לקושי הרגיל שבכליאה. מובן כי עובדה זו, כשלעצמה, לא הייתה מצדיקה הימנעות מגזירת עונש מאסר בפועל גם על נאשם עיוור, ואולם במקרה דנן היא מצטרפת לשיקולי השיקום ומחזקת את המסקנה הנובעת מהם. </w:t>
      </w:r>
    </w:p>
    <w:p w14:paraId="40C8E3D8" w14:textId="77777777" w:rsidR="0024300A" w:rsidRPr="00524E98" w:rsidRDefault="0024300A" w:rsidP="0024300A">
      <w:pPr>
        <w:pStyle w:val="ListParagraph1"/>
        <w:spacing w:line="360" w:lineRule="auto"/>
        <w:jc w:val="both"/>
      </w:pPr>
    </w:p>
    <w:p w14:paraId="75D9B227" w14:textId="77777777" w:rsidR="0024300A" w:rsidRDefault="0024300A" w:rsidP="0024300A">
      <w:pPr>
        <w:pStyle w:val="ListParagraph1"/>
        <w:numPr>
          <w:ilvl w:val="0"/>
          <w:numId w:val="1"/>
        </w:numPr>
        <w:spacing w:line="360" w:lineRule="auto"/>
        <w:jc w:val="both"/>
      </w:pPr>
      <w:r>
        <w:rPr>
          <w:rFonts w:hint="cs"/>
          <w:rtl/>
        </w:rPr>
        <w:t xml:space="preserve">ככלל, מקום בו הורשע אדם בביצוע עבירת סמים, יש מקום לשקול רכיבי עונש הכוללים פסילה בפועל ועל תנאי מלקבל או להחזיק רישיון נהיגה. דא עקא שעל הטיעון לעונש להתאים לנסיבות המקרה, ובמקרה דנן תמוהה בקשת המאשימה לגזור על הנאשם רכיבי עונש אלה, שכן עיוורונו של הנאשם ממילא מונע ממנו לקבל רישיון נהיגה. </w:t>
      </w:r>
    </w:p>
    <w:p w14:paraId="3B947675" w14:textId="77777777" w:rsidR="0024300A" w:rsidRPr="00326014" w:rsidRDefault="0024300A" w:rsidP="0024300A">
      <w:pPr>
        <w:pStyle w:val="ListParagraph1"/>
        <w:spacing w:line="360" w:lineRule="auto"/>
        <w:jc w:val="both"/>
      </w:pPr>
    </w:p>
    <w:p w14:paraId="49913CBF" w14:textId="77777777" w:rsidR="0024300A" w:rsidRDefault="0024300A" w:rsidP="0024300A">
      <w:pPr>
        <w:pStyle w:val="ListParagraph1"/>
        <w:numPr>
          <w:ilvl w:val="0"/>
          <w:numId w:val="1"/>
        </w:numPr>
        <w:spacing w:line="360" w:lineRule="auto"/>
        <w:jc w:val="both"/>
      </w:pPr>
      <w:r>
        <w:rPr>
          <w:rFonts w:hint="cs"/>
          <w:rtl/>
        </w:rPr>
        <w:t xml:space="preserve">לנוכח האמור לעיל אני גוזרת על הנאשם את העונשים הבאים: </w:t>
      </w:r>
    </w:p>
    <w:p w14:paraId="63D447D9" w14:textId="77777777" w:rsidR="0024300A" w:rsidRDefault="0024300A" w:rsidP="0024300A">
      <w:pPr>
        <w:pStyle w:val="ListParagraph1"/>
        <w:spacing w:line="360" w:lineRule="auto"/>
        <w:jc w:val="both"/>
      </w:pPr>
      <w:r>
        <w:rPr>
          <w:rFonts w:hint="cs"/>
          <w:rtl/>
        </w:rPr>
        <w:t xml:space="preserve"> </w:t>
      </w:r>
    </w:p>
    <w:p w14:paraId="61D52F37" w14:textId="77777777" w:rsidR="0024300A" w:rsidRDefault="0024300A" w:rsidP="0024300A">
      <w:pPr>
        <w:pStyle w:val="ListParagraph1"/>
        <w:numPr>
          <w:ilvl w:val="0"/>
          <w:numId w:val="2"/>
        </w:numPr>
        <w:spacing w:line="360" w:lineRule="auto"/>
        <w:jc w:val="both"/>
      </w:pPr>
      <w:r>
        <w:rPr>
          <w:rFonts w:hint="cs"/>
          <w:rtl/>
        </w:rPr>
        <w:t xml:space="preserve">300 שעות שירות לתועלת הציבור בהתאם לתוכנית שתוגש על ידי שירות המבחן עד ליום 1.8.18. </w:t>
      </w:r>
    </w:p>
    <w:p w14:paraId="4A813396" w14:textId="77777777" w:rsidR="0024300A" w:rsidRDefault="0024300A" w:rsidP="0024300A">
      <w:pPr>
        <w:pStyle w:val="ListParagraph1"/>
        <w:spacing w:line="360" w:lineRule="auto"/>
        <w:ind w:left="1440"/>
        <w:jc w:val="both"/>
      </w:pPr>
    </w:p>
    <w:p w14:paraId="59A4DCD4" w14:textId="77777777" w:rsidR="0024300A" w:rsidRDefault="0024300A" w:rsidP="0024300A">
      <w:pPr>
        <w:pStyle w:val="ListParagraph1"/>
        <w:numPr>
          <w:ilvl w:val="0"/>
          <w:numId w:val="2"/>
        </w:numPr>
        <w:spacing w:line="360" w:lineRule="auto"/>
        <w:jc w:val="both"/>
      </w:pPr>
      <w:r>
        <w:rPr>
          <w:rFonts w:hint="cs"/>
          <w:rtl/>
        </w:rPr>
        <w:t xml:space="preserve">חמישה חודשי מאסר על תנאי על תנאי למשך שלוש שנים מהיום, שלא יעבור עבירה לפי </w:t>
      </w:r>
      <w:hyperlink r:id="rId12" w:history="1">
        <w:r w:rsidR="00991EE2" w:rsidRPr="00991EE2">
          <w:rPr>
            <w:color w:val="0000FF"/>
            <w:u w:val="single"/>
            <w:rtl/>
          </w:rPr>
          <w:t>פקודת הסמים המסוכנים</w:t>
        </w:r>
      </w:hyperlink>
      <w:r>
        <w:rPr>
          <w:rFonts w:hint="cs"/>
          <w:rtl/>
        </w:rPr>
        <w:t xml:space="preserve">, למעט החזקה לצריכה עצמית וכלים. </w:t>
      </w:r>
    </w:p>
    <w:p w14:paraId="24B89AF7" w14:textId="77777777" w:rsidR="0024300A" w:rsidRDefault="0024300A" w:rsidP="0024300A">
      <w:pPr>
        <w:pStyle w:val="ListParagraph1"/>
        <w:spacing w:line="360" w:lineRule="auto"/>
        <w:ind w:left="1440"/>
        <w:jc w:val="both"/>
      </w:pPr>
    </w:p>
    <w:p w14:paraId="591DC96D" w14:textId="77777777" w:rsidR="0024300A" w:rsidRDefault="0024300A" w:rsidP="0024300A">
      <w:pPr>
        <w:pStyle w:val="ListParagraph1"/>
        <w:numPr>
          <w:ilvl w:val="0"/>
          <w:numId w:val="2"/>
        </w:numPr>
        <w:spacing w:line="360" w:lineRule="auto"/>
        <w:jc w:val="both"/>
      </w:pPr>
      <w:r>
        <w:rPr>
          <w:rFonts w:hint="cs"/>
          <w:rtl/>
        </w:rPr>
        <w:t xml:space="preserve">חודש מאסר על תנאי למשך שלוש שנים מהיום שלא יעבור עבירה של החזקת סמים לצריכה עצמית או כלים לפי </w:t>
      </w:r>
      <w:hyperlink r:id="rId13" w:history="1">
        <w:r w:rsidR="00991EE2" w:rsidRPr="00991EE2">
          <w:rPr>
            <w:color w:val="0000FF"/>
            <w:u w:val="single"/>
            <w:rtl/>
          </w:rPr>
          <w:t>פקודת הסמים המסוכנים</w:t>
        </w:r>
      </w:hyperlink>
      <w:r>
        <w:rPr>
          <w:rFonts w:hint="cs"/>
          <w:rtl/>
        </w:rPr>
        <w:t xml:space="preserve">. </w:t>
      </w:r>
    </w:p>
    <w:p w14:paraId="66C53050" w14:textId="77777777" w:rsidR="0024300A" w:rsidRDefault="0024300A" w:rsidP="0024300A">
      <w:pPr>
        <w:pStyle w:val="ListParagraph1"/>
        <w:spacing w:line="360" w:lineRule="auto"/>
        <w:ind w:left="1440"/>
        <w:jc w:val="both"/>
      </w:pPr>
    </w:p>
    <w:p w14:paraId="35DB6579" w14:textId="77777777" w:rsidR="0024300A" w:rsidRDefault="0024300A" w:rsidP="0024300A">
      <w:pPr>
        <w:pStyle w:val="ListParagraph1"/>
        <w:numPr>
          <w:ilvl w:val="0"/>
          <w:numId w:val="2"/>
        </w:numPr>
        <w:spacing w:line="360" w:lineRule="auto"/>
        <w:jc w:val="both"/>
      </w:pPr>
      <w:r>
        <w:rPr>
          <w:rFonts w:hint="cs"/>
          <w:rtl/>
        </w:rPr>
        <w:t xml:space="preserve">קנס בסך 2,000 ₪ או 20 ימי מאסר תמורתו. הקנס ישולם עד ליום 2.9.18. </w:t>
      </w:r>
    </w:p>
    <w:p w14:paraId="3CD0A8D3" w14:textId="77777777" w:rsidR="0024300A" w:rsidRDefault="0024300A" w:rsidP="0024300A">
      <w:pPr>
        <w:pStyle w:val="ListParagraph1"/>
        <w:spacing w:line="360" w:lineRule="auto"/>
        <w:ind w:left="1440"/>
        <w:jc w:val="both"/>
      </w:pPr>
    </w:p>
    <w:p w14:paraId="2BE986A3" w14:textId="77777777" w:rsidR="0024300A" w:rsidRDefault="0024300A" w:rsidP="0024300A">
      <w:pPr>
        <w:pStyle w:val="ListParagraph1"/>
        <w:numPr>
          <w:ilvl w:val="0"/>
          <w:numId w:val="2"/>
        </w:numPr>
        <w:spacing w:line="360" w:lineRule="auto"/>
        <w:jc w:val="both"/>
      </w:pPr>
      <w:r>
        <w:rPr>
          <w:rFonts w:hint="cs"/>
          <w:rtl/>
        </w:rPr>
        <w:t xml:space="preserve">צו מבחן למשך שנה מהיום. </w:t>
      </w:r>
    </w:p>
    <w:p w14:paraId="38DEE8D7" w14:textId="77777777" w:rsidR="0024300A" w:rsidRPr="00610321" w:rsidRDefault="0024300A" w:rsidP="0024300A">
      <w:pPr>
        <w:pStyle w:val="ListParagraph1"/>
        <w:spacing w:line="360" w:lineRule="auto"/>
        <w:ind w:left="1440"/>
        <w:jc w:val="both"/>
      </w:pPr>
    </w:p>
    <w:p w14:paraId="5A9760D6" w14:textId="77777777" w:rsidR="0024300A" w:rsidRDefault="0024300A" w:rsidP="0024300A">
      <w:pPr>
        <w:pStyle w:val="ListParagraph1"/>
        <w:numPr>
          <w:ilvl w:val="0"/>
          <w:numId w:val="1"/>
        </w:numPr>
        <w:spacing w:line="360" w:lineRule="auto"/>
        <w:jc w:val="both"/>
      </w:pPr>
      <w:r>
        <w:rPr>
          <w:rFonts w:hint="cs"/>
          <w:rtl/>
        </w:rPr>
        <w:t xml:space="preserve">הוסברו לנאשם חובתו לשתף פעולה עם שירות המבחן במסגרת צו המבחן וצו השירות לתועלת הציבור, והאפשרויות העומדות בפני בית המשפט אם לא יעשה כן. </w:t>
      </w:r>
    </w:p>
    <w:p w14:paraId="7C6ADEAF" w14:textId="77777777" w:rsidR="0024300A" w:rsidRDefault="0024300A" w:rsidP="0024300A">
      <w:pPr>
        <w:pStyle w:val="ListParagraph1"/>
        <w:spacing w:line="360" w:lineRule="auto"/>
        <w:jc w:val="both"/>
      </w:pPr>
    </w:p>
    <w:p w14:paraId="2AEDE3D3" w14:textId="77777777" w:rsidR="0024300A" w:rsidRDefault="0024300A" w:rsidP="0024300A">
      <w:pPr>
        <w:pStyle w:val="ListParagraph1"/>
        <w:numPr>
          <w:ilvl w:val="0"/>
          <w:numId w:val="1"/>
        </w:numPr>
        <w:spacing w:line="360" w:lineRule="auto"/>
        <w:jc w:val="both"/>
      </w:pPr>
      <w:r>
        <w:rPr>
          <w:rFonts w:hint="cs"/>
          <w:rtl/>
        </w:rPr>
        <w:t xml:space="preserve">הסמים יושמדו. </w:t>
      </w:r>
    </w:p>
    <w:p w14:paraId="0349E00F" w14:textId="77777777" w:rsidR="0024300A" w:rsidRDefault="0024300A" w:rsidP="0024300A">
      <w:pPr>
        <w:pStyle w:val="ListParagraph1"/>
        <w:spacing w:line="360" w:lineRule="auto"/>
        <w:jc w:val="both"/>
      </w:pPr>
    </w:p>
    <w:p w14:paraId="44256116" w14:textId="77777777" w:rsidR="0024300A" w:rsidRDefault="0024300A" w:rsidP="0024300A">
      <w:pPr>
        <w:pStyle w:val="ListParagraph1"/>
        <w:numPr>
          <w:ilvl w:val="0"/>
          <w:numId w:val="1"/>
        </w:numPr>
        <w:spacing w:line="360" w:lineRule="auto"/>
        <w:jc w:val="both"/>
      </w:pPr>
      <w:r>
        <w:rPr>
          <w:rFonts w:hint="cs"/>
          <w:rtl/>
        </w:rPr>
        <w:t xml:space="preserve">המזכירות תעביר העתק גזר הדין לשירות המבחן. </w:t>
      </w:r>
    </w:p>
    <w:p w14:paraId="690A6754" w14:textId="77777777" w:rsidR="0024300A" w:rsidRDefault="0024300A" w:rsidP="0024300A">
      <w:pPr>
        <w:pStyle w:val="ListParagraph1"/>
        <w:spacing w:line="360" w:lineRule="auto"/>
        <w:jc w:val="both"/>
      </w:pPr>
    </w:p>
    <w:p w14:paraId="4F2AE64B" w14:textId="77777777" w:rsidR="0024300A" w:rsidRPr="00326014" w:rsidRDefault="0024300A" w:rsidP="0024300A">
      <w:pPr>
        <w:pStyle w:val="ListParagraph1"/>
        <w:numPr>
          <w:ilvl w:val="0"/>
          <w:numId w:val="1"/>
        </w:numPr>
        <w:spacing w:line="360" w:lineRule="auto"/>
        <w:jc w:val="both"/>
        <w:rPr>
          <w:rtl/>
        </w:rPr>
      </w:pPr>
      <w:r>
        <w:rPr>
          <w:rFonts w:hint="cs"/>
          <w:rtl/>
        </w:rPr>
        <w:t xml:space="preserve">זכות ערעור לבית המשפט המחוזי בתוך 45 ימים מהיום.  </w:t>
      </w:r>
    </w:p>
    <w:p w14:paraId="3BD1B0D9" w14:textId="77777777" w:rsidR="0024300A" w:rsidRPr="00D663AC" w:rsidRDefault="0024300A" w:rsidP="0024300A">
      <w:pPr>
        <w:spacing w:line="360" w:lineRule="auto"/>
        <w:rPr>
          <w:rFonts w:ascii="David" w:hAnsi="David"/>
          <w:rtl/>
        </w:rPr>
      </w:pPr>
    </w:p>
    <w:p w14:paraId="767A5A5B" w14:textId="77777777" w:rsidR="0024300A" w:rsidRPr="00991EE2" w:rsidRDefault="00991EE2" w:rsidP="0024300A">
      <w:pPr>
        <w:spacing w:line="360" w:lineRule="auto"/>
        <w:rPr>
          <w:color w:val="FFFFFF"/>
          <w:sz w:val="2"/>
          <w:szCs w:val="2"/>
          <w:rtl/>
        </w:rPr>
      </w:pPr>
      <w:r w:rsidRPr="00991EE2">
        <w:rPr>
          <w:color w:val="FFFFFF"/>
          <w:sz w:val="2"/>
          <w:szCs w:val="2"/>
          <w:rtl/>
        </w:rPr>
        <w:t>5129371</w:t>
      </w:r>
    </w:p>
    <w:p w14:paraId="4EE959FB" w14:textId="77777777" w:rsidR="0024300A" w:rsidRDefault="00991EE2" w:rsidP="0024300A">
      <w:pPr>
        <w:spacing w:line="360" w:lineRule="auto"/>
        <w:rPr>
          <w:rFonts w:cs="FrankRuehl"/>
          <w:sz w:val="28"/>
          <w:szCs w:val="28"/>
          <w:rtl/>
        </w:rPr>
      </w:pPr>
      <w:r w:rsidRPr="00991EE2">
        <w:rPr>
          <w:rFonts w:ascii="Arial" w:hAnsi="Arial"/>
          <w:color w:val="FFFFFF"/>
          <w:sz w:val="2"/>
          <w:szCs w:val="2"/>
          <w:rtl/>
        </w:rPr>
        <w:t>54678313</w:t>
      </w:r>
      <w:r>
        <w:rPr>
          <w:rFonts w:ascii="Arial" w:hAnsi="Arial"/>
          <w:rtl/>
        </w:rPr>
        <w:t xml:space="preserve">ניתן היום,  כ"א תמוז תשע"ח, 04 יולי 2018, בנוכחות הצדדים. </w:t>
      </w:r>
    </w:p>
    <w:p w14:paraId="692DD503" w14:textId="77777777" w:rsidR="0024300A" w:rsidRDefault="0024300A" w:rsidP="0024300A">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E51C456" w14:textId="77777777" w:rsidR="0024300A" w:rsidRDefault="0024300A" w:rsidP="0024300A">
      <w:pPr>
        <w:spacing w:line="360" w:lineRule="auto"/>
        <w:jc w:val="center"/>
        <w:rPr>
          <w:rFonts w:ascii="Arial" w:hAnsi="Arial" w:cs="FrankRuehl"/>
          <w:sz w:val="28"/>
          <w:szCs w:val="28"/>
          <w:rtl/>
        </w:rPr>
      </w:pPr>
    </w:p>
    <w:p w14:paraId="41E5CE77" w14:textId="77777777" w:rsidR="0024300A" w:rsidRDefault="0024300A" w:rsidP="0024300A">
      <w:pPr>
        <w:spacing w:line="360" w:lineRule="auto"/>
        <w:rPr>
          <w:rFonts w:cs="FrankRuehl"/>
          <w:sz w:val="28"/>
          <w:szCs w:val="28"/>
          <w:rtl/>
        </w:rPr>
      </w:pPr>
    </w:p>
    <w:p w14:paraId="282E800D" w14:textId="77777777" w:rsidR="0024300A" w:rsidRDefault="0024300A" w:rsidP="0024300A">
      <w:pPr>
        <w:pStyle w:val="a3"/>
        <w:spacing w:line="360" w:lineRule="auto"/>
        <w:jc w:val="center"/>
        <w:rPr>
          <w:rtl/>
        </w:rPr>
      </w:pPr>
    </w:p>
    <w:p w14:paraId="1AF33DE1" w14:textId="77777777" w:rsidR="002800BE" w:rsidRPr="00991EE2" w:rsidRDefault="002800BE" w:rsidP="00991EE2">
      <w:pPr>
        <w:keepNext/>
        <w:rPr>
          <w:rFonts w:ascii="David" w:hAnsi="David"/>
          <w:color w:val="000000"/>
          <w:sz w:val="22"/>
          <w:szCs w:val="22"/>
          <w:rtl/>
        </w:rPr>
      </w:pPr>
    </w:p>
    <w:p w14:paraId="00999B56" w14:textId="77777777" w:rsidR="00991EE2" w:rsidRPr="00991EE2" w:rsidRDefault="00991EE2" w:rsidP="00991EE2">
      <w:pPr>
        <w:keepNext/>
        <w:rPr>
          <w:rFonts w:ascii="David" w:hAnsi="David"/>
          <w:color w:val="000000"/>
          <w:sz w:val="22"/>
          <w:szCs w:val="22"/>
          <w:rtl/>
        </w:rPr>
      </w:pPr>
      <w:r w:rsidRPr="00991EE2">
        <w:rPr>
          <w:rFonts w:ascii="David" w:hAnsi="David"/>
          <w:color w:val="000000"/>
          <w:sz w:val="22"/>
          <w:szCs w:val="22"/>
          <w:rtl/>
        </w:rPr>
        <w:t>ג'ויה סקפה שפירא 54678313</w:t>
      </w:r>
    </w:p>
    <w:p w14:paraId="1FE8E75E" w14:textId="77777777" w:rsidR="00991EE2" w:rsidRDefault="00991EE2" w:rsidP="00991EE2">
      <w:r w:rsidRPr="00991EE2">
        <w:rPr>
          <w:color w:val="000000"/>
          <w:rtl/>
        </w:rPr>
        <w:t>נוסח מסמך זה כפוף לשינויי ניסוח ועריכה</w:t>
      </w:r>
    </w:p>
    <w:p w14:paraId="4500D2AC" w14:textId="77777777" w:rsidR="00991EE2" w:rsidRDefault="00991EE2" w:rsidP="00991EE2">
      <w:pPr>
        <w:rPr>
          <w:rtl/>
        </w:rPr>
      </w:pPr>
    </w:p>
    <w:p w14:paraId="4B9EE770" w14:textId="77777777" w:rsidR="00991EE2" w:rsidRDefault="00991EE2" w:rsidP="00991EE2">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r w:rsidR="00D81944">
        <w:rPr>
          <w:rFonts w:hint="cs"/>
          <w:color w:val="0000FF"/>
          <w:u w:val="single"/>
          <w:rtl/>
        </w:rPr>
        <w:t xml:space="preserve"> </w:t>
      </w:r>
    </w:p>
    <w:p w14:paraId="2A2198D8" w14:textId="77777777" w:rsidR="00991EE2" w:rsidRPr="00991EE2" w:rsidRDefault="00991EE2" w:rsidP="00991EE2">
      <w:pPr>
        <w:jc w:val="center"/>
        <w:rPr>
          <w:color w:val="0000FF"/>
          <w:u w:val="single"/>
        </w:rPr>
      </w:pPr>
    </w:p>
    <w:sectPr w:rsidR="00991EE2" w:rsidRPr="00991EE2" w:rsidSect="00991EE2">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E4BA5" w14:textId="77777777" w:rsidR="005A3BB3" w:rsidRDefault="005A3BB3" w:rsidP="000E2A4E">
      <w:r>
        <w:separator/>
      </w:r>
    </w:p>
  </w:endnote>
  <w:endnote w:type="continuationSeparator" w:id="0">
    <w:p w14:paraId="2EEA112B" w14:textId="77777777" w:rsidR="005A3BB3" w:rsidRDefault="005A3BB3" w:rsidP="000E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D8DF6" w14:textId="77777777" w:rsidR="00991EE2" w:rsidRDefault="00991EE2" w:rsidP="00991E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6BE74A" w14:textId="77777777" w:rsidR="00BC096B" w:rsidRPr="00991EE2" w:rsidRDefault="00991EE2" w:rsidP="00991EE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B0E7F" w14:textId="77777777" w:rsidR="00991EE2" w:rsidRDefault="00991EE2" w:rsidP="00991E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12BD">
      <w:rPr>
        <w:rFonts w:ascii="FrankRuehl" w:hAnsi="FrankRuehl" w:cs="FrankRuehl"/>
        <w:noProof/>
        <w:rtl/>
      </w:rPr>
      <w:t>2</w:t>
    </w:r>
    <w:r>
      <w:rPr>
        <w:rFonts w:ascii="FrankRuehl" w:hAnsi="FrankRuehl" w:cs="FrankRuehl"/>
        <w:rtl/>
      </w:rPr>
      <w:fldChar w:fldCharType="end"/>
    </w:r>
  </w:p>
  <w:p w14:paraId="6C280C81" w14:textId="77777777" w:rsidR="00BC096B" w:rsidRPr="00991EE2" w:rsidRDefault="00991EE2" w:rsidP="00991EE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F6C3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ACC5B" w14:textId="77777777" w:rsidR="005A3BB3" w:rsidRDefault="005A3BB3" w:rsidP="000E2A4E">
      <w:r>
        <w:separator/>
      </w:r>
    </w:p>
  </w:footnote>
  <w:footnote w:type="continuationSeparator" w:id="0">
    <w:p w14:paraId="0AE933B6" w14:textId="77777777" w:rsidR="005A3BB3" w:rsidRDefault="005A3BB3" w:rsidP="000E2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3BC4B" w14:textId="77777777" w:rsidR="00991EE2" w:rsidRPr="00991EE2" w:rsidRDefault="00991EE2" w:rsidP="00991E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16678-03-17</w:t>
    </w:r>
    <w:r>
      <w:rPr>
        <w:rFonts w:ascii="David" w:hAnsi="David"/>
        <w:color w:val="000000"/>
        <w:sz w:val="22"/>
        <w:szCs w:val="22"/>
        <w:rtl/>
      </w:rPr>
      <w:tab/>
      <w:t xml:space="preserve"> מדינת ישראל נ' עבדאללה מאדי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DB006" w14:textId="77777777" w:rsidR="00991EE2" w:rsidRPr="00991EE2" w:rsidRDefault="00991EE2" w:rsidP="00991EE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16678-03-17</w:t>
    </w:r>
    <w:r>
      <w:rPr>
        <w:rFonts w:ascii="David" w:hAnsi="David"/>
        <w:color w:val="000000"/>
        <w:sz w:val="22"/>
        <w:szCs w:val="22"/>
        <w:rtl/>
      </w:rPr>
      <w:tab/>
      <w:t xml:space="preserve"> מדינת ישראל נ' עבדאללה מאדי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363"/>
    <w:multiLevelType w:val="hybridMultilevel"/>
    <w:tmpl w:val="F2369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B36F9"/>
    <w:multiLevelType w:val="hybridMultilevel"/>
    <w:tmpl w:val="4AF85CA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9422347">
    <w:abstractNumId w:val="0"/>
  </w:num>
  <w:num w:numId="2" w16cid:durableId="512692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300A"/>
    <w:rsid w:val="000E2A4E"/>
    <w:rsid w:val="0024300A"/>
    <w:rsid w:val="002800BE"/>
    <w:rsid w:val="00400364"/>
    <w:rsid w:val="005A3BB3"/>
    <w:rsid w:val="005B68DC"/>
    <w:rsid w:val="006B12BD"/>
    <w:rsid w:val="009821FA"/>
    <w:rsid w:val="00991EE2"/>
    <w:rsid w:val="00B349B1"/>
    <w:rsid w:val="00BC096B"/>
    <w:rsid w:val="00D81944"/>
    <w:rsid w:val="00E27F05"/>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D7BBD0"/>
  <w15:chartTrackingRefBased/>
  <w15:docId w15:val="{8BE4DAE9-1626-499A-9F80-D4D8EA8F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30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300A"/>
    <w:pPr>
      <w:tabs>
        <w:tab w:val="center" w:pos="4153"/>
        <w:tab w:val="right" w:pos="8306"/>
      </w:tabs>
    </w:pPr>
  </w:style>
  <w:style w:type="character" w:customStyle="1" w:styleId="a4">
    <w:name w:val="כותרת עליונה תו"/>
    <w:link w:val="a3"/>
    <w:rsid w:val="0024300A"/>
    <w:rPr>
      <w:rFonts w:ascii="Times New Roman" w:eastAsia="Times New Roman" w:hAnsi="Times New Roman" w:cs="David"/>
      <w:sz w:val="24"/>
      <w:szCs w:val="24"/>
    </w:rPr>
  </w:style>
  <w:style w:type="paragraph" w:styleId="a5">
    <w:name w:val="footer"/>
    <w:basedOn w:val="a"/>
    <w:link w:val="a6"/>
    <w:rsid w:val="0024300A"/>
    <w:pPr>
      <w:tabs>
        <w:tab w:val="center" w:pos="4153"/>
        <w:tab w:val="right" w:pos="8306"/>
      </w:tabs>
    </w:pPr>
  </w:style>
  <w:style w:type="character" w:customStyle="1" w:styleId="a6">
    <w:name w:val="כותרת תחתונה תו"/>
    <w:link w:val="a5"/>
    <w:rsid w:val="0024300A"/>
    <w:rPr>
      <w:rFonts w:ascii="Times New Roman" w:eastAsia="Times New Roman" w:hAnsi="Times New Roman" w:cs="David"/>
      <w:sz w:val="24"/>
      <w:szCs w:val="24"/>
    </w:rPr>
  </w:style>
  <w:style w:type="table" w:styleId="a7">
    <w:name w:val="Table Grid"/>
    <w:basedOn w:val="a1"/>
    <w:rsid w:val="002430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300A"/>
  </w:style>
  <w:style w:type="paragraph" w:customStyle="1" w:styleId="ListParagraph1">
    <w:name w:val="List Paragraph1"/>
    <w:basedOn w:val="a"/>
    <w:qFormat/>
    <w:rsid w:val="0024300A"/>
    <w:pPr>
      <w:ind w:left="720"/>
      <w:contextualSpacing/>
    </w:pPr>
  </w:style>
  <w:style w:type="character" w:styleId="Hyperlink">
    <w:name w:val="Hyperlink"/>
    <w:rsid w:val="00991EE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361099"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51139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case/389267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case/5605484"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1815</Words>
  <Characters>9077</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10871</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4128886</vt:i4>
      </vt:variant>
      <vt:variant>
        <vt:i4>12</vt:i4>
      </vt:variant>
      <vt:variant>
        <vt:i4>0</vt:i4>
      </vt:variant>
      <vt:variant>
        <vt:i4>5</vt:i4>
      </vt:variant>
      <vt:variant>
        <vt:lpwstr>http://www.nevo.co.il/case/20511391</vt:lpwstr>
      </vt:variant>
      <vt:variant>
        <vt:lpwstr/>
      </vt:variant>
      <vt:variant>
        <vt:i4>3407993</vt:i4>
      </vt:variant>
      <vt:variant>
        <vt:i4>9</vt:i4>
      </vt:variant>
      <vt:variant>
        <vt:i4>0</vt:i4>
      </vt:variant>
      <vt:variant>
        <vt:i4>5</vt:i4>
      </vt:variant>
      <vt:variant>
        <vt:lpwstr>http://www.nevo.co.il/case/3892678</vt:lpwstr>
      </vt:variant>
      <vt:variant>
        <vt:lpwstr/>
      </vt:variant>
      <vt:variant>
        <vt:i4>3473535</vt:i4>
      </vt:variant>
      <vt:variant>
        <vt:i4>6</vt:i4>
      </vt:variant>
      <vt:variant>
        <vt:i4>0</vt:i4>
      </vt:variant>
      <vt:variant>
        <vt:i4>5</vt:i4>
      </vt:variant>
      <vt:variant>
        <vt:lpwstr>http://www.nevo.co.il/case/5605484</vt:lpwstr>
      </vt:variant>
      <vt:variant>
        <vt:lpwstr/>
      </vt:variant>
      <vt:variant>
        <vt:i4>3735679</vt:i4>
      </vt:variant>
      <vt:variant>
        <vt:i4>3</vt:i4>
      </vt:variant>
      <vt:variant>
        <vt:i4>0</vt:i4>
      </vt:variant>
      <vt:variant>
        <vt:i4>5</vt:i4>
      </vt:variant>
      <vt:variant>
        <vt:lpwstr>http://www.nevo.co.il/case/6361099</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16678</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עבדאללה מאדי</vt:lpwstr>
  </property>
  <property fmtid="{D5CDD505-2E9C-101B-9397-08002B2CF9AE}" pid="10" name="LAWYER">
    <vt:lpwstr>איהאב חלבי;עיסא אבו אל הווא</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20180704</vt:lpwstr>
  </property>
  <property fmtid="{D5CDD505-2E9C-101B-9397-08002B2CF9AE}" pid="14" name="TYPE_N_DATE">
    <vt:lpwstr>38020180704</vt:lpwstr>
  </property>
  <property fmtid="{D5CDD505-2E9C-101B-9397-08002B2CF9AE}" pid="15" name="CASESLISTTMP1">
    <vt:lpwstr>6361099;5605484;3892678;20511391</vt:lpwstr>
  </property>
  <property fmtid="{D5CDD505-2E9C-101B-9397-08002B2CF9AE}" pid="16" name="WORDNUMPAGES">
    <vt:lpwstr>7</vt:lpwstr>
  </property>
  <property fmtid="{D5CDD505-2E9C-101B-9397-08002B2CF9AE}" pid="17" name="TYPE_ABS_DATE">
    <vt:lpwstr>380020180704</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4216:2</vt:lpwstr>
  </property>
</Properties>
</file>