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A35F7" w:rsidRPr="00460399" w14:paraId="37AE4424" w14:textId="77777777" w:rsidTr="005B7F79">
        <w:trPr>
          <w:trHeight w:hRule="exact" w:val="418"/>
          <w:jc w:val="center"/>
        </w:trPr>
        <w:tc>
          <w:tcPr>
            <w:tcW w:w="8721" w:type="dxa"/>
            <w:gridSpan w:val="2"/>
          </w:tcPr>
          <w:p w14:paraId="2B27F9FE" w14:textId="77777777" w:rsidR="001A35F7" w:rsidRPr="00460399" w:rsidRDefault="001A35F7" w:rsidP="00D244DE">
            <w:pPr>
              <w:pStyle w:val="a3"/>
              <w:jc w:val="center"/>
              <w:rPr>
                <w:rFonts w:ascii="Tahoma" w:hAnsi="Tahoma"/>
                <w:color w:val="000080"/>
                <w:sz w:val="32"/>
                <w:szCs w:val="32"/>
                <w:rtl/>
              </w:rPr>
            </w:pPr>
            <w:bookmarkStart w:id="0" w:name="LastJudge"/>
            <w:r w:rsidRPr="00460399">
              <w:rPr>
                <w:rFonts w:ascii="Tahoma" w:hAnsi="Tahoma"/>
                <w:b/>
                <w:bCs/>
                <w:color w:val="000080"/>
                <w:sz w:val="32"/>
                <w:szCs w:val="32"/>
                <w:rtl/>
              </w:rPr>
              <w:t>בית משפט השלום בתל אביב - יפו</w:t>
            </w:r>
          </w:p>
        </w:tc>
      </w:tr>
      <w:tr w:rsidR="001A35F7" w:rsidRPr="00460399" w14:paraId="4479F62C" w14:textId="77777777" w:rsidTr="005B7F79">
        <w:trPr>
          <w:trHeight w:val="337"/>
          <w:jc w:val="center"/>
        </w:trPr>
        <w:tc>
          <w:tcPr>
            <w:tcW w:w="5054" w:type="dxa"/>
          </w:tcPr>
          <w:p w14:paraId="3378DBC4" w14:textId="77777777" w:rsidR="001A35F7" w:rsidRPr="00460399" w:rsidRDefault="001A35F7" w:rsidP="00D244DE">
            <w:pPr>
              <w:rPr>
                <w:sz w:val="26"/>
                <w:szCs w:val="26"/>
                <w:rtl/>
              </w:rPr>
            </w:pPr>
            <w:r w:rsidRPr="00460399">
              <w:rPr>
                <w:sz w:val="26"/>
                <w:szCs w:val="26"/>
                <w:rtl/>
              </w:rPr>
              <w:t>ת"פ</w:t>
            </w:r>
            <w:r w:rsidRPr="00460399">
              <w:rPr>
                <w:rFonts w:hint="cs"/>
                <w:sz w:val="26"/>
                <w:szCs w:val="26"/>
                <w:rtl/>
              </w:rPr>
              <w:t xml:space="preserve"> </w:t>
            </w:r>
            <w:r w:rsidRPr="00460399">
              <w:rPr>
                <w:sz w:val="26"/>
                <w:szCs w:val="26"/>
                <w:rtl/>
              </w:rPr>
              <w:t>19393-03-17</w:t>
            </w:r>
            <w:r w:rsidRPr="00460399">
              <w:rPr>
                <w:rFonts w:hint="cs"/>
                <w:sz w:val="26"/>
                <w:szCs w:val="26"/>
                <w:rtl/>
              </w:rPr>
              <w:t xml:space="preserve"> </w:t>
            </w:r>
            <w:r w:rsidRPr="00460399">
              <w:rPr>
                <w:sz w:val="26"/>
                <w:szCs w:val="26"/>
                <w:rtl/>
              </w:rPr>
              <w:t>מדינת ישראל נ' סגל</w:t>
            </w:r>
          </w:p>
        </w:tc>
        <w:tc>
          <w:tcPr>
            <w:tcW w:w="3667" w:type="dxa"/>
          </w:tcPr>
          <w:p w14:paraId="3E93BB01" w14:textId="77777777" w:rsidR="001A35F7" w:rsidRPr="00460399" w:rsidRDefault="001A35F7" w:rsidP="00D244DE">
            <w:pPr>
              <w:pStyle w:val="a3"/>
              <w:jc w:val="right"/>
              <w:rPr>
                <w:rFonts w:cs="FrankRuehl"/>
                <w:sz w:val="28"/>
                <w:szCs w:val="28"/>
                <w:rtl/>
              </w:rPr>
            </w:pPr>
          </w:p>
        </w:tc>
      </w:tr>
    </w:tbl>
    <w:p w14:paraId="15E5C38A" w14:textId="77777777" w:rsidR="001A35F7" w:rsidRPr="00460399" w:rsidRDefault="001A35F7" w:rsidP="001A35F7">
      <w:pPr>
        <w:pStyle w:val="a3"/>
        <w:rPr>
          <w:rtl/>
        </w:rPr>
      </w:pPr>
      <w:r w:rsidRPr="00460399">
        <w:rPr>
          <w:rFonts w:hint="cs"/>
          <w:rtl/>
        </w:rPr>
        <w:t xml:space="preserve"> </w:t>
      </w:r>
    </w:p>
    <w:p w14:paraId="2A8B3889" w14:textId="77777777" w:rsidR="001A35F7" w:rsidRPr="00460399" w:rsidRDefault="001A35F7" w:rsidP="001A35F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1A35F7" w:rsidRPr="00460399" w14:paraId="6466E671" w14:textId="77777777" w:rsidTr="001A35F7">
        <w:trPr>
          <w:trHeight w:val="295"/>
          <w:jc w:val="center"/>
        </w:trPr>
        <w:tc>
          <w:tcPr>
            <w:tcW w:w="8820" w:type="dxa"/>
            <w:gridSpan w:val="3"/>
            <w:tcBorders>
              <w:top w:val="nil"/>
              <w:left w:val="nil"/>
              <w:bottom w:val="nil"/>
              <w:right w:val="nil"/>
            </w:tcBorders>
            <w:shd w:val="clear" w:color="auto" w:fill="auto"/>
          </w:tcPr>
          <w:p w14:paraId="3A04AA79" w14:textId="77777777" w:rsidR="001A35F7" w:rsidRPr="00460399" w:rsidRDefault="001A35F7" w:rsidP="001A35F7">
            <w:pPr>
              <w:jc w:val="both"/>
              <w:rPr>
                <w:sz w:val="26"/>
                <w:szCs w:val="26"/>
                <w:rtl/>
              </w:rPr>
            </w:pPr>
            <w:r w:rsidRPr="00460399">
              <w:rPr>
                <w:rFonts w:ascii="Arial" w:hAnsi="Arial" w:hint="cs"/>
                <w:b/>
                <w:bCs/>
                <w:sz w:val="26"/>
                <w:szCs w:val="26"/>
                <w:rtl/>
              </w:rPr>
              <w:t>ל</w:t>
            </w:r>
            <w:r w:rsidRPr="00460399">
              <w:rPr>
                <w:rFonts w:ascii="Arial" w:hAnsi="Arial"/>
                <w:b/>
                <w:bCs/>
                <w:sz w:val="26"/>
                <w:szCs w:val="26"/>
                <w:rtl/>
              </w:rPr>
              <w:t xml:space="preserve">פני </w:t>
            </w:r>
            <w:r w:rsidRPr="00460399">
              <w:rPr>
                <w:rFonts w:ascii="Arial" w:hAnsi="Arial" w:hint="cs"/>
                <w:b/>
                <w:bCs/>
                <w:sz w:val="26"/>
                <w:szCs w:val="26"/>
                <w:rtl/>
              </w:rPr>
              <w:t>כבוד ה</w:t>
            </w:r>
            <w:r w:rsidRPr="00460399">
              <w:rPr>
                <w:rFonts w:ascii="Arial" w:hAnsi="Arial"/>
                <w:b/>
                <w:bCs/>
                <w:sz w:val="26"/>
                <w:szCs w:val="26"/>
                <w:rtl/>
              </w:rPr>
              <w:t>שופט</w:t>
            </w:r>
            <w:r w:rsidRPr="00460399">
              <w:rPr>
                <w:rFonts w:ascii="Arial" w:hAnsi="Arial" w:hint="cs"/>
                <w:b/>
                <w:bCs/>
                <w:sz w:val="26"/>
                <w:szCs w:val="26"/>
                <w:rtl/>
              </w:rPr>
              <w:t xml:space="preserve">  </w:t>
            </w:r>
            <w:r w:rsidRPr="00460399">
              <w:rPr>
                <w:rFonts w:ascii="Arial" w:hAnsi="Arial"/>
                <w:b/>
                <w:bCs/>
                <w:sz w:val="26"/>
                <w:szCs w:val="26"/>
                <w:rtl/>
              </w:rPr>
              <w:t>עידו דרויאן-גמליאל</w:t>
            </w:r>
          </w:p>
          <w:p w14:paraId="600CC177" w14:textId="77777777" w:rsidR="001A35F7" w:rsidRPr="00460399" w:rsidRDefault="001A35F7" w:rsidP="001A35F7">
            <w:pPr>
              <w:jc w:val="both"/>
              <w:rPr>
                <w:rFonts w:ascii="Arial" w:hAnsi="Arial"/>
                <w:b/>
                <w:bCs/>
                <w:sz w:val="26"/>
                <w:szCs w:val="26"/>
              </w:rPr>
            </w:pPr>
          </w:p>
        </w:tc>
      </w:tr>
      <w:tr w:rsidR="001A35F7" w:rsidRPr="00460399" w14:paraId="213C18BD" w14:textId="77777777" w:rsidTr="00BD1ADD">
        <w:trPr>
          <w:trHeight w:val="355"/>
          <w:jc w:val="center"/>
        </w:trPr>
        <w:tc>
          <w:tcPr>
            <w:tcW w:w="1231" w:type="dxa"/>
            <w:tcBorders>
              <w:top w:val="nil"/>
              <w:left w:val="nil"/>
              <w:bottom w:val="nil"/>
              <w:right w:val="nil"/>
            </w:tcBorders>
            <w:shd w:val="clear" w:color="auto" w:fill="auto"/>
          </w:tcPr>
          <w:p w14:paraId="5AA372B0" w14:textId="77777777" w:rsidR="001A35F7" w:rsidRPr="00460399" w:rsidRDefault="001A35F7" w:rsidP="001A35F7">
            <w:pPr>
              <w:jc w:val="both"/>
              <w:rPr>
                <w:rFonts w:ascii="Arial" w:hAnsi="Arial"/>
                <w:b/>
                <w:bCs/>
                <w:sz w:val="26"/>
                <w:szCs w:val="26"/>
              </w:rPr>
            </w:pPr>
            <w:bookmarkStart w:id="1" w:name="FirstAppellant"/>
            <w:bookmarkStart w:id="2" w:name="FirstLawyer"/>
            <w:r w:rsidRPr="00460399">
              <w:rPr>
                <w:rFonts w:ascii="Arial" w:hAnsi="Arial" w:hint="cs"/>
                <w:b/>
                <w:bCs/>
                <w:sz w:val="26"/>
                <w:szCs w:val="26"/>
                <w:rtl/>
              </w:rPr>
              <w:t>ה</w:t>
            </w:r>
            <w:r w:rsidRPr="00460399">
              <w:rPr>
                <w:rFonts w:ascii="Arial" w:hAnsi="Arial"/>
                <w:b/>
                <w:bCs/>
                <w:sz w:val="26"/>
                <w:szCs w:val="26"/>
                <w:rtl/>
              </w:rPr>
              <w:t>מאשימה</w:t>
            </w:r>
          </w:p>
        </w:tc>
        <w:tc>
          <w:tcPr>
            <w:tcW w:w="4206" w:type="dxa"/>
            <w:tcBorders>
              <w:top w:val="nil"/>
              <w:left w:val="nil"/>
              <w:bottom w:val="nil"/>
              <w:right w:val="nil"/>
            </w:tcBorders>
            <w:shd w:val="clear" w:color="auto" w:fill="auto"/>
          </w:tcPr>
          <w:p w14:paraId="4B73AA85" w14:textId="77777777" w:rsidR="001A35F7" w:rsidRPr="00460399" w:rsidRDefault="001A35F7" w:rsidP="00D244DE">
            <w:pPr>
              <w:rPr>
                <w:b/>
                <w:bCs/>
                <w:sz w:val="26"/>
                <w:szCs w:val="26"/>
                <w:rtl/>
              </w:rPr>
            </w:pPr>
            <w:r w:rsidRPr="00460399">
              <w:rPr>
                <w:rFonts w:ascii="Arial" w:hAnsi="Arial"/>
                <w:b/>
                <w:bCs/>
                <w:sz w:val="26"/>
                <w:szCs w:val="26"/>
                <w:rtl/>
              </w:rPr>
              <w:t>מדינת ישראל</w:t>
            </w:r>
          </w:p>
          <w:p w14:paraId="2F618F54" w14:textId="77777777" w:rsidR="001A35F7" w:rsidRPr="00460399" w:rsidRDefault="001A35F7" w:rsidP="00D244DE">
            <w:pPr>
              <w:rPr>
                <w:sz w:val="26"/>
                <w:szCs w:val="26"/>
              </w:rPr>
            </w:pPr>
            <w:r w:rsidRPr="00460399">
              <w:rPr>
                <w:rFonts w:hint="cs"/>
                <w:sz w:val="26"/>
                <w:szCs w:val="26"/>
                <w:rtl/>
              </w:rPr>
              <w:t>ע"י ב"כ עו"ד רעות בן-משה</w:t>
            </w:r>
          </w:p>
        </w:tc>
        <w:tc>
          <w:tcPr>
            <w:tcW w:w="3383" w:type="dxa"/>
            <w:tcBorders>
              <w:top w:val="nil"/>
              <w:left w:val="nil"/>
              <w:bottom w:val="nil"/>
              <w:right w:val="nil"/>
            </w:tcBorders>
            <w:shd w:val="clear" w:color="auto" w:fill="auto"/>
          </w:tcPr>
          <w:p w14:paraId="4CC44947" w14:textId="77777777" w:rsidR="001A35F7" w:rsidRPr="00460399" w:rsidRDefault="001A35F7" w:rsidP="001A35F7">
            <w:pPr>
              <w:jc w:val="both"/>
              <w:rPr>
                <w:rFonts w:ascii="Arial" w:hAnsi="Arial"/>
                <w:sz w:val="26"/>
                <w:szCs w:val="26"/>
              </w:rPr>
            </w:pPr>
          </w:p>
        </w:tc>
      </w:tr>
      <w:bookmarkEnd w:id="1"/>
      <w:bookmarkEnd w:id="2"/>
      <w:tr w:rsidR="001A35F7" w:rsidRPr="00460399" w14:paraId="0DCF5655" w14:textId="77777777" w:rsidTr="00BD1ADD">
        <w:trPr>
          <w:trHeight w:val="373"/>
          <w:jc w:val="center"/>
        </w:trPr>
        <w:tc>
          <w:tcPr>
            <w:tcW w:w="1231" w:type="dxa"/>
            <w:tcBorders>
              <w:top w:val="nil"/>
              <w:left w:val="nil"/>
              <w:bottom w:val="nil"/>
              <w:right w:val="nil"/>
            </w:tcBorders>
            <w:shd w:val="clear" w:color="auto" w:fill="auto"/>
          </w:tcPr>
          <w:p w14:paraId="198DCC60" w14:textId="77777777" w:rsidR="001A35F7" w:rsidRPr="00460399" w:rsidRDefault="001A35F7" w:rsidP="001A35F7">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6FE63DD0" w14:textId="77777777" w:rsidR="001A35F7" w:rsidRPr="00460399" w:rsidRDefault="001A35F7" w:rsidP="001A35F7">
            <w:pPr>
              <w:jc w:val="center"/>
              <w:rPr>
                <w:rFonts w:ascii="Arial" w:hAnsi="Arial"/>
                <w:b/>
                <w:bCs/>
                <w:sz w:val="26"/>
                <w:szCs w:val="26"/>
                <w:rtl/>
              </w:rPr>
            </w:pPr>
          </w:p>
          <w:p w14:paraId="6EDE4494" w14:textId="77777777" w:rsidR="001A35F7" w:rsidRPr="00460399" w:rsidRDefault="001A35F7" w:rsidP="001A35F7">
            <w:pPr>
              <w:jc w:val="center"/>
              <w:rPr>
                <w:rFonts w:ascii="Arial" w:hAnsi="Arial"/>
                <w:b/>
                <w:bCs/>
                <w:sz w:val="26"/>
                <w:szCs w:val="26"/>
                <w:rtl/>
              </w:rPr>
            </w:pPr>
            <w:r w:rsidRPr="00460399">
              <w:rPr>
                <w:rFonts w:ascii="Arial" w:hAnsi="Arial"/>
                <w:b/>
                <w:bCs/>
                <w:sz w:val="26"/>
                <w:szCs w:val="26"/>
                <w:rtl/>
              </w:rPr>
              <w:t>נגד</w:t>
            </w:r>
          </w:p>
          <w:p w14:paraId="5FF9D0E2" w14:textId="77777777" w:rsidR="001A35F7" w:rsidRPr="00460399" w:rsidRDefault="001A35F7" w:rsidP="001A35F7">
            <w:pPr>
              <w:jc w:val="both"/>
              <w:rPr>
                <w:rFonts w:ascii="Arial" w:hAnsi="Arial"/>
                <w:sz w:val="26"/>
                <w:szCs w:val="26"/>
              </w:rPr>
            </w:pPr>
          </w:p>
        </w:tc>
      </w:tr>
      <w:tr w:rsidR="001A35F7" w:rsidRPr="00460399" w14:paraId="4296B928" w14:textId="77777777" w:rsidTr="00BD1ADD">
        <w:trPr>
          <w:trHeight w:val="355"/>
          <w:jc w:val="center"/>
        </w:trPr>
        <w:tc>
          <w:tcPr>
            <w:tcW w:w="1231" w:type="dxa"/>
            <w:tcBorders>
              <w:top w:val="nil"/>
              <w:left w:val="nil"/>
              <w:bottom w:val="nil"/>
              <w:right w:val="nil"/>
            </w:tcBorders>
            <w:shd w:val="clear" w:color="auto" w:fill="auto"/>
          </w:tcPr>
          <w:p w14:paraId="662FA164" w14:textId="77777777" w:rsidR="001A35F7" w:rsidRPr="00460399" w:rsidRDefault="001A35F7" w:rsidP="00D244DE">
            <w:pPr>
              <w:rPr>
                <w:rFonts w:ascii="Arial" w:hAnsi="Arial"/>
                <w:b/>
                <w:bCs/>
                <w:sz w:val="26"/>
                <w:szCs w:val="26"/>
                <w:rtl/>
              </w:rPr>
            </w:pPr>
            <w:r w:rsidRPr="00460399">
              <w:rPr>
                <w:rFonts w:ascii="Arial" w:hAnsi="Arial" w:hint="cs"/>
                <w:b/>
                <w:bCs/>
                <w:sz w:val="26"/>
                <w:szCs w:val="26"/>
                <w:rtl/>
              </w:rPr>
              <w:t>ה</w:t>
            </w:r>
            <w:r w:rsidRPr="00460399">
              <w:rPr>
                <w:rFonts w:ascii="Arial" w:hAnsi="Arial"/>
                <w:b/>
                <w:bCs/>
                <w:sz w:val="26"/>
                <w:szCs w:val="26"/>
                <w:rtl/>
              </w:rPr>
              <w:t>נאשם</w:t>
            </w:r>
          </w:p>
        </w:tc>
        <w:tc>
          <w:tcPr>
            <w:tcW w:w="4206" w:type="dxa"/>
            <w:tcBorders>
              <w:top w:val="nil"/>
              <w:left w:val="nil"/>
              <w:bottom w:val="nil"/>
              <w:right w:val="nil"/>
            </w:tcBorders>
            <w:shd w:val="clear" w:color="auto" w:fill="auto"/>
          </w:tcPr>
          <w:p w14:paraId="4C4F611A" w14:textId="77777777" w:rsidR="001A35F7" w:rsidRPr="00460399" w:rsidRDefault="001A35F7" w:rsidP="00D244DE">
            <w:pPr>
              <w:rPr>
                <w:b/>
                <w:bCs/>
                <w:sz w:val="26"/>
                <w:szCs w:val="26"/>
                <w:rtl/>
              </w:rPr>
            </w:pPr>
            <w:r w:rsidRPr="00460399">
              <w:rPr>
                <w:rFonts w:ascii="Arial" w:hAnsi="Arial"/>
                <w:b/>
                <w:bCs/>
                <w:sz w:val="26"/>
                <w:szCs w:val="26"/>
                <w:rtl/>
              </w:rPr>
              <w:t>עודד סגל</w:t>
            </w:r>
          </w:p>
          <w:p w14:paraId="1C4D123E" w14:textId="77777777" w:rsidR="001A35F7" w:rsidRPr="00460399" w:rsidRDefault="001A35F7" w:rsidP="00D244DE">
            <w:pPr>
              <w:rPr>
                <w:sz w:val="26"/>
                <w:szCs w:val="26"/>
                <w:rtl/>
              </w:rPr>
            </w:pPr>
            <w:r w:rsidRPr="00460399">
              <w:rPr>
                <w:rFonts w:hint="cs"/>
                <w:sz w:val="26"/>
                <w:szCs w:val="26"/>
                <w:rtl/>
              </w:rPr>
              <w:t>ע"י ב"כ עו"ד עידן שני</w:t>
            </w:r>
          </w:p>
        </w:tc>
        <w:tc>
          <w:tcPr>
            <w:tcW w:w="3383" w:type="dxa"/>
            <w:tcBorders>
              <w:top w:val="nil"/>
              <w:left w:val="nil"/>
              <w:bottom w:val="nil"/>
              <w:right w:val="nil"/>
            </w:tcBorders>
            <w:shd w:val="clear" w:color="auto" w:fill="auto"/>
          </w:tcPr>
          <w:p w14:paraId="53C1884C" w14:textId="77777777" w:rsidR="001A35F7" w:rsidRPr="00460399" w:rsidRDefault="001A35F7" w:rsidP="001A35F7">
            <w:pPr>
              <w:jc w:val="right"/>
              <w:rPr>
                <w:rFonts w:ascii="Arial" w:hAnsi="Arial"/>
                <w:sz w:val="26"/>
                <w:szCs w:val="26"/>
              </w:rPr>
            </w:pPr>
          </w:p>
        </w:tc>
      </w:tr>
      <w:tr w:rsidR="001A35F7" w14:paraId="552B2599" w14:textId="77777777" w:rsidTr="001A35F7">
        <w:trPr>
          <w:trHeight w:val="355"/>
          <w:jc w:val="center"/>
        </w:trPr>
        <w:tc>
          <w:tcPr>
            <w:tcW w:w="8820" w:type="dxa"/>
            <w:gridSpan w:val="3"/>
            <w:tcBorders>
              <w:top w:val="nil"/>
              <w:left w:val="nil"/>
              <w:bottom w:val="nil"/>
              <w:right w:val="nil"/>
            </w:tcBorders>
            <w:shd w:val="clear" w:color="auto" w:fill="auto"/>
          </w:tcPr>
          <w:p w14:paraId="2B49FC70" w14:textId="77777777" w:rsidR="00BD1ADD" w:rsidRDefault="00BD1ADD" w:rsidP="00460399">
            <w:pPr>
              <w:jc w:val="center"/>
              <w:rPr>
                <w:rFonts w:ascii="Arial" w:hAnsi="Arial"/>
                <w:sz w:val="28"/>
                <w:szCs w:val="28"/>
                <w:rtl/>
              </w:rPr>
            </w:pPr>
            <w:bookmarkStart w:id="3" w:name="PsakDin" w:colFirst="0" w:colLast="0"/>
            <w:bookmarkStart w:id="4" w:name="LawTable"/>
            <w:bookmarkEnd w:id="0"/>
            <w:bookmarkEnd w:id="4"/>
          </w:p>
          <w:p w14:paraId="50662469" w14:textId="77777777" w:rsidR="00BD1ADD" w:rsidRPr="00BD1ADD" w:rsidRDefault="00BD1ADD" w:rsidP="00BD1ADD">
            <w:pPr>
              <w:spacing w:after="120" w:line="240" w:lineRule="exact"/>
              <w:ind w:left="283" w:hanging="283"/>
              <w:jc w:val="both"/>
              <w:rPr>
                <w:rFonts w:ascii="FrankRuehl" w:hAnsi="FrankRuehl" w:cs="FrankRuehl"/>
                <w:rtl/>
              </w:rPr>
            </w:pPr>
          </w:p>
          <w:p w14:paraId="798FB42C" w14:textId="77777777" w:rsidR="00BD1ADD" w:rsidRPr="00BD1ADD" w:rsidRDefault="00BD1ADD" w:rsidP="00BD1ADD">
            <w:pPr>
              <w:spacing w:after="120" w:line="240" w:lineRule="exact"/>
              <w:ind w:left="283" w:hanging="283"/>
              <w:jc w:val="both"/>
              <w:rPr>
                <w:rFonts w:ascii="FrankRuehl" w:hAnsi="FrankRuehl" w:cs="FrankRuehl"/>
                <w:rtl/>
              </w:rPr>
            </w:pPr>
            <w:r w:rsidRPr="00BD1ADD">
              <w:rPr>
                <w:rFonts w:ascii="FrankRuehl" w:hAnsi="FrankRuehl" w:cs="FrankRuehl"/>
                <w:rtl/>
              </w:rPr>
              <w:t xml:space="preserve">חקיקה שאוזכרה: </w:t>
            </w:r>
          </w:p>
          <w:p w14:paraId="18FFE8A2" w14:textId="77777777" w:rsidR="00BD1ADD" w:rsidRPr="00BD1ADD" w:rsidRDefault="00BD1ADD" w:rsidP="00BD1ADD">
            <w:pPr>
              <w:spacing w:after="120" w:line="240" w:lineRule="exact"/>
              <w:ind w:left="283" w:hanging="283"/>
              <w:jc w:val="both"/>
              <w:rPr>
                <w:rFonts w:ascii="FrankRuehl" w:hAnsi="FrankRuehl" w:cs="FrankRuehl"/>
                <w:rtl/>
              </w:rPr>
            </w:pPr>
            <w:hyperlink r:id="rId7" w:history="1">
              <w:r w:rsidRPr="00BD1ADD">
                <w:rPr>
                  <w:rFonts w:ascii="FrankRuehl" w:hAnsi="FrankRuehl" w:cs="FrankRuehl"/>
                  <w:color w:val="0000FF"/>
                  <w:u w:val="single"/>
                  <w:rtl/>
                </w:rPr>
                <w:t>פקודת הסמים המסוכנים [נוסח חדש], תשל"ג-1973</w:t>
              </w:r>
            </w:hyperlink>
            <w:r w:rsidRPr="00BD1ADD">
              <w:rPr>
                <w:rFonts w:ascii="FrankRuehl" w:hAnsi="FrankRuehl" w:cs="FrankRuehl"/>
                <w:rtl/>
              </w:rPr>
              <w:t xml:space="preserve">: סע'  </w:t>
            </w:r>
            <w:hyperlink r:id="rId8" w:history="1">
              <w:r w:rsidRPr="00BD1ADD">
                <w:rPr>
                  <w:rFonts w:ascii="FrankRuehl" w:hAnsi="FrankRuehl" w:cs="FrankRuehl"/>
                  <w:color w:val="0000FF"/>
                  <w:u w:val="single"/>
                  <w:rtl/>
                </w:rPr>
                <w:t>7(א)</w:t>
              </w:r>
            </w:hyperlink>
            <w:r w:rsidRPr="00BD1ADD">
              <w:rPr>
                <w:rFonts w:ascii="FrankRuehl" w:hAnsi="FrankRuehl" w:cs="FrankRuehl"/>
                <w:rtl/>
              </w:rPr>
              <w:t xml:space="preserve">, </w:t>
            </w:r>
            <w:hyperlink r:id="rId9" w:history="1">
              <w:r w:rsidRPr="00BD1ADD">
                <w:rPr>
                  <w:rFonts w:ascii="FrankRuehl" w:hAnsi="FrankRuehl" w:cs="FrankRuehl"/>
                  <w:color w:val="0000FF"/>
                  <w:u w:val="single"/>
                  <w:rtl/>
                </w:rPr>
                <w:t>7(ג)</w:t>
              </w:r>
            </w:hyperlink>
            <w:r w:rsidRPr="00BD1ADD">
              <w:rPr>
                <w:rFonts w:ascii="FrankRuehl" w:hAnsi="FrankRuehl" w:cs="FrankRuehl"/>
                <w:rtl/>
              </w:rPr>
              <w:t xml:space="preserve">, </w:t>
            </w:r>
            <w:hyperlink r:id="rId10" w:history="1">
              <w:r w:rsidRPr="00BD1ADD">
                <w:rPr>
                  <w:rFonts w:ascii="FrankRuehl" w:hAnsi="FrankRuehl" w:cs="FrankRuehl"/>
                  <w:color w:val="0000FF"/>
                  <w:u w:val="single"/>
                  <w:rtl/>
                </w:rPr>
                <w:t>10</w:t>
              </w:r>
            </w:hyperlink>
            <w:r w:rsidRPr="00BD1ADD">
              <w:rPr>
                <w:rFonts w:ascii="FrankRuehl" w:hAnsi="FrankRuehl" w:cs="FrankRuehl"/>
                <w:rtl/>
              </w:rPr>
              <w:t xml:space="preserve">, </w:t>
            </w:r>
            <w:hyperlink r:id="rId11" w:history="1">
              <w:r w:rsidRPr="00BD1ADD">
                <w:rPr>
                  <w:rFonts w:ascii="FrankRuehl" w:hAnsi="FrankRuehl" w:cs="FrankRuehl"/>
                  <w:color w:val="0000FF"/>
                  <w:u w:val="single"/>
                  <w:rtl/>
                </w:rPr>
                <w:t>13</w:t>
              </w:r>
            </w:hyperlink>
            <w:r w:rsidRPr="00BD1ADD">
              <w:rPr>
                <w:rFonts w:ascii="FrankRuehl" w:hAnsi="FrankRuehl" w:cs="FrankRuehl"/>
                <w:rtl/>
              </w:rPr>
              <w:t xml:space="preserve">, </w:t>
            </w:r>
            <w:hyperlink r:id="rId12" w:history="1">
              <w:r w:rsidRPr="00BD1ADD">
                <w:rPr>
                  <w:rFonts w:ascii="FrankRuehl" w:hAnsi="FrankRuehl" w:cs="FrankRuehl"/>
                  <w:color w:val="0000FF"/>
                  <w:u w:val="single"/>
                  <w:rtl/>
                </w:rPr>
                <w:t>19 א'</w:t>
              </w:r>
            </w:hyperlink>
          </w:p>
          <w:p w14:paraId="2C8C5104" w14:textId="77777777" w:rsidR="00BD1ADD" w:rsidRPr="00BD1ADD" w:rsidRDefault="00BD1ADD" w:rsidP="00BD1ADD">
            <w:pPr>
              <w:spacing w:after="120" w:line="240" w:lineRule="exact"/>
              <w:ind w:left="283" w:hanging="283"/>
              <w:jc w:val="both"/>
              <w:rPr>
                <w:rFonts w:ascii="FrankRuehl" w:hAnsi="FrankRuehl" w:cs="FrankRuehl"/>
                <w:rtl/>
              </w:rPr>
            </w:pPr>
          </w:p>
          <w:p w14:paraId="1E0CC8D8" w14:textId="77777777" w:rsidR="00BD1ADD" w:rsidRPr="00BD1ADD" w:rsidRDefault="00BD1ADD" w:rsidP="00460399">
            <w:pPr>
              <w:jc w:val="center"/>
              <w:rPr>
                <w:rFonts w:ascii="Arial" w:hAnsi="Arial"/>
                <w:sz w:val="28"/>
                <w:szCs w:val="28"/>
                <w:rtl/>
              </w:rPr>
            </w:pPr>
            <w:bookmarkStart w:id="5" w:name="LawTable_End"/>
            <w:bookmarkEnd w:id="5"/>
          </w:p>
          <w:p w14:paraId="6B81B765" w14:textId="77777777" w:rsidR="00460399" w:rsidRPr="00460399" w:rsidRDefault="00460399" w:rsidP="00460399">
            <w:pPr>
              <w:jc w:val="center"/>
              <w:rPr>
                <w:rFonts w:ascii="Arial" w:hAnsi="Arial"/>
                <w:b/>
                <w:bCs/>
                <w:sz w:val="28"/>
                <w:szCs w:val="28"/>
                <w:u w:val="single"/>
                <w:rtl/>
              </w:rPr>
            </w:pPr>
            <w:r w:rsidRPr="00460399">
              <w:rPr>
                <w:rFonts w:ascii="Arial" w:hAnsi="Arial"/>
                <w:b/>
                <w:bCs/>
                <w:sz w:val="28"/>
                <w:szCs w:val="28"/>
                <w:u w:val="single"/>
                <w:rtl/>
              </w:rPr>
              <w:t>גזר דין</w:t>
            </w:r>
          </w:p>
          <w:p w14:paraId="6A658EFB" w14:textId="77777777" w:rsidR="001A35F7" w:rsidRPr="00460399" w:rsidRDefault="001A35F7" w:rsidP="00460399">
            <w:pPr>
              <w:jc w:val="center"/>
              <w:rPr>
                <w:rFonts w:ascii="Arial" w:hAnsi="Arial"/>
                <w:bCs/>
                <w:sz w:val="28"/>
                <w:szCs w:val="28"/>
                <w:u w:val="single"/>
                <w:rtl/>
              </w:rPr>
            </w:pPr>
          </w:p>
        </w:tc>
      </w:tr>
      <w:bookmarkEnd w:id="3"/>
    </w:tbl>
    <w:p w14:paraId="734E466E" w14:textId="77777777" w:rsidR="001A35F7" w:rsidRDefault="001A35F7" w:rsidP="001A35F7">
      <w:pPr>
        <w:rPr>
          <w:rFonts w:ascii="Arial" w:hAnsi="Arial"/>
          <w:rtl/>
        </w:rPr>
      </w:pPr>
    </w:p>
    <w:p w14:paraId="1CF0E0BA" w14:textId="77777777" w:rsidR="001A35F7" w:rsidRPr="00DB0461" w:rsidRDefault="001A35F7" w:rsidP="001A35F7">
      <w:pPr>
        <w:spacing w:line="360" w:lineRule="auto"/>
        <w:jc w:val="both"/>
        <w:rPr>
          <w:rFonts w:ascii="Arial" w:hAnsi="Arial"/>
          <w:b/>
          <w:bCs/>
          <w:u w:val="single"/>
          <w:rtl/>
        </w:rPr>
      </w:pPr>
      <w:r w:rsidRPr="00DB0461">
        <w:rPr>
          <w:rFonts w:ascii="Arial" w:hAnsi="Arial" w:hint="cs"/>
          <w:b/>
          <w:bCs/>
          <w:u w:val="single"/>
          <w:rtl/>
        </w:rPr>
        <w:t>השתלשלות ההליך:</w:t>
      </w:r>
    </w:p>
    <w:p w14:paraId="5FE9EF4C" w14:textId="77777777" w:rsidR="001A35F7" w:rsidRDefault="001A35F7" w:rsidP="001A35F7">
      <w:pPr>
        <w:pStyle w:val="a9"/>
        <w:numPr>
          <w:ilvl w:val="0"/>
          <w:numId w:val="1"/>
        </w:numPr>
        <w:spacing w:line="360" w:lineRule="auto"/>
        <w:ind w:left="360"/>
        <w:jc w:val="both"/>
        <w:rPr>
          <w:rFonts w:ascii="Arial" w:hAnsi="Arial"/>
        </w:rPr>
      </w:pPr>
      <w:r>
        <w:rPr>
          <w:rFonts w:ascii="Arial" w:hAnsi="Arial" w:hint="cs"/>
          <w:rtl/>
        </w:rPr>
        <w:t>ביום 27.2.2018, במסגרת הסדר טיעון דיוני ללא הסכמה עונשית, הודה הנאשם בכתב אישום מתוקן והורשע בעבירות הבאות:</w:t>
      </w:r>
    </w:p>
    <w:p w14:paraId="2C8E2B80" w14:textId="77777777" w:rsidR="001A35F7" w:rsidRDefault="001A35F7" w:rsidP="001A35F7">
      <w:pPr>
        <w:pStyle w:val="a9"/>
        <w:numPr>
          <w:ilvl w:val="0"/>
          <w:numId w:val="2"/>
        </w:numPr>
        <w:spacing w:line="360" w:lineRule="auto"/>
        <w:ind w:left="1080"/>
        <w:jc w:val="both"/>
        <w:rPr>
          <w:rFonts w:ascii="Arial" w:hAnsi="Arial"/>
        </w:rPr>
      </w:pPr>
      <w:r>
        <w:rPr>
          <w:rFonts w:ascii="Arial" w:hAnsi="Arial" w:hint="cs"/>
          <w:rtl/>
        </w:rPr>
        <w:t xml:space="preserve">סחר בסם מסוכן, לפי </w:t>
      </w:r>
      <w:hyperlink r:id="rId13" w:history="1">
        <w:r w:rsidR="005B7F79" w:rsidRPr="005B7F79">
          <w:rPr>
            <w:rFonts w:ascii="Arial" w:hAnsi="Arial"/>
            <w:color w:val="0000FF"/>
            <w:u w:val="single"/>
            <w:rtl/>
          </w:rPr>
          <w:t>סעיף 13</w:t>
        </w:r>
      </w:hyperlink>
      <w:r>
        <w:rPr>
          <w:rFonts w:ascii="Arial" w:hAnsi="Arial" w:hint="cs"/>
          <w:rtl/>
        </w:rPr>
        <w:t xml:space="preserve"> בצירוף  </w:t>
      </w:r>
      <w:hyperlink r:id="rId14" w:history="1">
        <w:r w:rsidR="005B7F79" w:rsidRPr="005B7F79">
          <w:rPr>
            <w:rFonts w:ascii="Arial" w:hAnsi="Arial"/>
            <w:color w:val="0000FF"/>
            <w:u w:val="single"/>
            <w:rtl/>
          </w:rPr>
          <w:t>19 א'</w:t>
        </w:r>
      </w:hyperlink>
      <w:r>
        <w:rPr>
          <w:rFonts w:ascii="Arial" w:hAnsi="Arial" w:hint="cs"/>
          <w:rtl/>
        </w:rPr>
        <w:t xml:space="preserve"> לפקודה הנ"ל (14 עבירות);</w:t>
      </w:r>
    </w:p>
    <w:p w14:paraId="65278EC3" w14:textId="77777777" w:rsidR="001A35F7" w:rsidRDefault="001A35F7" w:rsidP="001A35F7">
      <w:pPr>
        <w:pStyle w:val="a9"/>
        <w:numPr>
          <w:ilvl w:val="0"/>
          <w:numId w:val="2"/>
        </w:numPr>
        <w:spacing w:line="360" w:lineRule="auto"/>
        <w:ind w:left="1080"/>
        <w:jc w:val="both"/>
        <w:rPr>
          <w:rFonts w:ascii="Arial" w:hAnsi="Arial"/>
        </w:rPr>
      </w:pPr>
      <w:r>
        <w:rPr>
          <w:rFonts w:ascii="Arial" w:hAnsi="Arial" w:hint="cs"/>
          <w:rtl/>
        </w:rPr>
        <w:t xml:space="preserve">החזקת סם מסוכן שלא לצריכה עצמית, לפי </w:t>
      </w:r>
      <w:hyperlink r:id="rId15" w:history="1">
        <w:r w:rsidR="005B7F79" w:rsidRPr="005B7F79">
          <w:rPr>
            <w:rFonts w:ascii="Arial" w:hAnsi="Arial"/>
            <w:color w:val="0000FF"/>
            <w:u w:val="single"/>
            <w:rtl/>
          </w:rPr>
          <w:t>סעיף 7(א)</w:t>
        </w:r>
      </w:hyperlink>
      <w:r>
        <w:rPr>
          <w:rFonts w:ascii="Arial" w:hAnsi="Arial" w:hint="cs"/>
          <w:rtl/>
        </w:rPr>
        <w:t xml:space="preserve"> בצירוף </w:t>
      </w:r>
      <w:hyperlink r:id="rId16" w:history="1">
        <w:r w:rsidR="005B7F79" w:rsidRPr="005B7F79">
          <w:rPr>
            <w:rFonts w:ascii="Arial" w:hAnsi="Arial"/>
            <w:color w:val="0000FF"/>
            <w:u w:val="single"/>
            <w:rtl/>
          </w:rPr>
          <w:t>7(ג)</w:t>
        </w:r>
      </w:hyperlink>
      <w:r>
        <w:rPr>
          <w:rFonts w:ascii="Arial" w:hAnsi="Arial" w:hint="cs"/>
          <w:rtl/>
        </w:rPr>
        <w:t xml:space="preserve"> רישא ל</w:t>
      </w:r>
      <w:hyperlink r:id="rId17" w:history="1">
        <w:r w:rsidR="00460399" w:rsidRPr="00460399">
          <w:rPr>
            <w:rFonts w:ascii="Arial" w:hAnsi="Arial"/>
            <w:color w:val="0000FF"/>
            <w:u w:val="single"/>
            <w:rtl/>
          </w:rPr>
          <w:t>פקודת הסמים המסוכנים</w:t>
        </w:r>
      </w:hyperlink>
      <w:r>
        <w:rPr>
          <w:rFonts w:ascii="Arial" w:hAnsi="Arial" w:hint="cs"/>
          <w:rtl/>
        </w:rPr>
        <w:t xml:space="preserve"> [נוסח חדש], תשל"ג-1973 (שתי עבירות);</w:t>
      </w:r>
    </w:p>
    <w:p w14:paraId="399CB0B2" w14:textId="77777777" w:rsidR="001A35F7" w:rsidRDefault="001A35F7" w:rsidP="001A35F7">
      <w:pPr>
        <w:pStyle w:val="a9"/>
        <w:numPr>
          <w:ilvl w:val="0"/>
          <w:numId w:val="2"/>
        </w:numPr>
        <w:spacing w:line="360" w:lineRule="auto"/>
        <w:ind w:left="1080"/>
        <w:jc w:val="both"/>
        <w:rPr>
          <w:rFonts w:ascii="Arial" w:hAnsi="Arial"/>
        </w:rPr>
      </w:pPr>
      <w:r>
        <w:rPr>
          <w:rFonts w:ascii="Arial" w:hAnsi="Arial" w:hint="cs"/>
          <w:rtl/>
        </w:rPr>
        <w:t xml:space="preserve">החזקת כלים להכנת סם שלא לצריכה עצמית, לפי </w:t>
      </w:r>
      <w:hyperlink r:id="rId18" w:history="1">
        <w:r w:rsidR="005B7F79" w:rsidRPr="005B7F79">
          <w:rPr>
            <w:rFonts w:ascii="Arial" w:hAnsi="Arial"/>
            <w:color w:val="0000FF"/>
            <w:u w:val="single"/>
            <w:rtl/>
          </w:rPr>
          <w:t>סעיף 10</w:t>
        </w:r>
      </w:hyperlink>
      <w:r>
        <w:rPr>
          <w:rFonts w:ascii="Arial" w:hAnsi="Arial" w:hint="cs"/>
          <w:rtl/>
        </w:rPr>
        <w:t xml:space="preserve"> רישא לפקודה הנ"ל;</w:t>
      </w:r>
    </w:p>
    <w:p w14:paraId="4B337F0B" w14:textId="77777777" w:rsidR="001A35F7" w:rsidRDefault="001A35F7" w:rsidP="001A35F7">
      <w:pPr>
        <w:pStyle w:val="a9"/>
        <w:numPr>
          <w:ilvl w:val="0"/>
          <w:numId w:val="1"/>
        </w:numPr>
        <w:spacing w:line="360" w:lineRule="auto"/>
        <w:ind w:left="360"/>
        <w:jc w:val="both"/>
      </w:pPr>
      <w:r>
        <w:rPr>
          <w:rFonts w:hint="cs"/>
          <w:rtl/>
        </w:rPr>
        <w:t>לפי המוסכם, הופנה הנאשם לשירות המבחן ונערכו בעניינו שני תסקירים, מהימים 12.0.18 ו-13.01.19: שירות המבחן התרשם שהנאשם ממזער את משמעות מעשיו, מקל בראש בחומרתם, ומכחיש בעייתיות המצריכה טיפול. השירות נמנע מהמלצה טיפולית ומצא צורך בענישה קונקרטית של מאסר בעבודות שירות.</w:t>
      </w:r>
    </w:p>
    <w:p w14:paraId="119DB5CC" w14:textId="77777777" w:rsidR="001A35F7" w:rsidRDefault="001A35F7" w:rsidP="001A35F7">
      <w:pPr>
        <w:pStyle w:val="a9"/>
        <w:numPr>
          <w:ilvl w:val="0"/>
          <w:numId w:val="1"/>
        </w:numPr>
        <w:spacing w:line="360" w:lineRule="auto"/>
        <w:ind w:left="360"/>
        <w:jc w:val="both"/>
      </w:pPr>
      <w:r>
        <w:rPr>
          <w:rFonts w:hint="cs"/>
          <w:rtl/>
        </w:rPr>
        <w:t>ביום 30.01.19 טענו הצדדים לעונש:</w:t>
      </w:r>
    </w:p>
    <w:p w14:paraId="6A53FCB1" w14:textId="77777777" w:rsidR="001A35F7" w:rsidRDefault="001A35F7" w:rsidP="001A35F7">
      <w:pPr>
        <w:pStyle w:val="a9"/>
        <w:spacing w:line="360" w:lineRule="auto"/>
        <w:ind w:left="360"/>
        <w:jc w:val="both"/>
        <w:rPr>
          <w:rtl/>
        </w:rPr>
      </w:pPr>
      <w:r>
        <w:rPr>
          <w:rFonts w:hint="cs"/>
          <w:rtl/>
        </w:rPr>
        <w:t>התביעה טענה למתחמי ענישה של שישה עד שנים-עשר חודשי מאסר, כעונש עיקרי, לכל אישום פרט לאישום הראשון, שלגביו טענה למתחם של שמונה עד שמונה-עשר חודשי מאסר, כעונש עיקרי. התביעה עתרה לעונש כולל של מאסר למשך שנתיים ולצידו מאסר מותנה, קנס ופסילה מלנהוג.</w:t>
      </w:r>
    </w:p>
    <w:p w14:paraId="33120B3C" w14:textId="77777777" w:rsidR="001A35F7" w:rsidRDefault="001A35F7" w:rsidP="001A35F7">
      <w:pPr>
        <w:pStyle w:val="a9"/>
        <w:spacing w:line="360" w:lineRule="auto"/>
        <w:ind w:left="360"/>
        <w:jc w:val="both"/>
        <w:rPr>
          <w:rtl/>
        </w:rPr>
      </w:pPr>
      <w:r>
        <w:rPr>
          <w:rFonts w:hint="cs"/>
          <w:rtl/>
        </w:rPr>
        <w:lastRenderedPageBreak/>
        <w:t>ההגנה עתרה לענישה שיקומית שלא תחמיר מעבר לריצוי מאסר בעבודות שירות.</w:t>
      </w:r>
    </w:p>
    <w:p w14:paraId="5645DD14" w14:textId="77777777" w:rsidR="001A35F7" w:rsidRDefault="001A35F7" w:rsidP="001A35F7">
      <w:pPr>
        <w:pStyle w:val="a9"/>
        <w:numPr>
          <w:ilvl w:val="0"/>
          <w:numId w:val="1"/>
        </w:numPr>
        <w:spacing w:line="360" w:lineRule="auto"/>
        <w:ind w:left="360"/>
        <w:jc w:val="both"/>
        <w:rPr>
          <w:rtl/>
        </w:rPr>
      </w:pPr>
      <w:r>
        <w:rPr>
          <w:rFonts w:hint="cs"/>
          <w:rtl/>
        </w:rPr>
        <w:t>לאחר הטיעונים לעונש, לבקשת התביעה ובהיעדר התנגדות ההגנה, קבעתי כי הנאשם הינו 'סוחר סמים' לפי פקודת הסמים הנ"ל.</w:t>
      </w:r>
    </w:p>
    <w:p w14:paraId="513F31C4" w14:textId="77777777" w:rsidR="001A35F7" w:rsidRDefault="001A35F7" w:rsidP="001A35F7">
      <w:pPr>
        <w:spacing w:line="360" w:lineRule="auto"/>
        <w:jc w:val="both"/>
        <w:rPr>
          <w:rtl/>
        </w:rPr>
      </w:pPr>
    </w:p>
    <w:p w14:paraId="0064FC75" w14:textId="77777777" w:rsidR="001A35F7" w:rsidRPr="00794AF3" w:rsidRDefault="001A35F7" w:rsidP="001A35F7">
      <w:pPr>
        <w:spacing w:line="360" w:lineRule="auto"/>
        <w:jc w:val="both"/>
        <w:rPr>
          <w:b/>
          <w:bCs/>
          <w:u w:val="single"/>
          <w:rtl/>
        </w:rPr>
      </w:pPr>
      <w:r w:rsidRPr="00794AF3">
        <w:rPr>
          <w:rFonts w:hint="cs"/>
          <w:b/>
          <w:bCs/>
          <w:u w:val="single"/>
          <w:rtl/>
        </w:rPr>
        <w:t xml:space="preserve">מעשי הנאשם: </w:t>
      </w:r>
    </w:p>
    <w:p w14:paraId="3D35B639" w14:textId="77777777" w:rsidR="001A35F7" w:rsidRDefault="001A35F7" w:rsidP="001A35F7">
      <w:pPr>
        <w:pStyle w:val="a9"/>
        <w:numPr>
          <w:ilvl w:val="0"/>
          <w:numId w:val="3"/>
        </w:numPr>
        <w:spacing w:line="360" w:lineRule="auto"/>
        <w:ind w:left="360"/>
        <w:jc w:val="both"/>
      </w:pPr>
      <w:r>
        <w:rPr>
          <w:rFonts w:hint="cs"/>
          <w:rtl/>
        </w:rPr>
        <w:t>בתקופה הרלבנטית עבד הנאשם כיחצן של מועדונים, ובמשך מספר חודשים החל מסוף שנת 2015, סחר בסמים באיזור תל-אביב. ככלל, היה הנאשם מקבל מלקוחות מסרונים ובהם פירוט של סוג וכמות הסם המבוקשת, קובע עם הלקוחות את מקום ומועד ביצוע עסקת הסם, מגיע למפגש על קטנועו ומוסר ללקוחות קנבוס במחיר של מאה ₪ לגרם, לאחר שחילק את הסם לשקיות קטנות לפי רצון הלקוח [חלק כללי].</w:t>
      </w:r>
    </w:p>
    <w:p w14:paraId="509C7882" w14:textId="77777777" w:rsidR="001A35F7" w:rsidRDefault="001A35F7" w:rsidP="001A35F7">
      <w:pPr>
        <w:pStyle w:val="a9"/>
        <w:numPr>
          <w:ilvl w:val="0"/>
          <w:numId w:val="3"/>
        </w:numPr>
        <w:spacing w:line="360" w:lineRule="auto"/>
        <w:ind w:left="360"/>
        <w:jc w:val="both"/>
      </w:pPr>
      <w:r>
        <w:rPr>
          <w:rFonts w:hint="cs"/>
          <w:rtl/>
        </w:rPr>
        <w:t>מכירות לקונה מר ע.מ. [אישום שני]:</w:t>
      </w:r>
    </w:p>
    <w:p w14:paraId="1DC7E640" w14:textId="77777777" w:rsidR="001A35F7" w:rsidRDefault="001A35F7" w:rsidP="001A35F7">
      <w:pPr>
        <w:spacing w:line="360" w:lineRule="auto"/>
        <w:ind w:left="360"/>
        <w:jc w:val="both"/>
      </w:pPr>
      <w:r>
        <w:rPr>
          <w:rFonts w:hint="cs"/>
          <w:rtl/>
        </w:rPr>
        <w:t>מדצמבר 2015 ועד לפברואר 2016, במספר מועדים שונים, סחר הנאשם במריחואנה, אותם מכר לקונה בדרך האמורה לעיל, וגבה ממנו 90 ₪ לגרם מריחואנה. המכירות שמועדיהן ידועים מסתכמות ב-59 גרם מריחואנה:</w:t>
      </w:r>
    </w:p>
    <w:p w14:paraId="18D8E29E" w14:textId="77777777" w:rsidR="001A35F7" w:rsidRDefault="001A35F7" w:rsidP="001A35F7">
      <w:pPr>
        <w:pStyle w:val="a9"/>
        <w:numPr>
          <w:ilvl w:val="1"/>
          <w:numId w:val="3"/>
        </w:numPr>
        <w:spacing w:line="360" w:lineRule="auto"/>
        <w:ind w:left="1080"/>
        <w:jc w:val="both"/>
      </w:pPr>
      <w:r>
        <w:rPr>
          <w:rFonts w:hint="cs"/>
          <w:rtl/>
        </w:rPr>
        <w:t xml:space="preserve">29.12.15 </w:t>
      </w:r>
      <w:r>
        <w:rPr>
          <w:rtl/>
        </w:rPr>
        <w:t>–</w:t>
      </w:r>
      <w:r>
        <w:rPr>
          <w:rFonts w:hint="cs"/>
          <w:rtl/>
        </w:rPr>
        <w:t xml:space="preserve"> 10 גרם;</w:t>
      </w:r>
    </w:p>
    <w:p w14:paraId="537A982C" w14:textId="77777777" w:rsidR="001A35F7" w:rsidRDefault="001A35F7" w:rsidP="001A35F7">
      <w:pPr>
        <w:pStyle w:val="a9"/>
        <w:numPr>
          <w:ilvl w:val="1"/>
          <w:numId w:val="3"/>
        </w:numPr>
        <w:spacing w:line="360" w:lineRule="auto"/>
        <w:ind w:left="1080"/>
        <w:jc w:val="both"/>
      </w:pPr>
      <w:r>
        <w:rPr>
          <w:rFonts w:hint="cs"/>
          <w:rtl/>
        </w:rPr>
        <w:t xml:space="preserve">05.01.16 </w:t>
      </w:r>
      <w:r>
        <w:rPr>
          <w:rtl/>
        </w:rPr>
        <w:t>–</w:t>
      </w:r>
      <w:r>
        <w:rPr>
          <w:rFonts w:hint="cs"/>
          <w:rtl/>
        </w:rPr>
        <w:t xml:space="preserve"> 15 גרם;</w:t>
      </w:r>
    </w:p>
    <w:p w14:paraId="212CA27C" w14:textId="77777777" w:rsidR="001A35F7" w:rsidRDefault="001A35F7" w:rsidP="001A35F7">
      <w:pPr>
        <w:pStyle w:val="a9"/>
        <w:numPr>
          <w:ilvl w:val="1"/>
          <w:numId w:val="3"/>
        </w:numPr>
        <w:spacing w:line="360" w:lineRule="auto"/>
        <w:ind w:left="1080"/>
        <w:jc w:val="both"/>
      </w:pPr>
      <w:r>
        <w:rPr>
          <w:rFonts w:hint="cs"/>
          <w:rtl/>
        </w:rPr>
        <w:t xml:space="preserve">07.01.16 </w:t>
      </w:r>
      <w:r>
        <w:rPr>
          <w:rtl/>
        </w:rPr>
        <w:t>–</w:t>
      </w:r>
      <w:r>
        <w:rPr>
          <w:rFonts w:hint="cs"/>
          <w:rtl/>
        </w:rPr>
        <w:t xml:space="preserve"> 13 גרם;</w:t>
      </w:r>
    </w:p>
    <w:p w14:paraId="486221FF" w14:textId="77777777" w:rsidR="001A35F7" w:rsidRDefault="001A35F7" w:rsidP="001A35F7">
      <w:pPr>
        <w:pStyle w:val="a9"/>
        <w:numPr>
          <w:ilvl w:val="1"/>
          <w:numId w:val="3"/>
        </w:numPr>
        <w:spacing w:line="360" w:lineRule="auto"/>
        <w:ind w:left="1080"/>
        <w:jc w:val="both"/>
      </w:pPr>
      <w:r>
        <w:rPr>
          <w:rFonts w:hint="cs"/>
          <w:rtl/>
        </w:rPr>
        <w:t xml:space="preserve">20.01.16 </w:t>
      </w:r>
      <w:r>
        <w:rPr>
          <w:rtl/>
        </w:rPr>
        <w:t>–</w:t>
      </w:r>
      <w:r>
        <w:rPr>
          <w:rFonts w:hint="cs"/>
          <w:rtl/>
        </w:rPr>
        <w:t xml:space="preserve"> גרם אחד;</w:t>
      </w:r>
    </w:p>
    <w:p w14:paraId="77BF2141" w14:textId="77777777" w:rsidR="001A35F7" w:rsidRDefault="001A35F7" w:rsidP="001A35F7">
      <w:pPr>
        <w:pStyle w:val="a9"/>
        <w:numPr>
          <w:ilvl w:val="1"/>
          <w:numId w:val="3"/>
        </w:numPr>
        <w:spacing w:line="360" w:lineRule="auto"/>
        <w:ind w:left="1080"/>
        <w:jc w:val="both"/>
      </w:pPr>
      <w:r>
        <w:rPr>
          <w:rFonts w:hint="cs"/>
          <w:rtl/>
        </w:rPr>
        <w:t xml:space="preserve">31.01.16 </w:t>
      </w:r>
      <w:r>
        <w:rPr>
          <w:rtl/>
        </w:rPr>
        <w:t>–</w:t>
      </w:r>
      <w:r>
        <w:rPr>
          <w:rFonts w:hint="cs"/>
          <w:rtl/>
        </w:rPr>
        <w:t xml:space="preserve"> 15 גרם, התמורה לא שולמה;</w:t>
      </w:r>
    </w:p>
    <w:p w14:paraId="7A6BB0D9" w14:textId="77777777" w:rsidR="001A35F7" w:rsidRDefault="001A35F7" w:rsidP="001A35F7">
      <w:pPr>
        <w:pStyle w:val="a9"/>
        <w:numPr>
          <w:ilvl w:val="1"/>
          <w:numId w:val="3"/>
        </w:numPr>
        <w:spacing w:line="360" w:lineRule="auto"/>
        <w:ind w:left="1080"/>
        <w:jc w:val="both"/>
      </w:pPr>
      <w:r>
        <w:rPr>
          <w:rFonts w:hint="cs"/>
          <w:rtl/>
        </w:rPr>
        <w:t xml:space="preserve">4.2.16 </w:t>
      </w:r>
      <w:r>
        <w:rPr>
          <w:rtl/>
        </w:rPr>
        <w:t>–</w:t>
      </w:r>
      <w:r>
        <w:rPr>
          <w:rFonts w:hint="cs"/>
          <w:rtl/>
        </w:rPr>
        <w:t xml:space="preserve"> 5 גרם מריחואנה, התמורה לא שולמה;</w:t>
      </w:r>
    </w:p>
    <w:p w14:paraId="106C66F3" w14:textId="77777777" w:rsidR="001A35F7" w:rsidRDefault="001A35F7" w:rsidP="001A35F7">
      <w:pPr>
        <w:pStyle w:val="a9"/>
        <w:numPr>
          <w:ilvl w:val="0"/>
          <w:numId w:val="3"/>
        </w:numPr>
        <w:spacing w:line="360" w:lineRule="auto"/>
        <w:ind w:left="360"/>
        <w:jc w:val="both"/>
      </w:pPr>
      <w:r>
        <w:rPr>
          <w:rFonts w:hint="cs"/>
          <w:rtl/>
        </w:rPr>
        <w:t>ביום 10.1.16 מכר הנאשם לקונה מר ש.פ. 5 גרם מריחואנה, מחולקים לשקיות, תמורת 500 ₪. [אישום שלישי].</w:t>
      </w:r>
    </w:p>
    <w:p w14:paraId="29B64455" w14:textId="77777777" w:rsidR="001A35F7" w:rsidRDefault="001A35F7" w:rsidP="001A35F7">
      <w:pPr>
        <w:pStyle w:val="a9"/>
        <w:numPr>
          <w:ilvl w:val="0"/>
          <w:numId w:val="3"/>
        </w:numPr>
        <w:spacing w:line="360" w:lineRule="auto"/>
        <w:ind w:left="360"/>
        <w:jc w:val="both"/>
      </w:pPr>
      <w:r>
        <w:rPr>
          <w:rFonts w:hint="cs"/>
          <w:rtl/>
        </w:rPr>
        <w:t>מכירות לקונָה גב' ר.ב.ב [אישום רביעי]:</w:t>
      </w:r>
    </w:p>
    <w:p w14:paraId="5068325E" w14:textId="77777777" w:rsidR="001A35F7" w:rsidRDefault="001A35F7" w:rsidP="001A35F7">
      <w:pPr>
        <w:spacing w:line="360" w:lineRule="auto"/>
        <w:ind w:left="360"/>
        <w:jc w:val="both"/>
      </w:pPr>
      <w:r>
        <w:rPr>
          <w:rFonts w:hint="cs"/>
          <w:rtl/>
        </w:rPr>
        <w:t>במהלך ינואר 2016, מכר הנאשם לקונה בשלושה מועדים שונים 5 גרם מריחואנה תמורת כסף, אך למעשה קיבל הנאשם את התמורה רק פעם אחת. סך הכל מכר הנאשם לקונה 15 גרם מריחואנה.</w:t>
      </w:r>
    </w:p>
    <w:p w14:paraId="4861108C" w14:textId="77777777" w:rsidR="001A35F7" w:rsidRDefault="001A35F7" w:rsidP="001A35F7">
      <w:pPr>
        <w:pStyle w:val="a9"/>
        <w:numPr>
          <w:ilvl w:val="0"/>
          <w:numId w:val="3"/>
        </w:numPr>
        <w:spacing w:line="360" w:lineRule="auto"/>
        <w:ind w:left="360"/>
        <w:jc w:val="both"/>
      </w:pPr>
      <w:r>
        <w:rPr>
          <w:rFonts w:hint="cs"/>
          <w:rtl/>
        </w:rPr>
        <w:t>מכירות לקונָה גב' ר.ל.ל. [אישום חמישי]:</w:t>
      </w:r>
    </w:p>
    <w:p w14:paraId="4EC4A0E0" w14:textId="77777777" w:rsidR="001A35F7" w:rsidRDefault="001A35F7" w:rsidP="001A35F7">
      <w:pPr>
        <w:spacing w:line="360" w:lineRule="auto"/>
        <w:ind w:left="360"/>
        <w:jc w:val="both"/>
        <w:rPr>
          <w:rtl/>
        </w:rPr>
      </w:pPr>
      <w:r>
        <w:rPr>
          <w:rFonts w:hint="cs"/>
          <w:rtl/>
        </w:rPr>
        <w:t xml:space="preserve">בדצמבר 2015 ובינואר 2016, במספר מועדים שונים, בדירת הנאשם או במפגשים חברתיים, מכר הנאשם </w:t>
      </w:r>
      <w:r w:rsidRPr="0011708B">
        <w:rPr>
          <w:rFonts w:hint="cs"/>
          <w:i/>
          <w:iCs/>
          <w:rtl/>
        </w:rPr>
        <w:t>לידידתו</w:t>
      </w:r>
      <w:r>
        <w:rPr>
          <w:rFonts w:hint="cs"/>
          <w:rtl/>
        </w:rPr>
        <w:t xml:space="preserve"> הקונה מריחואנה, בכמויות של גרם אחד עד שבעה גרם, כשהמחיר לא היה קבוע. המכירות שמועדיהן ידועים מסתכמות בכ-13 גרם מריחואנה, שנמכרו כשהם מחולקים לשקיות כשבכל אחת גרם אחד:</w:t>
      </w:r>
    </w:p>
    <w:p w14:paraId="685C9F4B" w14:textId="77777777" w:rsidR="001A35F7" w:rsidRDefault="001A35F7" w:rsidP="001A35F7">
      <w:pPr>
        <w:pStyle w:val="a9"/>
        <w:numPr>
          <w:ilvl w:val="1"/>
          <w:numId w:val="3"/>
        </w:numPr>
        <w:spacing w:line="360" w:lineRule="auto"/>
        <w:ind w:left="1080"/>
        <w:jc w:val="both"/>
      </w:pPr>
      <w:r>
        <w:rPr>
          <w:rFonts w:hint="cs"/>
          <w:rtl/>
        </w:rPr>
        <w:t xml:space="preserve">28.12.15 </w:t>
      </w:r>
      <w:r>
        <w:rPr>
          <w:rtl/>
        </w:rPr>
        <w:t>–</w:t>
      </w:r>
      <w:r>
        <w:rPr>
          <w:rFonts w:hint="cs"/>
          <w:rtl/>
        </w:rPr>
        <w:t xml:space="preserve"> בין 3 ל-7 גרם;</w:t>
      </w:r>
    </w:p>
    <w:p w14:paraId="4457EBFE" w14:textId="77777777" w:rsidR="001A35F7" w:rsidRDefault="001A35F7" w:rsidP="001A35F7">
      <w:pPr>
        <w:pStyle w:val="a9"/>
        <w:numPr>
          <w:ilvl w:val="1"/>
          <w:numId w:val="3"/>
        </w:numPr>
        <w:spacing w:line="360" w:lineRule="auto"/>
        <w:ind w:left="1080"/>
        <w:jc w:val="both"/>
      </w:pPr>
      <w:r>
        <w:rPr>
          <w:rFonts w:hint="cs"/>
          <w:rtl/>
        </w:rPr>
        <w:t xml:space="preserve">05.01.16 </w:t>
      </w:r>
      <w:r>
        <w:rPr>
          <w:rtl/>
        </w:rPr>
        <w:t>–</w:t>
      </w:r>
      <w:r>
        <w:rPr>
          <w:rFonts w:hint="cs"/>
          <w:rtl/>
        </w:rPr>
        <w:t xml:space="preserve"> 6 גרם;</w:t>
      </w:r>
    </w:p>
    <w:p w14:paraId="7C0550C0" w14:textId="77777777" w:rsidR="001A35F7" w:rsidRDefault="001A35F7" w:rsidP="001A35F7">
      <w:pPr>
        <w:pStyle w:val="a9"/>
        <w:numPr>
          <w:ilvl w:val="1"/>
          <w:numId w:val="3"/>
        </w:numPr>
        <w:spacing w:line="360" w:lineRule="auto"/>
        <w:ind w:left="1080"/>
        <w:jc w:val="both"/>
      </w:pPr>
      <w:r>
        <w:rPr>
          <w:rFonts w:hint="cs"/>
          <w:rtl/>
        </w:rPr>
        <w:lastRenderedPageBreak/>
        <w:t xml:space="preserve">14.01.16 </w:t>
      </w:r>
      <w:r>
        <w:rPr>
          <w:rtl/>
        </w:rPr>
        <w:t>–</w:t>
      </w:r>
      <w:r>
        <w:rPr>
          <w:rFonts w:hint="cs"/>
          <w:rtl/>
        </w:rPr>
        <w:t xml:space="preserve"> 3 גרם;</w:t>
      </w:r>
    </w:p>
    <w:p w14:paraId="72F7E203" w14:textId="77777777" w:rsidR="001A35F7" w:rsidRDefault="001A35F7" w:rsidP="001A35F7">
      <w:pPr>
        <w:pStyle w:val="a9"/>
        <w:numPr>
          <w:ilvl w:val="1"/>
          <w:numId w:val="3"/>
        </w:numPr>
        <w:spacing w:line="360" w:lineRule="auto"/>
        <w:ind w:left="1080"/>
        <w:jc w:val="both"/>
      </w:pPr>
      <w:r>
        <w:rPr>
          <w:rFonts w:hint="cs"/>
          <w:rtl/>
        </w:rPr>
        <w:t xml:space="preserve">15.01.16 </w:t>
      </w:r>
      <w:r>
        <w:rPr>
          <w:rtl/>
        </w:rPr>
        <w:t>–</w:t>
      </w:r>
      <w:r>
        <w:rPr>
          <w:rFonts w:hint="cs"/>
          <w:rtl/>
        </w:rPr>
        <w:t xml:space="preserve"> גרם אחד;</w:t>
      </w:r>
    </w:p>
    <w:p w14:paraId="2AA68E7E" w14:textId="77777777" w:rsidR="001A35F7" w:rsidRDefault="001A35F7" w:rsidP="001A35F7">
      <w:pPr>
        <w:pStyle w:val="a9"/>
        <w:numPr>
          <w:ilvl w:val="0"/>
          <w:numId w:val="3"/>
        </w:numPr>
        <w:spacing w:line="360" w:lineRule="auto"/>
        <w:ind w:left="360"/>
        <w:jc w:val="both"/>
      </w:pPr>
      <w:r>
        <w:rPr>
          <w:rFonts w:hint="cs"/>
          <w:rtl/>
        </w:rPr>
        <w:t>מכירות לקונה מר מ.ר. [אישום שישי]:</w:t>
      </w:r>
    </w:p>
    <w:p w14:paraId="52B545EC" w14:textId="77777777" w:rsidR="001A35F7" w:rsidRDefault="001A35F7" w:rsidP="001A35F7">
      <w:pPr>
        <w:spacing w:line="360" w:lineRule="auto"/>
        <w:ind w:left="360"/>
        <w:jc w:val="both"/>
      </w:pPr>
      <w:r>
        <w:rPr>
          <w:rFonts w:hint="cs"/>
          <w:rtl/>
        </w:rPr>
        <w:t>במהלך ינואר 2016, מכר הנאשם לקונה בשלושה מועדים שונים מריחואנה במשקל של גרם אחד או שניים בכל פעם, תמורת 100 ₪ עבור כל גרם. ביום 5.1.16 מכר הנאשם לקונה שני גרם מריחואנה, מחולקים לשש שקיות.</w:t>
      </w:r>
    </w:p>
    <w:p w14:paraId="0F4859E3" w14:textId="77777777" w:rsidR="001A35F7" w:rsidRDefault="001A35F7" w:rsidP="001A35F7">
      <w:pPr>
        <w:pStyle w:val="a9"/>
        <w:numPr>
          <w:ilvl w:val="0"/>
          <w:numId w:val="3"/>
        </w:numPr>
        <w:spacing w:line="360" w:lineRule="auto"/>
        <w:ind w:left="360"/>
        <w:jc w:val="both"/>
      </w:pPr>
      <w:r>
        <w:rPr>
          <w:rFonts w:hint="cs"/>
          <w:rtl/>
        </w:rPr>
        <w:t xml:space="preserve">בתאריך 4.2.16 בשעה 23:30 לערך, בדירתו בתל-אביב, החזיק הנאשם, שלא לצריכתו העצמית, סמים מסוגים שונים: 13.58 גרם נטו קנבוס, מחולק לצנצנות, קופסאות ושקיות; 8.5744 גרם נטו </w:t>
      </w:r>
      <w:r>
        <w:rPr>
          <w:rFonts w:hint="cs"/>
        </w:rPr>
        <w:t>MDMA</w:t>
      </w:r>
      <w:r>
        <w:rPr>
          <w:rFonts w:hint="cs"/>
          <w:rtl/>
        </w:rPr>
        <w:t>, בגוש ובשש קפסולות; ו-0.5846 גרם נטו קוקאין מחולק לשתי קפסולות. עוד החזיק הנאשם בדירתו משקל אלקטרוני, ששימש להכנת סם [אישום ראשון].</w:t>
      </w:r>
    </w:p>
    <w:p w14:paraId="65AD0333" w14:textId="77777777" w:rsidR="001A35F7" w:rsidRDefault="001A35F7" w:rsidP="001A35F7">
      <w:pPr>
        <w:pStyle w:val="a9"/>
        <w:numPr>
          <w:ilvl w:val="0"/>
          <w:numId w:val="3"/>
        </w:numPr>
        <w:spacing w:line="360" w:lineRule="auto"/>
        <w:ind w:left="360"/>
        <w:jc w:val="both"/>
      </w:pPr>
      <w:r>
        <w:rPr>
          <w:rFonts w:hint="cs"/>
          <w:rtl/>
        </w:rPr>
        <w:t xml:space="preserve">בתאריך 28.11.16 בשעת צהריים, בדירתו בתל-אביב, החזיק הנאשם, שלא לצריכתו העצמית, סמים מסוגים שונים: 0.9575 גרם נטו קנבוס; טבליית </w:t>
      </w:r>
      <w:r>
        <w:t>5-</w:t>
      </w:r>
      <w:r w:rsidRPr="004E41A2">
        <w:t>MeO-DALT</w:t>
      </w:r>
      <w:r>
        <w:rPr>
          <w:rFonts w:hint="cs"/>
          <w:rtl/>
        </w:rPr>
        <w:t>; ו-</w:t>
      </w:r>
      <w:r>
        <w:rPr>
          <w:rFonts w:hint="cs"/>
        </w:rPr>
        <w:t>GBL</w:t>
      </w:r>
      <w:r>
        <w:rPr>
          <w:rFonts w:hint="cs"/>
          <w:rtl/>
        </w:rPr>
        <w:t xml:space="preserve"> בנפח 300 מ"ל [אישום ראשון].</w:t>
      </w:r>
    </w:p>
    <w:p w14:paraId="39609C09" w14:textId="77777777" w:rsidR="001A35F7" w:rsidRDefault="001A35F7" w:rsidP="001A35F7">
      <w:pPr>
        <w:spacing w:line="360" w:lineRule="auto"/>
        <w:jc w:val="both"/>
        <w:rPr>
          <w:rtl/>
        </w:rPr>
      </w:pPr>
    </w:p>
    <w:p w14:paraId="4A4EDD4F" w14:textId="77777777" w:rsidR="001A35F7" w:rsidRPr="00625942" w:rsidRDefault="001A35F7" w:rsidP="001A35F7">
      <w:pPr>
        <w:spacing w:line="360" w:lineRule="auto"/>
        <w:jc w:val="both"/>
        <w:rPr>
          <w:b/>
          <w:bCs/>
          <w:u w:val="single"/>
          <w:rtl/>
        </w:rPr>
      </w:pPr>
      <w:r w:rsidRPr="00625942">
        <w:rPr>
          <w:rFonts w:hint="cs"/>
          <w:b/>
          <w:bCs/>
          <w:u w:val="single"/>
          <w:rtl/>
        </w:rPr>
        <w:t xml:space="preserve">נסיבות הקשורות בביצוע העבירות </w:t>
      </w:r>
      <w:r w:rsidRPr="00625942">
        <w:rPr>
          <w:b/>
          <w:bCs/>
          <w:u w:val="single"/>
          <w:rtl/>
        </w:rPr>
        <w:t>–</w:t>
      </w:r>
      <w:r w:rsidRPr="00625942">
        <w:rPr>
          <w:rFonts w:hint="cs"/>
          <w:b/>
          <w:bCs/>
          <w:u w:val="single"/>
          <w:rtl/>
        </w:rPr>
        <w:t xml:space="preserve"> קביעת מתחמי ענישה הולמים:</w:t>
      </w:r>
    </w:p>
    <w:p w14:paraId="4E8D09F2" w14:textId="77777777" w:rsidR="001A35F7" w:rsidRPr="001A35F7" w:rsidRDefault="001A35F7" w:rsidP="001A35F7">
      <w:pPr>
        <w:numPr>
          <w:ilvl w:val="0"/>
          <w:numId w:val="4"/>
        </w:numPr>
        <w:spacing w:line="360" w:lineRule="auto"/>
        <w:contextualSpacing/>
        <w:jc w:val="both"/>
        <w:rPr>
          <w:rFonts w:ascii="Calibri" w:hAnsi="Calibri"/>
          <w:b/>
          <w:bCs/>
        </w:rPr>
      </w:pPr>
      <w:r w:rsidRPr="001A35F7">
        <w:rPr>
          <w:rFonts w:ascii="Calibri" w:hAnsi="Calibri" w:hint="eastAsia"/>
          <w:rtl/>
        </w:rPr>
        <w:t>כל</w:t>
      </w:r>
      <w:r w:rsidRPr="001A35F7">
        <w:rPr>
          <w:rFonts w:ascii="Calibri" w:hAnsi="Calibri"/>
          <w:rtl/>
        </w:rPr>
        <w:t xml:space="preserve"> </w:t>
      </w:r>
      <w:r w:rsidRPr="001A35F7">
        <w:rPr>
          <w:rFonts w:ascii="Calibri" w:hAnsi="Calibri" w:hint="eastAsia"/>
          <w:rtl/>
        </w:rPr>
        <w:t>מעשה</w:t>
      </w:r>
      <w:r w:rsidRPr="001A35F7">
        <w:rPr>
          <w:rFonts w:ascii="Calibri" w:hAnsi="Calibri"/>
          <w:rtl/>
        </w:rPr>
        <w:t xml:space="preserve"> </w:t>
      </w:r>
      <w:r w:rsidRPr="001A35F7">
        <w:rPr>
          <w:rFonts w:ascii="Calibri" w:hAnsi="Calibri" w:hint="eastAsia"/>
          <w:rtl/>
        </w:rPr>
        <w:t>הנו</w:t>
      </w:r>
      <w:r w:rsidRPr="001A35F7">
        <w:rPr>
          <w:rFonts w:ascii="Calibri" w:hAnsi="Calibri"/>
          <w:rtl/>
        </w:rPr>
        <w:t xml:space="preserve"> </w:t>
      </w:r>
      <w:r w:rsidRPr="001A35F7">
        <w:rPr>
          <w:rFonts w:ascii="Calibri" w:hAnsi="Calibri" w:hint="eastAsia"/>
          <w:rtl/>
        </w:rPr>
        <w:t>אירוע</w:t>
      </w:r>
      <w:r w:rsidRPr="001A35F7">
        <w:rPr>
          <w:rFonts w:ascii="Calibri" w:hAnsi="Calibri"/>
          <w:rtl/>
        </w:rPr>
        <w:t xml:space="preserve"> </w:t>
      </w:r>
      <w:r w:rsidRPr="001A35F7">
        <w:rPr>
          <w:rFonts w:ascii="Calibri" w:hAnsi="Calibri" w:hint="eastAsia"/>
          <w:rtl/>
        </w:rPr>
        <w:t>עבירה</w:t>
      </w:r>
      <w:r w:rsidRPr="001A35F7">
        <w:rPr>
          <w:rFonts w:ascii="Calibri" w:hAnsi="Calibri"/>
          <w:rtl/>
        </w:rPr>
        <w:t xml:space="preserve"> </w:t>
      </w:r>
      <w:r w:rsidRPr="001A35F7">
        <w:rPr>
          <w:rFonts w:ascii="Calibri" w:hAnsi="Calibri" w:hint="eastAsia"/>
          <w:rtl/>
        </w:rPr>
        <w:t>נפרד</w:t>
      </w:r>
      <w:r w:rsidRPr="001A35F7">
        <w:rPr>
          <w:rFonts w:ascii="Calibri" w:hAnsi="Calibri"/>
          <w:b/>
          <w:bCs/>
          <w:rtl/>
        </w:rPr>
        <w:t xml:space="preserve">: </w:t>
      </w:r>
      <w:r w:rsidRPr="001A35F7">
        <w:rPr>
          <w:rFonts w:ascii="Calibri" w:hAnsi="Calibri"/>
          <w:rtl/>
        </w:rPr>
        <w:t xml:space="preserve"> </w:t>
      </w:r>
      <w:r w:rsidRPr="001A35F7">
        <w:rPr>
          <w:rFonts w:ascii="Calibri" w:hAnsi="Calibri" w:hint="eastAsia"/>
          <w:rtl/>
        </w:rPr>
        <w:t>מעשיו</w:t>
      </w:r>
      <w:r w:rsidRPr="001A35F7">
        <w:rPr>
          <w:rFonts w:ascii="Calibri" w:hAnsi="Calibri"/>
          <w:rtl/>
        </w:rPr>
        <w:t xml:space="preserve"> </w:t>
      </w:r>
      <w:r w:rsidRPr="001A35F7">
        <w:rPr>
          <w:rFonts w:ascii="Calibri" w:hAnsi="Calibri" w:hint="eastAsia"/>
          <w:rtl/>
        </w:rPr>
        <w:t>של</w:t>
      </w:r>
      <w:r w:rsidRPr="001A35F7">
        <w:rPr>
          <w:rFonts w:ascii="Calibri" w:hAnsi="Calibri"/>
          <w:rtl/>
        </w:rPr>
        <w:t xml:space="preserve"> </w:t>
      </w:r>
      <w:r w:rsidRPr="001A35F7">
        <w:rPr>
          <w:rFonts w:ascii="Calibri" w:hAnsi="Calibri" w:hint="eastAsia"/>
          <w:rtl/>
        </w:rPr>
        <w:t>הנאשם</w:t>
      </w:r>
      <w:r w:rsidRPr="001A35F7">
        <w:rPr>
          <w:rFonts w:ascii="Calibri" w:hAnsi="Calibri"/>
          <w:rtl/>
        </w:rPr>
        <w:t xml:space="preserve"> </w:t>
      </w:r>
      <w:r w:rsidRPr="001A35F7">
        <w:rPr>
          <w:rFonts w:ascii="Calibri" w:hAnsi="Calibri" w:hint="eastAsia"/>
          <w:rtl/>
        </w:rPr>
        <w:t>בוצעו</w:t>
      </w:r>
      <w:r w:rsidRPr="001A35F7">
        <w:rPr>
          <w:rFonts w:ascii="Calibri" w:hAnsi="Calibri"/>
          <w:rtl/>
        </w:rPr>
        <w:t xml:space="preserve"> </w:t>
      </w:r>
      <w:r w:rsidRPr="001A35F7">
        <w:rPr>
          <w:rFonts w:ascii="Calibri" w:hAnsi="Calibri" w:hint="eastAsia"/>
          <w:rtl/>
        </w:rPr>
        <w:t>בזמנים</w:t>
      </w:r>
      <w:r w:rsidRPr="001A35F7">
        <w:rPr>
          <w:rFonts w:ascii="Calibri" w:hAnsi="Calibri"/>
          <w:rtl/>
        </w:rPr>
        <w:t xml:space="preserve"> </w:t>
      </w:r>
      <w:r w:rsidRPr="001A35F7">
        <w:rPr>
          <w:rFonts w:ascii="Calibri" w:hAnsi="Calibri" w:hint="eastAsia"/>
          <w:rtl/>
        </w:rPr>
        <w:t>שונים</w:t>
      </w:r>
      <w:r w:rsidRPr="001A35F7">
        <w:rPr>
          <w:rFonts w:ascii="Calibri" w:hAnsi="Calibri"/>
          <w:rtl/>
        </w:rPr>
        <w:t xml:space="preserve">, </w:t>
      </w:r>
      <w:r w:rsidRPr="001A35F7">
        <w:rPr>
          <w:rFonts w:ascii="Calibri" w:hAnsi="Calibri" w:hint="eastAsia"/>
          <w:rtl/>
        </w:rPr>
        <w:t>ויש</w:t>
      </w:r>
      <w:r w:rsidRPr="001A35F7">
        <w:rPr>
          <w:rFonts w:ascii="Calibri" w:hAnsi="Calibri"/>
          <w:rtl/>
        </w:rPr>
        <w:t xml:space="preserve"> </w:t>
      </w:r>
      <w:r w:rsidRPr="001A35F7">
        <w:rPr>
          <w:rFonts w:ascii="Calibri" w:hAnsi="Calibri" w:hint="eastAsia"/>
          <w:rtl/>
        </w:rPr>
        <w:t>לראות</w:t>
      </w:r>
      <w:r w:rsidRPr="001A35F7">
        <w:rPr>
          <w:rFonts w:ascii="Calibri" w:hAnsi="Calibri"/>
          <w:rtl/>
        </w:rPr>
        <w:t xml:space="preserve"> </w:t>
      </w:r>
      <w:r w:rsidRPr="001A35F7">
        <w:rPr>
          <w:rFonts w:ascii="Calibri" w:hAnsi="Calibri" w:hint="eastAsia"/>
          <w:rtl/>
        </w:rPr>
        <w:t>בכל</w:t>
      </w:r>
      <w:r w:rsidRPr="001A35F7">
        <w:rPr>
          <w:rFonts w:ascii="Calibri" w:hAnsi="Calibri"/>
          <w:rtl/>
        </w:rPr>
        <w:t xml:space="preserve"> </w:t>
      </w:r>
      <w:r w:rsidRPr="001A35F7">
        <w:rPr>
          <w:rFonts w:ascii="Calibri" w:hAnsi="Calibri" w:hint="eastAsia"/>
          <w:rtl/>
        </w:rPr>
        <w:t>אחד</w:t>
      </w:r>
      <w:r w:rsidRPr="001A35F7">
        <w:rPr>
          <w:rFonts w:ascii="Calibri" w:hAnsi="Calibri"/>
          <w:rtl/>
        </w:rPr>
        <w:t xml:space="preserve"> </w:t>
      </w:r>
      <w:r w:rsidRPr="001A35F7">
        <w:rPr>
          <w:rFonts w:ascii="Calibri" w:hAnsi="Calibri" w:hint="eastAsia"/>
          <w:rtl/>
        </w:rPr>
        <w:t>מהם</w:t>
      </w:r>
      <w:r w:rsidRPr="001A35F7">
        <w:rPr>
          <w:rFonts w:ascii="Calibri" w:hAnsi="Calibri"/>
          <w:rtl/>
        </w:rPr>
        <w:t xml:space="preserve"> </w:t>
      </w:r>
      <w:r w:rsidRPr="001A35F7">
        <w:rPr>
          <w:rFonts w:ascii="Calibri" w:hAnsi="Calibri" w:hint="eastAsia"/>
          <w:rtl/>
        </w:rPr>
        <w:t>אירוע</w:t>
      </w:r>
      <w:r w:rsidRPr="001A35F7">
        <w:rPr>
          <w:rFonts w:ascii="Calibri" w:hAnsi="Calibri"/>
          <w:rtl/>
        </w:rPr>
        <w:t xml:space="preserve"> </w:t>
      </w:r>
      <w:r w:rsidRPr="001A35F7">
        <w:rPr>
          <w:rFonts w:ascii="Calibri" w:hAnsi="Calibri" w:hint="eastAsia"/>
          <w:rtl/>
        </w:rPr>
        <w:t>נפרד</w:t>
      </w:r>
      <w:r w:rsidRPr="001A35F7">
        <w:rPr>
          <w:rFonts w:ascii="Calibri" w:hAnsi="Calibri"/>
          <w:rtl/>
        </w:rPr>
        <w:t xml:space="preserve"> </w:t>
      </w:r>
      <w:r w:rsidRPr="001A35F7">
        <w:rPr>
          <w:rFonts w:ascii="Calibri" w:hAnsi="Calibri" w:hint="eastAsia"/>
          <w:rtl/>
        </w:rPr>
        <w:t>המצדיק</w:t>
      </w:r>
      <w:r w:rsidRPr="001A35F7">
        <w:rPr>
          <w:rFonts w:ascii="Calibri" w:hAnsi="Calibri"/>
          <w:rtl/>
        </w:rPr>
        <w:t xml:space="preserve"> </w:t>
      </w:r>
      <w:r w:rsidRPr="001A35F7">
        <w:rPr>
          <w:rFonts w:ascii="Calibri" w:hAnsi="Calibri" w:hint="eastAsia"/>
          <w:rtl/>
        </w:rPr>
        <w:t>קביעת</w:t>
      </w:r>
      <w:r w:rsidRPr="001A35F7">
        <w:rPr>
          <w:rFonts w:ascii="Calibri" w:hAnsi="Calibri"/>
          <w:rtl/>
        </w:rPr>
        <w:t xml:space="preserve"> </w:t>
      </w:r>
      <w:r w:rsidRPr="001A35F7">
        <w:rPr>
          <w:rFonts w:ascii="Calibri" w:hAnsi="Calibri" w:hint="eastAsia"/>
          <w:rtl/>
        </w:rPr>
        <w:t>מתחם</w:t>
      </w:r>
      <w:r w:rsidRPr="001A35F7">
        <w:rPr>
          <w:rFonts w:ascii="Calibri" w:hAnsi="Calibri"/>
          <w:rtl/>
        </w:rPr>
        <w:t xml:space="preserve"> </w:t>
      </w:r>
      <w:r w:rsidRPr="001A35F7">
        <w:rPr>
          <w:rFonts w:ascii="Calibri" w:hAnsi="Calibri" w:hint="eastAsia"/>
          <w:rtl/>
        </w:rPr>
        <w:t>עונשי</w:t>
      </w:r>
      <w:r w:rsidRPr="001A35F7">
        <w:rPr>
          <w:rFonts w:ascii="Calibri" w:hAnsi="Calibri"/>
          <w:rtl/>
        </w:rPr>
        <w:t xml:space="preserve"> </w:t>
      </w:r>
      <w:r w:rsidRPr="001A35F7">
        <w:rPr>
          <w:rFonts w:ascii="Calibri" w:hAnsi="Calibri" w:hint="eastAsia"/>
          <w:rtl/>
        </w:rPr>
        <w:t>נפרד</w:t>
      </w:r>
      <w:r w:rsidRPr="001A35F7">
        <w:rPr>
          <w:rFonts w:ascii="Calibri" w:hAnsi="Calibri"/>
          <w:rtl/>
        </w:rPr>
        <w:t xml:space="preserve">. </w:t>
      </w:r>
    </w:p>
    <w:p w14:paraId="13C3787C" w14:textId="77777777" w:rsidR="001A35F7" w:rsidRPr="00D343DE" w:rsidRDefault="001A35F7" w:rsidP="001A35F7">
      <w:pPr>
        <w:numPr>
          <w:ilvl w:val="0"/>
          <w:numId w:val="4"/>
        </w:numPr>
        <w:spacing w:line="360" w:lineRule="auto"/>
        <w:contextualSpacing/>
        <w:jc w:val="both"/>
      </w:pPr>
      <w:r w:rsidRPr="00F84376">
        <w:rPr>
          <w:rtl/>
        </w:rPr>
        <w:t>הנאשם פגע באופן מהותי בערכים המוגנים בעביר</w:t>
      </w:r>
      <w:r>
        <w:rPr>
          <w:rFonts w:hint="cs"/>
          <w:rtl/>
        </w:rPr>
        <w:t>ות</w:t>
      </w:r>
      <w:r w:rsidRPr="00F84376">
        <w:rPr>
          <w:rtl/>
        </w:rPr>
        <w:t xml:space="preserve">, שביניהם שמירה על בריאותו הפיזית והנפשית של הציבור. </w:t>
      </w:r>
      <w:r w:rsidRPr="000A7099">
        <w:rPr>
          <w:rFonts w:ascii="Arial" w:hAnsi="Arial"/>
          <w:rtl/>
        </w:rPr>
        <w:t>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 אלא, שהפגיעה בערכים אלו שונה ופחותה בהרבה כאשר מדובר בסם "קל" מסוג ה</w:t>
      </w:r>
      <w:r>
        <w:rPr>
          <w:rFonts w:ascii="Arial" w:hAnsi="Arial"/>
          <w:rtl/>
        </w:rPr>
        <w:t>קנבוס</w:t>
      </w:r>
      <w:r w:rsidRPr="000A7099">
        <w:rPr>
          <w:rFonts w:ascii="Arial" w:hAnsi="Arial"/>
          <w:rtl/>
        </w:rPr>
        <w:t xml:space="preserve"> לסוגיו, והפסיקה – הן המנחה והן הנוהגת – מקפידה לאבחן בין הענישה הנלווית לעיסוק בסמים "קשים" לבין הענישה הנלווית לעיסוק בסמים "קלים", שהיא אכן קלה בהרבה.</w:t>
      </w:r>
    </w:p>
    <w:p w14:paraId="4CF1F248" w14:textId="77777777" w:rsidR="001A35F7" w:rsidRPr="001A35F7" w:rsidRDefault="001A35F7" w:rsidP="001A35F7">
      <w:pPr>
        <w:numPr>
          <w:ilvl w:val="0"/>
          <w:numId w:val="4"/>
        </w:numPr>
        <w:spacing w:line="360" w:lineRule="auto"/>
        <w:contextualSpacing/>
        <w:jc w:val="both"/>
        <w:rPr>
          <w:rFonts w:ascii="Calibri" w:hAnsi="Calibri"/>
          <w:b/>
          <w:bCs/>
        </w:rPr>
      </w:pPr>
      <w:r w:rsidRPr="00D343DE">
        <w:rPr>
          <w:rtl/>
        </w:rPr>
        <w:t>ב</w:t>
      </w:r>
      <w:r>
        <w:rPr>
          <w:rtl/>
        </w:rPr>
        <w:t>מקרה דנן מדובר על נאש</w:t>
      </w:r>
      <w:r>
        <w:rPr>
          <w:rFonts w:hint="cs"/>
          <w:rtl/>
        </w:rPr>
        <w:t>ם</w:t>
      </w:r>
      <w:r>
        <w:rPr>
          <w:rtl/>
        </w:rPr>
        <w:t xml:space="preserve"> שהי</w:t>
      </w:r>
      <w:r>
        <w:rPr>
          <w:rFonts w:hint="cs"/>
          <w:rtl/>
        </w:rPr>
        <w:t>ה</w:t>
      </w:r>
      <w:r>
        <w:rPr>
          <w:rtl/>
        </w:rPr>
        <w:t xml:space="preserve"> מעור</w:t>
      </w:r>
      <w:r>
        <w:rPr>
          <w:rFonts w:hint="cs"/>
          <w:rtl/>
        </w:rPr>
        <w:t>ב</w:t>
      </w:r>
      <w:r w:rsidRPr="00D343DE">
        <w:rPr>
          <w:rtl/>
        </w:rPr>
        <w:t xml:space="preserve"> בסחר ב</w:t>
      </w:r>
      <w:r>
        <w:rPr>
          <w:rtl/>
        </w:rPr>
        <w:t>קנבוס</w:t>
      </w:r>
      <w:r w:rsidRPr="00D343DE">
        <w:rPr>
          <w:rtl/>
        </w:rPr>
        <w:t>, ויעידו ריבוי העסקאות ושיתופם של אחרים. המעשים המתוכננים והחוזרים נעשו ממניעים כלכליים, כעולה מטיב העבירות ומדרך ביצוען.</w:t>
      </w:r>
    </w:p>
    <w:p w14:paraId="78E887B3" w14:textId="77777777" w:rsidR="001A35F7" w:rsidRPr="00A54D4F" w:rsidRDefault="001A35F7" w:rsidP="001A35F7">
      <w:pPr>
        <w:numPr>
          <w:ilvl w:val="0"/>
          <w:numId w:val="4"/>
        </w:numPr>
        <w:spacing w:line="360" w:lineRule="auto"/>
        <w:contextualSpacing/>
        <w:jc w:val="both"/>
      </w:pPr>
      <w:r w:rsidRPr="00D343DE">
        <w:rPr>
          <w:rtl/>
        </w:rPr>
        <w:t xml:space="preserve">בהתייחס למדיניות הענישה הנוהגת ביחס למכירה בודדת בכמות קטנה של סם "קל" מסוג </w:t>
      </w:r>
      <w:r>
        <w:rPr>
          <w:rtl/>
        </w:rPr>
        <w:t>קנבוס</w:t>
      </w:r>
      <w:r w:rsidRPr="00D343DE">
        <w:rPr>
          <w:rtl/>
        </w:rPr>
        <w:t xml:space="preserve">, אך במסגרת "מסחרית" ולא "חברתית", ייקבע מתחם העונש ההולם לגבי כל עבירת סחר </w:t>
      </w:r>
      <w:r>
        <w:rPr>
          <w:rFonts w:hint="cs"/>
          <w:rtl/>
        </w:rPr>
        <w:t xml:space="preserve">"מסחרית" </w:t>
      </w:r>
      <w:r w:rsidRPr="00D343DE">
        <w:rPr>
          <w:rtl/>
        </w:rPr>
        <w:t xml:space="preserve">בין מאסר קצר לריצוי בעבודות שירות לבין </w:t>
      </w:r>
      <w:r>
        <w:rPr>
          <w:rFonts w:hint="cs"/>
          <w:rtl/>
        </w:rPr>
        <w:t>15</w:t>
      </w:r>
      <w:r w:rsidRPr="00D343DE">
        <w:rPr>
          <w:rtl/>
        </w:rPr>
        <w:t xml:space="preserve"> חודשי מאסר בפועל, כעונש עיקרי (וראו למשל </w:t>
      </w:r>
      <w:hyperlink r:id="rId19" w:history="1">
        <w:r w:rsidR="00460399" w:rsidRPr="00460399">
          <w:rPr>
            <w:color w:val="0000FF"/>
            <w:u w:val="single"/>
            <w:rtl/>
          </w:rPr>
          <w:t>רע"פ 4687/15</w:t>
        </w:r>
      </w:hyperlink>
      <w:r w:rsidRPr="000A7099">
        <w:rPr>
          <w:rtl/>
        </w:rPr>
        <w:t xml:space="preserve"> </w:t>
      </w:r>
      <w:r w:rsidRPr="000A7099">
        <w:rPr>
          <w:b/>
          <w:bCs/>
          <w:rtl/>
        </w:rPr>
        <w:t>פלג נ' מ.י.</w:t>
      </w:r>
      <w:r w:rsidRPr="000A7099">
        <w:rPr>
          <w:rtl/>
        </w:rPr>
        <w:t xml:space="preserve"> (2015) ו</w:t>
      </w:r>
      <w:hyperlink r:id="rId20" w:history="1">
        <w:r w:rsidR="00460399" w:rsidRPr="00460399">
          <w:rPr>
            <w:rFonts w:ascii="Arial" w:hAnsi="Arial"/>
            <w:color w:val="0000FF"/>
            <w:u w:val="single"/>
            <w:rtl/>
          </w:rPr>
          <w:t>רע"פ 7996/12</w:t>
        </w:r>
      </w:hyperlink>
      <w:r w:rsidRPr="000A7099">
        <w:rPr>
          <w:rFonts w:ascii="Arial" w:hAnsi="Arial"/>
          <w:b/>
          <w:bCs/>
          <w:rtl/>
        </w:rPr>
        <w:t xml:space="preserve"> יוסף נ' מ.י.</w:t>
      </w:r>
      <w:r w:rsidRPr="000A7099">
        <w:rPr>
          <w:rFonts w:ascii="Arial" w:hAnsi="Arial"/>
          <w:rtl/>
        </w:rPr>
        <w:t xml:space="preserve"> (2013)).</w:t>
      </w:r>
    </w:p>
    <w:p w14:paraId="0BAACC2D" w14:textId="77777777" w:rsidR="001A35F7" w:rsidRDefault="001A35F7" w:rsidP="001A35F7">
      <w:pPr>
        <w:numPr>
          <w:ilvl w:val="0"/>
          <w:numId w:val="4"/>
        </w:numPr>
        <w:spacing w:line="360" w:lineRule="auto"/>
        <w:contextualSpacing/>
        <w:jc w:val="both"/>
      </w:pPr>
      <w:r>
        <w:rPr>
          <w:rFonts w:ascii="Arial" w:hAnsi="Arial" w:hint="cs"/>
          <w:rtl/>
        </w:rPr>
        <w:t xml:space="preserve">ובאשר למכירות לידידתו של הנאשם: גם אם קשה לנתק מכירות אלה מהמסגרת המסחרית בה פעל הנאשם, </w:t>
      </w:r>
      <w:r>
        <w:rPr>
          <w:rFonts w:hint="cs"/>
          <w:rtl/>
        </w:rPr>
        <w:t xml:space="preserve">ראוי להקל מעט בקביעת המתחמים, לנוכח צמצום הפגיעה באינטרס הציבורי, וכל מכירה לידידה תישא בצידה מתחם שבין מאסר מותנה לבין 12 חודשי מאסר בפועל (והשוו </w:t>
      </w:r>
      <w:hyperlink r:id="rId21" w:history="1">
        <w:r w:rsidR="00460399" w:rsidRPr="00460399">
          <w:rPr>
            <w:color w:val="0000FF"/>
            <w:u w:val="single"/>
            <w:rtl/>
          </w:rPr>
          <w:t>ת"פ 47067-01-16</w:t>
        </w:r>
      </w:hyperlink>
      <w:r w:rsidRPr="00D9612F">
        <w:rPr>
          <w:rtl/>
        </w:rPr>
        <w:t xml:space="preserve"> </w:t>
      </w:r>
      <w:r w:rsidRPr="00D9612F">
        <w:rPr>
          <w:b/>
          <w:bCs/>
          <w:rtl/>
        </w:rPr>
        <w:t>מ.י. נ' ברמלי</w:t>
      </w:r>
      <w:r w:rsidRPr="00D9612F">
        <w:rPr>
          <w:rtl/>
        </w:rPr>
        <w:t>, החלטה בעניין אדר מן (2018)</w:t>
      </w:r>
      <w:r>
        <w:rPr>
          <w:rFonts w:hint="cs"/>
          <w:rtl/>
        </w:rPr>
        <w:t>).</w:t>
      </w:r>
    </w:p>
    <w:p w14:paraId="32678E6D" w14:textId="77777777" w:rsidR="001A35F7" w:rsidRPr="000A7099" w:rsidRDefault="001A35F7" w:rsidP="001A35F7">
      <w:pPr>
        <w:numPr>
          <w:ilvl w:val="0"/>
          <w:numId w:val="4"/>
        </w:numPr>
        <w:spacing w:line="360" w:lineRule="auto"/>
        <w:contextualSpacing/>
        <w:jc w:val="both"/>
      </w:pPr>
      <w:r>
        <w:rPr>
          <w:rFonts w:hint="cs"/>
          <w:rtl/>
        </w:rPr>
        <w:t>שני אירועי העבירה של החזקת סמים שלא לצריכה עצמית, בוצעו בנסיבות המקרבות את ההחזקה לפעולת סחר. מדובר בסמים מסוגים שונים, חלקם כבר מוכן להפצה, והמתחם שהציעה התביעה הולם את הנסיבות ואת מדיניות הענישה. כל אירוע יוביל לקביעתו של מתחם בין שמונה לבין 18 חודשי מאסר, כעונש עיקרי.</w:t>
      </w:r>
    </w:p>
    <w:p w14:paraId="49CFA84A" w14:textId="77777777" w:rsidR="001A35F7" w:rsidRPr="00D343DE" w:rsidRDefault="001A35F7" w:rsidP="001A35F7">
      <w:pPr>
        <w:spacing w:line="360" w:lineRule="auto"/>
        <w:contextualSpacing/>
        <w:jc w:val="both"/>
      </w:pPr>
    </w:p>
    <w:p w14:paraId="3E77FDAB" w14:textId="77777777" w:rsidR="001A35F7" w:rsidRPr="001A35F7" w:rsidRDefault="001A35F7" w:rsidP="001A35F7">
      <w:pPr>
        <w:spacing w:line="360" w:lineRule="auto"/>
        <w:contextualSpacing/>
        <w:jc w:val="both"/>
        <w:rPr>
          <w:rFonts w:ascii="Calibri" w:hAnsi="Calibri"/>
          <w:b/>
          <w:bCs/>
          <w:u w:val="single"/>
        </w:rPr>
      </w:pPr>
      <w:r w:rsidRPr="001A35F7">
        <w:rPr>
          <w:rFonts w:ascii="Calibri" w:hAnsi="Calibri" w:hint="cs"/>
          <w:b/>
          <w:bCs/>
          <w:u w:val="single"/>
          <w:rtl/>
        </w:rPr>
        <w:t xml:space="preserve">נסיבות שאינן קשורות בביצוע העבירות </w:t>
      </w:r>
      <w:r w:rsidRPr="001A35F7">
        <w:rPr>
          <w:rFonts w:ascii="Calibri" w:hAnsi="Calibri"/>
          <w:b/>
          <w:bCs/>
          <w:u w:val="single"/>
          <w:rtl/>
        </w:rPr>
        <w:t>–</w:t>
      </w:r>
      <w:r w:rsidRPr="001A35F7">
        <w:rPr>
          <w:rFonts w:ascii="Calibri" w:hAnsi="Calibri" w:hint="cs"/>
          <w:b/>
          <w:bCs/>
          <w:u w:val="single"/>
          <w:rtl/>
        </w:rPr>
        <w:t xml:space="preserve"> מיקום העונש במתחמים:</w:t>
      </w:r>
    </w:p>
    <w:p w14:paraId="1C4B5A59"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הנאשם יליד 1985, כבן 33 כיום, מתגורר בדירה שכורה ועובד באופן מזדמן בתחום המסעדנות. הנאשם חולה בסוכרת נעורים והוכרה לו נכות צמיתה של 67% [נע/1]. משנת 2018 מחזיק הנאשם באישור לצריכת קנבוס רפואי, לטיפול בסוכרת ובכאבי גב קשים מהם הוא סובל. מוצא הנאשם במשפחה נורמטיבית ותומכת, הגם שהוריו התגרשו בילדותו. הנאשם מקיים יחסים תקינים וקרובים עם הוריו ואחיו. הנאשם סיים 12 שנות לימוד בתעודת בגרות חלקית, על-אף לקות של דיסלקציה, והתנדב לשירות בצה"ל, על-אף מצבו הרפואי. לאחר תום שירותו הצבאי השתלב בתחום המסעדנות ובמקביל החל ליחצן מועדונים. הנאשם החל להשתמש בקנבוס בגיל 26, ולמעט התנסויות ראשוניות לא צרך סמים אחרים.</w:t>
      </w:r>
    </w:p>
    <w:p w14:paraId="11D5B7EA"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אין לחובת הנאשם רישום פלילי, אך תדפיס עבירות תעבורה מגלה כי ביום 04.01.17 נהג ברכב בהיותו שיכור מסמים, עניין שהסתיים בעונש שעיקרו ארבעה חודשי מאסר לריצוי בעבודות שירות ורכיבים נלווים. עבירות דומות עבר הנאשם קודם לכן, פעמיים בשנת 2012, ונדון לעונשי פסילה וקנס [תע/1].</w:t>
      </w:r>
    </w:p>
    <w:p w14:paraId="4EFD4C98"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הנאשם גילה התייחסות מצמצמת לחומרת מעשיו, טען שפעל מתוך רצון לחוות שייכות חברתית ולא למטרת רווח (טענה שאינה עולה בקנה אחד עם טיב הפעילות המסחרית המתוארת בכתב האישום בו הודה), לא מצא צורך להעמיק בבחינת התנהלותו העבריינית, ולא הפנים באופן מלא את אחריותו לביצוע עבירות חמורות. הגם שהנאשם טען שהפסיק לעבוד במועדונים וניתק עצמו מסביבה זו, רוויית הסמים, התרשם שירות המבחן כי הנאשם לא הפנים את חומרת מעשיו ואף הביע עמדות "מקלות ראש" ביחס לעבירות הסמים ועבירת התעבורה הנ"ל. השירות הזהיר, כי עמדותיו אלו של הנאשם מונעות ממנו לזהות מוקדי סיכון העלולים להובילו להסתבכויות נוספות.</w:t>
      </w:r>
    </w:p>
    <w:p w14:paraId="66705316"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לנוכח עמדותיו של הנאשם לא מצא שירות המבחן תועלת בשילובו בטיפול, על-אף הבעות של רצון מילולי, נמנע מהמלצה שיקומית ועמד על הצורך בענישה מוחשית של מאסר לריצוי בעבודות שירות.</w:t>
      </w:r>
    </w:p>
    <w:p w14:paraId="7E305419"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לזכות הנאשם יעמדו נתונים כבדי משקל:</w:t>
      </w:r>
    </w:p>
    <w:p w14:paraId="1F172C82" w14:textId="77777777" w:rsidR="001A35F7" w:rsidRDefault="001A35F7" w:rsidP="001A35F7">
      <w:pPr>
        <w:pStyle w:val="a9"/>
        <w:numPr>
          <w:ilvl w:val="0"/>
          <w:numId w:val="6"/>
        </w:numPr>
        <w:spacing w:line="360" w:lineRule="auto"/>
        <w:jc w:val="both"/>
        <w:rPr>
          <w:rFonts w:ascii="Arial" w:hAnsi="Arial"/>
        </w:rPr>
      </w:pPr>
      <w:r>
        <w:rPr>
          <w:rFonts w:ascii="Arial" w:hAnsi="Arial" w:hint="cs"/>
          <w:rtl/>
        </w:rPr>
        <w:t>עונש מאסר עתיד לפגוע קשות בנאשם, כדין מאסר ראשון, ובוודאי למי שזו הסתבכותו הראשונה בפלילים;</w:t>
      </w:r>
    </w:p>
    <w:p w14:paraId="57134095" w14:textId="77777777" w:rsidR="001A35F7" w:rsidRDefault="001A35F7" w:rsidP="001A35F7">
      <w:pPr>
        <w:pStyle w:val="a9"/>
        <w:numPr>
          <w:ilvl w:val="0"/>
          <w:numId w:val="6"/>
        </w:numPr>
        <w:spacing w:line="360" w:lineRule="auto"/>
        <w:jc w:val="both"/>
        <w:rPr>
          <w:rFonts w:ascii="Arial" w:hAnsi="Arial"/>
        </w:rPr>
      </w:pPr>
      <w:r>
        <w:rPr>
          <w:rFonts w:ascii="Arial" w:hAnsi="Arial" w:hint="cs"/>
          <w:rtl/>
        </w:rPr>
        <w:t>הנאשם נטל אחריות והודה בכתב האישום, לאחר תיקונו. גם-אם נטילת האחריות אינה מלווה בתובנה אמיתית של חומרת המעשים, עדיין משקלה נכבד;</w:t>
      </w:r>
    </w:p>
    <w:p w14:paraId="18A1674D" w14:textId="77777777" w:rsidR="001A35F7" w:rsidRDefault="001A35F7" w:rsidP="001A35F7">
      <w:pPr>
        <w:pStyle w:val="a9"/>
        <w:numPr>
          <w:ilvl w:val="0"/>
          <w:numId w:val="6"/>
        </w:numPr>
        <w:spacing w:line="360" w:lineRule="auto"/>
        <w:jc w:val="both"/>
        <w:rPr>
          <w:rFonts w:ascii="Arial" w:hAnsi="Arial"/>
        </w:rPr>
      </w:pPr>
      <w:r>
        <w:rPr>
          <w:rFonts w:ascii="Arial" w:hAnsi="Arial" w:hint="cs"/>
          <w:rtl/>
        </w:rPr>
        <w:t>משקל נכבד יש לתת לאורח חייו של הנאשם, למעט ביצוע העבירות, כשנאלץ להתמודד עם מצב בריאותי קשה ועם קשיי למידה, ולמרות אלו התנדב לשירות צבאי, למד, וקידם את עתידו המקצועי עד למעצרו;</w:t>
      </w:r>
    </w:p>
    <w:p w14:paraId="0304C048" w14:textId="77777777" w:rsidR="001A35F7" w:rsidRDefault="001A35F7" w:rsidP="001A35F7">
      <w:pPr>
        <w:pStyle w:val="a9"/>
        <w:numPr>
          <w:ilvl w:val="0"/>
          <w:numId w:val="6"/>
        </w:numPr>
        <w:spacing w:line="360" w:lineRule="auto"/>
        <w:jc w:val="both"/>
        <w:rPr>
          <w:rFonts w:ascii="Arial" w:hAnsi="Arial"/>
        </w:rPr>
      </w:pPr>
      <w:r>
        <w:rPr>
          <w:rFonts w:ascii="Arial" w:hAnsi="Arial" w:hint="cs"/>
          <w:rtl/>
        </w:rPr>
        <w:t>משקל מקסימאלי יינתן להיעדרו של עבר פלילי;</w:t>
      </w:r>
    </w:p>
    <w:p w14:paraId="68512C52"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 xml:space="preserve">עונשו של הנאשם ימוקם אפוא בתחתיתם של מתחמי הענישה שנקבעו לכל אירוע עבירה. העונש הכולל ייגזר כאחד, כשהמשמעות היא חפיפה-רבתי של העונשים הפרטניים. בהתחשב בזיקה בין העבירות, שבוצעו במסגרת סחר ובתקופה מוגבלת בזמן, ייקבע העונש הכולל ביחס שיהלום את מכלול המעשים. מסכת עבירות דומה אינה נדירה, וככלל נגזרים עונשי מאסר כבדים בנסיבות דומות, אלא אם מתקיימות נסיבות מיוחדות שמצדיקות חריגה ממתחמי הענישה בשל הצלחתו המופגנת של שיקום (והשוו </w:t>
      </w:r>
      <w:r w:rsidRPr="001A35F7">
        <w:rPr>
          <w:rFonts w:ascii="Calibri" w:hAnsi="Calibri"/>
          <w:rtl/>
        </w:rPr>
        <w:t>ל</w:t>
      </w:r>
      <w:hyperlink r:id="rId22" w:history="1">
        <w:r w:rsidR="00460399" w:rsidRPr="00460399">
          <w:rPr>
            <w:rFonts w:ascii="Calibri" w:hAnsi="Calibri" w:hint="eastAsia"/>
            <w:color w:val="0000FF"/>
            <w:u w:val="single"/>
            <w:rtl/>
          </w:rPr>
          <w:t>ת</w:t>
        </w:r>
        <w:r w:rsidR="00460399" w:rsidRPr="00460399">
          <w:rPr>
            <w:rFonts w:ascii="Calibri" w:hAnsi="Calibri"/>
            <w:color w:val="0000FF"/>
            <w:u w:val="single"/>
            <w:rtl/>
          </w:rPr>
          <w:t>"</w:t>
        </w:r>
        <w:r w:rsidR="00460399" w:rsidRPr="00460399">
          <w:rPr>
            <w:rFonts w:ascii="Calibri" w:hAnsi="Calibri" w:hint="eastAsia"/>
            <w:color w:val="0000FF"/>
            <w:u w:val="single"/>
            <w:rtl/>
          </w:rPr>
          <w:t>פ</w:t>
        </w:r>
        <w:r w:rsidR="00460399" w:rsidRPr="00460399">
          <w:rPr>
            <w:rFonts w:ascii="Calibri" w:hAnsi="Calibri"/>
            <w:color w:val="0000FF"/>
            <w:u w:val="single"/>
            <w:rtl/>
          </w:rPr>
          <w:t xml:space="preserve"> 37694-03-15</w:t>
        </w:r>
      </w:hyperlink>
      <w:r w:rsidRPr="001A35F7">
        <w:rPr>
          <w:rFonts w:ascii="Calibri" w:hAnsi="Calibri"/>
          <w:rtl/>
        </w:rPr>
        <w:t xml:space="preserve"> </w:t>
      </w:r>
      <w:r w:rsidRPr="001A35F7">
        <w:rPr>
          <w:rFonts w:ascii="Calibri" w:hAnsi="Calibri"/>
          <w:b/>
          <w:bCs/>
          <w:rtl/>
        </w:rPr>
        <w:t>מ.י. נ' אלקיים</w:t>
      </w:r>
      <w:r w:rsidRPr="001A35F7">
        <w:rPr>
          <w:rFonts w:ascii="Calibri" w:hAnsi="Calibri"/>
          <w:rtl/>
        </w:rPr>
        <w:t xml:space="preserve"> (2018), </w:t>
      </w:r>
      <w:r w:rsidRPr="001A35F7">
        <w:rPr>
          <w:rFonts w:ascii="Calibri" w:hAnsi="Calibri" w:hint="cs"/>
          <w:rtl/>
        </w:rPr>
        <w:t xml:space="preserve">שהגישה ההגנה, ובו נדון עניינו של נאשם שהודה ב-21 מקרי מכירת קנביס בכמויות קטנות, באופן דומה לעניין דנן. </w:t>
      </w:r>
      <w:r w:rsidRPr="001A35F7">
        <w:rPr>
          <w:rFonts w:ascii="Calibri" w:hAnsi="Calibri"/>
          <w:rtl/>
        </w:rPr>
        <w:t>מתחם העונש הכולל נקבע בין 16 לבין 36 חודשי מאסר</w:t>
      </w:r>
      <w:r w:rsidRPr="001A35F7">
        <w:rPr>
          <w:rFonts w:ascii="Calibri" w:hAnsi="Calibri" w:hint="cs"/>
          <w:rtl/>
        </w:rPr>
        <w:t>, ועוד אפנה לסקירת הפסיקה בגזר הדין)</w:t>
      </w:r>
      <w:r w:rsidRPr="001A35F7">
        <w:rPr>
          <w:rFonts w:ascii="Calibri" w:hAnsi="Calibri"/>
          <w:rtl/>
        </w:rPr>
        <w:t xml:space="preserve">. </w:t>
      </w:r>
    </w:p>
    <w:p w14:paraId="0D1E3F67"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עונשו העיקרי של הנאשם יהא אפוא מאסר לריצוי בכליאה. לצד עונש זה ייקבעו מאסר מותנה והתחייבות כספית, לתוספת הרתעה. אין מקום לסטות מחיוב הדין באשר לפסילת רישיון בפועל, ואף לתקופת פסילה מותנית. הנאשם לא יחויב בקנס, בניגוד להלכה הידועה, כי בשל מצבו לא יוכל לעמוד בו.</w:t>
      </w:r>
    </w:p>
    <w:p w14:paraId="5C731554" w14:textId="77777777" w:rsidR="001A35F7" w:rsidRPr="001A35F7" w:rsidRDefault="001A35F7" w:rsidP="001A35F7">
      <w:pPr>
        <w:pStyle w:val="a9"/>
        <w:numPr>
          <w:ilvl w:val="0"/>
          <w:numId w:val="5"/>
        </w:numPr>
        <w:spacing w:line="360" w:lineRule="auto"/>
        <w:ind w:left="360"/>
        <w:jc w:val="both"/>
        <w:rPr>
          <w:rFonts w:ascii="Calibri" w:hAnsi="Calibri"/>
        </w:rPr>
      </w:pPr>
      <w:r w:rsidRPr="001A35F7">
        <w:rPr>
          <w:rFonts w:ascii="Calibri" w:hAnsi="Calibri" w:hint="cs"/>
          <w:rtl/>
        </w:rPr>
        <w:t xml:space="preserve">לא נמצא להגנה כל בסיס להתנגדות לחילוט הרכוש שנתפס, ולאחר שקבעתי כי הנאשם הוא סוחר סמים </w:t>
      </w:r>
      <w:r w:rsidRPr="001A35F7">
        <w:rPr>
          <w:rFonts w:ascii="Calibri" w:hAnsi="Calibri"/>
          <w:rtl/>
        </w:rPr>
        <w:t>–</w:t>
      </w:r>
      <w:r w:rsidRPr="001A35F7">
        <w:rPr>
          <w:rFonts w:ascii="Calibri" w:hAnsi="Calibri" w:hint="cs"/>
          <w:rtl/>
        </w:rPr>
        <w:t xml:space="preserve"> יחולט הרכוש המפורט בכתב האישום.</w:t>
      </w:r>
    </w:p>
    <w:p w14:paraId="46061939" w14:textId="77777777" w:rsidR="001A35F7" w:rsidRPr="001A35F7" w:rsidRDefault="001A35F7" w:rsidP="001A35F7">
      <w:pPr>
        <w:spacing w:line="360" w:lineRule="auto"/>
        <w:jc w:val="both"/>
        <w:rPr>
          <w:rFonts w:ascii="Calibri" w:hAnsi="Calibri"/>
          <w:rtl/>
        </w:rPr>
      </w:pPr>
    </w:p>
    <w:p w14:paraId="73027426" w14:textId="77777777" w:rsidR="001A35F7" w:rsidRPr="001A35F7" w:rsidRDefault="001A35F7" w:rsidP="001A35F7">
      <w:pPr>
        <w:spacing w:line="360" w:lineRule="auto"/>
        <w:jc w:val="both"/>
        <w:rPr>
          <w:rFonts w:ascii="Calibri" w:hAnsi="Calibri"/>
          <w:rtl/>
        </w:rPr>
      </w:pPr>
      <w:r w:rsidRPr="001A35F7">
        <w:rPr>
          <w:rFonts w:ascii="Calibri" w:hAnsi="Calibri" w:hint="cs"/>
          <w:b/>
          <w:bCs/>
          <w:u w:val="single"/>
          <w:rtl/>
        </w:rPr>
        <w:t>סוף-דבר, אני גוזר על הנאשם את העונשים הבאים</w:t>
      </w:r>
      <w:r w:rsidRPr="001A35F7">
        <w:rPr>
          <w:rFonts w:ascii="Calibri" w:hAnsi="Calibri" w:hint="cs"/>
          <w:rtl/>
        </w:rPr>
        <w:t>:</w:t>
      </w:r>
    </w:p>
    <w:p w14:paraId="402ECAD8" w14:textId="77777777" w:rsidR="001A35F7" w:rsidRPr="001A35F7" w:rsidRDefault="001A35F7" w:rsidP="001A35F7">
      <w:pPr>
        <w:pStyle w:val="a9"/>
        <w:numPr>
          <w:ilvl w:val="0"/>
          <w:numId w:val="7"/>
        </w:numPr>
        <w:spacing w:line="360" w:lineRule="auto"/>
        <w:jc w:val="both"/>
        <w:rPr>
          <w:rFonts w:ascii="Calibri" w:hAnsi="Calibri"/>
        </w:rPr>
      </w:pPr>
      <w:r w:rsidRPr="001A35F7">
        <w:rPr>
          <w:rFonts w:ascii="Calibri" w:hAnsi="Calibri" w:hint="cs"/>
          <w:rtl/>
        </w:rPr>
        <w:t>שנים-עשר חודשי מאסר בפועל, בניכוי ימי מעצרו;</w:t>
      </w:r>
    </w:p>
    <w:p w14:paraId="5E288FD1" w14:textId="77777777" w:rsidR="001A35F7" w:rsidRPr="001A35F7" w:rsidRDefault="001A35F7" w:rsidP="001A35F7">
      <w:pPr>
        <w:pStyle w:val="a9"/>
        <w:numPr>
          <w:ilvl w:val="0"/>
          <w:numId w:val="7"/>
        </w:numPr>
        <w:spacing w:line="360" w:lineRule="auto"/>
        <w:jc w:val="both"/>
        <w:rPr>
          <w:rFonts w:ascii="Calibri" w:hAnsi="Calibri"/>
        </w:rPr>
      </w:pPr>
      <w:r w:rsidRPr="001A35F7">
        <w:rPr>
          <w:rFonts w:ascii="Calibri" w:hAnsi="Calibri" w:hint="cs"/>
          <w:rtl/>
        </w:rPr>
        <w:t>שישה חודשי מאסר על-תנאי למשך שנתיים מיום שחרורו, שלא יעבור עבירת סמים מסוג פשע;</w:t>
      </w:r>
    </w:p>
    <w:p w14:paraId="55222C7A" w14:textId="77777777" w:rsidR="001A35F7" w:rsidRPr="001A35F7" w:rsidRDefault="001A35F7" w:rsidP="001A35F7">
      <w:pPr>
        <w:pStyle w:val="a9"/>
        <w:numPr>
          <w:ilvl w:val="0"/>
          <w:numId w:val="7"/>
        </w:numPr>
        <w:spacing w:line="360" w:lineRule="auto"/>
        <w:jc w:val="both"/>
        <w:rPr>
          <w:rFonts w:ascii="Calibri" w:hAnsi="Calibri"/>
        </w:rPr>
      </w:pPr>
      <w:r w:rsidRPr="001A35F7">
        <w:rPr>
          <w:rFonts w:ascii="Calibri" w:hAnsi="Calibri" w:hint="cs"/>
          <w:rtl/>
        </w:rPr>
        <w:t xml:space="preserve">התחייבות בסך 2,000 </w:t>
      </w:r>
      <w:r w:rsidRPr="001A35F7">
        <w:rPr>
          <w:rFonts w:ascii="Calibri" w:hAnsi="Calibri" w:hint="eastAsia"/>
          <w:rtl/>
        </w:rPr>
        <w:t>₪</w:t>
      </w:r>
      <w:r w:rsidRPr="001A35F7">
        <w:rPr>
          <w:rFonts w:ascii="Calibri" w:hAnsi="Calibri" w:hint="cs"/>
          <w:rtl/>
        </w:rPr>
        <w:t xml:space="preserve"> למשך שנתיים מיום שחרורו, שלא יעבור עבירת סמים מסוג פשע. לא תיחתם ההתחייבות, ייאסר הנאשם לחודש ימים;</w:t>
      </w:r>
    </w:p>
    <w:p w14:paraId="1B111F36" w14:textId="77777777" w:rsidR="001A35F7" w:rsidRPr="001A35F7" w:rsidRDefault="001A35F7" w:rsidP="001A35F7">
      <w:pPr>
        <w:pStyle w:val="a9"/>
        <w:numPr>
          <w:ilvl w:val="0"/>
          <w:numId w:val="7"/>
        </w:numPr>
        <w:spacing w:line="360" w:lineRule="auto"/>
        <w:jc w:val="both"/>
        <w:rPr>
          <w:rFonts w:ascii="Calibri" w:hAnsi="Calibri"/>
        </w:rPr>
      </w:pPr>
      <w:r w:rsidRPr="001A35F7">
        <w:rPr>
          <w:rFonts w:ascii="Calibri" w:hAnsi="Calibri" w:hint="cs"/>
          <w:rtl/>
        </w:rPr>
        <w:t>פסילה מלנהוג או לקבל רישיון נהיגה, למשך שנה מיום שחרורו ממאסר;</w:t>
      </w:r>
    </w:p>
    <w:p w14:paraId="7AE71AC1" w14:textId="77777777" w:rsidR="001A35F7" w:rsidRPr="001A35F7" w:rsidRDefault="001A35F7" w:rsidP="001A35F7">
      <w:pPr>
        <w:pStyle w:val="a9"/>
        <w:numPr>
          <w:ilvl w:val="0"/>
          <w:numId w:val="7"/>
        </w:numPr>
        <w:spacing w:line="360" w:lineRule="auto"/>
        <w:jc w:val="both"/>
        <w:rPr>
          <w:rFonts w:ascii="Calibri" w:hAnsi="Calibri"/>
        </w:rPr>
      </w:pPr>
      <w:r w:rsidRPr="001A35F7">
        <w:rPr>
          <w:rFonts w:ascii="Calibri" w:hAnsi="Calibri" w:hint="cs"/>
          <w:rtl/>
        </w:rPr>
        <w:t>שישה חודשי פסילה על-תנאי למשך שנתיים מתום כל פסילה שתהא בתוקף בעת שחרורו ממאסר;</w:t>
      </w:r>
    </w:p>
    <w:p w14:paraId="0EFA4A8A" w14:textId="77777777" w:rsidR="001A35F7" w:rsidRPr="001A35F7" w:rsidRDefault="001A35F7" w:rsidP="001A35F7">
      <w:pPr>
        <w:pStyle w:val="a9"/>
        <w:numPr>
          <w:ilvl w:val="0"/>
          <w:numId w:val="7"/>
        </w:numPr>
        <w:spacing w:line="360" w:lineRule="auto"/>
        <w:jc w:val="both"/>
        <w:rPr>
          <w:rFonts w:ascii="Calibri" w:hAnsi="Calibri"/>
        </w:rPr>
      </w:pPr>
      <w:r w:rsidRPr="001A35F7">
        <w:rPr>
          <w:rFonts w:ascii="Calibri" w:hAnsi="Calibri" w:hint="cs"/>
          <w:rtl/>
        </w:rPr>
        <w:t xml:space="preserve">חילוט 26,600 </w:t>
      </w:r>
      <w:r w:rsidRPr="001A35F7">
        <w:rPr>
          <w:rFonts w:ascii="Calibri" w:hAnsi="Calibri" w:hint="eastAsia"/>
          <w:rtl/>
        </w:rPr>
        <w:t>₪</w:t>
      </w:r>
      <w:r w:rsidRPr="001A35F7">
        <w:rPr>
          <w:rFonts w:ascii="Calibri" w:hAnsi="Calibri" w:hint="cs"/>
          <w:rtl/>
        </w:rPr>
        <w:t>, אופנוע/ קטנוע מ.ר. 44-618-30 ושלושה טלפונים סלולאריים, לזכות הקרן למלחמה בסמים;</w:t>
      </w:r>
    </w:p>
    <w:p w14:paraId="330A3D51" w14:textId="77777777" w:rsidR="001A35F7" w:rsidRPr="001A35F7" w:rsidRDefault="001A35F7" w:rsidP="001A35F7">
      <w:pPr>
        <w:spacing w:line="360" w:lineRule="auto"/>
        <w:jc w:val="both"/>
        <w:rPr>
          <w:rFonts w:ascii="Calibri" w:hAnsi="Calibri"/>
        </w:rPr>
      </w:pPr>
    </w:p>
    <w:p w14:paraId="2ADF1435" w14:textId="77777777" w:rsidR="001A35F7" w:rsidRPr="001A35F7" w:rsidRDefault="001A35F7" w:rsidP="001A35F7">
      <w:pPr>
        <w:spacing w:line="360" w:lineRule="auto"/>
        <w:jc w:val="both"/>
        <w:rPr>
          <w:rFonts w:ascii="Calibri" w:hAnsi="Calibri"/>
          <w:rtl/>
        </w:rPr>
      </w:pPr>
      <w:r w:rsidRPr="001A35F7">
        <w:rPr>
          <w:rFonts w:ascii="Calibri" w:hAnsi="Calibri" w:hint="cs"/>
          <w:b/>
          <w:bCs/>
          <w:u w:val="single"/>
          <w:rtl/>
        </w:rPr>
        <w:t>הוראות נלוות</w:t>
      </w:r>
      <w:r w:rsidRPr="001A35F7">
        <w:rPr>
          <w:rFonts w:ascii="Calibri" w:hAnsi="Calibri" w:hint="cs"/>
          <w:rtl/>
        </w:rPr>
        <w:t>:</w:t>
      </w:r>
    </w:p>
    <w:p w14:paraId="4B170F8B" w14:textId="77777777" w:rsidR="001A35F7" w:rsidRPr="001A35F7" w:rsidRDefault="001A35F7" w:rsidP="001A35F7">
      <w:pPr>
        <w:pStyle w:val="a9"/>
        <w:numPr>
          <w:ilvl w:val="0"/>
          <w:numId w:val="8"/>
        </w:numPr>
        <w:spacing w:line="360" w:lineRule="auto"/>
        <w:jc w:val="both"/>
        <w:rPr>
          <w:rFonts w:ascii="Calibri" w:hAnsi="Calibri"/>
        </w:rPr>
      </w:pPr>
      <w:r w:rsidRPr="001A35F7">
        <w:rPr>
          <w:rFonts w:ascii="Calibri" w:hAnsi="Calibri" w:hint="cs"/>
          <w:rtl/>
        </w:rPr>
        <w:t>התביעה תעביר בהקדם לבית המשפט רשימת ימי מעצר לניכוי;</w:t>
      </w:r>
    </w:p>
    <w:p w14:paraId="4EBC1C9D" w14:textId="77777777" w:rsidR="001A35F7" w:rsidRPr="001A35F7" w:rsidRDefault="001A35F7" w:rsidP="001A35F7">
      <w:pPr>
        <w:pStyle w:val="a9"/>
        <w:numPr>
          <w:ilvl w:val="0"/>
          <w:numId w:val="8"/>
        </w:numPr>
        <w:spacing w:line="360" w:lineRule="auto"/>
        <w:jc w:val="both"/>
        <w:rPr>
          <w:rFonts w:ascii="Calibri" w:hAnsi="Calibri"/>
        </w:rPr>
      </w:pPr>
      <w:r w:rsidRPr="001A35F7">
        <w:rPr>
          <w:rFonts w:ascii="Calibri" w:hAnsi="Calibri" w:hint="cs"/>
          <w:rtl/>
        </w:rPr>
        <w:t>סמים ומשקל יושמדו וכל מוצג אחר, שלא הוריתי מה ייעשה בו, יועבר להחלטה פרטנית של קצין משטרה;</w:t>
      </w:r>
    </w:p>
    <w:p w14:paraId="21A29A10" w14:textId="77777777" w:rsidR="001A35F7" w:rsidRPr="001A35F7" w:rsidRDefault="001A35F7" w:rsidP="001A35F7">
      <w:pPr>
        <w:pStyle w:val="a9"/>
        <w:numPr>
          <w:ilvl w:val="0"/>
          <w:numId w:val="8"/>
        </w:numPr>
        <w:spacing w:line="360" w:lineRule="auto"/>
        <w:jc w:val="both"/>
        <w:rPr>
          <w:rFonts w:ascii="Calibri" w:hAnsi="Calibri"/>
        </w:rPr>
      </w:pPr>
      <w:r w:rsidRPr="001A35F7">
        <w:rPr>
          <w:rFonts w:ascii="Calibri" w:hAnsi="Calibri" w:hint="cs"/>
          <w:rtl/>
        </w:rPr>
        <w:t>ככל שהפקיד הנאשם פיקדון בתיק זה או בתיק קשור, יושב לו הפיקדון לאחר קבלת אישור בדבר כניסתו למאסר;</w:t>
      </w:r>
    </w:p>
    <w:p w14:paraId="75FD2848" w14:textId="77777777" w:rsidR="001A35F7" w:rsidRPr="001A35F7" w:rsidRDefault="001A35F7" w:rsidP="001A35F7">
      <w:pPr>
        <w:pStyle w:val="a9"/>
        <w:numPr>
          <w:ilvl w:val="0"/>
          <w:numId w:val="8"/>
        </w:numPr>
        <w:spacing w:line="360" w:lineRule="auto"/>
        <w:jc w:val="both"/>
        <w:rPr>
          <w:rFonts w:ascii="Calibri" w:hAnsi="Calibri"/>
        </w:rPr>
      </w:pPr>
      <w:r w:rsidRPr="001A35F7">
        <w:rPr>
          <w:rFonts w:ascii="Calibri" w:hAnsi="Calibri" w:hint="cs"/>
          <w:rtl/>
        </w:rPr>
        <w:t>עותק גזר הדין יועבר לשירות המבחן לידיעה;</w:t>
      </w:r>
    </w:p>
    <w:p w14:paraId="0BFF5582" w14:textId="77777777" w:rsidR="001A35F7" w:rsidRPr="001A35F7" w:rsidRDefault="001A35F7" w:rsidP="001A35F7">
      <w:pPr>
        <w:spacing w:line="360" w:lineRule="auto"/>
        <w:jc w:val="both"/>
        <w:rPr>
          <w:rFonts w:ascii="Calibri" w:hAnsi="Calibri"/>
          <w:rtl/>
        </w:rPr>
      </w:pPr>
    </w:p>
    <w:p w14:paraId="5D801FBC" w14:textId="77777777" w:rsidR="001A35F7" w:rsidRPr="001A35F7" w:rsidRDefault="001A35F7" w:rsidP="001A35F7">
      <w:pPr>
        <w:spacing w:line="360" w:lineRule="auto"/>
        <w:jc w:val="both"/>
        <w:rPr>
          <w:rFonts w:ascii="Calibri" w:hAnsi="Calibri"/>
          <w:rtl/>
        </w:rPr>
      </w:pPr>
      <w:r w:rsidRPr="001A35F7">
        <w:rPr>
          <w:rFonts w:ascii="Calibri" w:hAnsi="Calibri" w:hint="cs"/>
          <w:rtl/>
        </w:rPr>
        <w:t>זכות ערעור לבית המשפט המחוזי תוך 45 יום מהיום.</w:t>
      </w:r>
    </w:p>
    <w:p w14:paraId="174E6264" w14:textId="77777777" w:rsidR="001A35F7" w:rsidRPr="00460399" w:rsidRDefault="00460399" w:rsidP="001A35F7">
      <w:pPr>
        <w:spacing w:line="360" w:lineRule="auto"/>
        <w:jc w:val="both"/>
        <w:rPr>
          <w:rFonts w:ascii="Calibri" w:hAnsi="Calibri"/>
          <w:color w:val="FFFFFF"/>
          <w:sz w:val="2"/>
          <w:szCs w:val="2"/>
          <w:rtl/>
        </w:rPr>
      </w:pPr>
      <w:r w:rsidRPr="00460399">
        <w:rPr>
          <w:rFonts w:ascii="Calibri" w:hAnsi="Calibri"/>
          <w:color w:val="FFFFFF"/>
          <w:sz w:val="2"/>
          <w:szCs w:val="2"/>
          <w:rtl/>
        </w:rPr>
        <w:t>5129371</w:t>
      </w:r>
    </w:p>
    <w:p w14:paraId="352149CE" w14:textId="77777777" w:rsidR="001A35F7" w:rsidRPr="00250B83" w:rsidRDefault="00460399" w:rsidP="001A35F7">
      <w:pPr>
        <w:rPr>
          <w:rtl/>
        </w:rPr>
      </w:pPr>
      <w:r w:rsidRPr="00460399">
        <w:rPr>
          <w:rFonts w:ascii="Arial" w:hAnsi="Arial"/>
          <w:color w:val="FFFFFF"/>
          <w:sz w:val="2"/>
          <w:szCs w:val="2"/>
          <w:rtl/>
        </w:rPr>
        <w:t>54678313</w:t>
      </w:r>
      <w:r>
        <w:rPr>
          <w:rFonts w:ascii="Arial" w:hAnsi="Arial"/>
          <w:rtl/>
        </w:rPr>
        <w:t xml:space="preserve">ניתן היום,  כ"ח שבט תשע"ט, 03 פברואר 2019 2019, במעמד הצדדים. </w:t>
      </w:r>
    </w:p>
    <w:p w14:paraId="59193582" w14:textId="77777777" w:rsidR="001A35F7" w:rsidRPr="00250B83" w:rsidRDefault="001A35F7" w:rsidP="001A35F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726959E" w14:textId="77777777" w:rsidR="001A35F7" w:rsidRPr="00250B83" w:rsidRDefault="001A35F7" w:rsidP="001A35F7">
      <w:pPr>
        <w:jc w:val="center"/>
        <w:rPr>
          <w:rFonts w:ascii="Arial" w:hAnsi="Arial"/>
          <w:rtl/>
        </w:rPr>
      </w:pPr>
    </w:p>
    <w:p w14:paraId="5E469C9F" w14:textId="77777777" w:rsidR="001A35F7" w:rsidRPr="00250B83" w:rsidRDefault="001A35F7" w:rsidP="001A35F7">
      <w:pPr>
        <w:rPr>
          <w:rtl/>
        </w:rPr>
      </w:pPr>
    </w:p>
    <w:p w14:paraId="55F371E0" w14:textId="77777777" w:rsidR="001A35F7" w:rsidRDefault="001A35F7" w:rsidP="001A35F7">
      <w:pPr>
        <w:pStyle w:val="a3"/>
        <w:jc w:val="center"/>
        <w:rPr>
          <w:rtl/>
        </w:rPr>
      </w:pPr>
    </w:p>
    <w:p w14:paraId="776490B6" w14:textId="77777777" w:rsidR="00824E1C" w:rsidRPr="00460399" w:rsidRDefault="00824E1C" w:rsidP="00460399">
      <w:pPr>
        <w:keepNext/>
        <w:rPr>
          <w:rFonts w:ascii="David" w:hAnsi="David"/>
          <w:color w:val="000000"/>
          <w:sz w:val="22"/>
          <w:szCs w:val="22"/>
          <w:rtl/>
        </w:rPr>
      </w:pPr>
    </w:p>
    <w:p w14:paraId="68109D5C" w14:textId="77777777" w:rsidR="00460399" w:rsidRPr="00460399" w:rsidRDefault="00460399" w:rsidP="00460399">
      <w:pPr>
        <w:keepNext/>
        <w:rPr>
          <w:rFonts w:ascii="David" w:hAnsi="David"/>
          <w:color w:val="000000"/>
          <w:sz w:val="22"/>
          <w:szCs w:val="22"/>
          <w:rtl/>
        </w:rPr>
      </w:pPr>
      <w:r w:rsidRPr="00460399">
        <w:rPr>
          <w:rFonts w:ascii="David" w:hAnsi="David"/>
          <w:color w:val="000000"/>
          <w:sz w:val="22"/>
          <w:szCs w:val="22"/>
          <w:rtl/>
        </w:rPr>
        <w:t>עידו דרויאן גמליאל 54678313</w:t>
      </w:r>
    </w:p>
    <w:p w14:paraId="6071CD61" w14:textId="77777777" w:rsidR="00460399" w:rsidRDefault="00460399" w:rsidP="00460399">
      <w:r w:rsidRPr="00460399">
        <w:rPr>
          <w:color w:val="000000"/>
          <w:rtl/>
        </w:rPr>
        <w:t>נוסח מסמך זה כפוף לשינויי ניסוח ועריכה</w:t>
      </w:r>
    </w:p>
    <w:p w14:paraId="08E0DEDA" w14:textId="77777777" w:rsidR="00460399" w:rsidRDefault="00460399" w:rsidP="00460399">
      <w:pPr>
        <w:rPr>
          <w:rtl/>
        </w:rPr>
      </w:pPr>
    </w:p>
    <w:p w14:paraId="35D21827" w14:textId="77777777" w:rsidR="00460399" w:rsidRDefault="00460399" w:rsidP="00460399">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r w:rsidR="007A03F5">
        <w:rPr>
          <w:rFonts w:hint="cs"/>
          <w:color w:val="0000FF"/>
          <w:u w:val="single"/>
          <w:rtl/>
        </w:rPr>
        <w:t xml:space="preserve"> </w:t>
      </w:r>
    </w:p>
    <w:p w14:paraId="57F56A88" w14:textId="77777777" w:rsidR="00460399" w:rsidRPr="00460399" w:rsidRDefault="00460399" w:rsidP="00460399">
      <w:pPr>
        <w:jc w:val="center"/>
        <w:rPr>
          <w:color w:val="0000FF"/>
          <w:u w:val="single"/>
        </w:rPr>
      </w:pPr>
    </w:p>
    <w:sectPr w:rsidR="00460399" w:rsidRPr="00460399" w:rsidSect="00460399">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74386" w14:textId="77777777" w:rsidR="00CA7A4B" w:rsidRDefault="00CA7A4B" w:rsidP="000823D8">
      <w:r>
        <w:separator/>
      </w:r>
    </w:p>
  </w:endnote>
  <w:endnote w:type="continuationSeparator" w:id="0">
    <w:p w14:paraId="14106845" w14:textId="77777777" w:rsidR="00CA7A4B" w:rsidRDefault="00CA7A4B" w:rsidP="0008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25629" w14:textId="77777777" w:rsidR="00CA7A4B" w:rsidRDefault="00CA7A4B" w:rsidP="004603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C02176" w14:textId="77777777" w:rsidR="00CA7A4B" w:rsidRPr="00460399" w:rsidRDefault="00CA7A4B" w:rsidP="004603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7848" w14:textId="77777777" w:rsidR="00CA7A4B" w:rsidRDefault="00CA7A4B" w:rsidP="004603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23CD">
      <w:rPr>
        <w:rFonts w:ascii="FrankRuehl" w:hAnsi="FrankRuehl" w:cs="FrankRuehl"/>
        <w:noProof/>
        <w:rtl/>
      </w:rPr>
      <w:t>1</w:t>
    </w:r>
    <w:r>
      <w:rPr>
        <w:rFonts w:ascii="FrankRuehl" w:hAnsi="FrankRuehl" w:cs="FrankRuehl"/>
        <w:rtl/>
      </w:rPr>
      <w:fldChar w:fldCharType="end"/>
    </w:r>
  </w:p>
  <w:p w14:paraId="33D34178" w14:textId="77777777" w:rsidR="00CA7A4B" w:rsidRPr="00460399" w:rsidRDefault="00CA7A4B" w:rsidP="004603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8D7A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327AE" w14:textId="77777777" w:rsidR="00CA7A4B" w:rsidRDefault="00CA7A4B" w:rsidP="000823D8">
      <w:r>
        <w:separator/>
      </w:r>
    </w:p>
  </w:footnote>
  <w:footnote w:type="continuationSeparator" w:id="0">
    <w:p w14:paraId="4CFC8BEA" w14:textId="77777777" w:rsidR="00CA7A4B" w:rsidRDefault="00CA7A4B" w:rsidP="00082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31AB3" w14:textId="77777777" w:rsidR="00CA7A4B" w:rsidRPr="00460399" w:rsidRDefault="00CA7A4B" w:rsidP="004603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19393-03-17</w:t>
    </w:r>
    <w:r>
      <w:rPr>
        <w:rFonts w:ascii="David" w:hAnsi="David"/>
        <w:color w:val="000000"/>
        <w:sz w:val="22"/>
        <w:szCs w:val="22"/>
        <w:rtl/>
      </w:rPr>
      <w:tab/>
      <w:t xml:space="preserve"> מדינת ישראל נ' עודד סגל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6F1FA" w14:textId="77777777" w:rsidR="00CA7A4B" w:rsidRPr="00460399" w:rsidRDefault="00CA7A4B" w:rsidP="004603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19393-03-17</w:t>
    </w:r>
    <w:r>
      <w:rPr>
        <w:rFonts w:ascii="David" w:hAnsi="David"/>
        <w:color w:val="000000"/>
        <w:sz w:val="22"/>
        <w:szCs w:val="22"/>
        <w:rtl/>
      </w:rPr>
      <w:tab/>
      <w:t xml:space="preserve"> מדינת ישראל נ' עודד סגל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7A2C"/>
    <w:multiLevelType w:val="hybridMultilevel"/>
    <w:tmpl w:val="791C851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70DE4"/>
    <w:multiLevelType w:val="hybridMultilevel"/>
    <w:tmpl w:val="2A685C4A"/>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33B60"/>
    <w:multiLevelType w:val="hybridMultilevel"/>
    <w:tmpl w:val="791C851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3D2905"/>
    <w:multiLevelType w:val="hybridMultilevel"/>
    <w:tmpl w:val="1B0E6A60"/>
    <w:lvl w:ilvl="0" w:tplc="8758E59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BC7D87"/>
    <w:multiLevelType w:val="hybridMultilevel"/>
    <w:tmpl w:val="057008D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2011D"/>
    <w:multiLevelType w:val="hybridMultilevel"/>
    <w:tmpl w:val="E6B8B41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40EA5"/>
    <w:multiLevelType w:val="hybridMultilevel"/>
    <w:tmpl w:val="787C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43541"/>
    <w:multiLevelType w:val="hybridMultilevel"/>
    <w:tmpl w:val="96F234FE"/>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908417">
    <w:abstractNumId w:val="6"/>
  </w:num>
  <w:num w:numId="2" w16cid:durableId="491991358">
    <w:abstractNumId w:val="0"/>
  </w:num>
  <w:num w:numId="3" w16cid:durableId="1355882888">
    <w:abstractNumId w:val="1"/>
  </w:num>
  <w:num w:numId="4" w16cid:durableId="332614003">
    <w:abstractNumId w:val="3"/>
  </w:num>
  <w:num w:numId="5" w16cid:durableId="317419683">
    <w:abstractNumId w:val="7"/>
  </w:num>
  <w:num w:numId="6" w16cid:durableId="2145000872">
    <w:abstractNumId w:val="2"/>
  </w:num>
  <w:num w:numId="7" w16cid:durableId="1547135186">
    <w:abstractNumId w:val="4"/>
  </w:num>
  <w:num w:numId="8" w16cid:durableId="2121870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35F7"/>
    <w:rsid w:val="000823D8"/>
    <w:rsid w:val="001A35F7"/>
    <w:rsid w:val="00293482"/>
    <w:rsid w:val="00381020"/>
    <w:rsid w:val="004323CD"/>
    <w:rsid w:val="00460399"/>
    <w:rsid w:val="005B7F79"/>
    <w:rsid w:val="007A03F5"/>
    <w:rsid w:val="00824E1C"/>
    <w:rsid w:val="00A3098D"/>
    <w:rsid w:val="00B11195"/>
    <w:rsid w:val="00BD1ADD"/>
    <w:rsid w:val="00CA7A4B"/>
    <w:rsid w:val="00D244DE"/>
    <w:rsid w:val="00F41C59"/>
    <w:rsid w:val="00FF12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571E9C"/>
  <w15:chartTrackingRefBased/>
  <w15:docId w15:val="{370AE46A-AF42-4D54-8F3D-D8583FB2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35F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35F7"/>
    <w:pPr>
      <w:tabs>
        <w:tab w:val="center" w:pos="4153"/>
        <w:tab w:val="right" w:pos="8306"/>
      </w:tabs>
    </w:pPr>
  </w:style>
  <w:style w:type="character" w:customStyle="1" w:styleId="a4">
    <w:name w:val="כותרת עליונה תו"/>
    <w:link w:val="a3"/>
    <w:rsid w:val="001A35F7"/>
    <w:rPr>
      <w:rFonts w:ascii="Times New Roman" w:eastAsia="Times New Roman" w:hAnsi="Times New Roman" w:cs="David"/>
      <w:sz w:val="24"/>
      <w:szCs w:val="24"/>
    </w:rPr>
  </w:style>
  <w:style w:type="paragraph" w:styleId="a5">
    <w:name w:val="footer"/>
    <w:basedOn w:val="a"/>
    <w:link w:val="a6"/>
    <w:rsid w:val="001A35F7"/>
    <w:pPr>
      <w:tabs>
        <w:tab w:val="center" w:pos="4153"/>
        <w:tab w:val="right" w:pos="8306"/>
      </w:tabs>
    </w:pPr>
  </w:style>
  <w:style w:type="character" w:customStyle="1" w:styleId="a6">
    <w:name w:val="כותרת תחתונה תו"/>
    <w:link w:val="a5"/>
    <w:rsid w:val="001A35F7"/>
    <w:rPr>
      <w:rFonts w:ascii="Times New Roman" w:eastAsia="Times New Roman" w:hAnsi="Times New Roman" w:cs="David"/>
      <w:sz w:val="24"/>
      <w:szCs w:val="24"/>
    </w:rPr>
  </w:style>
  <w:style w:type="table" w:styleId="a7">
    <w:name w:val="Table Grid"/>
    <w:basedOn w:val="a1"/>
    <w:rsid w:val="001A35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35F7"/>
  </w:style>
  <w:style w:type="paragraph" w:styleId="a9">
    <w:name w:val="List Paragraph"/>
    <w:basedOn w:val="a"/>
    <w:qFormat/>
    <w:rsid w:val="001A35F7"/>
    <w:pPr>
      <w:ind w:left="720"/>
      <w:contextualSpacing/>
    </w:pPr>
  </w:style>
  <w:style w:type="character" w:styleId="Hyperlink">
    <w:name w:val="Hyperlink"/>
    <w:rsid w:val="004603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1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90567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560548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case/2042049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0126233"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1781</Words>
  <Characters>8909</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10669</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3539060</vt:i4>
      </vt:variant>
      <vt:variant>
        <vt:i4>45</vt:i4>
      </vt:variant>
      <vt:variant>
        <vt:i4>0</vt:i4>
      </vt:variant>
      <vt:variant>
        <vt:i4>5</vt:i4>
      </vt:variant>
      <vt:variant>
        <vt:lpwstr>http://www.nevo.co.il/case/20126233</vt:lpwstr>
      </vt:variant>
      <vt:variant>
        <vt:lpwstr/>
      </vt:variant>
      <vt:variant>
        <vt:i4>3735666</vt:i4>
      </vt:variant>
      <vt:variant>
        <vt:i4>42</vt:i4>
      </vt:variant>
      <vt:variant>
        <vt:i4>0</vt:i4>
      </vt:variant>
      <vt:variant>
        <vt:i4>5</vt:i4>
      </vt:variant>
      <vt:variant>
        <vt:lpwstr>http://www.nevo.co.il/case/20905674</vt:lpwstr>
      </vt:variant>
      <vt:variant>
        <vt:lpwstr/>
      </vt:variant>
      <vt:variant>
        <vt:i4>3473535</vt:i4>
      </vt:variant>
      <vt:variant>
        <vt:i4>39</vt:i4>
      </vt:variant>
      <vt:variant>
        <vt:i4>0</vt:i4>
      </vt:variant>
      <vt:variant>
        <vt:i4>5</vt:i4>
      </vt:variant>
      <vt:variant>
        <vt:lpwstr>http://www.nevo.co.il/case/5605484</vt:lpwstr>
      </vt:variant>
      <vt:variant>
        <vt:lpwstr/>
      </vt:variant>
      <vt:variant>
        <vt:i4>4128882</vt:i4>
      </vt:variant>
      <vt:variant>
        <vt:i4>36</vt:i4>
      </vt:variant>
      <vt:variant>
        <vt:i4>0</vt:i4>
      </vt:variant>
      <vt:variant>
        <vt:i4>5</vt:i4>
      </vt:variant>
      <vt:variant>
        <vt:lpwstr>http://www.nevo.co.il/case/20420496</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19393</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עודד סגל</vt:lpwstr>
  </property>
  <property fmtid="{D5CDD505-2E9C-101B-9397-08002B2CF9AE}" pid="10" name="LAWYER">
    <vt:lpwstr>רעות בן משה;עידן שני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20190203</vt:lpwstr>
  </property>
  <property fmtid="{D5CDD505-2E9C-101B-9397-08002B2CF9AE}" pid="14" name="TYPE_N_DATE">
    <vt:lpwstr>38020190203</vt:lpwstr>
  </property>
  <property fmtid="{D5CDD505-2E9C-101B-9397-08002B2CF9AE}" pid="15" name="WORDNUMPAGES">
    <vt:lpwstr>6</vt:lpwstr>
  </property>
  <property fmtid="{D5CDD505-2E9C-101B-9397-08002B2CF9AE}" pid="16" name="TYPE_ABS_DATE">
    <vt:lpwstr>380020190203</vt:lpwstr>
  </property>
  <property fmtid="{D5CDD505-2E9C-101B-9397-08002B2CF9AE}" pid="17" name="CASESLISTTMP1">
    <vt:lpwstr>20420496;5605484;20905674;20126233</vt:lpwstr>
  </property>
  <property fmtid="{D5CDD505-2E9C-101B-9397-08002B2CF9AE}" pid="18" name="LAWLISTTMP1">
    <vt:lpwstr>4216/013;019a;007.a;007.c;010</vt:lpwstr>
  </property>
</Properties>
</file>