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E972CE" w:rsidRPr="009F1EB6" w14:paraId="188F19A4" w14:textId="77777777" w:rsidTr="001B6044">
        <w:trPr>
          <w:trHeight w:hRule="exact" w:val="418"/>
          <w:jc w:val="center"/>
        </w:trPr>
        <w:tc>
          <w:tcPr>
            <w:tcW w:w="8721" w:type="dxa"/>
            <w:gridSpan w:val="2"/>
          </w:tcPr>
          <w:p w14:paraId="7A2C8249" w14:textId="77777777" w:rsidR="00E972CE" w:rsidRPr="009F1EB6" w:rsidRDefault="00E972CE" w:rsidP="007D6715">
            <w:pPr>
              <w:pStyle w:val="a3"/>
              <w:jc w:val="center"/>
              <w:rPr>
                <w:rFonts w:ascii="Tahoma" w:hAnsi="Tahoma" w:cs="Tahoma"/>
                <w:color w:val="000080"/>
                <w:rtl/>
              </w:rPr>
            </w:pPr>
            <w:bookmarkStart w:id="0" w:name="LastJudge"/>
            <w:r w:rsidRPr="009F1EB6">
              <w:rPr>
                <w:rFonts w:ascii="Tahoma" w:hAnsi="Tahoma" w:cs="Tahoma"/>
                <w:b/>
                <w:bCs/>
                <w:color w:val="000080"/>
                <w:rtl/>
              </w:rPr>
              <w:t>בית משפט השלום בקריות</w:t>
            </w:r>
          </w:p>
        </w:tc>
      </w:tr>
      <w:tr w:rsidR="00E972CE" w:rsidRPr="009F1EB6" w14:paraId="6F131ECD" w14:textId="77777777" w:rsidTr="001B6044">
        <w:trPr>
          <w:trHeight w:val="337"/>
          <w:jc w:val="center"/>
        </w:trPr>
        <w:tc>
          <w:tcPr>
            <w:tcW w:w="5062" w:type="dxa"/>
          </w:tcPr>
          <w:p w14:paraId="44D76A71" w14:textId="77777777" w:rsidR="00E972CE" w:rsidRPr="009F1EB6" w:rsidRDefault="00E972CE" w:rsidP="007D6715">
            <w:pPr>
              <w:rPr>
                <w:rFonts w:cs="FrankRuehl"/>
                <w:sz w:val="28"/>
                <w:szCs w:val="28"/>
                <w:rtl/>
              </w:rPr>
            </w:pPr>
            <w:r w:rsidRPr="009F1EB6">
              <w:rPr>
                <w:rFonts w:cs="FrankRuehl"/>
                <w:sz w:val="28"/>
                <w:szCs w:val="28"/>
                <w:rtl/>
              </w:rPr>
              <w:t>ת"פ</w:t>
            </w:r>
            <w:r w:rsidRPr="009F1EB6">
              <w:rPr>
                <w:rFonts w:cs="FrankRuehl" w:hint="cs"/>
                <w:sz w:val="28"/>
                <w:szCs w:val="28"/>
                <w:rtl/>
              </w:rPr>
              <w:t xml:space="preserve"> </w:t>
            </w:r>
            <w:r w:rsidRPr="009F1EB6">
              <w:rPr>
                <w:rFonts w:cs="FrankRuehl"/>
                <w:sz w:val="28"/>
                <w:szCs w:val="28"/>
                <w:rtl/>
              </w:rPr>
              <w:t>34353-03-17</w:t>
            </w:r>
            <w:r w:rsidRPr="009F1EB6">
              <w:rPr>
                <w:rFonts w:cs="FrankRuehl" w:hint="cs"/>
                <w:sz w:val="28"/>
                <w:szCs w:val="28"/>
                <w:rtl/>
              </w:rPr>
              <w:t xml:space="preserve"> </w:t>
            </w:r>
            <w:r w:rsidRPr="009F1EB6">
              <w:rPr>
                <w:rFonts w:cs="FrankRuehl"/>
                <w:sz w:val="28"/>
                <w:szCs w:val="28"/>
                <w:rtl/>
              </w:rPr>
              <w:t>מדינת ישראל נ' אבשלומוב(עציר)</w:t>
            </w:r>
          </w:p>
          <w:p w14:paraId="171B3DEE" w14:textId="77777777" w:rsidR="00E972CE" w:rsidRPr="009F1EB6" w:rsidRDefault="00E972CE" w:rsidP="007D6715">
            <w:pPr>
              <w:pStyle w:val="a3"/>
              <w:rPr>
                <w:rFonts w:cs="FrankRuehl"/>
                <w:sz w:val="28"/>
                <w:szCs w:val="28"/>
                <w:rtl/>
              </w:rPr>
            </w:pPr>
          </w:p>
        </w:tc>
        <w:tc>
          <w:tcPr>
            <w:tcW w:w="3659" w:type="dxa"/>
          </w:tcPr>
          <w:p w14:paraId="0B2394E0" w14:textId="77777777" w:rsidR="00E972CE" w:rsidRPr="009F1EB6" w:rsidRDefault="00E972CE" w:rsidP="007D6715">
            <w:pPr>
              <w:pStyle w:val="a3"/>
              <w:jc w:val="right"/>
              <w:rPr>
                <w:rFonts w:cs="FrankRuehl"/>
                <w:sz w:val="28"/>
                <w:szCs w:val="28"/>
                <w:rtl/>
              </w:rPr>
            </w:pPr>
          </w:p>
        </w:tc>
      </w:tr>
    </w:tbl>
    <w:p w14:paraId="4B919EF9" w14:textId="77777777" w:rsidR="00E972CE" w:rsidRPr="009F1EB6" w:rsidRDefault="00E972CE" w:rsidP="00E972CE">
      <w:pPr>
        <w:pStyle w:val="a3"/>
        <w:rPr>
          <w:rtl/>
        </w:rPr>
      </w:pPr>
      <w:r w:rsidRPr="009F1EB6">
        <w:rPr>
          <w:rFonts w:hint="cs"/>
          <w:rtl/>
        </w:rPr>
        <w:t xml:space="preserve"> </w:t>
      </w:r>
    </w:p>
    <w:p w14:paraId="2C8CA414" w14:textId="77777777" w:rsidR="00E972CE" w:rsidRPr="009F1EB6" w:rsidRDefault="00E972CE" w:rsidP="00E972C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972CE" w:rsidRPr="009F1EB6" w14:paraId="5E925ABD" w14:textId="77777777" w:rsidTr="00E972CE">
        <w:trPr>
          <w:trHeight w:val="295"/>
          <w:jc w:val="center"/>
        </w:trPr>
        <w:tc>
          <w:tcPr>
            <w:tcW w:w="923" w:type="dxa"/>
            <w:tcBorders>
              <w:top w:val="nil"/>
              <w:left w:val="nil"/>
              <w:bottom w:val="nil"/>
              <w:right w:val="nil"/>
            </w:tcBorders>
            <w:shd w:val="clear" w:color="auto" w:fill="auto"/>
          </w:tcPr>
          <w:p w14:paraId="2A7F6324" w14:textId="77777777" w:rsidR="00E972CE" w:rsidRPr="009F1EB6" w:rsidRDefault="00E972CE" w:rsidP="00E972CE">
            <w:pPr>
              <w:jc w:val="both"/>
              <w:rPr>
                <w:rFonts w:ascii="Arial" w:hAnsi="Arial"/>
                <w:b/>
                <w:bCs/>
              </w:rPr>
            </w:pPr>
            <w:r w:rsidRPr="009F1EB6">
              <w:rPr>
                <w:rFonts w:ascii="Arial" w:hAnsi="Arial" w:hint="cs"/>
                <w:b/>
                <w:bCs/>
                <w:rtl/>
              </w:rPr>
              <w:t>ב</w:t>
            </w:r>
            <w:r w:rsidRPr="009F1EB6">
              <w:rPr>
                <w:rFonts w:ascii="Arial" w:hAnsi="Arial"/>
                <w:b/>
                <w:bCs/>
                <w:rtl/>
              </w:rPr>
              <w:t xml:space="preserve">פני </w:t>
            </w:r>
          </w:p>
        </w:tc>
        <w:tc>
          <w:tcPr>
            <w:tcW w:w="7897" w:type="dxa"/>
            <w:gridSpan w:val="2"/>
            <w:tcBorders>
              <w:top w:val="nil"/>
              <w:left w:val="nil"/>
              <w:bottom w:val="nil"/>
              <w:right w:val="nil"/>
            </w:tcBorders>
            <w:shd w:val="clear" w:color="auto" w:fill="auto"/>
          </w:tcPr>
          <w:p w14:paraId="740B27AE" w14:textId="77777777" w:rsidR="00E972CE" w:rsidRPr="009F1EB6" w:rsidRDefault="00E972CE" w:rsidP="007D6715">
            <w:pPr>
              <w:rPr>
                <w:rFonts w:ascii="Arial" w:hAnsi="Arial"/>
                <w:b/>
                <w:bCs/>
                <w:rtl/>
              </w:rPr>
            </w:pPr>
            <w:r w:rsidRPr="009F1EB6">
              <w:rPr>
                <w:rFonts w:ascii="Arial" w:hAnsi="Arial" w:hint="cs"/>
                <w:b/>
                <w:bCs/>
                <w:rtl/>
              </w:rPr>
              <w:t>כבוד ה</w:t>
            </w:r>
            <w:r w:rsidRPr="009F1EB6">
              <w:rPr>
                <w:rFonts w:ascii="Arial" w:hAnsi="Arial"/>
                <w:b/>
                <w:bCs/>
                <w:rtl/>
              </w:rPr>
              <w:t>שופט</w:t>
            </w:r>
            <w:r w:rsidRPr="009F1EB6">
              <w:rPr>
                <w:rFonts w:ascii="Arial" w:hAnsi="Arial" w:hint="cs"/>
                <w:b/>
                <w:bCs/>
                <w:rtl/>
              </w:rPr>
              <w:t xml:space="preserve">  </w:t>
            </w:r>
            <w:r w:rsidRPr="009F1EB6">
              <w:rPr>
                <w:rFonts w:ascii="Arial" w:hAnsi="Arial"/>
                <w:b/>
                <w:bCs/>
                <w:rtl/>
              </w:rPr>
              <w:t>יוסי טורס</w:t>
            </w:r>
          </w:p>
          <w:p w14:paraId="6AFE229D" w14:textId="77777777" w:rsidR="00E972CE" w:rsidRPr="009F1EB6" w:rsidRDefault="00E972CE" w:rsidP="007D6715">
            <w:pPr>
              <w:rPr>
                <w:b/>
                <w:bCs/>
                <w:rtl/>
              </w:rPr>
            </w:pPr>
          </w:p>
          <w:p w14:paraId="3282CA29" w14:textId="77777777" w:rsidR="00E972CE" w:rsidRPr="009F1EB6" w:rsidRDefault="00E972CE" w:rsidP="00E972CE">
            <w:pPr>
              <w:jc w:val="both"/>
              <w:rPr>
                <w:rFonts w:ascii="Arial" w:hAnsi="Arial"/>
                <w:b/>
                <w:bCs/>
              </w:rPr>
            </w:pPr>
          </w:p>
        </w:tc>
      </w:tr>
      <w:tr w:rsidR="00E972CE" w:rsidRPr="009F1EB6" w14:paraId="3DFD9EAA" w14:textId="77777777" w:rsidTr="00E972CE">
        <w:trPr>
          <w:trHeight w:val="355"/>
          <w:jc w:val="center"/>
        </w:trPr>
        <w:tc>
          <w:tcPr>
            <w:tcW w:w="923" w:type="dxa"/>
            <w:tcBorders>
              <w:top w:val="nil"/>
              <w:left w:val="nil"/>
              <w:bottom w:val="nil"/>
              <w:right w:val="nil"/>
            </w:tcBorders>
            <w:shd w:val="clear" w:color="auto" w:fill="auto"/>
          </w:tcPr>
          <w:p w14:paraId="2FAFE851" w14:textId="77777777" w:rsidR="00E972CE" w:rsidRPr="009F1EB6" w:rsidRDefault="00E972CE" w:rsidP="00E972CE">
            <w:pPr>
              <w:jc w:val="both"/>
              <w:rPr>
                <w:rFonts w:ascii="Arial" w:hAnsi="Arial"/>
                <w:b/>
                <w:bCs/>
              </w:rPr>
            </w:pPr>
            <w:bookmarkStart w:id="1" w:name="FirstAppellant"/>
            <w:r w:rsidRPr="009F1EB6">
              <w:rPr>
                <w:rFonts w:ascii="Arial" w:hAnsi="Arial" w:hint="cs"/>
                <w:b/>
                <w:bCs/>
                <w:rtl/>
              </w:rPr>
              <w:t>בעניין:</w:t>
            </w:r>
          </w:p>
        </w:tc>
        <w:tc>
          <w:tcPr>
            <w:tcW w:w="4126" w:type="dxa"/>
            <w:tcBorders>
              <w:top w:val="nil"/>
              <w:left w:val="nil"/>
              <w:bottom w:val="nil"/>
              <w:right w:val="nil"/>
            </w:tcBorders>
            <w:shd w:val="clear" w:color="auto" w:fill="auto"/>
          </w:tcPr>
          <w:p w14:paraId="0A70353C" w14:textId="77777777" w:rsidR="00E972CE" w:rsidRPr="009F1EB6" w:rsidRDefault="00E972CE" w:rsidP="007D6715">
            <w:pPr>
              <w:rPr>
                <w:b/>
                <w:bCs/>
              </w:rPr>
            </w:pPr>
            <w:r w:rsidRPr="009F1EB6">
              <w:rPr>
                <w:rFonts w:ascii="Arial" w:hAnsi="Arial"/>
                <w:b/>
                <w:bCs/>
                <w:rtl/>
              </w:rPr>
              <w:t>מדינת ישראל</w:t>
            </w:r>
          </w:p>
        </w:tc>
        <w:tc>
          <w:tcPr>
            <w:tcW w:w="3771" w:type="dxa"/>
            <w:tcBorders>
              <w:top w:val="nil"/>
              <w:left w:val="nil"/>
              <w:bottom w:val="nil"/>
              <w:right w:val="nil"/>
            </w:tcBorders>
            <w:shd w:val="clear" w:color="auto" w:fill="auto"/>
          </w:tcPr>
          <w:p w14:paraId="0DB6EF0E" w14:textId="77777777" w:rsidR="00E972CE" w:rsidRPr="009F1EB6" w:rsidRDefault="00E972CE" w:rsidP="00E972CE">
            <w:pPr>
              <w:jc w:val="both"/>
              <w:rPr>
                <w:rFonts w:ascii="Arial" w:hAnsi="Arial"/>
                <w:b/>
                <w:bCs/>
              </w:rPr>
            </w:pPr>
          </w:p>
        </w:tc>
      </w:tr>
      <w:bookmarkEnd w:id="1"/>
      <w:tr w:rsidR="00E972CE" w:rsidRPr="009F1EB6" w14:paraId="320C6AD5" w14:textId="77777777" w:rsidTr="00E972CE">
        <w:trPr>
          <w:trHeight w:val="355"/>
          <w:jc w:val="center"/>
        </w:trPr>
        <w:tc>
          <w:tcPr>
            <w:tcW w:w="923" w:type="dxa"/>
            <w:tcBorders>
              <w:top w:val="nil"/>
              <w:left w:val="nil"/>
              <w:bottom w:val="nil"/>
              <w:right w:val="nil"/>
            </w:tcBorders>
            <w:shd w:val="clear" w:color="auto" w:fill="auto"/>
          </w:tcPr>
          <w:p w14:paraId="45BCAA89" w14:textId="77777777" w:rsidR="00E972CE" w:rsidRPr="009F1EB6" w:rsidRDefault="00E972CE" w:rsidP="00E972CE">
            <w:pPr>
              <w:jc w:val="both"/>
              <w:rPr>
                <w:rFonts w:ascii="Arial" w:hAnsi="Arial"/>
                <w:b/>
                <w:bCs/>
                <w:rtl/>
              </w:rPr>
            </w:pPr>
          </w:p>
        </w:tc>
        <w:tc>
          <w:tcPr>
            <w:tcW w:w="4126" w:type="dxa"/>
            <w:tcBorders>
              <w:top w:val="nil"/>
              <w:left w:val="nil"/>
              <w:bottom w:val="nil"/>
              <w:right w:val="nil"/>
            </w:tcBorders>
            <w:shd w:val="clear" w:color="auto" w:fill="auto"/>
          </w:tcPr>
          <w:p w14:paraId="71E72E3F" w14:textId="77777777" w:rsidR="00E972CE" w:rsidRPr="009F1EB6" w:rsidRDefault="00E972CE" w:rsidP="00E972CE">
            <w:pPr>
              <w:jc w:val="both"/>
              <w:rPr>
                <w:b/>
                <w:bCs/>
                <w:rtl/>
              </w:rPr>
            </w:pPr>
          </w:p>
        </w:tc>
        <w:tc>
          <w:tcPr>
            <w:tcW w:w="3771" w:type="dxa"/>
            <w:tcBorders>
              <w:top w:val="nil"/>
              <w:left w:val="nil"/>
              <w:bottom w:val="nil"/>
              <w:right w:val="nil"/>
            </w:tcBorders>
            <w:shd w:val="clear" w:color="auto" w:fill="auto"/>
          </w:tcPr>
          <w:p w14:paraId="4CE616FB" w14:textId="77777777" w:rsidR="00E972CE" w:rsidRPr="009F1EB6" w:rsidRDefault="00E972CE" w:rsidP="00E972CE">
            <w:pPr>
              <w:jc w:val="right"/>
              <w:rPr>
                <w:rFonts w:ascii="Arial" w:hAnsi="Arial"/>
                <w:b/>
                <w:bCs/>
                <w:rtl/>
              </w:rPr>
            </w:pPr>
            <w:r w:rsidRPr="009F1EB6">
              <w:rPr>
                <w:rFonts w:ascii="Arial" w:hAnsi="Arial" w:hint="cs"/>
                <w:b/>
                <w:bCs/>
                <w:rtl/>
              </w:rPr>
              <w:t>ה</w:t>
            </w:r>
            <w:r w:rsidRPr="009F1EB6">
              <w:rPr>
                <w:rFonts w:ascii="Arial" w:hAnsi="Arial"/>
                <w:b/>
                <w:bCs/>
                <w:rtl/>
              </w:rPr>
              <w:t>מאשימה</w:t>
            </w:r>
          </w:p>
        </w:tc>
      </w:tr>
      <w:tr w:rsidR="00E972CE" w:rsidRPr="009F1EB6" w14:paraId="72952848" w14:textId="77777777" w:rsidTr="00E972CE">
        <w:trPr>
          <w:trHeight w:val="355"/>
          <w:jc w:val="center"/>
        </w:trPr>
        <w:tc>
          <w:tcPr>
            <w:tcW w:w="923" w:type="dxa"/>
            <w:tcBorders>
              <w:top w:val="nil"/>
              <w:left w:val="nil"/>
              <w:bottom w:val="nil"/>
              <w:right w:val="nil"/>
            </w:tcBorders>
            <w:shd w:val="clear" w:color="auto" w:fill="auto"/>
          </w:tcPr>
          <w:p w14:paraId="216B4A71" w14:textId="77777777" w:rsidR="00E972CE" w:rsidRPr="009F1EB6" w:rsidRDefault="00E972CE" w:rsidP="00E972CE">
            <w:pPr>
              <w:jc w:val="both"/>
              <w:rPr>
                <w:rFonts w:ascii="Arial" w:hAnsi="Arial"/>
                <w:b/>
                <w:bCs/>
                <w:rtl/>
              </w:rPr>
            </w:pPr>
          </w:p>
        </w:tc>
        <w:tc>
          <w:tcPr>
            <w:tcW w:w="7897" w:type="dxa"/>
            <w:gridSpan w:val="2"/>
            <w:tcBorders>
              <w:top w:val="nil"/>
              <w:left w:val="nil"/>
              <w:bottom w:val="nil"/>
              <w:right w:val="nil"/>
            </w:tcBorders>
            <w:shd w:val="clear" w:color="auto" w:fill="auto"/>
          </w:tcPr>
          <w:p w14:paraId="2C139B75" w14:textId="77777777" w:rsidR="00E972CE" w:rsidRPr="009F1EB6" w:rsidRDefault="00E972CE" w:rsidP="00E972CE">
            <w:pPr>
              <w:jc w:val="center"/>
              <w:rPr>
                <w:rFonts w:ascii="Arial" w:hAnsi="Arial"/>
                <w:b/>
                <w:bCs/>
                <w:rtl/>
              </w:rPr>
            </w:pPr>
          </w:p>
          <w:p w14:paraId="073F9925" w14:textId="77777777" w:rsidR="00E972CE" w:rsidRPr="009F1EB6" w:rsidRDefault="00E972CE" w:rsidP="00E972CE">
            <w:pPr>
              <w:jc w:val="center"/>
              <w:rPr>
                <w:rFonts w:ascii="Arial" w:hAnsi="Arial"/>
                <w:b/>
                <w:bCs/>
                <w:rtl/>
              </w:rPr>
            </w:pPr>
            <w:r w:rsidRPr="009F1EB6">
              <w:rPr>
                <w:rFonts w:ascii="Arial" w:hAnsi="Arial"/>
                <w:b/>
                <w:bCs/>
                <w:rtl/>
              </w:rPr>
              <w:t>נגד</w:t>
            </w:r>
          </w:p>
          <w:p w14:paraId="2DE2D86A" w14:textId="77777777" w:rsidR="00E972CE" w:rsidRPr="009F1EB6" w:rsidRDefault="00E972CE" w:rsidP="00E972CE">
            <w:pPr>
              <w:jc w:val="both"/>
              <w:rPr>
                <w:rFonts w:ascii="Arial" w:hAnsi="Arial"/>
                <w:b/>
                <w:bCs/>
              </w:rPr>
            </w:pPr>
          </w:p>
        </w:tc>
      </w:tr>
      <w:tr w:rsidR="00E972CE" w:rsidRPr="009F1EB6" w14:paraId="06F2D1D8" w14:textId="77777777" w:rsidTr="00E972CE">
        <w:trPr>
          <w:trHeight w:val="355"/>
          <w:jc w:val="center"/>
        </w:trPr>
        <w:tc>
          <w:tcPr>
            <w:tcW w:w="923" w:type="dxa"/>
            <w:tcBorders>
              <w:top w:val="nil"/>
              <w:left w:val="nil"/>
              <w:bottom w:val="nil"/>
              <w:right w:val="nil"/>
            </w:tcBorders>
            <w:shd w:val="clear" w:color="auto" w:fill="auto"/>
          </w:tcPr>
          <w:p w14:paraId="5F3740D3" w14:textId="77777777" w:rsidR="00E972CE" w:rsidRPr="009F1EB6" w:rsidRDefault="00E972CE" w:rsidP="007D6715">
            <w:pPr>
              <w:rPr>
                <w:rFonts w:ascii="Arial" w:hAnsi="Arial"/>
                <w:b/>
                <w:bCs/>
                <w:rtl/>
              </w:rPr>
            </w:pPr>
          </w:p>
        </w:tc>
        <w:tc>
          <w:tcPr>
            <w:tcW w:w="4126" w:type="dxa"/>
            <w:tcBorders>
              <w:top w:val="nil"/>
              <w:left w:val="nil"/>
              <w:bottom w:val="nil"/>
              <w:right w:val="nil"/>
            </w:tcBorders>
            <w:shd w:val="clear" w:color="auto" w:fill="auto"/>
          </w:tcPr>
          <w:p w14:paraId="65BEC36E" w14:textId="77777777" w:rsidR="00E972CE" w:rsidRPr="009F1EB6" w:rsidRDefault="00E972CE" w:rsidP="007D6715">
            <w:pPr>
              <w:rPr>
                <w:b/>
                <w:bCs/>
                <w:rtl/>
              </w:rPr>
            </w:pPr>
            <w:r w:rsidRPr="009F1EB6">
              <w:rPr>
                <w:rFonts w:ascii="Arial" w:hAnsi="Arial"/>
                <w:b/>
                <w:bCs/>
                <w:rtl/>
              </w:rPr>
              <w:t xml:space="preserve">זאור אבשלומוב </w:t>
            </w:r>
          </w:p>
        </w:tc>
        <w:tc>
          <w:tcPr>
            <w:tcW w:w="3771" w:type="dxa"/>
            <w:tcBorders>
              <w:top w:val="nil"/>
              <w:left w:val="nil"/>
              <w:bottom w:val="nil"/>
              <w:right w:val="nil"/>
            </w:tcBorders>
            <w:shd w:val="clear" w:color="auto" w:fill="auto"/>
          </w:tcPr>
          <w:p w14:paraId="625C3890" w14:textId="77777777" w:rsidR="00E972CE" w:rsidRPr="009F1EB6" w:rsidRDefault="00E972CE" w:rsidP="00E972CE">
            <w:pPr>
              <w:jc w:val="right"/>
              <w:rPr>
                <w:rFonts w:ascii="Arial" w:hAnsi="Arial"/>
                <w:b/>
                <w:bCs/>
              </w:rPr>
            </w:pPr>
          </w:p>
        </w:tc>
      </w:tr>
      <w:tr w:rsidR="00E972CE" w:rsidRPr="009F1EB6" w14:paraId="04A5031B" w14:textId="77777777" w:rsidTr="00E972CE">
        <w:trPr>
          <w:trHeight w:val="355"/>
          <w:jc w:val="center"/>
        </w:trPr>
        <w:tc>
          <w:tcPr>
            <w:tcW w:w="923" w:type="dxa"/>
            <w:tcBorders>
              <w:top w:val="nil"/>
              <w:left w:val="nil"/>
              <w:bottom w:val="nil"/>
              <w:right w:val="nil"/>
            </w:tcBorders>
            <w:shd w:val="clear" w:color="auto" w:fill="auto"/>
          </w:tcPr>
          <w:p w14:paraId="2C6903AB" w14:textId="77777777" w:rsidR="00E972CE" w:rsidRPr="009F1EB6" w:rsidRDefault="00E972CE" w:rsidP="00E972CE">
            <w:pPr>
              <w:jc w:val="both"/>
              <w:rPr>
                <w:rFonts w:ascii="Arial" w:hAnsi="Arial"/>
                <w:b/>
                <w:bCs/>
                <w:rtl/>
              </w:rPr>
            </w:pPr>
            <w:bookmarkStart w:id="2" w:name="FirstLawyer"/>
          </w:p>
        </w:tc>
        <w:tc>
          <w:tcPr>
            <w:tcW w:w="4126" w:type="dxa"/>
            <w:tcBorders>
              <w:top w:val="nil"/>
              <w:left w:val="nil"/>
              <w:bottom w:val="nil"/>
              <w:right w:val="nil"/>
            </w:tcBorders>
            <w:shd w:val="clear" w:color="auto" w:fill="auto"/>
          </w:tcPr>
          <w:p w14:paraId="53BE7370" w14:textId="77777777" w:rsidR="00E972CE" w:rsidRPr="009F1EB6" w:rsidRDefault="00E972CE" w:rsidP="00E972CE">
            <w:pPr>
              <w:jc w:val="both"/>
              <w:rPr>
                <w:b/>
                <w:bCs/>
                <w:rtl/>
              </w:rPr>
            </w:pPr>
            <w:r w:rsidRPr="009F1EB6">
              <w:rPr>
                <w:rFonts w:hint="cs"/>
                <w:b/>
                <w:bCs/>
                <w:rtl/>
              </w:rPr>
              <w:t>ע"י ב"כ עו"ד יוני דדון</w:t>
            </w:r>
          </w:p>
        </w:tc>
        <w:tc>
          <w:tcPr>
            <w:tcW w:w="3771" w:type="dxa"/>
            <w:tcBorders>
              <w:top w:val="nil"/>
              <w:left w:val="nil"/>
              <w:bottom w:val="nil"/>
              <w:right w:val="nil"/>
            </w:tcBorders>
            <w:shd w:val="clear" w:color="auto" w:fill="auto"/>
          </w:tcPr>
          <w:p w14:paraId="4C5F71FE" w14:textId="77777777" w:rsidR="00E972CE" w:rsidRPr="009F1EB6" w:rsidRDefault="00E972CE" w:rsidP="00E972CE">
            <w:pPr>
              <w:jc w:val="right"/>
              <w:rPr>
                <w:rFonts w:ascii="Arial" w:hAnsi="Arial"/>
                <w:b/>
                <w:bCs/>
              </w:rPr>
            </w:pPr>
            <w:r w:rsidRPr="009F1EB6">
              <w:rPr>
                <w:rFonts w:ascii="Arial" w:hAnsi="Arial" w:hint="cs"/>
                <w:b/>
                <w:bCs/>
                <w:rtl/>
              </w:rPr>
              <w:t>ה</w:t>
            </w:r>
            <w:r w:rsidRPr="009F1EB6">
              <w:rPr>
                <w:rFonts w:ascii="Arial" w:hAnsi="Arial"/>
                <w:b/>
                <w:bCs/>
                <w:rtl/>
              </w:rPr>
              <w:t>נאש</w:t>
            </w:r>
            <w:r w:rsidRPr="009F1EB6">
              <w:rPr>
                <w:rFonts w:ascii="Arial" w:hAnsi="Arial" w:hint="cs"/>
                <w:b/>
                <w:bCs/>
                <w:rtl/>
              </w:rPr>
              <w:t>ם</w:t>
            </w:r>
          </w:p>
        </w:tc>
      </w:tr>
      <w:tr w:rsidR="00E972CE" w:rsidRPr="00EF5832" w14:paraId="37C301E7" w14:textId="77777777" w:rsidTr="00E972CE">
        <w:trPr>
          <w:trHeight w:val="355"/>
          <w:jc w:val="center"/>
        </w:trPr>
        <w:tc>
          <w:tcPr>
            <w:tcW w:w="8820" w:type="dxa"/>
            <w:gridSpan w:val="3"/>
            <w:tcBorders>
              <w:top w:val="nil"/>
              <w:left w:val="nil"/>
              <w:bottom w:val="nil"/>
              <w:right w:val="nil"/>
            </w:tcBorders>
            <w:shd w:val="clear" w:color="auto" w:fill="auto"/>
          </w:tcPr>
          <w:p w14:paraId="4974D084" w14:textId="77777777" w:rsidR="001B6044" w:rsidRDefault="001B6044" w:rsidP="009F1EB6">
            <w:pPr>
              <w:jc w:val="center"/>
              <w:rPr>
                <w:rFonts w:ascii="Arial" w:hAnsi="Arial"/>
                <w:sz w:val="32"/>
                <w:szCs w:val="32"/>
                <w:rtl/>
              </w:rPr>
            </w:pPr>
            <w:bookmarkStart w:id="3" w:name="PsakDin" w:colFirst="0" w:colLast="0"/>
            <w:bookmarkStart w:id="4" w:name="LawTable"/>
            <w:bookmarkEnd w:id="0"/>
            <w:bookmarkEnd w:id="2"/>
            <w:bookmarkEnd w:id="4"/>
          </w:p>
          <w:p w14:paraId="21702A27" w14:textId="77777777" w:rsidR="001B6044" w:rsidRPr="001B6044" w:rsidRDefault="001B6044" w:rsidP="001B6044">
            <w:pPr>
              <w:spacing w:after="120" w:line="240" w:lineRule="exact"/>
              <w:ind w:left="283" w:hanging="283"/>
              <w:jc w:val="both"/>
              <w:rPr>
                <w:rFonts w:ascii="FrankRuehl" w:hAnsi="FrankRuehl" w:cs="FrankRuehl"/>
                <w:rtl/>
              </w:rPr>
            </w:pPr>
            <w:r w:rsidRPr="001B6044">
              <w:rPr>
                <w:rFonts w:ascii="FrankRuehl" w:hAnsi="FrankRuehl" w:cs="FrankRuehl"/>
                <w:rtl/>
              </w:rPr>
              <w:t xml:space="preserve">חקיקה שאוזכרה: </w:t>
            </w:r>
          </w:p>
          <w:p w14:paraId="670DD79B" w14:textId="77777777" w:rsidR="001B6044" w:rsidRPr="001B6044" w:rsidRDefault="001B6044" w:rsidP="001B6044">
            <w:pPr>
              <w:spacing w:after="120" w:line="240" w:lineRule="exact"/>
              <w:ind w:left="283" w:hanging="283"/>
              <w:jc w:val="both"/>
              <w:rPr>
                <w:rFonts w:ascii="FrankRuehl" w:hAnsi="FrankRuehl" w:cs="FrankRuehl"/>
                <w:rtl/>
              </w:rPr>
            </w:pPr>
            <w:hyperlink r:id="rId7" w:history="1">
              <w:r w:rsidRPr="001B6044">
                <w:rPr>
                  <w:rFonts w:ascii="FrankRuehl" w:hAnsi="FrankRuehl" w:cs="FrankRuehl"/>
                  <w:color w:val="0000FF"/>
                  <w:u w:val="single"/>
                  <w:rtl/>
                </w:rPr>
                <w:t>פקודת הסמים המסוכנים [נוסח חדש], תשל"ג-1973</w:t>
              </w:r>
            </w:hyperlink>
            <w:r w:rsidRPr="001B6044">
              <w:rPr>
                <w:rFonts w:ascii="FrankRuehl" w:hAnsi="FrankRuehl" w:cs="FrankRuehl"/>
                <w:rtl/>
              </w:rPr>
              <w:t xml:space="preserve">: סע'  </w:t>
            </w:r>
            <w:hyperlink r:id="rId8" w:history="1">
              <w:r w:rsidRPr="001B6044">
                <w:rPr>
                  <w:rFonts w:ascii="FrankRuehl" w:hAnsi="FrankRuehl" w:cs="FrankRuehl"/>
                  <w:color w:val="0000FF"/>
                  <w:u w:val="single"/>
                  <w:rtl/>
                </w:rPr>
                <w:t>7.א.</w:t>
              </w:r>
            </w:hyperlink>
            <w:r w:rsidRPr="001B6044">
              <w:rPr>
                <w:rFonts w:ascii="FrankRuehl" w:hAnsi="FrankRuehl" w:cs="FrankRuehl"/>
                <w:rtl/>
              </w:rPr>
              <w:t xml:space="preserve">, </w:t>
            </w:r>
            <w:hyperlink r:id="rId9" w:history="1">
              <w:r w:rsidRPr="001B6044">
                <w:rPr>
                  <w:rFonts w:ascii="FrankRuehl" w:hAnsi="FrankRuehl" w:cs="FrankRuehl"/>
                  <w:color w:val="0000FF"/>
                  <w:u w:val="single"/>
                  <w:rtl/>
                </w:rPr>
                <w:t>7.ג</w:t>
              </w:r>
            </w:hyperlink>
            <w:r w:rsidRPr="001B6044">
              <w:rPr>
                <w:rFonts w:ascii="FrankRuehl" w:hAnsi="FrankRuehl" w:cs="FrankRuehl"/>
                <w:rtl/>
              </w:rPr>
              <w:t xml:space="preserve">, </w:t>
            </w:r>
            <w:hyperlink r:id="rId10" w:history="1">
              <w:r w:rsidRPr="001B6044">
                <w:rPr>
                  <w:rFonts w:ascii="FrankRuehl" w:hAnsi="FrankRuehl" w:cs="FrankRuehl"/>
                  <w:color w:val="0000FF"/>
                  <w:u w:val="single"/>
                  <w:rtl/>
                </w:rPr>
                <w:t>10</w:t>
              </w:r>
            </w:hyperlink>
            <w:r w:rsidRPr="001B6044">
              <w:rPr>
                <w:rFonts w:ascii="FrankRuehl" w:hAnsi="FrankRuehl" w:cs="FrankRuehl"/>
                <w:rtl/>
              </w:rPr>
              <w:t xml:space="preserve">, </w:t>
            </w:r>
            <w:hyperlink r:id="rId11" w:history="1">
              <w:r w:rsidRPr="001B6044">
                <w:rPr>
                  <w:rFonts w:ascii="FrankRuehl" w:hAnsi="FrankRuehl" w:cs="FrankRuehl"/>
                  <w:color w:val="0000FF"/>
                  <w:u w:val="single"/>
                  <w:rtl/>
                </w:rPr>
                <w:t>13</w:t>
              </w:r>
            </w:hyperlink>
            <w:r w:rsidRPr="001B6044">
              <w:rPr>
                <w:rFonts w:ascii="FrankRuehl" w:hAnsi="FrankRuehl" w:cs="FrankRuehl"/>
                <w:rtl/>
              </w:rPr>
              <w:t xml:space="preserve">, </w:t>
            </w:r>
            <w:hyperlink r:id="rId12" w:history="1">
              <w:r w:rsidRPr="001B6044">
                <w:rPr>
                  <w:rFonts w:ascii="FrankRuehl" w:hAnsi="FrankRuehl" w:cs="FrankRuehl"/>
                  <w:color w:val="0000FF"/>
                  <w:u w:val="single"/>
                  <w:rtl/>
                </w:rPr>
                <w:t>31(6)</w:t>
              </w:r>
            </w:hyperlink>
            <w:r w:rsidRPr="001B6044">
              <w:rPr>
                <w:rFonts w:ascii="FrankRuehl" w:hAnsi="FrankRuehl" w:cs="FrankRuehl"/>
                <w:rtl/>
              </w:rPr>
              <w:t xml:space="preserve">, </w:t>
            </w:r>
            <w:hyperlink r:id="rId13" w:history="1">
              <w:r w:rsidRPr="001B6044">
                <w:rPr>
                  <w:rFonts w:ascii="FrankRuehl" w:hAnsi="FrankRuehl" w:cs="FrankRuehl"/>
                  <w:color w:val="0000FF"/>
                  <w:u w:val="single"/>
                  <w:rtl/>
                </w:rPr>
                <w:t>36א(א)(1)</w:t>
              </w:r>
            </w:hyperlink>
            <w:r w:rsidRPr="001B6044">
              <w:rPr>
                <w:rFonts w:ascii="FrankRuehl" w:hAnsi="FrankRuehl" w:cs="FrankRuehl"/>
                <w:rtl/>
              </w:rPr>
              <w:t xml:space="preserve">, </w:t>
            </w:r>
            <w:hyperlink r:id="rId14" w:history="1">
              <w:r w:rsidRPr="001B6044">
                <w:rPr>
                  <w:rFonts w:ascii="FrankRuehl" w:hAnsi="FrankRuehl" w:cs="FrankRuehl"/>
                  <w:color w:val="0000FF"/>
                  <w:u w:val="single"/>
                  <w:rtl/>
                </w:rPr>
                <w:t>36א(ב)</w:t>
              </w:r>
            </w:hyperlink>
          </w:p>
          <w:p w14:paraId="1915536A" w14:textId="77777777" w:rsidR="001B6044" w:rsidRPr="001B6044" w:rsidRDefault="001B6044" w:rsidP="001B6044">
            <w:pPr>
              <w:spacing w:after="120" w:line="240" w:lineRule="exact"/>
              <w:ind w:left="283" w:hanging="283"/>
              <w:jc w:val="both"/>
              <w:rPr>
                <w:rFonts w:ascii="FrankRuehl" w:hAnsi="FrankRuehl" w:cs="FrankRuehl"/>
                <w:rtl/>
              </w:rPr>
            </w:pPr>
            <w:hyperlink r:id="rId15" w:history="1">
              <w:r w:rsidRPr="001B6044">
                <w:rPr>
                  <w:rFonts w:ascii="FrankRuehl" w:hAnsi="FrankRuehl" w:cs="FrankRuehl"/>
                  <w:color w:val="0000FF"/>
                  <w:u w:val="single"/>
                  <w:rtl/>
                </w:rPr>
                <w:t>חוק העונשין, תשל"ז-1977</w:t>
              </w:r>
            </w:hyperlink>
            <w:r w:rsidRPr="001B6044">
              <w:rPr>
                <w:rFonts w:ascii="FrankRuehl" w:hAnsi="FrankRuehl" w:cs="FrankRuehl"/>
                <w:rtl/>
              </w:rPr>
              <w:t xml:space="preserve">: סע'  </w:t>
            </w:r>
            <w:hyperlink r:id="rId16" w:history="1">
              <w:r w:rsidRPr="001B6044">
                <w:rPr>
                  <w:rFonts w:ascii="FrankRuehl" w:hAnsi="FrankRuehl" w:cs="FrankRuehl"/>
                  <w:color w:val="0000FF"/>
                  <w:u w:val="single"/>
                  <w:rtl/>
                </w:rPr>
                <w:t>58</w:t>
              </w:r>
            </w:hyperlink>
          </w:p>
          <w:p w14:paraId="622DD7E2" w14:textId="77777777" w:rsidR="001B6044" w:rsidRPr="001B6044" w:rsidRDefault="001B6044" w:rsidP="001B6044">
            <w:pPr>
              <w:spacing w:after="120" w:line="240" w:lineRule="exact"/>
              <w:ind w:left="283" w:hanging="283"/>
              <w:jc w:val="both"/>
              <w:rPr>
                <w:rFonts w:ascii="FrankRuehl" w:hAnsi="FrankRuehl" w:cs="FrankRuehl"/>
                <w:rtl/>
              </w:rPr>
            </w:pPr>
            <w:hyperlink r:id="rId17" w:history="1">
              <w:r w:rsidRPr="001B6044">
                <w:rPr>
                  <w:rFonts w:ascii="FrankRuehl" w:hAnsi="FrankRuehl" w:cs="FrankRuehl"/>
                  <w:color w:val="0000FF"/>
                  <w:u w:val="single"/>
                  <w:rtl/>
                </w:rPr>
                <w:t>פקודת התעבורה [נוסח חדש]</w:t>
              </w:r>
            </w:hyperlink>
            <w:r w:rsidRPr="001B6044">
              <w:rPr>
                <w:rFonts w:ascii="FrankRuehl" w:hAnsi="FrankRuehl" w:cs="FrankRuehl"/>
                <w:rtl/>
              </w:rPr>
              <w:t xml:space="preserve">: סע'  </w:t>
            </w:r>
            <w:hyperlink r:id="rId18" w:history="1">
              <w:r w:rsidRPr="001B6044">
                <w:rPr>
                  <w:rFonts w:ascii="FrankRuehl" w:hAnsi="FrankRuehl" w:cs="FrankRuehl"/>
                  <w:color w:val="0000FF"/>
                  <w:u w:val="single"/>
                  <w:rtl/>
                </w:rPr>
                <w:t>21.</w:t>
              </w:r>
            </w:hyperlink>
            <w:r w:rsidRPr="001B6044">
              <w:rPr>
                <w:rFonts w:ascii="FrankRuehl" w:hAnsi="FrankRuehl" w:cs="FrankRuehl"/>
                <w:rtl/>
              </w:rPr>
              <w:t xml:space="preserve">, </w:t>
            </w:r>
            <w:hyperlink r:id="rId19" w:history="1">
              <w:r w:rsidRPr="001B6044">
                <w:rPr>
                  <w:rFonts w:ascii="FrankRuehl" w:hAnsi="FrankRuehl" w:cs="FrankRuehl"/>
                  <w:color w:val="0000FF"/>
                  <w:u w:val="single"/>
                  <w:rtl/>
                </w:rPr>
                <w:t>42</w:t>
              </w:r>
            </w:hyperlink>
          </w:p>
          <w:p w14:paraId="13BFD2CB" w14:textId="77777777" w:rsidR="001B6044" w:rsidRPr="001B6044" w:rsidRDefault="001B6044" w:rsidP="001B6044">
            <w:pPr>
              <w:spacing w:after="120" w:line="240" w:lineRule="exact"/>
              <w:ind w:left="283" w:hanging="283"/>
              <w:jc w:val="both"/>
              <w:rPr>
                <w:rFonts w:ascii="FrankRuehl" w:hAnsi="FrankRuehl" w:cs="FrankRuehl"/>
                <w:rtl/>
              </w:rPr>
            </w:pPr>
          </w:p>
          <w:p w14:paraId="4106797B" w14:textId="77777777" w:rsidR="009F1EB6" w:rsidRPr="009F1EB6" w:rsidRDefault="009F1EB6" w:rsidP="009F1EB6">
            <w:pPr>
              <w:jc w:val="center"/>
              <w:rPr>
                <w:rFonts w:ascii="Arial" w:hAnsi="Arial"/>
                <w:b/>
                <w:bCs/>
                <w:sz w:val="32"/>
                <w:szCs w:val="32"/>
                <w:u w:val="single"/>
                <w:rtl/>
              </w:rPr>
            </w:pPr>
            <w:bookmarkStart w:id="5" w:name="LawTable_End"/>
            <w:bookmarkEnd w:id="5"/>
            <w:r w:rsidRPr="009F1EB6">
              <w:rPr>
                <w:rFonts w:ascii="Arial" w:hAnsi="Arial"/>
                <w:b/>
                <w:bCs/>
                <w:sz w:val="32"/>
                <w:szCs w:val="32"/>
                <w:u w:val="single"/>
                <w:rtl/>
              </w:rPr>
              <w:t>גזר דין</w:t>
            </w:r>
          </w:p>
          <w:p w14:paraId="306F4551" w14:textId="77777777" w:rsidR="00E972CE" w:rsidRPr="009F1EB6" w:rsidRDefault="00E972CE" w:rsidP="009F1EB6">
            <w:pPr>
              <w:jc w:val="center"/>
              <w:rPr>
                <w:rFonts w:ascii="Arial" w:hAnsi="Arial"/>
                <w:bCs/>
                <w:sz w:val="32"/>
                <w:szCs w:val="32"/>
                <w:u w:val="single"/>
                <w:rtl/>
              </w:rPr>
            </w:pPr>
          </w:p>
        </w:tc>
      </w:tr>
      <w:bookmarkEnd w:id="3"/>
    </w:tbl>
    <w:p w14:paraId="4F2CCDB7" w14:textId="77777777" w:rsidR="00E972CE" w:rsidRPr="00EF5832" w:rsidRDefault="00E972CE" w:rsidP="00E972CE">
      <w:pPr>
        <w:rPr>
          <w:rFonts w:ascii="Arial" w:hAnsi="Arial"/>
          <w:rtl/>
        </w:rPr>
      </w:pPr>
    </w:p>
    <w:p w14:paraId="04DCB44F" w14:textId="77777777" w:rsidR="00E972CE" w:rsidRDefault="00E972CE" w:rsidP="00E972CE">
      <w:pPr>
        <w:rPr>
          <w:rFonts w:ascii="Arial" w:hAnsi="Arial"/>
          <w:rtl/>
        </w:rPr>
      </w:pPr>
    </w:p>
    <w:p w14:paraId="21FDF179" w14:textId="77777777" w:rsidR="00E972CE" w:rsidRDefault="00E972CE" w:rsidP="00E972CE">
      <w:pPr>
        <w:ind w:firstLine="360"/>
        <w:rPr>
          <w:b/>
          <w:bCs/>
          <w:u w:val="single"/>
          <w:rtl/>
        </w:rPr>
      </w:pPr>
      <w:r>
        <w:rPr>
          <w:rFonts w:hint="cs"/>
          <w:b/>
          <w:bCs/>
          <w:u w:val="single"/>
          <w:rtl/>
        </w:rPr>
        <w:t>כתב האישום וההליכים</w:t>
      </w:r>
    </w:p>
    <w:p w14:paraId="26258055" w14:textId="77777777" w:rsidR="00E972CE" w:rsidRDefault="00E972CE" w:rsidP="00E972CE">
      <w:pPr>
        <w:rPr>
          <w:rtl/>
        </w:rPr>
      </w:pPr>
    </w:p>
    <w:p w14:paraId="07B8FA66" w14:textId="77777777" w:rsidR="00E972CE" w:rsidRDefault="00E972CE" w:rsidP="00E972CE">
      <w:pPr>
        <w:rPr>
          <w:rtl/>
        </w:rPr>
      </w:pPr>
    </w:p>
    <w:p w14:paraId="5E6AD366" w14:textId="77777777" w:rsidR="00E972CE" w:rsidRDefault="00E972CE" w:rsidP="00E972CE">
      <w:pPr>
        <w:numPr>
          <w:ilvl w:val="0"/>
          <w:numId w:val="1"/>
        </w:numPr>
        <w:spacing w:line="360" w:lineRule="auto"/>
        <w:contextualSpacing/>
        <w:jc w:val="both"/>
      </w:pPr>
      <w:bookmarkStart w:id="6" w:name="ABSTRACT_START"/>
      <w:bookmarkEnd w:id="6"/>
      <w:r>
        <w:rPr>
          <w:rFonts w:hint="cs"/>
          <w:rtl/>
        </w:rPr>
        <w:t xml:space="preserve">הנאשם הורשע על פי הודאתו בכתב אישום מתוקן, בארבע עבירות של סחר בסמים מסוכנים, לפי </w:t>
      </w:r>
      <w:hyperlink r:id="rId20" w:history="1">
        <w:r w:rsidR="001B6044" w:rsidRPr="001B6044">
          <w:rPr>
            <w:color w:val="0000FF"/>
            <w:u w:val="single"/>
            <w:rtl/>
          </w:rPr>
          <w:t>סעיף 13</w:t>
        </w:r>
      </w:hyperlink>
      <w:r>
        <w:rPr>
          <w:rFonts w:hint="cs"/>
          <w:rtl/>
        </w:rPr>
        <w:t xml:space="preserve"> ל</w:t>
      </w:r>
      <w:hyperlink r:id="rId21" w:history="1">
        <w:r w:rsidR="009F1EB6" w:rsidRPr="009F1EB6">
          <w:rPr>
            <w:color w:val="0000FF"/>
            <w:u w:val="single"/>
            <w:rtl/>
          </w:rPr>
          <w:t>פקודת הסמים המסוכנים</w:t>
        </w:r>
      </w:hyperlink>
      <w:r>
        <w:rPr>
          <w:rFonts w:hint="cs"/>
          <w:rtl/>
        </w:rPr>
        <w:t xml:space="preserve"> [נוסח חדש], תשל"ג- 1973 (להלן: "פקודת הסמים"); וכן בעבירה של החזקת סמים שלא לצריכה עצמית, לפי </w:t>
      </w:r>
      <w:hyperlink r:id="rId22" w:history="1">
        <w:r w:rsidR="001B6044" w:rsidRPr="001B6044">
          <w:rPr>
            <w:color w:val="0000FF"/>
            <w:u w:val="single"/>
            <w:rtl/>
          </w:rPr>
          <w:t>סעיף 7(א)+7(ג)</w:t>
        </w:r>
      </w:hyperlink>
      <w:r>
        <w:rPr>
          <w:rFonts w:hint="cs"/>
          <w:rtl/>
        </w:rPr>
        <w:t xml:space="preserve"> רישא לפקודת הסמים; ובעבירה של החזקת כלים להכנת סם שלא לצריכה עצמית, לפי </w:t>
      </w:r>
      <w:hyperlink r:id="rId23" w:history="1">
        <w:r w:rsidR="001B6044" w:rsidRPr="001B6044">
          <w:rPr>
            <w:color w:val="0000FF"/>
            <w:u w:val="single"/>
            <w:rtl/>
          </w:rPr>
          <w:t>סעיף 10</w:t>
        </w:r>
      </w:hyperlink>
      <w:r>
        <w:rPr>
          <w:rFonts w:hint="cs"/>
          <w:rtl/>
        </w:rPr>
        <w:t xml:space="preserve"> רישא לפקודת הסמים. </w:t>
      </w:r>
    </w:p>
    <w:p w14:paraId="433CE0AC" w14:textId="77777777" w:rsidR="00E972CE" w:rsidRPr="001F23D0" w:rsidRDefault="00E972CE" w:rsidP="00E972CE">
      <w:pPr>
        <w:spacing w:line="360" w:lineRule="auto"/>
        <w:ind w:left="720"/>
        <w:contextualSpacing/>
        <w:jc w:val="both"/>
      </w:pPr>
      <w:bookmarkStart w:id="7" w:name="ABSTRACT_END"/>
      <w:bookmarkEnd w:id="7"/>
    </w:p>
    <w:p w14:paraId="1184008D" w14:textId="77777777" w:rsidR="00E972CE" w:rsidRDefault="00E972CE" w:rsidP="00E972CE">
      <w:pPr>
        <w:numPr>
          <w:ilvl w:val="0"/>
          <w:numId w:val="1"/>
        </w:numPr>
        <w:spacing w:line="360" w:lineRule="auto"/>
        <w:contextualSpacing/>
        <w:jc w:val="both"/>
      </w:pPr>
      <w:r>
        <w:rPr>
          <w:rFonts w:hint="cs"/>
          <w:rtl/>
        </w:rPr>
        <w:t>כתב האישום מתאר ניהול "</w:t>
      </w:r>
      <w:r w:rsidRPr="00EA6E16">
        <w:rPr>
          <w:rFonts w:cs="Miriam" w:hint="cs"/>
          <w:rtl/>
        </w:rPr>
        <w:t>תחנה לממכר סמים</w:t>
      </w:r>
      <w:r>
        <w:rPr>
          <w:rFonts w:hint="cs"/>
          <w:rtl/>
        </w:rPr>
        <w:t xml:space="preserve">" על ידי הנאשם, כאשר במסגרת ניהולה נשלחות לצרכנים פוטנציאליים הודעות טקסט המכילות דברי פרסומת בדבר סמים. הודעות אלו נשלחו ממספר טלפון השייך </w:t>
      </w:r>
      <w:r w:rsidRPr="00EA6E16">
        <w:rPr>
          <w:rFonts w:hint="cs"/>
          <w:rtl/>
        </w:rPr>
        <w:t>לאדם</w:t>
      </w:r>
      <w:r>
        <w:rPr>
          <w:rFonts w:hint="cs"/>
          <w:rtl/>
        </w:rPr>
        <w:t xml:space="preserve"> שזהותו אינה ידועה למאשימה והוא הוגדר בכתב האישום "</w:t>
      </w:r>
      <w:r w:rsidRPr="00EA6E16">
        <w:rPr>
          <w:rFonts w:cs="Miriam" w:hint="cs"/>
          <w:rtl/>
        </w:rPr>
        <w:t>הסוחר הראשי</w:t>
      </w:r>
      <w:r>
        <w:rPr>
          <w:rFonts w:hint="cs"/>
          <w:rtl/>
        </w:rPr>
        <w:t xml:space="preserve">". כתב האישום מתאר ארבעה מקרים בהם התקשרו קונים פוטנציאליים ל"סוחר הראשי" וביקשו לרכוש סמים. בסמוך לכך הגיעו הקונים למקום </w:t>
      </w:r>
      <w:r>
        <w:rPr>
          <w:rFonts w:hint="cs"/>
          <w:rtl/>
        </w:rPr>
        <w:lastRenderedPageBreak/>
        <w:t xml:space="preserve">מפגש אליו הגיע הנאשם רכוב על אופניים חשמליים ומסר להם סם מסוג קנבוס בתמורה לתשלום. בדרך זו מכר הנאשם בין התאריכים 4.3.17 </w:t>
      </w:r>
      <w:r>
        <w:rPr>
          <w:rtl/>
        </w:rPr>
        <w:t>–</w:t>
      </w:r>
      <w:r>
        <w:rPr>
          <w:rFonts w:hint="cs"/>
          <w:rtl/>
        </w:rPr>
        <w:t xml:space="preserve"> 2.3.17  לארבעה קונים שונים, סם מסוכן מסוג קנבוס במשקל כולל של 10.66 גרם נטו בתמורה לסכום של 1100 ₪. </w:t>
      </w:r>
    </w:p>
    <w:p w14:paraId="1015E171" w14:textId="77777777" w:rsidR="00E972CE" w:rsidRDefault="00E972CE" w:rsidP="00E972CE">
      <w:pPr>
        <w:spacing w:line="360" w:lineRule="auto"/>
        <w:ind w:left="720"/>
        <w:contextualSpacing/>
        <w:jc w:val="both"/>
      </w:pPr>
    </w:p>
    <w:p w14:paraId="327652B7" w14:textId="77777777" w:rsidR="00E972CE" w:rsidRDefault="00E972CE" w:rsidP="00E972CE">
      <w:pPr>
        <w:numPr>
          <w:ilvl w:val="0"/>
          <w:numId w:val="1"/>
        </w:numPr>
        <w:spacing w:line="360" w:lineRule="auto"/>
        <w:contextualSpacing/>
        <w:jc w:val="both"/>
        <w:rPr>
          <w:rtl/>
        </w:rPr>
      </w:pPr>
      <w:r>
        <w:rPr>
          <w:rFonts w:hint="cs"/>
          <w:rtl/>
        </w:rPr>
        <w:t xml:space="preserve">עוד מתאר כתב האישום כי ביום 4.3.17 החזיק הנאשם בביתו שלא לשימוש עצמי בלבד, סם מסוכן מסוג קנבוס במשקל כולל של 40 גרם נטו המחולק ל-42 מנות; וכן סם מסוכן מסוג חשיש המחולק ל-11 חתיכות במשקל כולל של 30.24 גרם נטו; ו-  3500 שקיות ריקות. שקיות אלו דומות לשקיות שהכילו את 42 המנות שלעיל וכן לשקיות שנמסרו לקונים. </w:t>
      </w:r>
    </w:p>
    <w:p w14:paraId="005005D5" w14:textId="77777777" w:rsidR="00E972CE" w:rsidRDefault="00E972CE" w:rsidP="00E972CE">
      <w:pPr>
        <w:spacing w:line="360" w:lineRule="auto"/>
        <w:jc w:val="both"/>
        <w:rPr>
          <w:rtl/>
        </w:rPr>
      </w:pPr>
    </w:p>
    <w:p w14:paraId="18FC7D92" w14:textId="77777777" w:rsidR="00E972CE" w:rsidRDefault="00E972CE" w:rsidP="00E972CE">
      <w:pPr>
        <w:spacing w:line="360" w:lineRule="auto"/>
        <w:ind w:firstLine="360"/>
        <w:contextualSpacing/>
        <w:jc w:val="both"/>
        <w:rPr>
          <w:b/>
          <w:bCs/>
          <w:u w:val="single"/>
          <w:rtl/>
        </w:rPr>
      </w:pPr>
      <w:r>
        <w:rPr>
          <w:rFonts w:hint="cs"/>
          <w:b/>
          <w:bCs/>
          <w:u w:val="single"/>
          <w:rtl/>
        </w:rPr>
        <w:t>טיעוני הצדדים לעונש</w:t>
      </w:r>
    </w:p>
    <w:p w14:paraId="2969FE91" w14:textId="77777777" w:rsidR="00E972CE" w:rsidRDefault="00E972CE" w:rsidP="00E972CE">
      <w:pPr>
        <w:spacing w:line="360" w:lineRule="auto"/>
        <w:ind w:left="720"/>
        <w:contextualSpacing/>
        <w:jc w:val="both"/>
        <w:rPr>
          <w:b/>
          <w:bCs/>
          <w:u w:val="single"/>
          <w:rtl/>
        </w:rPr>
      </w:pPr>
    </w:p>
    <w:p w14:paraId="6257CF2E" w14:textId="77777777" w:rsidR="00E972CE" w:rsidRDefault="00E972CE" w:rsidP="00E972CE">
      <w:pPr>
        <w:numPr>
          <w:ilvl w:val="0"/>
          <w:numId w:val="1"/>
        </w:numPr>
        <w:spacing w:line="360" w:lineRule="auto"/>
        <w:contextualSpacing/>
        <w:jc w:val="both"/>
      </w:pPr>
      <w:r w:rsidRPr="009A1EFC">
        <w:rPr>
          <w:rFonts w:hint="cs"/>
          <w:rtl/>
        </w:rPr>
        <w:t>ב"כ המאשימה הפנה בטיעוניו לחומרת מעשיו של הנאשם הנובעת בין היתר מהעובדה שהפעיל תחנת סמים ממנה בוצעו פניות יזומות לקונים פוטנציאלים שלאחריהן ביצע את עסקאות הסמים. עוד הפנתה המאשימה לערכים המוגנים שנפגעו כתוצאה ממעשיו של הנאשם ועמדה על הפגיעה שנגרמה לחברה. בהתייחסה למתחם העונש ההולם</w:t>
      </w:r>
      <w:r>
        <w:rPr>
          <w:rFonts w:hint="cs"/>
          <w:rtl/>
        </w:rPr>
        <w:t>,</w:t>
      </w:r>
      <w:r w:rsidRPr="009A1EFC">
        <w:rPr>
          <w:rFonts w:hint="cs"/>
          <w:rtl/>
        </w:rPr>
        <w:t xml:space="preserve"> טענה המאשימה כי מדובר במספר אירועים על כן יש לקבוע מתחם עונש הולם הנע בין 7 חודשי מאסר ל-18 חודשי מאסר לכל אירוע. בהתייחסו לעונש הראוי שיש להטיל על הנאשם הפנה ב"כ המאשימה לעברו הפלילי הכולל עבירות רבות בגינן ריצה מספר מאסרים ו</w:t>
      </w:r>
      <w:r>
        <w:rPr>
          <w:rFonts w:hint="cs"/>
          <w:rtl/>
        </w:rPr>
        <w:t>כן לעובדה ש</w:t>
      </w:r>
      <w:r w:rsidRPr="009A1EFC">
        <w:rPr>
          <w:rFonts w:hint="cs"/>
          <w:rtl/>
        </w:rPr>
        <w:t xml:space="preserve">תלוי ועומד נגדו מאסר מותנה בן 6 חודשים. לפיכך ביקשה המאשימה להטיל על הנאשם עונש הממוקם במרכז המתחם לצד עונש מאסר מותנה, קנס, ופסילת רישיון נהיגה לתקופה שלא תפחת מ-24 חודשים. לאור כך שהנאשם הוכרז כסוחר סמים, בהתאם להוראות </w:t>
      </w:r>
      <w:hyperlink r:id="rId24" w:history="1">
        <w:r w:rsidR="001B6044" w:rsidRPr="001B6044">
          <w:rPr>
            <w:color w:val="0000FF"/>
            <w:u w:val="single"/>
            <w:rtl/>
          </w:rPr>
          <w:t>סעיף 36א(ב)</w:t>
        </w:r>
      </w:hyperlink>
      <w:r w:rsidRPr="009A1EFC">
        <w:rPr>
          <w:rFonts w:hint="cs"/>
          <w:rtl/>
        </w:rPr>
        <w:t xml:space="preserve"> לפקודת הסמים, ביקשה המאשימה לחלט סך 500 ₪ שנמסרו לנאשם במסגרת אחת העסקאות וכן </w:t>
      </w:r>
      <w:r>
        <w:rPr>
          <w:rFonts w:hint="cs"/>
          <w:rtl/>
        </w:rPr>
        <w:t>את ה</w:t>
      </w:r>
      <w:r w:rsidRPr="009A1EFC">
        <w:rPr>
          <w:rFonts w:hint="cs"/>
          <w:rtl/>
        </w:rPr>
        <w:t xml:space="preserve">אופניים </w:t>
      </w:r>
      <w:r>
        <w:rPr>
          <w:rFonts w:hint="cs"/>
          <w:rtl/>
        </w:rPr>
        <w:t>ה</w:t>
      </w:r>
      <w:r w:rsidRPr="009A1EFC">
        <w:rPr>
          <w:rFonts w:hint="cs"/>
          <w:rtl/>
        </w:rPr>
        <w:t>חשמליים</w:t>
      </w:r>
      <w:r>
        <w:rPr>
          <w:rFonts w:hint="cs"/>
          <w:rtl/>
        </w:rPr>
        <w:t xml:space="preserve"> בעזרתם הגיע לביצוע העסקאות</w:t>
      </w:r>
      <w:r w:rsidRPr="009A1EFC">
        <w:rPr>
          <w:rFonts w:hint="cs"/>
          <w:rtl/>
        </w:rPr>
        <w:t xml:space="preserve">. </w:t>
      </w:r>
    </w:p>
    <w:p w14:paraId="5DB40734" w14:textId="77777777" w:rsidR="00E972CE" w:rsidRPr="005E644F" w:rsidRDefault="00E972CE" w:rsidP="00E972CE">
      <w:pPr>
        <w:spacing w:line="360" w:lineRule="auto"/>
        <w:ind w:left="720"/>
        <w:contextualSpacing/>
        <w:jc w:val="both"/>
      </w:pPr>
    </w:p>
    <w:p w14:paraId="5E853A85" w14:textId="77777777" w:rsidR="00E972CE" w:rsidRDefault="00E972CE" w:rsidP="00E972CE">
      <w:pPr>
        <w:numPr>
          <w:ilvl w:val="0"/>
          <w:numId w:val="1"/>
        </w:numPr>
        <w:spacing w:line="360" w:lineRule="auto"/>
        <w:contextualSpacing/>
        <w:jc w:val="both"/>
      </w:pPr>
      <w:r w:rsidRPr="009A1EFC">
        <w:rPr>
          <w:rFonts w:hint="cs"/>
          <w:rtl/>
        </w:rPr>
        <w:t xml:space="preserve">ב"כ הנאשם </w:t>
      </w:r>
      <w:r>
        <w:rPr>
          <w:rFonts w:hint="cs"/>
          <w:rtl/>
        </w:rPr>
        <w:t xml:space="preserve">ציין כי מעובדות כתב האישום עולה שמדובר במספר מצומצם של עסקאות, בסכומים ובמשקלים נמוכים יחסית. כן צוין שמדובר בסם המוגדר כסם קל. בנוסף ציין הסנגור כי מכתב האישום עולה שחלקו של הנאשם היה קטן יחסית וכי הוא רק סיפק את הסם, אך לא קיבל את ההזמנה, לא קבע את המחיר ולא שלט בעסקה כלל. ביחס למתחם הענישה, טען הסנגור כי לאור סמיכות הזמנים ויתר הנסיבות יש לקבוע מתחם עונש הולם אחד לכל האירועים המתחיל מ-6 חודשי עבודות שירות. בהתייחסו לנסיבותיו האישיות של הנאשם הפנה הסנגור לכך שהנאשם נישא יום אחד בלבד טרם מעצרו וכי אשתו נמצאת בהריון בסיכון. לפיכך ביקש הסנגור לגזור את עונשו ברף הנמוך של המתחם. </w:t>
      </w:r>
    </w:p>
    <w:p w14:paraId="3822D7FC" w14:textId="77777777" w:rsidR="00E972CE" w:rsidRDefault="00E972CE" w:rsidP="00E972CE">
      <w:pPr>
        <w:spacing w:line="360" w:lineRule="auto"/>
        <w:ind w:left="720"/>
        <w:contextualSpacing/>
        <w:jc w:val="both"/>
      </w:pPr>
    </w:p>
    <w:p w14:paraId="2BC4A5F5" w14:textId="77777777" w:rsidR="00E972CE" w:rsidRDefault="00E972CE" w:rsidP="00E972CE">
      <w:pPr>
        <w:numPr>
          <w:ilvl w:val="0"/>
          <w:numId w:val="1"/>
        </w:numPr>
        <w:spacing w:line="360" w:lineRule="auto"/>
        <w:contextualSpacing/>
        <w:jc w:val="both"/>
        <w:rPr>
          <w:rtl/>
        </w:rPr>
      </w:pPr>
      <w:r w:rsidRPr="00C95B30">
        <w:rPr>
          <w:rFonts w:hint="cs"/>
          <w:rtl/>
        </w:rPr>
        <w:t xml:space="preserve">הנאשם </w:t>
      </w:r>
      <w:r>
        <w:rPr>
          <w:rFonts w:hint="cs"/>
          <w:rtl/>
        </w:rPr>
        <w:t xml:space="preserve">בדברו האחרון הביע צער וחרטה על מעשיו.  </w:t>
      </w:r>
    </w:p>
    <w:p w14:paraId="321F5F74" w14:textId="77777777" w:rsidR="00E972CE" w:rsidRDefault="00E972CE" w:rsidP="00E972CE">
      <w:pPr>
        <w:spacing w:line="360" w:lineRule="auto"/>
        <w:ind w:left="720"/>
        <w:contextualSpacing/>
        <w:jc w:val="both"/>
        <w:rPr>
          <w:b/>
          <w:bCs/>
          <w:u w:val="single"/>
          <w:rtl/>
        </w:rPr>
      </w:pPr>
    </w:p>
    <w:p w14:paraId="789DA87F" w14:textId="77777777" w:rsidR="00E972CE" w:rsidRDefault="00E972CE" w:rsidP="00E972CE">
      <w:pPr>
        <w:spacing w:line="360" w:lineRule="auto"/>
        <w:ind w:left="720"/>
        <w:contextualSpacing/>
        <w:jc w:val="both"/>
        <w:rPr>
          <w:b/>
          <w:bCs/>
          <w:u w:val="single"/>
          <w:rtl/>
        </w:rPr>
      </w:pPr>
    </w:p>
    <w:p w14:paraId="53561BA7" w14:textId="77777777" w:rsidR="00E972CE" w:rsidRDefault="00E972CE" w:rsidP="00E972CE">
      <w:pPr>
        <w:spacing w:line="360" w:lineRule="auto"/>
        <w:ind w:left="720"/>
        <w:contextualSpacing/>
        <w:jc w:val="both"/>
        <w:rPr>
          <w:b/>
          <w:bCs/>
          <w:u w:val="single"/>
          <w:rtl/>
        </w:rPr>
      </w:pPr>
    </w:p>
    <w:p w14:paraId="296FB7E7" w14:textId="77777777" w:rsidR="00E972CE" w:rsidRDefault="00E972CE" w:rsidP="00E972CE">
      <w:pPr>
        <w:spacing w:line="360" w:lineRule="auto"/>
        <w:ind w:left="720"/>
        <w:contextualSpacing/>
        <w:jc w:val="both"/>
        <w:rPr>
          <w:b/>
          <w:bCs/>
          <w:u w:val="single"/>
          <w:rtl/>
        </w:rPr>
      </w:pPr>
    </w:p>
    <w:p w14:paraId="3DEED16A" w14:textId="77777777" w:rsidR="00E972CE" w:rsidRDefault="00E972CE" w:rsidP="00E972CE">
      <w:pPr>
        <w:spacing w:line="360" w:lineRule="auto"/>
        <w:ind w:left="720"/>
        <w:contextualSpacing/>
        <w:jc w:val="both"/>
        <w:rPr>
          <w:b/>
          <w:bCs/>
          <w:u w:val="single"/>
          <w:rtl/>
        </w:rPr>
      </w:pPr>
    </w:p>
    <w:p w14:paraId="0DE4A7B4" w14:textId="77777777" w:rsidR="00E972CE" w:rsidRDefault="00E972CE" w:rsidP="00E972CE">
      <w:pPr>
        <w:spacing w:line="360" w:lineRule="auto"/>
        <w:ind w:left="720"/>
        <w:contextualSpacing/>
        <w:jc w:val="both"/>
        <w:rPr>
          <w:b/>
          <w:bCs/>
          <w:u w:val="single"/>
          <w:rtl/>
        </w:rPr>
      </w:pPr>
    </w:p>
    <w:p w14:paraId="18024FDA" w14:textId="77777777" w:rsidR="00E972CE" w:rsidRDefault="00E972CE" w:rsidP="00E972CE">
      <w:pPr>
        <w:spacing w:line="360" w:lineRule="auto"/>
        <w:ind w:left="720"/>
        <w:contextualSpacing/>
        <w:jc w:val="both"/>
        <w:rPr>
          <w:b/>
          <w:bCs/>
          <w:u w:val="single"/>
          <w:rtl/>
        </w:rPr>
      </w:pPr>
    </w:p>
    <w:p w14:paraId="2BBE1F29" w14:textId="77777777" w:rsidR="00E972CE" w:rsidRDefault="00E972CE" w:rsidP="00E972CE">
      <w:pPr>
        <w:spacing w:line="360" w:lineRule="auto"/>
        <w:ind w:firstLine="360"/>
        <w:contextualSpacing/>
        <w:jc w:val="both"/>
        <w:rPr>
          <w:b/>
          <w:bCs/>
          <w:u w:val="single"/>
          <w:rtl/>
        </w:rPr>
      </w:pPr>
      <w:r>
        <w:rPr>
          <w:rFonts w:hint="cs"/>
          <w:b/>
          <w:bCs/>
          <w:u w:val="single"/>
          <w:rtl/>
        </w:rPr>
        <w:t>דיון והכרעה</w:t>
      </w:r>
    </w:p>
    <w:p w14:paraId="37BE2DE1" w14:textId="77777777" w:rsidR="00E972CE" w:rsidRDefault="00E972CE" w:rsidP="00E972CE">
      <w:pPr>
        <w:spacing w:line="360" w:lineRule="auto"/>
        <w:ind w:left="720"/>
        <w:contextualSpacing/>
        <w:jc w:val="both"/>
      </w:pPr>
    </w:p>
    <w:p w14:paraId="15F2DD3E" w14:textId="77777777" w:rsidR="00E972CE" w:rsidRPr="003C2AF9" w:rsidRDefault="00E972CE" w:rsidP="00E972CE">
      <w:pPr>
        <w:pStyle w:val="a9"/>
        <w:numPr>
          <w:ilvl w:val="0"/>
          <w:numId w:val="1"/>
        </w:numPr>
        <w:spacing w:line="360" w:lineRule="auto"/>
        <w:jc w:val="both"/>
        <w:rPr>
          <w:rFonts w:ascii="David" w:eastAsia="Calibri" w:hAnsi="David" w:cs="David"/>
          <w:rtl/>
        </w:rPr>
      </w:pPr>
      <w:r w:rsidRPr="00BD67C1">
        <w:rPr>
          <w:rFonts w:ascii="David" w:eastAsia="Calibri" w:hAnsi="David" w:cs="David"/>
          <w:rtl/>
        </w:rPr>
        <w:t>כידוע, מאז תיקון 113 ל</w:t>
      </w:r>
      <w:hyperlink r:id="rId25" w:history="1">
        <w:r w:rsidR="009F1EB6" w:rsidRPr="009F1EB6">
          <w:rPr>
            <w:rFonts w:ascii="David" w:eastAsia="Calibri" w:hAnsi="David" w:cs="David"/>
            <w:color w:val="0000FF"/>
            <w:u w:val="single"/>
            <w:rtl/>
          </w:rPr>
          <w:t>חוק העונשין</w:t>
        </w:r>
      </w:hyperlink>
      <w:r w:rsidRPr="00BD67C1">
        <w:rPr>
          <w:rFonts w:ascii="David" w:eastAsia="Calibri" w:hAnsi="David" w:cs="David"/>
          <w:rtl/>
        </w:rPr>
        <w:t xml:space="preserve"> גזר הדין ניתן במסגרת הליך תלת שלבי. בשלב הראשון יש לקבוע אם כתב האישום מתאר אירוע אחד או מספר אירועים. לאחר מכ</w:t>
      </w:r>
      <w:r>
        <w:rPr>
          <w:rFonts w:ascii="David" w:eastAsia="Calibri" w:hAnsi="David" w:cs="David"/>
          <w:rtl/>
        </w:rPr>
        <w:t>ן יש לקבוע את מתחם הענישה ההול</w:t>
      </w:r>
      <w:r>
        <w:rPr>
          <w:rFonts w:ascii="David" w:eastAsia="Calibri" w:hAnsi="David" w:cs="David" w:hint="cs"/>
          <w:rtl/>
        </w:rPr>
        <w:t xml:space="preserve">ם </w:t>
      </w:r>
      <w:r w:rsidRPr="00BD67C1">
        <w:rPr>
          <w:rFonts w:ascii="David" w:eastAsia="Calibri" w:hAnsi="David" w:cs="David"/>
          <w:rtl/>
        </w:rPr>
        <w:t>את האירוע ובסופו של תהליך, יש להחליט אם נכון לחרוג מהמתחם שנקבע, שאחרת ייגזר העונש בגדרי המתחם.</w:t>
      </w:r>
      <w:r>
        <w:rPr>
          <w:rFonts w:ascii="David" w:eastAsia="Calibri" w:hAnsi="David" w:cs="David" w:hint="cs"/>
          <w:rtl/>
        </w:rPr>
        <w:t xml:space="preserve"> </w:t>
      </w:r>
      <w:r w:rsidRPr="003C2AF9">
        <w:rPr>
          <w:rFonts w:ascii="David" w:eastAsia="Calibri" w:hAnsi="David" w:cs="David"/>
          <w:rtl/>
        </w:rPr>
        <w:t xml:space="preserve">המאשימה סברה כי יש </w:t>
      </w:r>
      <w:r>
        <w:rPr>
          <w:rFonts w:ascii="David" w:eastAsia="Calibri" w:hAnsi="David" w:cs="David" w:hint="cs"/>
          <w:rtl/>
        </w:rPr>
        <w:t>מדובר במספר אירועים</w:t>
      </w:r>
      <w:r w:rsidRPr="003C2AF9">
        <w:rPr>
          <w:rFonts w:ascii="David" w:eastAsia="Calibri" w:hAnsi="David" w:cs="David"/>
          <w:rtl/>
        </w:rPr>
        <w:t xml:space="preserve"> ואילו ההגנה סברה כי מדובר באירוע אחד. בענייננו דומני כי נכון לקבוע מתחם עונש אחד לעבירות כולן. </w:t>
      </w:r>
      <w:r>
        <w:rPr>
          <w:rFonts w:ascii="David" w:eastAsia="Calibri" w:hAnsi="David" w:cs="David" w:hint="cs"/>
          <w:rtl/>
        </w:rPr>
        <w:t>ארבע העבירות נבעו מאותה תכנית עבריינית. מדובר בשיטת פעולה זהה בה נקטה "התחנה" כמו גם הנאשם. העבירות בוצעו בסמיכות זמנים והגם שמדובר בקונים שונים, סברתי שאין בכך לשנות מהמסקנה לפיה יש לראות בכל העבירות אירוע אחד, שכן מדובר בקונים מקריים והתחנה מכרה "לכל דיכפין" . כמו כן יש לראות את החזקת הסמים והכלים כחלק מאותו אירוע, שכן מדובר בעבירה אינהרנטית למקרי הסחר, היינו שמטרת החזקת הסמים והכלים הייתה לאפשר את ביצוע עבירות הסחר.</w:t>
      </w:r>
      <w:r w:rsidRPr="003C2AF9">
        <w:rPr>
          <w:rFonts w:ascii="David" w:eastAsia="Calibri" w:hAnsi="David" w:cs="David"/>
          <w:rtl/>
        </w:rPr>
        <w:t xml:space="preserve"> מכאן שקיים קשר הדוק בין כל העבירות וראוי לקבוע מתחם עונש אחד, המביא בחשבון כמובן שמדובר </w:t>
      </w:r>
      <w:r>
        <w:rPr>
          <w:rFonts w:ascii="David" w:eastAsia="Calibri" w:hAnsi="David" w:cs="David" w:hint="cs"/>
          <w:rtl/>
        </w:rPr>
        <w:t>במספר עבירות</w:t>
      </w:r>
      <w:r w:rsidRPr="003C2AF9">
        <w:rPr>
          <w:rFonts w:ascii="David" w:eastAsia="Calibri" w:hAnsi="David" w:cs="David"/>
          <w:rtl/>
        </w:rPr>
        <w:t xml:space="preserve"> (</w:t>
      </w:r>
      <w:hyperlink r:id="rId26" w:history="1">
        <w:r w:rsidR="009F1EB6" w:rsidRPr="009F1EB6">
          <w:rPr>
            <w:rFonts w:ascii="David" w:eastAsia="Calibri" w:hAnsi="David" w:cs="David"/>
            <w:color w:val="0000FF"/>
            <w:u w:val="single"/>
            <w:rtl/>
          </w:rPr>
          <w:t>ע"פ 4910/13</w:t>
        </w:r>
      </w:hyperlink>
      <w:r w:rsidRPr="003C2AF9">
        <w:rPr>
          <w:rFonts w:ascii="David" w:eastAsia="Calibri" w:hAnsi="David" w:cs="David"/>
          <w:rtl/>
        </w:rPr>
        <w:t xml:space="preserve"> </w:t>
      </w:r>
      <w:r w:rsidRPr="001F6766">
        <w:rPr>
          <w:rFonts w:ascii="David" w:eastAsia="Calibri" w:hAnsi="David" w:cs="David"/>
          <w:b/>
          <w:bCs/>
          <w:rtl/>
        </w:rPr>
        <w:t>ג'אבר נ' מדינת ישראל</w:t>
      </w:r>
      <w:r w:rsidRPr="003C2AF9">
        <w:rPr>
          <w:rFonts w:ascii="David" w:eastAsia="Calibri" w:hAnsi="David" w:cs="David"/>
          <w:rtl/>
        </w:rPr>
        <w:t xml:space="preserve"> (29.10.14); (</w:t>
      </w:r>
      <w:hyperlink r:id="rId27" w:history="1">
        <w:r w:rsidR="009F1EB6" w:rsidRPr="009F1EB6">
          <w:rPr>
            <w:rFonts w:ascii="David" w:eastAsia="Calibri" w:hAnsi="David" w:cs="David"/>
            <w:color w:val="0000FF"/>
            <w:u w:val="single"/>
            <w:rtl/>
          </w:rPr>
          <w:t>רע"פ 4760/14</w:t>
        </w:r>
      </w:hyperlink>
      <w:r w:rsidRPr="003C2AF9">
        <w:rPr>
          <w:rFonts w:ascii="David" w:eastAsia="Calibri" w:hAnsi="David" w:cs="David"/>
          <w:rtl/>
        </w:rPr>
        <w:t xml:space="preserve"> </w:t>
      </w:r>
      <w:r w:rsidRPr="001F6766">
        <w:rPr>
          <w:rFonts w:ascii="David" w:eastAsia="Calibri" w:hAnsi="David" w:cs="David"/>
          <w:b/>
          <w:bCs/>
          <w:rtl/>
        </w:rPr>
        <w:t>קיסלמן ואח' נ' מדינת ישראל</w:t>
      </w:r>
      <w:r w:rsidRPr="003C2AF9">
        <w:rPr>
          <w:rFonts w:ascii="David" w:eastAsia="Calibri" w:hAnsi="David" w:cs="David"/>
          <w:rtl/>
        </w:rPr>
        <w:t xml:space="preserve"> (7.5.15); (</w:t>
      </w:r>
      <w:hyperlink r:id="rId28" w:history="1">
        <w:r w:rsidR="009F1EB6" w:rsidRPr="009F1EB6">
          <w:rPr>
            <w:rFonts w:ascii="David" w:eastAsia="Calibri" w:hAnsi="David" w:cs="David"/>
            <w:color w:val="0000FF"/>
            <w:u w:val="single"/>
            <w:rtl/>
          </w:rPr>
          <w:t>דנ"פ 2999/16</w:t>
        </w:r>
      </w:hyperlink>
      <w:r w:rsidRPr="003C2AF9">
        <w:rPr>
          <w:rFonts w:ascii="David" w:eastAsia="Calibri" w:hAnsi="David" w:cs="David"/>
          <w:rtl/>
        </w:rPr>
        <w:t xml:space="preserve"> </w:t>
      </w:r>
      <w:r w:rsidRPr="001F6766">
        <w:rPr>
          <w:rFonts w:ascii="David" w:eastAsia="Calibri" w:hAnsi="David" w:cs="David"/>
          <w:b/>
          <w:bCs/>
          <w:rtl/>
        </w:rPr>
        <w:t>מזרחי נ' מדינת ישראל</w:t>
      </w:r>
      <w:r w:rsidRPr="003C2AF9">
        <w:rPr>
          <w:rFonts w:ascii="David" w:eastAsia="Calibri" w:hAnsi="David" w:cs="David"/>
          <w:rtl/>
        </w:rPr>
        <w:t xml:space="preserve"> (22.5.2016)).</w:t>
      </w:r>
    </w:p>
    <w:p w14:paraId="211E5876" w14:textId="77777777" w:rsidR="00E972CE" w:rsidRPr="003C2AF9" w:rsidRDefault="00E972CE" w:rsidP="00E972CE">
      <w:pPr>
        <w:pStyle w:val="a9"/>
        <w:spacing w:line="360" w:lineRule="auto"/>
        <w:jc w:val="both"/>
        <w:rPr>
          <w:rFonts w:ascii="David" w:eastAsia="Calibri" w:hAnsi="David" w:cs="David"/>
          <w:rtl/>
        </w:rPr>
      </w:pPr>
    </w:p>
    <w:p w14:paraId="24345E8A" w14:textId="77777777" w:rsidR="00E972CE" w:rsidRPr="003C2AF9" w:rsidRDefault="00E972CE" w:rsidP="00E972CE">
      <w:pPr>
        <w:pStyle w:val="a9"/>
        <w:numPr>
          <w:ilvl w:val="0"/>
          <w:numId w:val="1"/>
        </w:numPr>
        <w:spacing w:line="360" w:lineRule="auto"/>
        <w:jc w:val="both"/>
        <w:rPr>
          <w:rFonts w:ascii="David" w:eastAsia="Calibri" w:hAnsi="David" w:cs="David"/>
          <w:rtl/>
        </w:rPr>
      </w:pPr>
      <w:r w:rsidRPr="001F6766">
        <w:rPr>
          <w:rFonts w:ascii="David" w:eastAsia="Calibri" w:hAnsi="David" w:cs="David"/>
          <w:b/>
          <w:bCs/>
          <w:rtl/>
        </w:rPr>
        <w:t>הערכים המוגנים בבסיס העבירות:</w:t>
      </w:r>
      <w:r w:rsidRPr="003C2AF9">
        <w:rPr>
          <w:rFonts w:ascii="David" w:eastAsia="Calibri" w:hAnsi="David" w:cs="David"/>
          <w:rtl/>
        </w:rPr>
        <w:t xml:space="preserve"> נגע הסמים מכלה כל חלקה טובה בחברה. על נזקיו הבריאותיים, החברתיים וכלכליים, אין צורך להכביר מילים (</w:t>
      </w:r>
      <w:hyperlink r:id="rId29" w:history="1">
        <w:r w:rsidR="009F1EB6" w:rsidRPr="009F1EB6">
          <w:rPr>
            <w:rFonts w:ascii="David" w:eastAsia="Calibri" w:hAnsi="David" w:cs="David"/>
            <w:color w:val="0000FF"/>
            <w:u w:val="single"/>
            <w:rtl/>
          </w:rPr>
          <w:t>ע"פ 11220/03</w:t>
        </w:r>
      </w:hyperlink>
      <w:r w:rsidRPr="003C2AF9">
        <w:rPr>
          <w:rFonts w:ascii="David" w:eastAsia="Calibri" w:hAnsi="David" w:cs="David"/>
          <w:rtl/>
        </w:rPr>
        <w:t xml:space="preserve"> </w:t>
      </w:r>
      <w:r w:rsidRPr="001F6766">
        <w:rPr>
          <w:rFonts w:ascii="David" w:eastAsia="Calibri" w:hAnsi="David" w:cs="David"/>
          <w:b/>
          <w:bCs/>
          <w:rtl/>
        </w:rPr>
        <w:t>פלוני נ' מדינת ישראל</w:t>
      </w:r>
      <w:r w:rsidRPr="003C2AF9">
        <w:rPr>
          <w:rFonts w:ascii="David" w:eastAsia="Calibri" w:hAnsi="David" w:cs="David"/>
          <w:rtl/>
        </w:rPr>
        <w:t xml:space="preserve"> (6.7.05); </w:t>
      </w:r>
      <w:hyperlink r:id="rId30" w:history="1">
        <w:r w:rsidR="009F1EB6" w:rsidRPr="009F1EB6">
          <w:rPr>
            <w:rFonts w:ascii="David" w:eastAsia="Calibri" w:hAnsi="David" w:cs="David"/>
            <w:color w:val="0000FF"/>
            <w:u w:val="single"/>
            <w:rtl/>
          </w:rPr>
          <w:t>ע"פ 4998/95 קרדוסו נ' מדינת ישראל,  פ"ד נא</w:t>
        </w:r>
      </w:hyperlink>
      <w:r>
        <w:rPr>
          <w:rFonts w:ascii="David" w:eastAsia="Calibri" w:hAnsi="David" w:cs="David"/>
          <w:rtl/>
        </w:rPr>
        <w:t>(3), 769))</w:t>
      </w:r>
      <w:r>
        <w:rPr>
          <w:rFonts w:ascii="David" w:eastAsia="Calibri" w:hAnsi="David" w:cs="David" w:hint="cs"/>
          <w:rtl/>
        </w:rPr>
        <w:t>.</w:t>
      </w:r>
      <w:r w:rsidRPr="003C2AF9">
        <w:rPr>
          <w:rFonts w:ascii="David" w:eastAsia="Calibri" w:hAnsi="David" w:cs="David"/>
          <w:rtl/>
        </w:rPr>
        <w:t xml:space="preserve"> הצורך בסם, מוליד מספר נזקי משנה ובהם נזקים לגופו של המשתמש בסם, ובעקיפין גם לשלום הציבור, בשל כך שלרוב מכורי הסם מבצעים עבירות רכוש על מנת לממנו. בענייננו, שימש הנאשם חלק ממערך הפצת הסמים ומכאן שפגע פגיעה ממשית באינטרסים המוגנים כמפורט לעיל.</w:t>
      </w:r>
    </w:p>
    <w:p w14:paraId="081BAC67" w14:textId="77777777" w:rsidR="00E972CE" w:rsidRDefault="00E972CE" w:rsidP="00E972CE">
      <w:pPr>
        <w:spacing w:line="360" w:lineRule="auto"/>
        <w:jc w:val="both"/>
        <w:rPr>
          <w:rFonts w:ascii="David" w:eastAsia="Calibri" w:hAnsi="David"/>
        </w:rPr>
      </w:pPr>
    </w:p>
    <w:p w14:paraId="28B19DD9" w14:textId="77777777" w:rsidR="00E972CE" w:rsidRPr="00FC2388" w:rsidRDefault="00E972CE" w:rsidP="00E972CE">
      <w:pPr>
        <w:pStyle w:val="a9"/>
        <w:numPr>
          <w:ilvl w:val="0"/>
          <w:numId w:val="1"/>
        </w:numPr>
        <w:spacing w:line="360" w:lineRule="auto"/>
        <w:jc w:val="both"/>
        <w:rPr>
          <w:rFonts w:cs="David"/>
        </w:rPr>
      </w:pPr>
      <w:r w:rsidRPr="00BE5567">
        <w:rPr>
          <w:rFonts w:cs="David" w:hint="cs"/>
          <w:b/>
          <w:bCs/>
          <w:rtl/>
        </w:rPr>
        <w:t xml:space="preserve">נסיבות </w:t>
      </w:r>
      <w:r>
        <w:rPr>
          <w:rFonts w:cs="David" w:hint="cs"/>
          <w:b/>
          <w:bCs/>
          <w:rtl/>
        </w:rPr>
        <w:t>הקשורות ל</w:t>
      </w:r>
      <w:r w:rsidRPr="00BE5567">
        <w:rPr>
          <w:rFonts w:cs="David" w:hint="cs"/>
          <w:b/>
          <w:bCs/>
          <w:rtl/>
        </w:rPr>
        <w:t xml:space="preserve">ביצוע </w:t>
      </w:r>
      <w:r>
        <w:rPr>
          <w:rFonts w:cs="David" w:hint="cs"/>
          <w:b/>
          <w:bCs/>
          <w:rtl/>
        </w:rPr>
        <w:t xml:space="preserve">העבירה: </w:t>
      </w:r>
      <w:r>
        <w:rPr>
          <w:rFonts w:cs="David" w:hint="cs"/>
          <w:rtl/>
        </w:rPr>
        <w:t xml:space="preserve">כתב האישום מתאר מנגנון משומן היטב לממכר סמים והמאשימה ביקשה לראות בכך נסיבה לחומרה. אינני סבור שהדבר אפשרי. כתב האישום אינו מייחס לנאשם את משלוח הודעות הפרסומת ואת יתר התקשורת עם הקונים. אדרבה, כתב האישום מייחס פעולות אלו לאדם אחר שזהותו אינה ידועה והוא מכונה "הסוחר הראשי". לא צוין שהנאשם היה מודע לפעילות זו וממילא שהוא לא נטל בה חלק. לאור כך הדבר לא הוכח כלפי הנאשם ברמה הנדרשת לצורך ייחוס נסיבה מחמירה </w:t>
      </w:r>
      <w:r>
        <w:rPr>
          <w:rFonts w:cs="David"/>
          <w:rtl/>
        </w:rPr>
        <w:t>–</w:t>
      </w:r>
      <w:r>
        <w:rPr>
          <w:rFonts w:cs="David" w:hint="cs"/>
          <w:rtl/>
        </w:rPr>
        <w:t xml:space="preserve"> מעבר לכל ספק סביר. מנגד, קשה לראות בנאשם "בורג קטן" כפי שציין הסנגור, אלא יש לראות את הדברים כפשוטם, היינו שהנאשם הוא חלק אינטגרלי ממערך הפצת הסמים בתחנת הסמים אותה ניהל וממנה פעל. בנוסף יש להביא בחשבון שמדובר בעבירות המלוות בתכנון מוקדם, בהצטיידות במלאי של סמים וכי הסיבה לביצוען הוא הרצון להרוויח כסף קל ומהיר. </w:t>
      </w:r>
    </w:p>
    <w:p w14:paraId="41014AAD" w14:textId="77777777" w:rsidR="00E972CE" w:rsidRPr="00BE5567" w:rsidRDefault="00E972CE" w:rsidP="00E972CE">
      <w:pPr>
        <w:pStyle w:val="a9"/>
        <w:spacing w:line="360" w:lineRule="auto"/>
        <w:jc w:val="both"/>
        <w:rPr>
          <w:rFonts w:cs="David"/>
        </w:rPr>
      </w:pPr>
    </w:p>
    <w:p w14:paraId="699A9534" w14:textId="77777777" w:rsidR="00E972CE" w:rsidRPr="00D46F3A" w:rsidRDefault="00E972CE" w:rsidP="00E972CE">
      <w:pPr>
        <w:pStyle w:val="a9"/>
        <w:numPr>
          <w:ilvl w:val="0"/>
          <w:numId w:val="1"/>
        </w:numPr>
        <w:spacing w:line="360" w:lineRule="auto"/>
        <w:jc w:val="both"/>
        <w:rPr>
          <w:rFonts w:cs="David"/>
          <w:rtl/>
        </w:rPr>
      </w:pPr>
      <w:r w:rsidRPr="00D46F3A">
        <w:rPr>
          <w:rFonts w:cs="David" w:hint="cs"/>
          <w:b/>
          <w:bCs/>
          <w:rtl/>
        </w:rPr>
        <w:t>מדיניות הענישה:</w:t>
      </w:r>
      <w:r w:rsidRPr="00D46F3A">
        <w:rPr>
          <w:rFonts w:ascii="David" w:hAnsi="David" w:cs="David" w:hint="cs"/>
          <w:rtl/>
        </w:rPr>
        <w:t xml:space="preserve"> </w:t>
      </w:r>
      <w:r w:rsidRPr="00D46F3A">
        <w:rPr>
          <w:rFonts w:cs="David"/>
          <w:rtl/>
        </w:rPr>
        <w:t xml:space="preserve">בתי המשפט הדגישו פעם אחר פעם כי יש לנהוג בעבירות הקשורות להפצת סמים ביד נוקשה, ולהטיל עונשים כבדים. ראו: </w:t>
      </w:r>
    </w:p>
    <w:p w14:paraId="6A5ADB3B" w14:textId="77777777" w:rsidR="00E972CE" w:rsidRPr="00D46F3A" w:rsidRDefault="00E972CE" w:rsidP="00E972CE">
      <w:pPr>
        <w:pStyle w:val="a9"/>
        <w:spacing w:line="360" w:lineRule="auto"/>
        <w:jc w:val="both"/>
        <w:rPr>
          <w:rFonts w:cs="David"/>
          <w:b/>
          <w:bCs/>
          <w:rtl/>
        </w:rPr>
      </w:pPr>
    </w:p>
    <w:p w14:paraId="3A99637D" w14:textId="77777777" w:rsidR="00E972CE" w:rsidRPr="004D1C5C" w:rsidRDefault="00E972CE" w:rsidP="00E972CE">
      <w:pPr>
        <w:pStyle w:val="a9"/>
        <w:spacing w:line="360" w:lineRule="auto"/>
        <w:ind w:left="1440" w:right="1134"/>
        <w:jc w:val="both"/>
        <w:rPr>
          <w:rFonts w:cs="David"/>
          <w:rtl/>
        </w:rPr>
      </w:pPr>
      <w:r w:rsidRPr="00D46F3A">
        <w:rPr>
          <w:rFonts w:cs="Miriam"/>
          <w:rtl/>
        </w:rPr>
        <w:t xml:space="preserve">"ההלכה בעניין עבירות סמים קובעת כי נוכח חומרתן הרבה של אותן העבירות יש להתמודד מולן באמצעות ענישה משמעותית ומרתיעה ...כי יש לבכר את שיקולי ההרתעה על השיקולים האישיים בעבירות מסוג זה ... וכי יש חשיבות בענישה כלכלית בעבירות סמים שעיקרן הוא בצע כסף" </w:t>
      </w:r>
      <w:r w:rsidRPr="004D1C5C">
        <w:rPr>
          <w:rFonts w:cs="David"/>
          <w:rtl/>
        </w:rPr>
        <w:t>(</w:t>
      </w:r>
      <w:hyperlink r:id="rId31" w:history="1">
        <w:r w:rsidR="009F1EB6" w:rsidRPr="009F1EB6">
          <w:rPr>
            <w:rFonts w:cs="David"/>
            <w:color w:val="0000FF"/>
            <w:u w:val="single"/>
            <w:rtl/>
          </w:rPr>
          <w:t>ע"פ 8988/16</w:t>
        </w:r>
      </w:hyperlink>
      <w:r w:rsidRPr="004D1C5C">
        <w:rPr>
          <w:rFonts w:cs="David"/>
          <w:rtl/>
        </w:rPr>
        <w:t xml:space="preserve"> </w:t>
      </w:r>
      <w:r w:rsidRPr="004D1C5C">
        <w:rPr>
          <w:rFonts w:cs="David"/>
          <w:b/>
          <w:bCs/>
          <w:rtl/>
        </w:rPr>
        <w:t>אשר בן סימון נ' מדינת ישראל</w:t>
      </w:r>
      <w:r w:rsidRPr="004D1C5C">
        <w:rPr>
          <w:rFonts w:cs="David"/>
          <w:rtl/>
        </w:rPr>
        <w:t xml:space="preserve"> (8.3.17))</w:t>
      </w:r>
      <w:r>
        <w:rPr>
          <w:rFonts w:cs="David" w:hint="cs"/>
          <w:rtl/>
        </w:rPr>
        <w:t>.</w:t>
      </w:r>
    </w:p>
    <w:p w14:paraId="298A9252" w14:textId="77777777" w:rsidR="00E972CE" w:rsidRPr="00D46F3A" w:rsidRDefault="00E972CE" w:rsidP="00E972CE">
      <w:pPr>
        <w:pStyle w:val="a9"/>
        <w:spacing w:line="360" w:lineRule="auto"/>
        <w:jc w:val="both"/>
        <w:rPr>
          <w:rFonts w:cs="David"/>
          <w:b/>
          <w:bCs/>
          <w:rtl/>
        </w:rPr>
      </w:pPr>
    </w:p>
    <w:p w14:paraId="441C1A72" w14:textId="77777777" w:rsidR="00E972CE" w:rsidRPr="004D1C5C" w:rsidRDefault="00E972CE" w:rsidP="00E972CE">
      <w:pPr>
        <w:pStyle w:val="a9"/>
        <w:spacing w:line="360" w:lineRule="auto"/>
        <w:jc w:val="both"/>
        <w:rPr>
          <w:rFonts w:cs="David"/>
          <w:rtl/>
        </w:rPr>
      </w:pPr>
      <w:r w:rsidRPr="004D1C5C">
        <w:rPr>
          <w:rFonts w:cs="David"/>
          <w:rtl/>
        </w:rPr>
        <w:t xml:space="preserve">וכן: </w:t>
      </w:r>
    </w:p>
    <w:p w14:paraId="052F6C45" w14:textId="77777777" w:rsidR="00E972CE" w:rsidRDefault="00E972CE" w:rsidP="00E972CE">
      <w:pPr>
        <w:pStyle w:val="a9"/>
        <w:spacing w:line="360" w:lineRule="auto"/>
        <w:jc w:val="both"/>
        <w:rPr>
          <w:rFonts w:cs="David"/>
          <w:b/>
          <w:bCs/>
          <w:rtl/>
        </w:rPr>
      </w:pPr>
    </w:p>
    <w:p w14:paraId="07595947" w14:textId="77777777" w:rsidR="00E972CE" w:rsidRPr="004D1C5C" w:rsidRDefault="00E972CE" w:rsidP="00E972CE">
      <w:pPr>
        <w:pStyle w:val="a9"/>
        <w:spacing w:line="360" w:lineRule="auto"/>
        <w:ind w:left="1440" w:right="993"/>
        <w:jc w:val="both"/>
        <w:rPr>
          <w:rFonts w:cs="David"/>
          <w:rtl/>
        </w:rPr>
      </w:pPr>
      <w:r w:rsidRPr="00D46F3A">
        <w:rPr>
          <w:rFonts w:cs="Miriam"/>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Pr>
          <w:rFonts w:cs="Miriam" w:hint="cs"/>
          <w:rtl/>
        </w:rPr>
        <w:t>"</w:t>
      </w:r>
      <w:r w:rsidRPr="00D46F3A">
        <w:rPr>
          <w:rFonts w:cs="Miriam"/>
          <w:rtl/>
        </w:rPr>
        <w:t xml:space="preserve"> </w:t>
      </w:r>
      <w:r w:rsidRPr="004D1C5C">
        <w:rPr>
          <w:rFonts w:cs="David"/>
          <w:rtl/>
        </w:rPr>
        <w:t>(</w:t>
      </w:r>
      <w:hyperlink r:id="rId32" w:history="1">
        <w:r w:rsidR="009F1EB6" w:rsidRPr="009F1EB6">
          <w:rPr>
            <w:rFonts w:cs="David"/>
            <w:color w:val="0000FF"/>
            <w:u w:val="single"/>
            <w:rtl/>
          </w:rPr>
          <w:t>ע"פ 9482/09</w:t>
        </w:r>
      </w:hyperlink>
      <w:r w:rsidRPr="004D1C5C">
        <w:rPr>
          <w:rFonts w:cs="David"/>
          <w:rtl/>
        </w:rPr>
        <w:t xml:space="preserve"> </w:t>
      </w:r>
      <w:r w:rsidRPr="004D1C5C">
        <w:rPr>
          <w:rFonts w:cs="David"/>
          <w:b/>
          <w:bCs/>
          <w:rtl/>
        </w:rPr>
        <w:t>ביטון נ' מדינת ישראל</w:t>
      </w:r>
      <w:r w:rsidRPr="004D1C5C">
        <w:rPr>
          <w:rFonts w:cs="David"/>
          <w:rtl/>
        </w:rPr>
        <w:t xml:space="preserve"> (24.07.11))</w:t>
      </w:r>
      <w:r>
        <w:rPr>
          <w:rFonts w:cs="David" w:hint="cs"/>
          <w:rtl/>
        </w:rPr>
        <w:t>.</w:t>
      </w:r>
    </w:p>
    <w:p w14:paraId="09C2B3D7" w14:textId="77777777" w:rsidR="00E972CE" w:rsidRPr="00D46F3A" w:rsidRDefault="00E972CE" w:rsidP="00E972CE">
      <w:pPr>
        <w:pStyle w:val="a9"/>
        <w:spacing w:line="360" w:lineRule="auto"/>
        <w:jc w:val="both"/>
        <w:rPr>
          <w:rFonts w:cs="David"/>
          <w:rtl/>
        </w:rPr>
      </w:pPr>
    </w:p>
    <w:p w14:paraId="0D79F7AE" w14:textId="77777777" w:rsidR="00E972CE" w:rsidRDefault="00E972CE" w:rsidP="00E972CE">
      <w:pPr>
        <w:pStyle w:val="a9"/>
        <w:numPr>
          <w:ilvl w:val="0"/>
          <w:numId w:val="1"/>
        </w:numPr>
        <w:spacing w:line="360" w:lineRule="auto"/>
        <w:jc w:val="both"/>
        <w:rPr>
          <w:rFonts w:cs="David"/>
        </w:rPr>
      </w:pPr>
      <w:r w:rsidRPr="00D46F3A">
        <w:rPr>
          <w:rFonts w:cs="David"/>
          <w:rtl/>
        </w:rPr>
        <w:t>וביחס לתרומתו של כל "שחקן" בשרשרת הפצת הסמים</w:t>
      </w:r>
      <w:r>
        <w:rPr>
          <w:rFonts w:cs="David" w:hint="cs"/>
          <w:rtl/>
        </w:rPr>
        <w:t>,</w:t>
      </w:r>
      <w:r w:rsidRPr="00D46F3A">
        <w:rPr>
          <w:rFonts w:cs="David"/>
          <w:rtl/>
        </w:rPr>
        <w:t xml:space="preserve"> והעונש הראוי לו</w:t>
      </w:r>
      <w:r>
        <w:rPr>
          <w:rFonts w:cs="David" w:hint="cs"/>
          <w:rtl/>
        </w:rPr>
        <w:t>,</w:t>
      </w:r>
      <w:r w:rsidRPr="00D46F3A">
        <w:rPr>
          <w:rFonts w:cs="David"/>
          <w:rtl/>
        </w:rPr>
        <w:t xml:space="preserve"> נקבע כי </w:t>
      </w:r>
      <w:r w:rsidRPr="00D46F3A">
        <w:rPr>
          <w:rFonts w:cs="Miriam"/>
          <w:rtl/>
        </w:rPr>
        <w:t>"ההתמודדות עם תופעת הפצת הסמים המסוכנים בישראל מחייבת תחילה הכרה בתרומתם של כלל השחקנים במערך המסועף של שוק זה, ולאחר מכן חייבות הרשויות האמונות על הדבר, כל אחת בתחומה שלה, לפעול כדי ליצור מצב של חוסר-כדאיות לעסוק בהפצה עבור כלל חוליות שרשרת ההפצה, החל ביצרן, עובר בבלדר וכלה בסוחר. גם לרשות השופטת ישנו תפקיד במאמץ ההתמודדות עם תופעת הפצת הסמים בישראל, על התפקיד החיוני שבתי המשפט צריכים למלא במסגרת זו"</w:t>
      </w:r>
      <w:r w:rsidRPr="00D46F3A">
        <w:rPr>
          <w:rFonts w:cs="David"/>
          <w:rtl/>
        </w:rPr>
        <w:t xml:space="preserve"> (</w:t>
      </w:r>
      <w:hyperlink r:id="rId33" w:history="1">
        <w:r w:rsidR="009F1EB6" w:rsidRPr="009F1EB6">
          <w:rPr>
            <w:rFonts w:cs="David"/>
            <w:color w:val="0000FF"/>
            <w:u w:val="single"/>
            <w:rtl/>
          </w:rPr>
          <w:t>ע"פ 7657/10</w:t>
        </w:r>
      </w:hyperlink>
      <w:r w:rsidRPr="00D46F3A">
        <w:rPr>
          <w:rFonts w:cs="David"/>
          <w:rtl/>
        </w:rPr>
        <w:t xml:space="preserve"> </w:t>
      </w:r>
      <w:r w:rsidRPr="00D46F3A">
        <w:rPr>
          <w:rFonts w:cs="David"/>
          <w:b/>
          <w:bCs/>
          <w:rtl/>
        </w:rPr>
        <w:t>יוסף הייב נ' מדינת ישראל</w:t>
      </w:r>
      <w:r w:rsidRPr="00D46F3A">
        <w:rPr>
          <w:rFonts w:cs="David"/>
          <w:rtl/>
        </w:rPr>
        <w:t xml:space="preserve"> (29.3.12)). </w:t>
      </w:r>
    </w:p>
    <w:p w14:paraId="1B1F8702" w14:textId="77777777" w:rsidR="00E972CE" w:rsidRDefault="00E972CE" w:rsidP="00E972CE">
      <w:pPr>
        <w:pStyle w:val="a9"/>
        <w:spacing w:line="360" w:lineRule="auto"/>
        <w:jc w:val="both"/>
        <w:rPr>
          <w:rFonts w:cs="David"/>
        </w:rPr>
      </w:pPr>
    </w:p>
    <w:p w14:paraId="238B256E" w14:textId="77777777" w:rsidR="00E972CE" w:rsidRDefault="00E972CE" w:rsidP="00E972CE">
      <w:pPr>
        <w:pStyle w:val="a9"/>
        <w:numPr>
          <w:ilvl w:val="0"/>
          <w:numId w:val="1"/>
        </w:numPr>
        <w:spacing w:line="360" w:lineRule="auto"/>
        <w:jc w:val="both"/>
        <w:rPr>
          <w:rFonts w:cs="Miriam"/>
        </w:rPr>
      </w:pPr>
      <w:r>
        <w:rPr>
          <w:rFonts w:cs="David" w:hint="cs"/>
          <w:rtl/>
        </w:rPr>
        <w:t xml:space="preserve">הסנגור טען כי חומרת מעשיו של הנאשם פחותה שעה שמדובר בסם המוגדר "קל" ובכמות קטנה. בעניין זה נקבע כי </w:t>
      </w:r>
      <w:r w:rsidRPr="00CE47A6">
        <w:rPr>
          <w:rFonts w:cs="Miriam" w:hint="cs"/>
          <w:rtl/>
        </w:rPr>
        <w:t>"</w:t>
      </w:r>
      <w:r w:rsidRPr="005B725E">
        <w:rPr>
          <w:rFonts w:cs="Miriam" w:hint="cs"/>
          <w:rtl/>
        </w:rPr>
        <w:t>המאבק בנגע הסמים צריך להיות מכוון גם נגד השימוש בסמים קלים ובפגיעתם של אלה ביחידים ובחוסנה של החברה כולה אין להמעיט".</w:t>
      </w:r>
      <w:r>
        <w:rPr>
          <w:rFonts w:cs="David" w:hint="cs"/>
          <w:rtl/>
        </w:rPr>
        <w:t xml:space="preserve"> </w:t>
      </w:r>
      <w:r>
        <w:rPr>
          <w:rFonts w:ascii="David" w:eastAsia="Calibri" w:hAnsi="David" w:cs="David" w:hint="cs"/>
          <w:rtl/>
        </w:rPr>
        <w:t xml:space="preserve">( </w:t>
      </w:r>
      <w:hyperlink r:id="rId34" w:history="1">
        <w:r w:rsidR="009F1EB6" w:rsidRPr="009F1EB6">
          <w:rPr>
            <w:rFonts w:ascii="David" w:eastAsia="Calibri" w:hAnsi="David" w:cs="David"/>
            <w:color w:val="0000FF"/>
            <w:u w:val="single"/>
            <w:rtl/>
          </w:rPr>
          <w:t>ע"פ 2000/06</w:t>
        </w:r>
      </w:hyperlink>
      <w:r>
        <w:rPr>
          <w:rFonts w:ascii="David" w:eastAsia="Calibri" w:hAnsi="David" w:cs="David" w:hint="cs"/>
          <w:rtl/>
        </w:rPr>
        <w:t xml:space="preserve"> </w:t>
      </w:r>
      <w:r w:rsidRPr="001F6766">
        <w:rPr>
          <w:rFonts w:ascii="David" w:eastAsia="Calibri" w:hAnsi="David" w:cs="David" w:hint="cs"/>
          <w:b/>
          <w:bCs/>
          <w:rtl/>
        </w:rPr>
        <w:t>מדינת ישראל נ' ויצמן</w:t>
      </w:r>
      <w:r>
        <w:rPr>
          <w:rFonts w:ascii="David" w:eastAsia="Calibri" w:hAnsi="David" w:cs="David" w:hint="cs"/>
          <w:rtl/>
        </w:rPr>
        <w:t xml:space="preserve"> (20.07.06)).</w:t>
      </w:r>
      <w:r w:rsidRPr="003C2AF9">
        <w:rPr>
          <w:rFonts w:ascii="David" w:eastAsia="Calibri" w:hAnsi="David" w:cs="David"/>
          <w:rtl/>
        </w:rPr>
        <w:t xml:space="preserve"> </w:t>
      </w:r>
      <w:r>
        <w:rPr>
          <w:rFonts w:cs="David" w:hint="cs"/>
          <w:rtl/>
        </w:rPr>
        <w:t xml:space="preserve"> ביחס לכמות נקבע כי </w:t>
      </w:r>
      <w:r w:rsidRPr="000C6B5A">
        <w:rPr>
          <w:rFonts w:cs="Miriam" w:hint="cs"/>
          <w:rtl/>
        </w:rPr>
        <w:t>"</w:t>
      </w:r>
      <w:r w:rsidRPr="000C6B5A">
        <w:rPr>
          <w:rFonts w:cs="Miriam"/>
          <w:rtl/>
        </w:rPr>
        <w:t>אף אם כמויות הסמים נושא העבירות "קטנות" – כטענת המבקש – אין בכך כדי להפחית מחומרתן של עבירות אלה ומהצורך למגר אותן באמצעות הטלת עונש בעל היבט הרתעתי</w:t>
      </w:r>
      <w:r w:rsidRPr="000C6B5A">
        <w:rPr>
          <w:rFonts w:cs="Miriam" w:hint="cs"/>
          <w:rtl/>
        </w:rPr>
        <w:t>"</w:t>
      </w:r>
      <w:r>
        <w:rPr>
          <w:rFonts w:cs="Miriam" w:hint="cs"/>
          <w:rtl/>
        </w:rPr>
        <w:t xml:space="preserve"> </w:t>
      </w:r>
      <w:r w:rsidRPr="000C6B5A">
        <w:rPr>
          <w:rFonts w:cs="David" w:hint="cs"/>
          <w:rtl/>
        </w:rPr>
        <w:t>(</w:t>
      </w:r>
      <w:hyperlink r:id="rId35" w:history="1">
        <w:r w:rsidR="009F1EB6" w:rsidRPr="009F1EB6">
          <w:rPr>
            <w:rFonts w:cs="David"/>
            <w:color w:val="0000FF"/>
            <w:u w:val="single"/>
            <w:rtl/>
          </w:rPr>
          <w:t>רע"פ 7996/12</w:t>
        </w:r>
      </w:hyperlink>
      <w:r w:rsidRPr="000C6B5A">
        <w:rPr>
          <w:rFonts w:cs="David" w:hint="cs"/>
          <w:rtl/>
        </w:rPr>
        <w:t xml:space="preserve"> </w:t>
      </w:r>
      <w:r w:rsidRPr="000C6B5A">
        <w:rPr>
          <w:rFonts w:cs="David" w:hint="cs"/>
          <w:b/>
          <w:bCs/>
          <w:rtl/>
        </w:rPr>
        <w:t>יוסף נ' מדינת ישראל</w:t>
      </w:r>
      <w:r w:rsidRPr="000C6B5A">
        <w:rPr>
          <w:rFonts w:cs="David" w:hint="cs"/>
          <w:rtl/>
        </w:rPr>
        <w:t xml:space="preserve"> (23.1.13))</w:t>
      </w:r>
      <w:r>
        <w:rPr>
          <w:rFonts w:cs="David" w:hint="cs"/>
          <w:rtl/>
        </w:rPr>
        <w:t>.</w:t>
      </w:r>
      <w:r>
        <w:rPr>
          <w:rFonts w:cs="Miriam" w:hint="cs"/>
          <w:rtl/>
        </w:rPr>
        <w:t xml:space="preserve"> </w:t>
      </w:r>
      <w:r w:rsidRPr="00037CAA">
        <w:rPr>
          <w:rFonts w:cs="David" w:hint="cs"/>
          <w:rtl/>
        </w:rPr>
        <w:t xml:space="preserve">עוד ראוי להפנות לדברים שנאמרו לאחרונה בנושא </w:t>
      </w:r>
      <w:r>
        <w:rPr>
          <w:rFonts w:cs="David" w:hint="cs"/>
          <w:rtl/>
        </w:rPr>
        <w:t>ההבדל</w:t>
      </w:r>
      <w:r w:rsidRPr="00037CAA">
        <w:rPr>
          <w:rFonts w:cs="David" w:hint="cs"/>
          <w:rtl/>
        </w:rPr>
        <w:t xml:space="preserve"> </w:t>
      </w:r>
      <w:r>
        <w:rPr>
          <w:rFonts w:cs="David" w:hint="cs"/>
          <w:rtl/>
        </w:rPr>
        <w:t>ש</w:t>
      </w:r>
      <w:r w:rsidRPr="00037CAA">
        <w:rPr>
          <w:rFonts w:cs="David" w:hint="cs"/>
          <w:rtl/>
        </w:rPr>
        <w:t xml:space="preserve">בין השיח המתנהל בנושא </w:t>
      </w:r>
      <w:r>
        <w:rPr>
          <w:rFonts w:cs="David" w:hint="cs"/>
          <w:rtl/>
        </w:rPr>
        <w:t>ה</w:t>
      </w:r>
      <w:r w:rsidRPr="00037CAA">
        <w:rPr>
          <w:rFonts w:cs="David" w:hint="cs"/>
          <w:rtl/>
        </w:rPr>
        <w:t xml:space="preserve">שימוש בסם הקנאביס לבין </w:t>
      </w:r>
      <w:r>
        <w:rPr>
          <w:rFonts w:cs="David" w:hint="cs"/>
          <w:rtl/>
        </w:rPr>
        <w:t>התייחסות מקלה ל</w:t>
      </w:r>
      <w:r w:rsidRPr="00037CAA">
        <w:rPr>
          <w:rFonts w:cs="David" w:hint="cs"/>
          <w:rtl/>
        </w:rPr>
        <w:t>מסחר בו:</w:t>
      </w:r>
      <w:r>
        <w:rPr>
          <w:rFonts w:cs="Miriam" w:hint="cs"/>
          <w:rtl/>
        </w:rPr>
        <w:t xml:space="preserve"> </w:t>
      </w:r>
    </w:p>
    <w:p w14:paraId="2C27AE4D" w14:textId="77777777" w:rsidR="00E972CE" w:rsidRDefault="00E972CE" w:rsidP="00E972CE">
      <w:pPr>
        <w:pStyle w:val="a9"/>
        <w:spacing w:line="360" w:lineRule="auto"/>
        <w:jc w:val="both"/>
        <w:rPr>
          <w:rFonts w:cs="Miriam"/>
          <w:rtl/>
        </w:rPr>
      </w:pPr>
    </w:p>
    <w:p w14:paraId="09568270" w14:textId="77777777" w:rsidR="00E972CE" w:rsidRPr="00037CAA" w:rsidRDefault="00E972CE" w:rsidP="00E972CE">
      <w:pPr>
        <w:overflowPunct w:val="0"/>
        <w:autoSpaceDE w:val="0"/>
        <w:autoSpaceDN w:val="0"/>
        <w:spacing w:line="360" w:lineRule="auto"/>
        <w:ind w:left="1440" w:right="1134"/>
        <w:jc w:val="both"/>
        <w:rPr>
          <w:rFonts w:ascii="Arial TUR" w:hAnsi="Arial TUR" w:cs="Miriam"/>
          <w:spacing w:val="10"/>
          <w:rtl/>
        </w:rPr>
      </w:pPr>
      <w:r>
        <w:rPr>
          <w:rFonts w:ascii="Arial TUR" w:hAnsi="Arial TUR" w:cs="Miriam" w:hint="cs"/>
          <w:spacing w:val="10"/>
          <w:rtl/>
        </w:rPr>
        <w:t>"</w:t>
      </w:r>
      <w:r w:rsidRPr="00037CAA">
        <w:rPr>
          <w:rFonts w:ascii="Arial TUR" w:hAnsi="Arial TUR" w:cs="Miriam" w:hint="eastAsia"/>
          <w:spacing w:val="10"/>
          <w:rtl/>
        </w:rPr>
        <w:t>בפועל</w:t>
      </w:r>
      <w:r w:rsidRPr="00037CAA">
        <w:rPr>
          <w:rFonts w:ascii="Arial TUR" w:hAnsi="Arial TUR" w:cs="Miriam"/>
          <w:spacing w:val="10"/>
          <w:rtl/>
        </w:rPr>
        <w:t xml:space="preserve">, </w:t>
      </w:r>
      <w:r w:rsidRPr="00037CAA">
        <w:rPr>
          <w:rFonts w:ascii="Arial TUR" w:hAnsi="Arial TUR" w:cs="Miriam" w:hint="eastAsia"/>
          <w:spacing w:val="10"/>
          <w:rtl/>
        </w:rPr>
        <w:t>בקשת</w:t>
      </w:r>
      <w:r w:rsidRPr="00037CAA">
        <w:rPr>
          <w:rFonts w:ascii="Arial TUR" w:hAnsi="Arial TUR" w:cs="Miriam"/>
          <w:spacing w:val="10"/>
          <w:rtl/>
        </w:rPr>
        <w:t xml:space="preserve"> </w:t>
      </w:r>
      <w:r w:rsidRPr="00037CAA">
        <w:rPr>
          <w:rFonts w:ascii="Arial TUR" w:hAnsi="Arial TUR" w:cs="Miriam" w:hint="eastAsia"/>
          <w:spacing w:val="10"/>
          <w:rtl/>
        </w:rPr>
        <w:t>המבקש</w:t>
      </w:r>
      <w:r w:rsidRPr="00037CAA">
        <w:rPr>
          <w:rFonts w:ascii="Arial TUR" w:hAnsi="Arial TUR" w:cs="Miriam"/>
          <w:spacing w:val="10"/>
          <w:rtl/>
        </w:rPr>
        <w:t xml:space="preserve"> </w:t>
      </w:r>
      <w:r w:rsidRPr="00037CAA">
        <w:rPr>
          <w:rFonts w:ascii="Arial TUR" w:hAnsi="Arial TUR" w:cs="Miriam" w:hint="eastAsia"/>
          <w:spacing w:val="10"/>
          <w:rtl/>
        </w:rPr>
        <w:t>היא</w:t>
      </w:r>
      <w:r w:rsidRPr="00037CAA">
        <w:rPr>
          <w:rFonts w:ascii="Arial TUR" w:hAnsi="Arial TUR" w:cs="Miriam"/>
          <w:spacing w:val="10"/>
          <w:rtl/>
        </w:rPr>
        <w:t xml:space="preserve"> </w:t>
      </w:r>
      <w:r w:rsidRPr="00037CAA">
        <w:rPr>
          <w:rFonts w:ascii="Arial TUR" w:hAnsi="Arial TUR" w:cs="Miriam" w:hint="eastAsia"/>
          <w:spacing w:val="10"/>
          <w:rtl/>
        </w:rPr>
        <w:t>כי</w:t>
      </w:r>
      <w:r w:rsidRPr="00037CAA">
        <w:rPr>
          <w:rFonts w:ascii="Arial TUR" w:hAnsi="Arial TUR" w:cs="Miriam"/>
          <w:spacing w:val="10"/>
          <w:rtl/>
        </w:rPr>
        <w:t xml:space="preserve"> </w:t>
      </w:r>
      <w:r w:rsidRPr="00037CAA">
        <w:rPr>
          <w:rFonts w:ascii="Arial TUR" w:hAnsi="Arial TUR" w:cs="Miriam" w:hint="eastAsia"/>
          <w:spacing w:val="10"/>
          <w:rtl/>
        </w:rPr>
        <w:t>בית</w:t>
      </w:r>
      <w:r w:rsidRPr="00037CAA">
        <w:rPr>
          <w:rFonts w:ascii="Arial TUR" w:hAnsi="Arial TUR" w:cs="Miriam"/>
          <w:spacing w:val="10"/>
          <w:rtl/>
        </w:rPr>
        <w:t xml:space="preserve"> </w:t>
      </w:r>
      <w:r w:rsidRPr="00037CAA">
        <w:rPr>
          <w:rFonts w:ascii="Arial TUR" w:hAnsi="Arial TUR" w:cs="Miriam" w:hint="eastAsia"/>
          <w:spacing w:val="10"/>
          <w:rtl/>
        </w:rPr>
        <w:t>משפט</w:t>
      </w:r>
      <w:r w:rsidRPr="00037CAA">
        <w:rPr>
          <w:rFonts w:ascii="Arial TUR" w:hAnsi="Arial TUR" w:cs="Miriam"/>
          <w:spacing w:val="10"/>
          <w:rtl/>
        </w:rPr>
        <w:t xml:space="preserve"> </w:t>
      </w:r>
      <w:r w:rsidRPr="00037CAA">
        <w:rPr>
          <w:rFonts w:ascii="Arial TUR" w:hAnsi="Arial TUR" w:cs="Miriam" w:hint="eastAsia"/>
          <w:spacing w:val="10"/>
          <w:rtl/>
        </w:rPr>
        <w:t>זה</w:t>
      </w:r>
      <w:r w:rsidRPr="00037CAA">
        <w:rPr>
          <w:rFonts w:ascii="Arial TUR" w:hAnsi="Arial TUR" w:cs="Miriam"/>
          <w:spacing w:val="10"/>
          <w:rtl/>
        </w:rPr>
        <w:t xml:space="preserve"> </w:t>
      </w:r>
      <w:r w:rsidRPr="00037CAA">
        <w:rPr>
          <w:rFonts w:ascii="Arial TUR" w:hAnsi="Arial TUR" w:cs="Miriam" w:hint="eastAsia"/>
          <w:spacing w:val="10"/>
          <w:rtl/>
        </w:rPr>
        <w:t>ייתן</w:t>
      </w:r>
      <w:r w:rsidRPr="00037CAA">
        <w:rPr>
          <w:rFonts w:ascii="Arial TUR" w:hAnsi="Arial TUR" w:cs="Miriam"/>
          <w:spacing w:val="10"/>
          <w:rtl/>
        </w:rPr>
        <w:t xml:space="preserve"> </w:t>
      </w:r>
      <w:r w:rsidRPr="00037CAA">
        <w:rPr>
          <w:rFonts w:ascii="Arial TUR" w:hAnsi="Arial TUR" w:cs="Miriam" w:hint="eastAsia"/>
          <w:spacing w:val="10"/>
          <w:rtl/>
        </w:rPr>
        <w:t>מעין</w:t>
      </w:r>
      <w:r w:rsidRPr="00037CAA">
        <w:rPr>
          <w:rFonts w:ascii="Arial TUR" w:hAnsi="Arial TUR" w:cs="Miriam"/>
          <w:spacing w:val="10"/>
          <w:rtl/>
        </w:rPr>
        <w:t xml:space="preserve"> "</w:t>
      </w:r>
      <w:r w:rsidRPr="00037CAA">
        <w:rPr>
          <w:rFonts w:ascii="Arial TUR" w:hAnsi="Arial TUR" w:cs="Miriam" w:hint="eastAsia"/>
          <w:spacing w:val="10"/>
          <w:rtl/>
        </w:rPr>
        <w:t>הכשר</w:t>
      </w:r>
      <w:r w:rsidRPr="00037CAA">
        <w:rPr>
          <w:rFonts w:ascii="Arial TUR" w:hAnsi="Arial TUR" w:cs="Miriam"/>
          <w:spacing w:val="10"/>
          <w:rtl/>
        </w:rPr>
        <w:t xml:space="preserve"> </w:t>
      </w:r>
      <w:r w:rsidRPr="00037CAA">
        <w:rPr>
          <w:rFonts w:ascii="Arial TUR" w:hAnsi="Arial TUR" w:cs="Miriam" w:hint="eastAsia"/>
          <w:spacing w:val="10"/>
          <w:rtl/>
        </w:rPr>
        <w:t>נורמטיבי</w:t>
      </w:r>
      <w:r w:rsidRPr="00037CAA">
        <w:rPr>
          <w:rFonts w:ascii="Arial TUR" w:hAnsi="Arial TUR" w:cs="Miriam"/>
          <w:spacing w:val="10"/>
          <w:rtl/>
        </w:rPr>
        <w:t xml:space="preserve">" </w:t>
      </w:r>
      <w:r w:rsidRPr="00037CAA">
        <w:rPr>
          <w:rFonts w:ascii="Arial TUR" w:hAnsi="Arial TUR" w:cs="Miriam" w:hint="eastAsia"/>
          <w:spacing w:val="10"/>
          <w:rtl/>
        </w:rPr>
        <w:t>לגידול</w:t>
      </w:r>
      <w:r w:rsidRPr="00037CAA">
        <w:rPr>
          <w:rFonts w:ascii="Arial TUR" w:hAnsi="Arial TUR" w:cs="Miriam"/>
          <w:spacing w:val="10"/>
          <w:rtl/>
        </w:rPr>
        <w:t xml:space="preserve"> </w:t>
      </w:r>
      <w:r w:rsidRPr="00037CAA">
        <w:rPr>
          <w:rFonts w:ascii="Arial TUR" w:hAnsi="Arial TUR" w:cs="Miriam" w:hint="eastAsia"/>
          <w:spacing w:val="10"/>
          <w:rtl/>
        </w:rPr>
        <w:t>בהיקף</w:t>
      </w:r>
      <w:r w:rsidRPr="00037CAA">
        <w:rPr>
          <w:rFonts w:ascii="Arial TUR" w:hAnsi="Arial TUR" w:cs="Miriam"/>
          <w:spacing w:val="10"/>
          <w:rtl/>
        </w:rPr>
        <w:t xml:space="preserve"> </w:t>
      </w:r>
      <w:r w:rsidRPr="00037CAA">
        <w:rPr>
          <w:rFonts w:ascii="Arial TUR" w:hAnsi="Arial TUR" w:cs="Miriam" w:hint="eastAsia"/>
          <w:spacing w:val="10"/>
          <w:rtl/>
        </w:rPr>
        <w:t>גדול</w:t>
      </w:r>
      <w:r w:rsidRPr="00037CAA">
        <w:rPr>
          <w:rFonts w:ascii="Arial TUR" w:hAnsi="Arial TUR" w:cs="Miriam"/>
          <w:spacing w:val="10"/>
          <w:rtl/>
        </w:rPr>
        <w:t xml:space="preserve"> </w:t>
      </w:r>
      <w:r w:rsidRPr="00037CAA">
        <w:rPr>
          <w:rFonts w:ascii="Arial TUR" w:hAnsi="Arial TUR" w:cs="Miriam" w:hint="eastAsia"/>
          <w:spacing w:val="10"/>
          <w:rtl/>
        </w:rPr>
        <w:t>של</w:t>
      </w:r>
      <w:r w:rsidRPr="00037CAA">
        <w:rPr>
          <w:rFonts w:ascii="Arial TUR" w:hAnsi="Arial TUR" w:cs="Miriam"/>
          <w:spacing w:val="10"/>
          <w:rtl/>
        </w:rPr>
        <w:t xml:space="preserve"> </w:t>
      </w:r>
      <w:r w:rsidRPr="00037CAA">
        <w:rPr>
          <w:rFonts w:ascii="Arial TUR" w:hAnsi="Arial TUR" w:cs="Miriam" w:hint="eastAsia"/>
          <w:spacing w:val="10"/>
          <w:rtl/>
        </w:rPr>
        <w:t>סמים</w:t>
      </w:r>
      <w:r w:rsidRPr="00037CAA">
        <w:rPr>
          <w:rFonts w:ascii="Arial TUR" w:hAnsi="Arial TUR" w:cs="Miriam"/>
          <w:spacing w:val="10"/>
          <w:rtl/>
        </w:rPr>
        <w:t xml:space="preserve"> </w:t>
      </w:r>
      <w:r w:rsidRPr="00037CAA">
        <w:rPr>
          <w:rFonts w:ascii="Arial TUR" w:hAnsi="Arial TUR" w:cs="Miriam" w:hint="eastAsia"/>
          <w:spacing w:val="10"/>
          <w:rtl/>
        </w:rPr>
        <w:t>קלים</w:t>
      </w:r>
      <w:r w:rsidRPr="00037CAA">
        <w:rPr>
          <w:rFonts w:ascii="Arial TUR" w:hAnsi="Arial TUR" w:cs="Miriam"/>
          <w:spacing w:val="10"/>
          <w:rtl/>
        </w:rPr>
        <w:t xml:space="preserve"> </w:t>
      </w:r>
      <w:r w:rsidRPr="00037CAA">
        <w:rPr>
          <w:rFonts w:ascii="Arial TUR" w:hAnsi="Arial TUR" w:cs="Miriam" w:hint="eastAsia"/>
          <w:spacing w:val="10"/>
          <w:rtl/>
        </w:rPr>
        <w:t>מסוג</w:t>
      </w:r>
      <w:r w:rsidRPr="00037CAA">
        <w:rPr>
          <w:rFonts w:ascii="Arial TUR" w:hAnsi="Arial TUR" w:cs="Miriam"/>
          <w:spacing w:val="10"/>
          <w:rtl/>
        </w:rPr>
        <w:t xml:space="preserve"> </w:t>
      </w:r>
      <w:r w:rsidRPr="00037CAA">
        <w:rPr>
          <w:rFonts w:ascii="Arial TUR" w:hAnsi="Arial TUR" w:cs="Miriam" w:hint="eastAsia"/>
          <w:spacing w:val="10"/>
          <w:rtl/>
        </w:rPr>
        <w:t>קנאביס</w:t>
      </w:r>
      <w:r w:rsidRPr="00037CAA">
        <w:rPr>
          <w:rFonts w:ascii="Arial TUR" w:hAnsi="Arial TUR" w:cs="Miriam"/>
          <w:spacing w:val="10"/>
          <w:rtl/>
        </w:rPr>
        <w:t xml:space="preserve">, </w:t>
      </w:r>
      <w:r w:rsidRPr="00037CAA">
        <w:rPr>
          <w:rFonts w:ascii="Arial TUR" w:hAnsi="Arial TUR" w:cs="Miriam" w:hint="eastAsia"/>
          <w:spacing w:val="10"/>
          <w:rtl/>
        </w:rPr>
        <w:t>תוך</w:t>
      </w:r>
      <w:r w:rsidRPr="00037CAA">
        <w:rPr>
          <w:rFonts w:ascii="Arial TUR" w:hAnsi="Arial TUR" w:cs="Miriam"/>
          <w:spacing w:val="10"/>
          <w:rtl/>
        </w:rPr>
        <w:t xml:space="preserve"> </w:t>
      </w:r>
      <w:r w:rsidRPr="00037CAA">
        <w:rPr>
          <w:rFonts w:ascii="Arial TUR" w:hAnsi="Arial TUR" w:cs="Miriam" w:hint="eastAsia"/>
          <w:spacing w:val="10"/>
          <w:rtl/>
        </w:rPr>
        <w:t>התעלמות</w:t>
      </w:r>
      <w:r w:rsidRPr="00037CAA">
        <w:rPr>
          <w:rFonts w:ascii="Arial TUR" w:hAnsi="Arial TUR" w:cs="Miriam"/>
          <w:spacing w:val="10"/>
          <w:rtl/>
        </w:rPr>
        <w:t xml:space="preserve"> </w:t>
      </w:r>
      <w:r w:rsidRPr="00037CAA">
        <w:rPr>
          <w:rFonts w:ascii="Arial TUR" w:hAnsi="Arial TUR" w:cs="Miriam" w:hint="eastAsia"/>
          <w:spacing w:val="10"/>
          <w:rtl/>
        </w:rPr>
        <w:t>מהוראות</w:t>
      </w:r>
      <w:r w:rsidRPr="00037CAA">
        <w:rPr>
          <w:rFonts w:ascii="Arial TUR" w:hAnsi="Arial TUR" w:cs="Miriam"/>
          <w:spacing w:val="10"/>
          <w:rtl/>
        </w:rPr>
        <w:t xml:space="preserve"> </w:t>
      </w:r>
      <w:r w:rsidRPr="00037CAA">
        <w:rPr>
          <w:rFonts w:ascii="Arial TUR" w:hAnsi="Arial TUR" w:cs="Miriam" w:hint="eastAsia"/>
          <w:spacing w:val="10"/>
          <w:rtl/>
        </w:rPr>
        <w:t>החוק</w:t>
      </w:r>
      <w:r w:rsidRPr="00037CAA">
        <w:rPr>
          <w:rFonts w:ascii="Arial TUR" w:hAnsi="Arial TUR" w:cs="Miriam"/>
          <w:spacing w:val="10"/>
          <w:rtl/>
        </w:rPr>
        <w:t xml:space="preserve">. </w:t>
      </w:r>
      <w:r w:rsidRPr="00037CAA">
        <w:rPr>
          <w:rFonts w:ascii="Arial TUR" w:hAnsi="Arial TUR" w:cs="Miriam" w:hint="eastAsia"/>
          <w:spacing w:val="10"/>
          <w:rtl/>
        </w:rPr>
        <w:t>אף</w:t>
      </w:r>
      <w:r w:rsidRPr="00037CAA">
        <w:rPr>
          <w:rFonts w:ascii="Arial TUR" w:hAnsi="Arial TUR" w:cs="Miriam"/>
          <w:spacing w:val="10"/>
          <w:rtl/>
        </w:rPr>
        <w:t xml:space="preserve"> </w:t>
      </w:r>
      <w:r w:rsidRPr="00037CAA">
        <w:rPr>
          <w:rFonts w:ascii="Arial TUR" w:hAnsi="Arial TUR" w:cs="Miriam" w:hint="eastAsia"/>
          <w:spacing w:val="10"/>
          <w:rtl/>
        </w:rPr>
        <w:t>אם</w:t>
      </w:r>
      <w:r w:rsidRPr="00037CAA">
        <w:rPr>
          <w:rFonts w:ascii="Arial TUR" w:hAnsi="Arial TUR" w:cs="Miriam"/>
          <w:spacing w:val="10"/>
          <w:rtl/>
        </w:rPr>
        <w:t xml:space="preserve"> </w:t>
      </w:r>
      <w:r w:rsidRPr="00037CAA">
        <w:rPr>
          <w:rFonts w:ascii="Arial TUR" w:hAnsi="Arial TUR" w:cs="Miriam" w:hint="eastAsia"/>
          <w:spacing w:val="10"/>
          <w:rtl/>
        </w:rPr>
        <w:t>אניח</w:t>
      </w:r>
      <w:r w:rsidRPr="00037CAA">
        <w:rPr>
          <w:rFonts w:ascii="Arial TUR" w:hAnsi="Arial TUR" w:cs="Miriam"/>
          <w:spacing w:val="10"/>
          <w:rtl/>
        </w:rPr>
        <w:t xml:space="preserve"> </w:t>
      </w:r>
      <w:r w:rsidRPr="00037CAA">
        <w:rPr>
          <w:rFonts w:ascii="Arial TUR" w:hAnsi="Arial TUR" w:cs="Miriam" w:hint="eastAsia"/>
          <w:spacing w:val="10"/>
          <w:rtl/>
        </w:rPr>
        <w:t>כי</w:t>
      </w:r>
      <w:r w:rsidRPr="00037CAA">
        <w:rPr>
          <w:rFonts w:ascii="Arial TUR" w:hAnsi="Arial TUR" w:cs="Miriam"/>
          <w:spacing w:val="10"/>
          <w:rtl/>
        </w:rPr>
        <w:t xml:space="preserve"> </w:t>
      </w:r>
      <w:r w:rsidRPr="00037CAA">
        <w:rPr>
          <w:rFonts w:ascii="Arial TUR" w:hAnsi="Arial TUR" w:cs="Miriam" w:hint="eastAsia"/>
          <w:spacing w:val="10"/>
          <w:rtl/>
        </w:rPr>
        <w:t>נושא</w:t>
      </w:r>
      <w:r w:rsidRPr="00037CAA">
        <w:rPr>
          <w:rFonts w:ascii="Arial TUR" w:hAnsi="Arial TUR" w:cs="Miriam"/>
          <w:spacing w:val="10"/>
          <w:rtl/>
        </w:rPr>
        <w:t xml:space="preserve"> </w:t>
      </w:r>
      <w:r w:rsidRPr="00037CAA">
        <w:rPr>
          <w:rFonts w:ascii="Arial TUR" w:hAnsi="Arial TUR" w:cs="Miriam" w:hint="eastAsia"/>
          <w:spacing w:val="10"/>
          <w:rtl/>
        </w:rPr>
        <w:t>השימוש</w:t>
      </w:r>
      <w:r w:rsidRPr="00037CAA">
        <w:rPr>
          <w:rFonts w:ascii="Arial TUR" w:hAnsi="Arial TUR" w:cs="Miriam"/>
          <w:spacing w:val="10"/>
          <w:rtl/>
        </w:rPr>
        <w:t xml:space="preserve"> </w:t>
      </w:r>
      <w:r w:rsidRPr="00037CAA">
        <w:rPr>
          <w:rFonts w:ascii="Arial TUR" w:hAnsi="Arial TUR" w:cs="Miriam" w:hint="eastAsia"/>
          <w:spacing w:val="10"/>
          <w:rtl/>
        </w:rPr>
        <w:t>העצמי</w:t>
      </w:r>
      <w:r w:rsidRPr="00037CAA">
        <w:rPr>
          <w:rFonts w:ascii="Arial TUR" w:hAnsi="Arial TUR" w:cs="Miriam"/>
          <w:spacing w:val="10"/>
          <w:rtl/>
        </w:rPr>
        <w:t xml:space="preserve"> </w:t>
      </w:r>
      <w:r w:rsidRPr="00037CAA">
        <w:rPr>
          <w:rFonts w:ascii="Arial TUR" w:hAnsi="Arial TUR" w:cs="Miriam" w:hint="eastAsia"/>
          <w:spacing w:val="10"/>
          <w:rtl/>
        </w:rPr>
        <w:t>בסמים</w:t>
      </w:r>
      <w:r w:rsidRPr="00037CAA">
        <w:rPr>
          <w:rFonts w:ascii="Arial TUR" w:hAnsi="Arial TUR" w:cs="Miriam"/>
          <w:spacing w:val="10"/>
          <w:rtl/>
        </w:rPr>
        <w:t xml:space="preserve"> </w:t>
      </w:r>
      <w:r w:rsidRPr="00037CAA">
        <w:rPr>
          <w:rFonts w:ascii="Arial TUR" w:hAnsi="Arial TUR" w:cs="Miriam" w:hint="eastAsia"/>
          <w:spacing w:val="10"/>
          <w:rtl/>
        </w:rPr>
        <w:t>מסוג</w:t>
      </w:r>
      <w:r w:rsidRPr="00037CAA">
        <w:rPr>
          <w:rFonts w:ascii="Arial TUR" w:hAnsi="Arial TUR" w:cs="Miriam"/>
          <w:spacing w:val="10"/>
          <w:rtl/>
        </w:rPr>
        <w:t xml:space="preserve"> </w:t>
      </w:r>
      <w:r w:rsidRPr="00037CAA">
        <w:rPr>
          <w:rFonts w:ascii="Arial TUR" w:hAnsi="Arial TUR" w:cs="Miriam" w:hint="eastAsia"/>
          <w:spacing w:val="10"/>
          <w:rtl/>
        </w:rPr>
        <w:t>קנאביס</w:t>
      </w:r>
      <w:r w:rsidRPr="00037CAA">
        <w:rPr>
          <w:rFonts w:ascii="Arial TUR" w:hAnsi="Arial TUR" w:cs="Miriam"/>
          <w:spacing w:val="10"/>
          <w:rtl/>
        </w:rPr>
        <w:t xml:space="preserve"> </w:t>
      </w:r>
      <w:r w:rsidRPr="00037CAA">
        <w:rPr>
          <w:rFonts w:ascii="Arial TUR" w:hAnsi="Arial TUR" w:cs="Miriam" w:hint="eastAsia"/>
          <w:spacing w:val="10"/>
          <w:rtl/>
        </w:rPr>
        <w:t>זוכה</w:t>
      </w:r>
      <w:r w:rsidRPr="00037CAA">
        <w:rPr>
          <w:rFonts w:ascii="Arial TUR" w:hAnsi="Arial TUR" w:cs="Miriam"/>
          <w:spacing w:val="10"/>
          <w:rtl/>
        </w:rPr>
        <w:t xml:space="preserve"> </w:t>
      </w:r>
      <w:r w:rsidRPr="00037CAA">
        <w:rPr>
          <w:rFonts w:ascii="Arial TUR" w:hAnsi="Arial TUR" w:cs="Miriam" w:hint="eastAsia"/>
          <w:spacing w:val="10"/>
          <w:rtl/>
        </w:rPr>
        <w:t>לשיח</w:t>
      </w:r>
      <w:r w:rsidRPr="00037CAA">
        <w:rPr>
          <w:rFonts w:ascii="Arial TUR" w:hAnsi="Arial TUR" w:cs="Miriam"/>
          <w:spacing w:val="10"/>
          <w:rtl/>
        </w:rPr>
        <w:t xml:space="preserve"> </w:t>
      </w:r>
      <w:r w:rsidRPr="00037CAA">
        <w:rPr>
          <w:rFonts w:ascii="Arial TUR" w:hAnsi="Arial TUR" w:cs="Miriam" w:hint="eastAsia"/>
          <w:spacing w:val="10"/>
          <w:rtl/>
        </w:rPr>
        <w:t>ולתהודה</w:t>
      </w:r>
      <w:r w:rsidRPr="00037CAA">
        <w:rPr>
          <w:rFonts w:ascii="Arial TUR" w:hAnsi="Arial TUR" w:cs="Miriam"/>
          <w:spacing w:val="10"/>
          <w:rtl/>
        </w:rPr>
        <w:t xml:space="preserve"> </w:t>
      </w:r>
      <w:r w:rsidRPr="00037CAA">
        <w:rPr>
          <w:rFonts w:ascii="Arial TUR" w:hAnsi="Arial TUR" w:cs="Miriam" w:hint="eastAsia"/>
          <w:spacing w:val="10"/>
          <w:rtl/>
        </w:rPr>
        <w:t>במישור</w:t>
      </w:r>
      <w:r w:rsidRPr="00037CAA">
        <w:rPr>
          <w:rFonts w:ascii="Arial TUR" w:hAnsi="Arial TUR" w:cs="Miriam"/>
          <w:spacing w:val="10"/>
          <w:rtl/>
        </w:rPr>
        <w:t xml:space="preserve"> </w:t>
      </w:r>
      <w:r w:rsidRPr="00037CAA">
        <w:rPr>
          <w:rFonts w:ascii="Arial TUR" w:hAnsi="Arial TUR" w:cs="Miriam" w:hint="eastAsia"/>
          <w:spacing w:val="10"/>
          <w:rtl/>
        </w:rPr>
        <w:t>הציבורי</w:t>
      </w:r>
      <w:r w:rsidRPr="00037CAA">
        <w:rPr>
          <w:rFonts w:ascii="Arial TUR" w:hAnsi="Arial TUR" w:cs="Miriam"/>
          <w:spacing w:val="10"/>
          <w:rtl/>
        </w:rPr>
        <w:t xml:space="preserve"> </w:t>
      </w:r>
      <w:r w:rsidRPr="00037CAA">
        <w:rPr>
          <w:rFonts w:ascii="Arial TUR" w:hAnsi="Arial TUR" w:cs="Miriam" w:hint="eastAsia"/>
          <w:spacing w:val="10"/>
          <w:rtl/>
        </w:rPr>
        <w:t>והחקיקתי</w:t>
      </w:r>
      <w:r w:rsidRPr="00037CAA">
        <w:rPr>
          <w:rFonts w:ascii="Arial TUR" w:hAnsi="Arial TUR" w:cs="Miriam"/>
          <w:spacing w:val="10"/>
          <w:rtl/>
        </w:rPr>
        <w:t xml:space="preserve"> (</w:t>
      </w:r>
      <w:r w:rsidRPr="00037CAA">
        <w:rPr>
          <w:rFonts w:ascii="Arial TUR" w:hAnsi="Arial TUR" w:cs="Miriam" w:hint="eastAsia"/>
          <w:spacing w:val="10"/>
          <w:rtl/>
        </w:rPr>
        <w:t>כאשר</w:t>
      </w:r>
      <w:r w:rsidRPr="00037CAA">
        <w:rPr>
          <w:rFonts w:ascii="Arial TUR" w:hAnsi="Arial TUR" w:cs="Miriam"/>
          <w:spacing w:val="10"/>
          <w:rtl/>
        </w:rPr>
        <w:t xml:space="preserve"> </w:t>
      </w:r>
      <w:r w:rsidRPr="00037CAA">
        <w:rPr>
          <w:rFonts w:ascii="Arial TUR" w:hAnsi="Arial TUR" w:cs="Miriam" w:hint="eastAsia"/>
          <w:spacing w:val="10"/>
          <w:rtl/>
        </w:rPr>
        <w:t>בהקשר</w:t>
      </w:r>
      <w:r w:rsidRPr="00037CAA">
        <w:rPr>
          <w:rFonts w:ascii="Arial TUR" w:hAnsi="Arial TUR" w:cs="Miriam"/>
          <w:spacing w:val="10"/>
          <w:rtl/>
        </w:rPr>
        <w:t xml:space="preserve"> </w:t>
      </w:r>
      <w:r w:rsidRPr="00037CAA">
        <w:rPr>
          <w:rFonts w:ascii="Arial TUR" w:hAnsi="Arial TUR" w:cs="Miriam" w:hint="eastAsia"/>
          <w:spacing w:val="10"/>
          <w:rtl/>
        </w:rPr>
        <w:t>זה</w:t>
      </w:r>
      <w:r w:rsidRPr="00037CAA">
        <w:rPr>
          <w:rFonts w:ascii="Arial TUR" w:hAnsi="Arial TUR" w:cs="Miriam"/>
          <w:spacing w:val="10"/>
          <w:rtl/>
        </w:rPr>
        <w:t xml:space="preserve"> </w:t>
      </w:r>
      <w:r w:rsidRPr="00037CAA">
        <w:rPr>
          <w:rFonts w:ascii="Arial TUR" w:hAnsi="Arial TUR" w:cs="Miriam" w:hint="eastAsia"/>
          <w:spacing w:val="10"/>
          <w:rtl/>
        </w:rPr>
        <w:t>המבקש</w:t>
      </w:r>
      <w:r w:rsidRPr="00037CAA">
        <w:rPr>
          <w:rFonts w:ascii="Arial TUR" w:hAnsi="Arial TUR" w:cs="Miriam"/>
          <w:spacing w:val="10"/>
          <w:rtl/>
        </w:rPr>
        <w:t xml:space="preserve"> </w:t>
      </w:r>
      <w:r w:rsidRPr="00037CAA">
        <w:rPr>
          <w:rFonts w:ascii="Arial TUR" w:hAnsi="Arial TUR" w:cs="Miriam" w:hint="eastAsia"/>
          <w:spacing w:val="10"/>
          <w:rtl/>
        </w:rPr>
        <w:t>הפנה</w:t>
      </w:r>
      <w:r w:rsidRPr="00037CAA">
        <w:rPr>
          <w:rFonts w:ascii="Arial TUR" w:hAnsi="Arial TUR" w:cs="Miriam"/>
          <w:spacing w:val="10"/>
          <w:rtl/>
        </w:rPr>
        <w:t xml:space="preserve"> </w:t>
      </w:r>
      <w:r w:rsidRPr="00037CAA">
        <w:rPr>
          <w:rFonts w:ascii="Arial TUR" w:hAnsi="Arial TUR" w:cs="Miriam" w:hint="eastAsia"/>
          <w:spacing w:val="10"/>
          <w:rtl/>
        </w:rPr>
        <w:t>למספר</w:t>
      </w:r>
      <w:r w:rsidRPr="00037CAA">
        <w:rPr>
          <w:rFonts w:ascii="Arial TUR" w:hAnsi="Arial TUR" w:cs="Miriam"/>
          <w:spacing w:val="10"/>
          <w:rtl/>
        </w:rPr>
        <w:t xml:space="preserve"> </w:t>
      </w:r>
      <w:r w:rsidRPr="00037CAA">
        <w:rPr>
          <w:rFonts w:ascii="Arial TUR" w:hAnsi="Arial TUR" w:cs="Miriam" w:hint="eastAsia"/>
          <w:spacing w:val="10"/>
          <w:rtl/>
        </w:rPr>
        <w:t>יוזמות</w:t>
      </w:r>
      <w:r w:rsidRPr="00037CAA">
        <w:rPr>
          <w:rFonts w:ascii="Arial TUR" w:hAnsi="Arial TUR" w:cs="Miriam"/>
          <w:spacing w:val="10"/>
          <w:rtl/>
        </w:rPr>
        <w:t xml:space="preserve"> </w:t>
      </w:r>
      <w:r w:rsidRPr="00037CAA">
        <w:rPr>
          <w:rFonts w:ascii="Arial TUR" w:hAnsi="Arial TUR" w:cs="Miriam" w:hint="eastAsia"/>
          <w:spacing w:val="10"/>
          <w:rtl/>
        </w:rPr>
        <w:t>חקיקה</w:t>
      </w:r>
      <w:r w:rsidRPr="00037CAA">
        <w:rPr>
          <w:rFonts w:ascii="Arial TUR" w:hAnsi="Arial TUR" w:cs="Miriam"/>
          <w:spacing w:val="10"/>
          <w:rtl/>
        </w:rPr>
        <w:t xml:space="preserve"> </w:t>
      </w:r>
      <w:r w:rsidRPr="00037CAA">
        <w:rPr>
          <w:rFonts w:ascii="Arial TUR" w:hAnsi="Arial TUR" w:cs="Miriam" w:hint="eastAsia"/>
          <w:spacing w:val="10"/>
          <w:rtl/>
        </w:rPr>
        <w:t>בישראל</w:t>
      </w:r>
      <w:r w:rsidRPr="00037CAA">
        <w:rPr>
          <w:rFonts w:ascii="Arial TUR" w:hAnsi="Arial TUR" w:cs="Miriam"/>
          <w:spacing w:val="10"/>
          <w:rtl/>
        </w:rPr>
        <w:t xml:space="preserve"> </w:t>
      </w:r>
      <w:r w:rsidRPr="00037CAA">
        <w:rPr>
          <w:rFonts w:ascii="Arial TUR" w:hAnsi="Arial TUR" w:cs="Miriam" w:hint="eastAsia"/>
          <w:spacing w:val="10"/>
          <w:rtl/>
        </w:rPr>
        <w:t>ומחוץ</w:t>
      </w:r>
      <w:r w:rsidRPr="00037CAA">
        <w:rPr>
          <w:rFonts w:ascii="Arial TUR" w:hAnsi="Arial TUR" w:cs="Miriam"/>
          <w:spacing w:val="10"/>
          <w:rtl/>
        </w:rPr>
        <w:t xml:space="preserve"> </w:t>
      </w:r>
      <w:r w:rsidRPr="00037CAA">
        <w:rPr>
          <w:rFonts w:ascii="Arial TUR" w:hAnsi="Arial TUR" w:cs="Miriam" w:hint="eastAsia"/>
          <w:spacing w:val="10"/>
          <w:rtl/>
        </w:rPr>
        <w:t>לישראל</w:t>
      </w:r>
      <w:r w:rsidRPr="00037CAA">
        <w:rPr>
          <w:rFonts w:ascii="Arial TUR" w:hAnsi="Arial TUR" w:cs="Miriam"/>
          <w:spacing w:val="10"/>
          <w:rtl/>
        </w:rPr>
        <w:t xml:space="preserve"> </w:t>
      </w:r>
      <w:r w:rsidRPr="00037CAA">
        <w:rPr>
          <w:rFonts w:ascii="Arial TUR" w:hAnsi="Arial TUR" w:cs="Miriam" w:hint="eastAsia"/>
          <w:spacing w:val="10"/>
          <w:rtl/>
        </w:rPr>
        <w:t>בנושא</w:t>
      </w:r>
      <w:r w:rsidRPr="00037CAA">
        <w:rPr>
          <w:rFonts w:ascii="Arial TUR" w:hAnsi="Arial TUR" w:cs="Miriam"/>
          <w:spacing w:val="10"/>
          <w:rtl/>
        </w:rPr>
        <w:t xml:space="preserve">), </w:t>
      </w:r>
      <w:r w:rsidRPr="00037CAA">
        <w:rPr>
          <w:rFonts w:ascii="Arial TUR" w:hAnsi="Arial TUR" w:cs="Miriam" w:hint="eastAsia"/>
          <w:spacing w:val="10"/>
          <w:rtl/>
        </w:rPr>
        <w:t>ברי</w:t>
      </w:r>
      <w:r w:rsidRPr="00037CAA">
        <w:rPr>
          <w:rFonts w:ascii="Arial TUR" w:hAnsi="Arial TUR" w:cs="Miriam"/>
          <w:spacing w:val="10"/>
          <w:rtl/>
        </w:rPr>
        <w:t xml:space="preserve"> </w:t>
      </w:r>
      <w:r w:rsidRPr="00037CAA">
        <w:rPr>
          <w:rFonts w:ascii="Arial TUR" w:hAnsi="Arial TUR" w:cs="Miriam" w:hint="eastAsia"/>
          <w:spacing w:val="10"/>
          <w:rtl/>
        </w:rPr>
        <w:t>כי</w:t>
      </w:r>
      <w:r w:rsidRPr="00037CAA">
        <w:rPr>
          <w:rFonts w:ascii="Arial TUR" w:hAnsi="Arial TUR" w:cs="Miriam"/>
          <w:spacing w:val="10"/>
          <w:rtl/>
        </w:rPr>
        <w:t xml:space="preserve"> </w:t>
      </w:r>
      <w:r w:rsidRPr="00037CAA">
        <w:rPr>
          <w:rFonts w:ascii="Arial TUR" w:hAnsi="Arial TUR" w:cs="Miriam" w:hint="eastAsia"/>
          <w:spacing w:val="10"/>
          <w:rtl/>
        </w:rPr>
        <w:t>אין</w:t>
      </w:r>
      <w:r w:rsidRPr="00037CAA">
        <w:rPr>
          <w:rFonts w:ascii="Arial TUR" w:hAnsi="Arial TUR" w:cs="Miriam"/>
          <w:spacing w:val="10"/>
          <w:rtl/>
        </w:rPr>
        <w:t xml:space="preserve"> </w:t>
      </w:r>
      <w:r w:rsidRPr="00037CAA">
        <w:rPr>
          <w:rFonts w:ascii="Arial TUR" w:hAnsi="Arial TUR" w:cs="Miriam" w:hint="eastAsia"/>
          <w:spacing w:val="10"/>
          <w:rtl/>
        </w:rPr>
        <w:t>בכך</w:t>
      </w:r>
      <w:r w:rsidRPr="00037CAA">
        <w:rPr>
          <w:rFonts w:ascii="Arial TUR" w:hAnsi="Arial TUR" w:cs="Miriam"/>
          <w:spacing w:val="10"/>
          <w:rtl/>
        </w:rPr>
        <w:t xml:space="preserve"> </w:t>
      </w:r>
      <w:r w:rsidRPr="00037CAA">
        <w:rPr>
          <w:rFonts w:ascii="Arial TUR" w:hAnsi="Arial TUR" w:cs="Miriam" w:hint="eastAsia"/>
          <w:spacing w:val="10"/>
          <w:rtl/>
        </w:rPr>
        <w:t>כדי</w:t>
      </w:r>
      <w:r w:rsidRPr="00037CAA">
        <w:rPr>
          <w:rFonts w:ascii="Arial TUR" w:hAnsi="Arial TUR" w:cs="Miriam"/>
          <w:spacing w:val="10"/>
          <w:rtl/>
        </w:rPr>
        <w:t xml:space="preserve"> </w:t>
      </w:r>
      <w:r w:rsidRPr="00037CAA">
        <w:rPr>
          <w:rFonts w:ascii="Arial TUR" w:hAnsi="Arial TUR" w:cs="Miriam" w:hint="eastAsia"/>
          <w:spacing w:val="10"/>
          <w:rtl/>
        </w:rPr>
        <w:t>לאפשר</w:t>
      </w:r>
      <w:r w:rsidRPr="00037CAA">
        <w:rPr>
          <w:rFonts w:ascii="Arial TUR" w:hAnsi="Arial TUR" w:cs="Miriam"/>
          <w:spacing w:val="10"/>
          <w:rtl/>
        </w:rPr>
        <w:t xml:space="preserve"> </w:t>
      </w:r>
      <w:r w:rsidRPr="00037CAA">
        <w:rPr>
          <w:rFonts w:ascii="Arial TUR" w:hAnsi="Arial TUR" w:cs="Miriam" w:hint="eastAsia"/>
          <w:spacing w:val="10"/>
          <w:rtl/>
        </w:rPr>
        <w:t>לבית</w:t>
      </w:r>
      <w:r w:rsidRPr="00037CAA">
        <w:rPr>
          <w:rFonts w:ascii="Arial TUR" w:hAnsi="Arial TUR" w:cs="Miriam"/>
          <w:spacing w:val="10"/>
          <w:rtl/>
        </w:rPr>
        <w:t xml:space="preserve"> </w:t>
      </w:r>
      <w:r w:rsidRPr="00037CAA">
        <w:rPr>
          <w:rFonts w:ascii="Arial TUR" w:hAnsi="Arial TUR" w:cs="Miriam" w:hint="eastAsia"/>
          <w:spacing w:val="10"/>
          <w:rtl/>
        </w:rPr>
        <w:t>משפט</w:t>
      </w:r>
      <w:r w:rsidRPr="00037CAA">
        <w:rPr>
          <w:rFonts w:ascii="Arial TUR" w:hAnsi="Arial TUR" w:cs="Miriam"/>
          <w:spacing w:val="10"/>
          <w:rtl/>
        </w:rPr>
        <w:t xml:space="preserve"> </w:t>
      </w:r>
      <w:r w:rsidRPr="00037CAA">
        <w:rPr>
          <w:rFonts w:ascii="Arial TUR" w:hAnsi="Arial TUR" w:cs="Miriam" w:hint="eastAsia"/>
          <w:spacing w:val="10"/>
          <w:rtl/>
        </w:rPr>
        <w:t>זה</w:t>
      </w:r>
      <w:r w:rsidRPr="00037CAA">
        <w:rPr>
          <w:rFonts w:ascii="Arial TUR" w:hAnsi="Arial TUR" w:cs="Miriam"/>
          <w:spacing w:val="10"/>
          <w:rtl/>
        </w:rPr>
        <w:t xml:space="preserve"> </w:t>
      </w:r>
      <w:r w:rsidRPr="00037CAA">
        <w:rPr>
          <w:rFonts w:ascii="Arial TUR" w:hAnsi="Arial TUR" w:cs="Miriam" w:hint="eastAsia"/>
          <w:spacing w:val="10"/>
          <w:rtl/>
        </w:rPr>
        <w:t>לקבוע</w:t>
      </w:r>
      <w:r w:rsidRPr="00037CAA">
        <w:rPr>
          <w:rFonts w:ascii="Arial TUR" w:hAnsi="Arial TUR" w:cs="Miriam"/>
          <w:spacing w:val="10"/>
          <w:rtl/>
        </w:rPr>
        <w:t xml:space="preserve"> </w:t>
      </w:r>
      <w:r w:rsidRPr="00037CAA">
        <w:rPr>
          <w:rFonts w:ascii="Arial TUR" w:hAnsi="Arial TUR" w:cs="Miriam" w:hint="eastAsia"/>
          <w:spacing w:val="10"/>
          <w:rtl/>
        </w:rPr>
        <w:t>את</w:t>
      </w:r>
      <w:r w:rsidRPr="00037CAA">
        <w:rPr>
          <w:rFonts w:ascii="Arial TUR" w:hAnsi="Arial TUR" w:cs="Miriam"/>
          <w:spacing w:val="10"/>
          <w:rtl/>
        </w:rPr>
        <w:t xml:space="preserve"> </w:t>
      </w:r>
      <w:r w:rsidRPr="00037CAA">
        <w:rPr>
          <w:rFonts w:ascii="Arial TUR" w:hAnsi="Arial TUR" w:cs="Miriam" w:hint="eastAsia"/>
          <w:spacing w:val="10"/>
          <w:rtl/>
        </w:rPr>
        <w:t>שמתבקש</w:t>
      </w:r>
      <w:r w:rsidRPr="00037CAA">
        <w:rPr>
          <w:rFonts w:ascii="Arial TUR" w:hAnsi="Arial TUR" w:cs="Miriam"/>
          <w:spacing w:val="10"/>
          <w:rtl/>
        </w:rPr>
        <w:t xml:space="preserve"> </w:t>
      </w:r>
      <w:r w:rsidRPr="00037CAA">
        <w:rPr>
          <w:rFonts w:ascii="Arial TUR" w:hAnsi="Arial TUR" w:cs="Miriam" w:hint="eastAsia"/>
          <w:spacing w:val="10"/>
          <w:rtl/>
        </w:rPr>
        <w:t>על</w:t>
      </w:r>
      <w:r w:rsidRPr="00037CAA">
        <w:rPr>
          <w:rFonts w:ascii="Arial TUR" w:hAnsi="Arial TUR" w:cs="Miriam"/>
          <w:spacing w:val="10"/>
          <w:rtl/>
        </w:rPr>
        <w:t>-</w:t>
      </w:r>
      <w:r w:rsidRPr="00037CAA">
        <w:rPr>
          <w:rFonts w:ascii="Arial TUR" w:hAnsi="Arial TUR" w:cs="Miriam" w:hint="eastAsia"/>
          <w:spacing w:val="10"/>
          <w:rtl/>
        </w:rPr>
        <w:t>ידי</w:t>
      </w:r>
      <w:r w:rsidRPr="00037CAA">
        <w:rPr>
          <w:rFonts w:ascii="Arial TUR" w:hAnsi="Arial TUR" w:cs="Miriam"/>
          <w:spacing w:val="10"/>
          <w:rtl/>
        </w:rPr>
        <w:t xml:space="preserve"> </w:t>
      </w:r>
      <w:r w:rsidRPr="00037CAA">
        <w:rPr>
          <w:rFonts w:ascii="Arial TUR" w:hAnsi="Arial TUR" w:cs="Miriam" w:hint="eastAsia"/>
          <w:spacing w:val="10"/>
          <w:rtl/>
        </w:rPr>
        <w:t>המבקש</w:t>
      </w:r>
      <w:r w:rsidRPr="00037CAA">
        <w:rPr>
          <w:rFonts w:ascii="Arial TUR" w:hAnsi="Arial TUR" w:cs="Miriam"/>
          <w:spacing w:val="10"/>
          <w:rtl/>
        </w:rPr>
        <w:t xml:space="preserve"> </w:t>
      </w:r>
      <w:r w:rsidRPr="00037CAA">
        <w:rPr>
          <w:rFonts w:ascii="Arial TUR" w:hAnsi="Arial TUR" w:cs="Miriam" w:hint="eastAsia"/>
          <w:spacing w:val="10"/>
          <w:rtl/>
        </w:rPr>
        <w:t>לקבוע</w:t>
      </w:r>
      <w:r w:rsidRPr="00037CAA">
        <w:rPr>
          <w:rFonts w:ascii="Arial TUR" w:hAnsi="Arial TUR" w:cs="Miriam"/>
          <w:spacing w:val="10"/>
          <w:rtl/>
        </w:rPr>
        <w:t xml:space="preserve"> </w:t>
      </w:r>
      <w:r w:rsidRPr="00037CAA">
        <w:rPr>
          <w:rFonts w:ascii="Arial TUR" w:hAnsi="Arial TUR" w:cs="Miriam" w:hint="eastAsia"/>
          <w:spacing w:val="10"/>
          <w:rtl/>
        </w:rPr>
        <w:t>על</w:t>
      </w:r>
      <w:r w:rsidRPr="00037CAA">
        <w:rPr>
          <w:rFonts w:ascii="Arial TUR" w:hAnsi="Arial TUR" w:cs="Miriam"/>
          <w:spacing w:val="10"/>
          <w:rtl/>
        </w:rPr>
        <w:t xml:space="preserve"> </w:t>
      </w:r>
      <w:r w:rsidRPr="00037CAA">
        <w:rPr>
          <w:rFonts w:ascii="Arial TUR" w:hAnsi="Arial TUR" w:cs="Miriam" w:hint="eastAsia"/>
          <w:spacing w:val="10"/>
          <w:rtl/>
        </w:rPr>
        <w:t>דרך</w:t>
      </w:r>
      <w:r w:rsidRPr="00037CAA">
        <w:rPr>
          <w:rFonts w:ascii="Arial TUR" w:hAnsi="Arial TUR" w:cs="Miriam"/>
          <w:spacing w:val="10"/>
          <w:rtl/>
        </w:rPr>
        <w:t xml:space="preserve"> </w:t>
      </w:r>
      <w:r w:rsidRPr="00037CAA">
        <w:rPr>
          <w:rFonts w:ascii="Arial TUR" w:hAnsi="Arial TUR" w:cs="Miriam" w:hint="eastAsia"/>
          <w:spacing w:val="10"/>
          <w:rtl/>
        </w:rPr>
        <w:t>הפסיקה</w:t>
      </w:r>
      <w:r w:rsidRPr="00037CAA">
        <w:rPr>
          <w:rFonts w:ascii="Arial TUR" w:hAnsi="Arial TUR" w:cs="Miriam"/>
          <w:spacing w:val="10"/>
          <w:rtl/>
        </w:rPr>
        <w:t xml:space="preserve">. </w:t>
      </w:r>
      <w:r w:rsidRPr="00037CAA">
        <w:rPr>
          <w:rFonts w:ascii="Arial TUR" w:hAnsi="Arial TUR" w:cs="Miriam" w:hint="eastAsia"/>
          <w:spacing w:val="10"/>
          <w:rtl/>
        </w:rPr>
        <w:t>עוד</w:t>
      </w:r>
      <w:r w:rsidRPr="00037CAA">
        <w:rPr>
          <w:rFonts w:ascii="Arial TUR" w:hAnsi="Arial TUR" w:cs="Miriam"/>
          <w:spacing w:val="10"/>
          <w:rtl/>
        </w:rPr>
        <w:t xml:space="preserve"> </w:t>
      </w:r>
      <w:r w:rsidRPr="00037CAA">
        <w:rPr>
          <w:rFonts w:ascii="Arial TUR" w:hAnsi="Arial TUR" w:cs="Miriam" w:hint="eastAsia"/>
          <w:spacing w:val="10"/>
          <w:rtl/>
        </w:rPr>
        <w:t>יש</w:t>
      </w:r>
      <w:r w:rsidRPr="00037CAA">
        <w:rPr>
          <w:rFonts w:ascii="Arial TUR" w:hAnsi="Arial TUR" w:cs="Miriam"/>
          <w:spacing w:val="10"/>
          <w:rtl/>
        </w:rPr>
        <w:t xml:space="preserve"> </w:t>
      </w:r>
      <w:r w:rsidRPr="00037CAA">
        <w:rPr>
          <w:rFonts w:ascii="Arial TUR" w:hAnsi="Arial TUR" w:cs="Miriam" w:hint="eastAsia"/>
          <w:spacing w:val="10"/>
          <w:rtl/>
        </w:rPr>
        <w:t>לציין</w:t>
      </w:r>
      <w:r w:rsidRPr="00037CAA">
        <w:rPr>
          <w:rFonts w:ascii="Arial TUR" w:hAnsi="Arial TUR" w:cs="Miriam"/>
          <w:spacing w:val="10"/>
          <w:rtl/>
        </w:rPr>
        <w:t xml:space="preserve"> </w:t>
      </w:r>
      <w:r w:rsidRPr="00037CAA">
        <w:rPr>
          <w:rFonts w:ascii="Arial TUR" w:hAnsi="Arial TUR" w:cs="Miriam" w:hint="eastAsia"/>
          <w:spacing w:val="10"/>
          <w:rtl/>
        </w:rPr>
        <w:t>את</w:t>
      </w:r>
      <w:r w:rsidRPr="00037CAA">
        <w:rPr>
          <w:rFonts w:ascii="Arial TUR" w:hAnsi="Arial TUR" w:cs="Miriam"/>
          <w:spacing w:val="10"/>
          <w:rtl/>
        </w:rPr>
        <w:t xml:space="preserve"> </w:t>
      </w:r>
      <w:r w:rsidRPr="00037CAA">
        <w:rPr>
          <w:rFonts w:ascii="Arial TUR" w:hAnsi="Arial TUR" w:cs="Miriam" w:hint="eastAsia"/>
          <w:spacing w:val="10"/>
          <w:rtl/>
        </w:rPr>
        <w:t>המובן</w:t>
      </w:r>
      <w:r w:rsidRPr="00037CAA">
        <w:rPr>
          <w:rFonts w:ascii="Arial TUR" w:hAnsi="Arial TUR" w:cs="Miriam"/>
          <w:spacing w:val="10"/>
          <w:rtl/>
        </w:rPr>
        <w:t xml:space="preserve"> </w:t>
      </w:r>
      <w:r w:rsidRPr="00037CAA">
        <w:rPr>
          <w:rFonts w:ascii="Arial TUR" w:hAnsi="Arial TUR" w:cs="Miriam" w:hint="eastAsia"/>
          <w:spacing w:val="10"/>
          <w:rtl/>
        </w:rPr>
        <w:t>מאליו</w:t>
      </w:r>
      <w:r w:rsidRPr="00037CAA">
        <w:rPr>
          <w:rFonts w:ascii="Arial TUR" w:hAnsi="Arial TUR" w:cs="Miriam"/>
          <w:spacing w:val="10"/>
          <w:rtl/>
        </w:rPr>
        <w:t xml:space="preserve">, </w:t>
      </w:r>
      <w:r w:rsidRPr="00037CAA">
        <w:rPr>
          <w:rFonts w:ascii="Arial TUR" w:hAnsi="Arial TUR" w:cs="Miriam" w:hint="eastAsia"/>
          <w:spacing w:val="10"/>
          <w:rtl/>
        </w:rPr>
        <w:t>כי</w:t>
      </w:r>
      <w:r w:rsidRPr="00037CAA">
        <w:rPr>
          <w:rFonts w:ascii="Arial TUR" w:hAnsi="Arial TUR" w:cs="Miriam"/>
          <w:spacing w:val="10"/>
          <w:rtl/>
        </w:rPr>
        <w:t xml:space="preserve"> </w:t>
      </w:r>
      <w:r w:rsidRPr="00037CAA">
        <w:rPr>
          <w:rFonts w:ascii="Arial TUR" w:hAnsi="Arial TUR" w:cs="Miriam" w:hint="eastAsia"/>
          <w:spacing w:val="10"/>
          <w:rtl/>
        </w:rPr>
        <w:t>המעשים</w:t>
      </w:r>
      <w:r w:rsidRPr="00037CAA">
        <w:rPr>
          <w:rFonts w:ascii="Arial TUR" w:hAnsi="Arial TUR" w:cs="Miriam"/>
          <w:spacing w:val="10"/>
          <w:rtl/>
        </w:rPr>
        <w:t xml:space="preserve"> </w:t>
      </w:r>
      <w:r w:rsidRPr="00037CAA">
        <w:rPr>
          <w:rFonts w:ascii="Arial TUR" w:hAnsi="Arial TUR" w:cs="Miriam" w:hint="eastAsia"/>
          <w:spacing w:val="10"/>
          <w:rtl/>
        </w:rPr>
        <w:t>המיוחסים</w:t>
      </w:r>
      <w:r w:rsidRPr="00037CAA">
        <w:rPr>
          <w:rFonts w:ascii="Arial TUR" w:hAnsi="Arial TUR" w:cs="Miriam"/>
          <w:spacing w:val="10"/>
          <w:rtl/>
        </w:rPr>
        <w:t xml:space="preserve"> </w:t>
      </w:r>
      <w:r w:rsidRPr="00037CAA">
        <w:rPr>
          <w:rFonts w:ascii="Arial TUR" w:hAnsi="Arial TUR" w:cs="Miriam" w:hint="eastAsia"/>
          <w:spacing w:val="10"/>
          <w:rtl/>
        </w:rPr>
        <w:t>למבקש</w:t>
      </w:r>
      <w:r w:rsidRPr="00037CAA">
        <w:rPr>
          <w:rFonts w:ascii="Arial TUR" w:hAnsi="Arial TUR" w:cs="Miriam"/>
          <w:spacing w:val="10"/>
          <w:rtl/>
        </w:rPr>
        <w:t xml:space="preserve"> </w:t>
      </w:r>
      <w:r w:rsidRPr="00037CAA">
        <w:rPr>
          <w:rFonts w:ascii="Arial TUR" w:hAnsi="Arial TUR" w:cs="Miriam" w:hint="eastAsia"/>
          <w:spacing w:val="10"/>
          <w:rtl/>
        </w:rPr>
        <w:t>בכתב</w:t>
      </w:r>
      <w:r w:rsidRPr="00037CAA">
        <w:rPr>
          <w:rFonts w:ascii="Arial TUR" w:hAnsi="Arial TUR" w:cs="Miriam"/>
          <w:spacing w:val="10"/>
          <w:rtl/>
        </w:rPr>
        <w:t xml:space="preserve"> </w:t>
      </w:r>
      <w:r w:rsidRPr="00037CAA">
        <w:rPr>
          <w:rFonts w:ascii="Arial TUR" w:hAnsi="Arial TUR" w:cs="Miriam" w:hint="eastAsia"/>
          <w:spacing w:val="10"/>
          <w:rtl/>
        </w:rPr>
        <w:t>האישום</w:t>
      </w:r>
      <w:r w:rsidRPr="00037CAA">
        <w:rPr>
          <w:rFonts w:ascii="Arial TUR" w:hAnsi="Arial TUR" w:cs="Miriam"/>
          <w:spacing w:val="10"/>
          <w:rtl/>
        </w:rPr>
        <w:t xml:space="preserve"> </w:t>
      </w:r>
      <w:r w:rsidRPr="00037CAA">
        <w:rPr>
          <w:rFonts w:ascii="Arial TUR" w:hAnsi="Arial TUR" w:cs="Miriam" w:hint="eastAsia"/>
          <w:spacing w:val="10"/>
          <w:rtl/>
        </w:rPr>
        <w:t>חורגים</w:t>
      </w:r>
      <w:r w:rsidRPr="00037CAA">
        <w:rPr>
          <w:rFonts w:ascii="Arial TUR" w:hAnsi="Arial TUR" w:cs="Miriam"/>
          <w:spacing w:val="10"/>
          <w:rtl/>
        </w:rPr>
        <w:t xml:space="preserve"> </w:t>
      </w:r>
      <w:r w:rsidRPr="00037CAA">
        <w:rPr>
          <w:rFonts w:ascii="Arial TUR" w:hAnsi="Arial TUR" w:cs="Miriam" w:hint="eastAsia"/>
          <w:spacing w:val="10"/>
          <w:rtl/>
        </w:rPr>
        <w:t>הרבה</w:t>
      </w:r>
      <w:r w:rsidRPr="00037CAA">
        <w:rPr>
          <w:rFonts w:ascii="Arial TUR" w:hAnsi="Arial TUR" w:cs="Miriam"/>
          <w:spacing w:val="10"/>
          <w:rtl/>
        </w:rPr>
        <w:t xml:space="preserve"> </w:t>
      </w:r>
      <w:r w:rsidRPr="00037CAA">
        <w:rPr>
          <w:rFonts w:ascii="Arial TUR" w:hAnsi="Arial TUR" w:cs="Miriam" w:hint="eastAsia"/>
          <w:spacing w:val="10"/>
          <w:rtl/>
        </w:rPr>
        <w:t>מעבר</w:t>
      </w:r>
      <w:r w:rsidRPr="00037CAA">
        <w:rPr>
          <w:rFonts w:ascii="Arial TUR" w:hAnsi="Arial TUR" w:cs="Miriam"/>
          <w:spacing w:val="10"/>
          <w:rtl/>
        </w:rPr>
        <w:t xml:space="preserve"> </w:t>
      </w:r>
      <w:r w:rsidRPr="00037CAA">
        <w:rPr>
          <w:rFonts w:ascii="Arial TUR" w:hAnsi="Arial TUR" w:cs="Miriam" w:hint="eastAsia"/>
          <w:spacing w:val="10"/>
          <w:rtl/>
        </w:rPr>
        <w:t>ל</w:t>
      </w:r>
      <w:r w:rsidRPr="00037CAA">
        <w:rPr>
          <w:rFonts w:ascii="Arial TUR" w:hAnsi="Arial TUR" w:cs="Miriam"/>
          <w:spacing w:val="10"/>
          <w:rtl/>
        </w:rPr>
        <w:t>"</w:t>
      </w:r>
      <w:r w:rsidRPr="00037CAA">
        <w:rPr>
          <w:rFonts w:ascii="Arial TUR" w:hAnsi="Arial TUR" w:cs="Miriam" w:hint="eastAsia"/>
          <w:spacing w:val="10"/>
          <w:rtl/>
        </w:rPr>
        <w:t>שימוש</w:t>
      </w:r>
      <w:r w:rsidRPr="00037CAA">
        <w:rPr>
          <w:rFonts w:ascii="Arial TUR" w:hAnsi="Arial TUR" w:cs="Miriam"/>
          <w:spacing w:val="10"/>
          <w:rtl/>
        </w:rPr>
        <w:t xml:space="preserve"> </w:t>
      </w:r>
      <w:r w:rsidRPr="00037CAA">
        <w:rPr>
          <w:rFonts w:ascii="Arial TUR" w:hAnsi="Arial TUR" w:cs="Miriam" w:hint="eastAsia"/>
          <w:spacing w:val="10"/>
          <w:rtl/>
        </w:rPr>
        <w:t>עצמי</w:t>
      </w:r>
      <w:r w:rsidRPr="00037CAA">
        <w:rPr>
          <w:rFonts w:ascii="Arial TUR" w:hAnsi="Arial TUR" w:cs="Miriam"/>
          <w:spacing w:val="10"/>
          <w:rtl/>
        </w:rPr>
        <w:t xml:space="preserve">" </w:t>
      </w:r>
      <w:r w:rsidRPr="00037CAA">
        <w:rPr>
          <w:rFonts w:ascii="Arial TUR" w:hAnsi="Arial TUR" w:cs="Miriam" w:hint="eastAsia"/>
          <w:spacing w:val="10"/>
          <w:rtl/>
        </w:rPr>
        <w:t>בסמים</w:t>
      </w:r>
      <w:r w:rsidRPr="00037CAA">
        <w:rPr>
          <w:rFonts w:ascii="Arial TUR" w:hAnsi="Arial TUR" w:cs="Miriam"/>
          <w:spacing w:val="10"/>
          <w:rtl/>
        </w:rPr>
        <w:t>.</w:t>
      </w:r>
      <w:r w:rsidRPr="00037CAA">
        <w:rPr>
          <w:rFonts w:ascii="Arial TUR" w:hAnsi="Arial TUR" w:hint="cs"/>
          <w:spacing w:val="10"/>
          <w:rtl/>
        </w:rPr>
        <w:t>" (</w:t>
      </w:r>
      <w:hyperlink r:id="rId36" w:history="1">
        <w:r w:rsidR="009F1EB6" w:rsidRPr="009F1EB6">
          <w:rPr>
            <w:rFonts w:ascii="Arial TUR" w:hAnsi="Arial TUR" w:hint="eastAsia"/>
            <w:color w:val="0000FF"/>
            <w:spacing w:val="10"/>
            <w:u w:val="single"/>
            <w:rtl/>
          </w:rPr>
          <w:t>בש</w:t>
        </w:r>
        <w:r w:rsidR="009F1EB6" w:rsidRPr="009F1EB6">
          <w:rPr>
            <w:rFonts w:ascii="Arial TUR" w:hAnsi="Arial TUR"/>
            <w:color w:val="0000FF"/>
            <w:spacing w:val="10"/>
            <w:u w:val="single"/>
            <w:rtl/>
          </w:rPr>
          <w:t>"</w:t>
        </w:r>
        <w:r w:rsidR="009F1EB6" w:rsidRPr="009F1EB6">
          <w:rPr>
            <w:rFonts w:ascii="Arial TUR" w:hAnsi="Arial TUR" w:hint="eastAsia"/>
            <w:color w:val="0000FF"/>
            <w:spacing w:val="10"/>
            <w:u w:val="single"/>
            <w:rtl/>
          </w:rPr>
          <w:t>פ</w:t>
        </w:r>
        <w:r w:rsidR="009F1EB6" w:rsidRPr="009F1EB6">
          <w:rPr>
            <w:rFonts w:ascii="Arial TUR" w:hAnsi="Arial TUR"/>
            <w:color w:val="0000FF"/>
            <w:spacing w:val="10"/>
            <w:u w:val="single"/>
            <w:rtl/>
          </w:rPr>
          <w:t xml:space="preserve"> 6601/17</w:t>
        </w:r>
      </w:hyperlink>
      <w:r w:rsidRPr="00037CAA">
        <w:rPr>
          <w:rFonts w:ascii="Arial TUR" w:hAnsi="Arial TUR" w:hint="cs"/>
          <w:spacing w:val="10"/>
          <w:rtl/>
        </w:rPr>
        <w:t xml:space="preserve"> </w:t>
      </w:r>
      <w:r w:rsidRPr="00037CAA">
        <w:rPr>
          <w:rFonts w:ascii="Arial TUR" w:hAnsi="Arial TUR" w:hint="cs"/>
          <w:b/>
          <w:bCs/>
          <w:spacing w:val="10"/>
          <w:rtl/>
        </w:rPr>
        <w:t>ברטי גלילי נ' מדינת ישראל</w:t>
      </w:r>
      <w:r w:rsidRPr="00037CAA">
        <w:rPr>
          <w:rFonts w:ascii="Arial TUR" w:hAnsi="Arial TUR" w:hint="cs"/>
          <w:spacing w:val="10"/>
          <w:rtl/>
        </w:rPr>
        <w:t xml:space="preserve"> (23.8.17))</w:t>
      </w:r>
    </w:p>
    <w:p w14:paraId="56D6BA95" w14:textId="77777777" w:rsidR="00E972CE" w:rsidRDefault="00E972CE" w:rsidP="00E972CE">
      <w:pPr>
        <w:pStyle w:val="a9"/>
        <w:spacing w:line="360" w:lineRule="auto"/>
        <w:jc w:val="both"/>
        <w:rPr>
          <w:rFonts w:cs="Miriam"/>
          <w:rtl/>
        </w:rPr>
      </w:pPr>
    </w:p>
    <w:p w14:paraId="06C0D34E" w14:textId="77777777" w:rsidR="00E972CE" w:rsidRDefault="00E972CE" w:rsidP="00E972CE">
      <w:pPr>
        <w:pStyle w:val="a9"/>
        <w:spacing w:line="360" w:lineRule="auto"/>
        <w:jc w:val="both"/>
        <w:rPr>
          <w:rFonts w:cs="David"/>
          <w:rtl/>
        </w:rPr>
      </w:pPr>
      <w:r w:rsidRPr="004D1C5C">
        <w:rPr>
          <w:rFonts w:cs="David" w:hint="cs"/>
          <w:rtl/>
        </w:rPr>
        <w:t xml:space="preserve">הענישה הנוהגת </w:t>
      </w:r>
      <w:r w:rsidRPr="004D1C5C">
        <w:rPr>
          <w:rFonts w:cs="David"/>
          <w:rtl/>
        </w:rPr>
        <w:t>ביחס לעביר</w:t>
      </w:r>
      <w:r w:rsidRPr="004D1C5C">
        <w:rPr>
          <w:rFonts w:cs="David" w:hint="cs"/>
          <w:rtl/>
        </w:rPr>
        <w:t>ו</w:t>
      </w:r>
      <w:r w:rsidRPr="004D1C5C">
        <w:rPr>
          <w:rFonts w:cs="David"/>
          <w:rtl/>
        </w:rPr>
        <w:t xml:space="preserve">ת </w:t>
      </w:r>
      <w:r w:rsidRPr="004D1C5C">
        <w:rPr>
          <w:rFonts w:cs="David" w:hint="cs"/>
          <w:rtl/>
        </w:rPr>
        <w:t xml:space="preserve">סחר בסמים משתנה ממקרה למקרה והיא תלויה בסוג הסם, בכמות שנמכרה, בהישנות המקרים ובנסיבותיו האישיות של הנאשם. בדיקת מדיניות הענישה ביחס לעבירת סחר בודדת, בכמות קטנה יחסית של חשיש (או קנאביס) ובתמורה נמוכה בהתאם, מלמדת כי לרוב מוטלים עונשי מאסר קצרים ובמקרים מתאימים אף בעבודות שירות. </w:t>
      </w:r>
    </w:p>
    <w:p w14:paraId="2E76FD67" w14:textId="77777777" w:rsidR="00E972CE" w:rsidRDefault="00E972CE" w:rsidP="00E972CE">
      <w:pPr>
        <w:pStyle w:val="a9"/>
        <w:spacing w:line="360" w:lineRule="auto"/>
        <w:jc w:val="both"/>
        <w:rPr>
          <w:rFonts w:cs="David"/>
          <w:rtl/>
        </w:rPr>
      </w:pPr>
    </w:p>
    <w:p w14:paraId="25E41663" w14:textId="77777777" w:rsidR="00E972CE" w:rsidRPr="00454138" w:rsidRDefault="00E972CE" w:rsidP="00E972CE">
      <w:pPr>
        <w:pStyle w:val="a9"/>
        <w:spacing w:line="360" w:lineRule="auto"/>
        <w:jc w:val="both"/>
        <w:rPr>
          <w:rFonts w:cs="David"/>
          <w:rtl/>
        </w:rPr>
      </w:pPr>
      <w:r w:rsidRPr="004D1C5C">
        <w:rPr>
          <w:rFonts w:cs="David" w:hint="cs"/>
          <w:rtl/>
        </w:rPr>
        <w:t>אפנה למשל ל</w:t>
      </w:r>
      <w:hyperlink r:id="rId37" w:history="1">
        <w:r w:rsidR="009F1EB6" w:rsidRPr="009F1EB6">
          <w:rPr>
            <w:rFonts w:cs="David"/>
            <w:color w:val="0000FF"/>
            <w:u w:val="single"/>
            <w:rtl/>
          </w:rPr>
          <w:t>רע"פ 5712/16</w:t>
        </w:r>
      </w:hyperlink>
      <w:r w:rsidRPr="004D1C5C">
        <w:rPr>
          <w:rFonts w:cs="David" w:hint="cs"/>
          <w:rtl/>
        </w:rPr>
        <w:t xml:space="preserve"> </w:t>
      </w:r>
      <w:r w:rsidRPr="004D1C5C">
        <w:rPr>
          <w:rFonts w:cs="David" w:hint="cs"/>
          <w:b/>
          <w:bCs/>
          <w:rtl/>
        </w:rPr>
        <w:t>יצחק אייזנבוך נ' מדינת ישראל</w:t>
      </w:r>
      <w:r w:rsidRPr="004D1C5C">
        <w:rPr>
          <w:rFonts w:cs="David" w:hint="cs"/>
          <w:rtl/>
        </w:rPr>
        <w:t xml:space="preserve"> (17.8.16) בו נדחתה בקשת רשות ערעור על נאשם שהוטלו עליו 8 חודשי מאסר בגין 4 עסקאות סמים בכמויות קטנות יחסית. הנאשם היה צעיר, עברו נקי ושירות המבחן המליץ על ענישה שיקומית</w:t>
      </w:r>
      <w:r>
        <w:rPr>
          <w:rFonts w:cs="David" w:hint="cs"/>
          <w:rtl/>
        </w:rPr>
        <w:t xml:space="preserve">; </w:t>
      </w:r>
      <w:hyperlink r:id="rId38" w:history="1">
        <w:r w:rsidR="009F1EB6" w:rsidRPr="009F1EB6">
          <w:rPr>
            <w:rFonts w:cs="David"/>
            <w:color w:val="0000FF"/>
            <w:u w:val="single"/>
            <w:rtl/>
          </w:rPr>
          <w:t>רע"פ 3627/13</w:t>
        </w:r>
      </w:hyperlink>
      <w:r w:rsidRPr="000D3492">
        <w:rPr>
          <w:rFonts w:cs="David"/>
          <w:rtl/>
        </w:rPr>
        <w:t xml:space="preserve"> </w:t>
      </w:r>
      <w:r w:rsidRPr="000D3492">
        <w:rPr>
          <w:rFonts w:cs="David"/>
          <w:b/>
          <w:bCs/>
          <w:rtl/>
        </w:rPr>
        <w:t>שדה נ' מדינת ישראל</w:t>
      </w:r>
      <w:r w:rsidRPr="000D3492">
        <w:rPr>
          <w:rFonts w:cs="David"/>
          <w:rtl/>
        </w:rPr>
        <w:t xml:space="preserve"> (22.5.13), </w:t>
      </w:r>
      <w:r>
        <w:rPr>
          <w:rFonts w:cs="David" w:hint="cs"/>
          <w:rtl/>
        </w:rPr>
        <w:t xml:space="preserve">בו </w:t>
      </w:r>
      <w:r w:rsidRPr="000D3492">
        <w:rPr>
          <w:rFonts w:cs="David"/>
          <w:rtl/>
        </w:rPr>
        <w:t xml:space="preserve">נדחתה בקשת רשות ערעור של נאשם </w:t>
      </w:r>
      <w:r>
        <w:rPr>
          <w:rFonts w:cs="David" w:hint="cs"/>
          <w:rtl/>
        </w:rPr>
        <w:t>על חומרת עונשו - 7 חודשי מאסר בגין סחר בסמים מסוג קנבוס בשתי הזדמנויות</w:t>
      </w:r>
      <w:r w:rsidRPr="000D3492">
        <w:rPr>
          <w:rFonts w:cs="David"/>
          <w:rtl/>
        </w:rPr>
        <w:t xml:space="preserve"> במשקלים של 0.8 גרם ו- 1</w:t>
      </w:r>
      <w:r>
        <w:rPr>
          <w:rFonts w:cs="David"/>
          <w:rtl/>
        </w:rPr>
        <w:t xml:space="preserve"> גרם תמורת 80 ש"ח, בכל הזדמנות</w:t>
      </w:r>
      <w:r>
        <w:rPr>
          <w:rFonts w:cs="David" w:hint="cs"/>
          <w:rtl/>
        </w:rPr>
        <w:t xml:space="preserve">; </w:t>
      </w:r>
      <w:hyperlink r:id="rId39" w:history="1">
        <w:r w:rsidR="009F1EB6" w:rsidRPr="009F1EB6">
          <w:rPr>
            <w:rFonts w:cs="David"/>
            <w:color w:val="0000FF"/>
            <w:u w:val="single"/>
            <w:rtl/>
          </w:rPr>
          <w:t>ע"פ (מח' חי') 7319-08-12</w:t>
        </w:r>
      </w:hyperlink>
      <w:r w:rsidRPr="00454138">
        <w:rPr>
          <w:rFonts w:cs="David"/>
          <w:rtl/>
        </w:rPr>
        <w:t xml:space="preserve"> </w:t>
      </w:r>
      <w:r w:rsidRPr="00454138">
        <w:rPr>
          <w:rFonts w:cs="David"/>
          <w:b/>
          <w:bCs/>
          <w:rtl/>
        </w:rPr>
        <w:t>סבח נ' מדינת ישראל</w:t>
      </w:r>
      <w:r w:rsidRPr="00454138">
        <w:rPr>
          <w:rFonts w:cs="David"/>
          <w:rtl/>
        </w:rPr>
        <w:t xml:space="preserve"> (25.10.12)</w:t>
      </w:r>
      <w:r w:rsidRPr="00454138">
        <w:rPr>
          <w:rFonts w:cs="David" w:hint="cs"/>
          <w:rtl/>
        </w:rPr>
        <w:t xml:space="preserve"> בו </w:t>
      </w:r>
      <w:r w:rsidRPr="00454138">
        <w:rPr>
          <w:rFonts w:cs="David"/>
          <w:rtl/>
        </w:rPr>
        <w:t xml:space="preserve">נדחה ערעור נאשם </w:t>
      </w:r>
      <w:r w:rsidRPr="00454138">
        <w:rPr>
          <w:rFonts w:cs="David" w:hint="cs"/>
          <w:rtl/>
        </w:rPr>
        <w:t>על חומרת עונשו</w:t>
      </w:r>
      <w:r>
        <w:rPr>
          <w:rFonts w:cs="David" w:hint="cs"/>
          <w:rtl/>
        </w:rPr>
        <w:t xml:space="preserve"> - </w:t>
      </w:r>
      <w:r w:rsidRPr="00454138">
        <w:rPr>
          <w:rFonts w:cs="David" w:hint="cs"/>
          <w:rtl/>
        </w:rPr>
        <w:t xml:space="preserve"> 18 חודשי מאסר לאחר ש</w:t>
      </w:r>
      <w:r>
        <w:rPr>
          <w:rFonts w:cs="David" w:hint="cs"/>
          <w:rtl/>
        </w:rPr>
        <w:t xml:space="preserve">הורשע בשני מקרי </w:t>
      </w:r>
      <w:r w:rsidRPr="00454138">
        <w:rPr>
          <w:rFonts w:cs="David"/>
          <w:rtl/>
        </w:rPr>
        <w:t>סחר בסם מסוכן מסוג חשיש ב</w:t>
      </w:r>
      <w:r>
        <w:rPr>
          <w:rFonts w:cs="David"/>
          <w:rtl/>
        </w:rPr>
        <w:t>משקלים של 5.38 גרם ו- 2.93 גרם</w:t>
      </w:r>
      <w:r>
        <w:rPr>
          <w:rFonts w:cs="David" w:hint="cs"/>
          <w:rtl/>
        </w:rPr>
        <w:t xml:space="preserve">; </w:t>
      </w:r>
      <w:hyperlink r:id="rId40" w:history="1">
        <w:r w:rsidR="009F1EB6" w:rsidRPr="009F1EB6">
          <w:rPr>
            <w:rFonts w:cs="David"/>
            <w:color w:val="0000FF"/>
            <w:u w:val="single"/>
            <w:rtl/>
          </w:rPr>
          <w:t>ת"פ 26938-06-14</w:t>
        </w:r>
      </w:hyperlink>
      <w:r w:rsidRPr="00454138">
        <w:rPr>
          <w:rFonts w:cs="David"/>
          <w:rtl/>
        </w:rPr>
        <w:t xml:space="preserve"> </w:t>
      </w:r>
      <w:r w:rsidRPr="00454138">
        <w:rPr>
          <w:rFonts w:cs="David"/>
          <w:b/>
          <w:bCs/>
          <w:rtl/>
        </w:rPr>
        <w:t>דורני נ' מדינת ישראל</w:t>
      </w:r>
      <w:r w:rsidRPr="00454138">
        <w:rPr>
          <w:rFonts w:cs="David"/>
          <w:rtl/>
        </w:rPr>
        <w:t xml:space="preserve"> (21.9.14) </w:t>
      </w:r>
      <w:r w:rsidRPr="00454138">
        <w:rPr>
          <w:rFonts w:cs="David" w:hint="cs"/>
          <w:rtl/>
        </w:rPr>
        <w:t>, בו הוטלו על הנאשם 15 חודשי מאסר בפועל בגין הרשעתו</w:t>
      </w:r>
      <w:r w:rsidRPr="00454138">
        <w:rPr>
          <w:rFonts w:cs="David"/>
          <w:rtl/>
        </w:rPr>
        <w:t xml:space="preserve"> בשני אישומים של סחר בסמים מסוג חשיש לסוכנת במשקלים של 14 ו- 29 גרם, ב</w:t>
      </w:r>
      <w:r>
        <w:rPr>
          <w:rFonts w:cs="David"/>
          <w:rtl/>
        </w:rPr>
        <w:t>תמורה ל- 400 ו- 1,000 ₪ בהתאמה</w:t>
      </w:r>
      <w:r>
        <w:rPr>
          <w:rFonts w:cs="David" w:hint="cs"/>
          <w:rtl/>
        </w:rPr>
        <w:t xml:space="preserve">; </w:t>
      </w:r>
      <w:hyperlink r:id="rId41" w:history="1">
        <w:r w:rsidR="009F1EB6" w:rsidRPr="009F1EB6">
          <w:rPr>
            <w:rFonts w:cs="David"/>
            <w:color w:val="0000FF"/>
            <w:u w:val="single"/>
            <w:rtl/>
          </w:rPr>
          <w:t>ת"פ 26650-06-14</w:t>
        </w:r>
      </w:hyperlink>
      <w:r w:rsidRPr="00454138">
        <w:rPr>
          <w:rFonts w:cs="David"/>
          <w:rtl/>
        </w:rPr>
        <w:t xml:space="preserve"> </w:t>
      </w:r>
      <w:r w:rsidRPr="00454138">
        <w:rPr>
          <w:rFonts w:cs="David"/>
          <w:b/>
          <w:bCs/>
          <w:rtl/>
        </w:rPr>
        <w:t>מדינת ישראל נ' סלטאן</w:t>
      </w:r>
      <w:r w:rsidRPr="00454138">
        <w:rPr>
          <w:rFonts w:cs="David"/>
          <w:rtl/>
        </w:rPr>
        <w:t xml:space="preserve"> (21.9.14)</w:t>
      </w:r>
      <w:r w:rsidRPr="00454138">
        <w:rPr>
          <w:rFonts w:cs="David" w:hint="cs"/>
          <w:rtl/>
        </w:rPr>
        <w:t xml:space="preserve"> בו נידון הנאשם ל-12 חודשי מאסר בפועל לצד הפעלת מאסר מותנה בגין</w:t>
      </w:r>
      <w:r w:rsidRPr="00454138">
        <w:rPr>
          <w:rFonts w:cs="David"/>
          <w:rtl/>
        </w:rPr>
        <w:t xml:space="preserve"> סחר בסם מסוכן מסוג חשיש במ</w:t>
      </w:r>
      <w:r>
        <w:rPr>
          <w:rFonts w:cs="David"/>
          <w:rtl/>
        </w:rPr>
        <w:t>שקל של 9.7 גרם בתמורה ל- 400 ₪</w:t>
      </w:r>
      <w:r>
        <w:rPr>
          <w:rFonts w:cs="David" w:hint="cs"/>
          <w:rtl/>
        </w:rPr>
        <w:t xml:space="preserve">; </w:t>
      </w:r>
      <w:r w:rsidRPr="00454138">
        <w:rPr>
          <w:rFonts w:cs="David"/>
          <w:rtl/>
        </w:rPr>
        <w:t xml:space="preserve"> </w:t>
      </w:r>
      <w:hyperlink r:id="rId42" w:history="1">
        <w:r w:rsidR="009F1EB6" w:rsidRPr="009F1EB6">
          <w:rPr>
            <w:rFonts w:cs="David"/>
            <w:color w:val="0000FF"/>
            <w:u w:val="single"/>
            <w:rtl/>
          </w:rPr>
          <w:t>ת"פ 26709-06-14</w:t>
        </w:r>
      </w:hyperlink>
      <w:r w:rsidRPr="00454138">
        <w:rPr>
          <w:rFonts w:cs="David"/>
          <w:rtl/>
        </w:rPr>
        <w:t xml:space="preserve"> </w:t>
      </w:r>
      <w:r w:rsidRPr="00454138">
        <w:rPr>
          <w:rFonts w:cs="David"/>
          <w:b/>
          <w:bCs/>
          <w:rtl/>
        </w:rPr>
        <w:t>מדינת ישראל נ' ישראלוב</w:t>
      </w:r>
      <w:r w:rsidRPr="00454138">
        <w:rPr>
          <w:rFonts w:cs="David"/>
          <w:rtl/>
        </w:rPr>
        <w:t xml:space="preserve"> (26.10.14), בו נידון נאשם ל-11 חודשי מאסר בפועל בגין סחר בסם קנבוס בשתי הזדמנויות שונות לסוכנת משטרתית באירועים חברתיים</w:t>
      </w:r>
      <w:r w:rsidRPr="00454138">
        <w:rPr>
          <w:rFonts w:cs="David" w:hint="cs"/>
          <w:rtl/>
        </w:rPr>
        <w:t>.</w:t>
      </w:r>
    </w:p>
    <w:p w14:paraId="3A3B8FC2" w14:textId="77777777" w:rsidR="00E972CE" w:rsidRPr="00CE4108" w:rsidRDefault="00E972CE" w:rsidP="00E972CE">
      <w:pPr>
        <w:pStyle w:val="a9"/>
        <w:spacing w:line="360" w:lineRule="auto"/>
        <w:jc w:val="both"/>
        <w:rPr>
          <w:rFonts w:cs="David"/>
          <w:rtl/>
        </w:rPr>
      </w:pPr>
    </w:p>
    <w:p w14:paraId="1A06DD5F" w14:textId="77777777" w:rsidR="00E972CE" w:rsidRDefault="00E972CE" w:rsidP="00E972CE">
      <w:pPr>
        <w:pStyle w:val="a9"/>
        <w:spacing w:line="360" w:lineRule="auto"/>
        <w:jc w:val="both"/>
        <w:rPr>
          <w:rFonts w:cs="David"/>
          <w:rtl/>
        </w:rPr>
      </w:pPr>
      <w:r>
        <w:rPr>
          <w:rFonts w:cs="David" w:hint="cs"/>
          <w:rtl/>
        </w:rPr>
        <w:t xml:space="preserve">ביחס למקרים בהם הוטלו מאסרים בעבודות שירות אפנה למקרים הבאים: </w:t>
      </w:r>
    </w:p>
    <w:p w14:paraId="14673B77" w14:textId="77777777" w:rsidR="00E972CE" w:rsidRDefault="00E972CE" w:rsidP="00E972CE">
      <w:pPr>
        <w:pStyle w:val="a9"/>
        <w:spacing w:line="360" w:lineRule="auto"/>
        <w:jc w:val="both"/>
        <w:rPr>
          <w:rFonts w:cs="David"/>
          <w:rtl/>
        </w:rPr>
      </w:pPr>
    </w:p>
    <w:p w14:paraId="5760EF50" w14:textId="77777777" w:rsidR="00E972CE" w:rsidRDefault="009F1EB6" w:rsidP="00E972CE">
      <w:pPr>
        <w:pStyle w:val="a9"/>
        <w:spacing w:line="360" w:lineRule="auto"/>
        <w:jc w:val="both"/>
        <w:rPr>
          <w:rFonts w:cs="David"/>
          <w:rtl/>
        </w:rPr>
      </w:pPr>
      <w:hyperlink r:id="rId43" w:history="1">
        <w:r w:rsidRPr="009F1EB6">
          <w:rPr>
            <w:rFonts w:cs="David"/>
            <w:color w:val="0000FF"/>
            <w:u w:val="single"/>
            <w:rtl/>
          </w:rPr>
          <w:t>ת"פ 54706-01-13</w:t>
        </w:r>
      </w:hyperlink>
      <w:r w:rsidR="00E972CE" w:rsidRPr="00CE4108">
        <w:rPr>
          <w:rFonts w:cs="David"/>
          <w:rtl/>
        </w:rPr>
        <w:t xml:space="preserve"> </w:t>
      </w:r>
      <w:r w:rsidR="00E972CE" w:rsidRPr="00CE4108">
        <w:rPr>
          <w:rFonts w:cs="David"/>
          <w:b/>
          <w:bCs/>
          <w:rtl/>
        </w:rPr>
        <w:t>מדינת ישראל נ' חביב</w:t>
      </w:r>
      <w:r w:rsidR="00E972CE" w:rsidRPr="00CE4108">
        <w:rPr>
          <w:rFonts w:cs="David"/>
          <w:rtl/>
        </w:rPr>
        <w:t xml:space="preserve"> (09.09.13), </w:t>
      </w:r>
      <w:r w:rsidR="00E972CE">
        <w:rPr>
          <w:rFonts w:cs="David" w:hint="cs"/>
          <w:rtl/>
        </w:rPr>
        <w:t xml:space="preserve">בו </w:t>
      </w:r>
      <w:r w:rsidR="00E972CE" w:rsidRPr="00CE4108">
        <w:rPr>
          <w:rFonts w:cs="David"/>
          <w:rtl/>
        </w:rPr>
        <w:t xml:space="preserve">הורשע נאשם </w:t>
      </w:r>
      <w:r w:rsidR="00E972CE">
        <w:rPr>
          <w:rFonts w:cs="David" w:hint="cs"/>
          <w:rtl/>
        </w:rPr>
        <w:t>בכך ש</w:t>
      </w:r>
      <w:r w:rsidR="00E972CE" w:rsidRPr="00CE4108">
        <w:rPr>
          <w:rFonts w:cs="David"/>
          <w:rtl/>
        </w:rPr>
        <w:t>מכר בארבע הזדמנויות שונות סמים מסוג חשיש במשקלים של 6.4 גרם, 5.38 גרם, 3.98 גרם, וכן אצבע חשיש בכמות לא ידועה. הנאשם נידון ל-6 חודשי עבודות שירות.</w:t>
      </w:r>
    </w:p>
    <w:p w14:paraId="3CC9BAE9" w14:textId="77777777" w:rsidR="00E972CE" w:rsidRPr="00CE4108" w:rsidRDefault="00E972CE" w:rsidP="00E972CE">
      <w:pPr>
        <w:pStyle w:val="a9"/>
        <w:spacing w:line="360" w:lineRule="auto"/>
        <w:jc w:val="both"/>
        <w:rPr>
          <w:rFonts w:cs="David"/>
          <w:rtl/>
        </w:rPr>
      </w:pPr>
    </w:p>
    <w:p w14:paraId="2214573C" w14:textId="77777777" w:rsidR="00E972CE" w:rsidRDefault="009F1EB6" w:rsidP="00E972CE">
      <w:pPr>
        <w:pStyle w:val="a9"/>
        <w:spacing w:line="360" w:lineRule="auto"/>
        <w:jc w:val="both"/>
        <w:rPr>
          <w:rFonts w:cs="David"/>
          <w:rtl/>
        </w:rPr>
      </w:pPr>
      <w:hyperlink r:id="rId44" w:history="1">
        <w:r w:rsidRPr="009F1EB6">
          <w:rPr>
            <w:rFonts w:cs="David"/>
            <w:color w:val="0000FF"/>
            <w:u w:val="single"/>
            <w:rtl/>
          </w:rPr>
          <w:t>ת"פ 3720-03-15</w:t>
        </w:r>
      </w:hyperlink>
      <w:r w:rsidR="00E972CE" w:rsidRPr="00CE4108">
        <w:rPr>
          <w:rFonts w:cs="David"/>
          <w:rtl/>
        </w:rPr>
        <w:t xml:space="preserve"> </w:t>
      </w:r>
      <w:r w:rsidR="00E972CE" w:rsidRPr="00CE4108">
        <w:rPr>
          <w:rFonts w:cs="David"/>
          <w:b/>
          <w:bCs/>
          <w:rtl/>
        </w:rPr>
        <w:t>מדינת ישראל נ' דוידוב</w:t>
      </w:r>
      <w:r w:rsidR="00E972CE" w:rsidRPr="00CE4108">
        <w:rPr>
          <w:rFonts w:cs="David"/>
          <w:rtl/>
        </w:rPr>
        <w:t xml:space="preserve"> (25.10.15), </w:t>
      </w:r>
      <w:r w:rsidR="00E972CE">
        <w:rPr>
          <w:rFonts w:cs="David" w:hint="cs"/>
          <w:rtl/>
        </w:rPr>
        <w:t xml:space="preserve">בו </w:t>
      </w:r>
      <w:r w:rsidR="00E972CE" w:rsidRPr="00CE4108">
        <w:rPr>
          <w:rFonts w:cs="David"/>
          <w:rtl/>
        </w:rPr>
        <w:t xml:space="preserve">הורשע נאשם בשישה אישומים של סחר בסם ובאישום נוסף של החזקת סמים. הנאשם מכר לאחרים סם מסוג מריחואנה בכמויות קטנות. הנאשם </w:t>
      </w:r>
      <w:r w:rsidR="00E972CE">
        <w:rPr>
          <w:rFonts w:cs="David" w:hint="cs"/>
          <w:rtl/>
        </w:rPr>
        <w:t xml:space="preserve">היה </w:t>
      </w:r>
      <w:r w:rsidR="00E972CE" w:rsidRPr="00CE4108">
        <w:rPr>
          <w:rFonts w:cs="David"/>
          <w:rtl/>
        </w:rPr>
        <w:t>צעיר נורמטיבי</w:t>
      </w:r>
      <w:r w:rsidR="00E972CE">
        <w:rPr>
          <w:rFonts w:cs="David" w:hint="cs"/>
          <w:rtl/>
        </w:rPr>
        <w:t xml:space="preserve"> והוא </w:t>
      </w:r>
      <w:r w:rsidR="00E972CE" w:rsidRPr="00CE4108">
        <w:rPr>
          <w:rFonts w:cs="David"/>
          <w:rtl/>
        </w:rPr>
        <w:t xml:space="preserve"> נידון ל- 6 חודשי עבודות שירות.</w:t>
      </w:r>
    </w:p>
    <w:p w14:paraId="0163636E" w14:textId="77777777" w:rsidR="00E972CE" w:rsidRDefault="00E972CE" w:rsidP="00E972CE">
      <w:pPr>
        <w:pStyle w:val="a9"/>
        <w:spacing w:line="360" w:lineRule="auto"/>
        <w:jc w:val="both"/>
        <w:rPr>
          <w:rFonts w:cs="David"/>
          <w:rtl/>
        </w:rPr>
      </w:pPr>
    </w:p>
    <w:p w14:paraId="5CEA2323" w14:textId="77777777" w:rsidR="00E972CE" w:rsidRDefault="009F1EB6" w:rsidP="00E972CE">
      <w:pPr>
        <w:pStyle w:val="a9"/>
        <w:spacing w:line="360" w:lineRule="auto"/>
        <w:jc w:val="both"/>
        <w:rPr>
          <w:rFonts w:cs="David"/>
          <w:rtl/>
        </w:rPr>
      </w:pPr>
      <w:hyperlink r:id="rId45" w:history="1">
        <w:r w:rsidRPr="009F1EB6">
          <w:rPr>
            <w:rFonts w:cs="David"/>
            <w:color w:val="0000FF"/>
            <w:u w:val="single"/>
            <w:rtl/>
          </w:rPr>
          <w:t>ת"פ 21873-05-14</w:t>
        </w:r>
      </w:hyperlink>
      <w:r w:rsidR="00E972CE" w:rsidRPr="00CE4108">
        <w:rPr>
          <w:rFonts w:cs="David"/>
          <w:rtl/>
        </w:rPr>
        <w:t xml:space="preserve"> </w:t>
      </w:r>
      <w:r w:rsidR="00E972CE" w:rsidRPr="00CE4108">
        <w:rPr>
          <w:rFonts w:cs="David"/>
          <w:b/>
          <w:bCs/>
          <w:rtl/>
        </w:rPr>
        <w:t>מדינת ישראל נ' דהאן</w:t>
      </w:r>
      <w:r w:rsidR="00E972CE" w:rsidRPr="00CE4108">
        <w:rPr>
          <w:rFonts w:cs="David"/>
          <w:rtl/>
        </w:rPr>
        <w:t xml:space="preserve"> (06.09.15), </w:t>
      </w:r>
      <w:r w:rsidR="00E972CE">
        <w:rPr>
          <w:rFonts w:cs="David" w:hint="cs"/>
          <w:rtl/>
        </w:rPr>
        <w:t xml:space="preserve">בו </w:t>
      </w:r>
      <w:r w:rsidR="00E972CE" w:rsidRPr="00CE4108">
        <w:rPr>
          <w:rFonts w:cs="David"/>
          <w:rtl/>
        </w:rPr>
        <w:t>הורשע נאשם בעבירות של החזקת סמים שלא לצריכה עצמית, החזקת כלים להכנת סם שלא לצריכה עצמית וסחר בסמים. הנאשם מכר בארבעה מועדים שונים לאחר מנת סם מסוג חשיש במשקל שאינו ידוע במדויק. בנוסף, הנאשם החזיק במקומות שונים חשיש במשקל של 248 גרם. הנאשם נידון ל-6 חודשי עבודות שירות.</w:t>
      </w:r>
    </w:p>
    <w:p w14:paraId="1D52EE0E" w14:textId="77777777" w:rsidR="00E972CE" w:rsidRDefault="00E972CE" w:rsidP="00E972CE">
      <w:pPr>
        <w:pStyle w:val="a9"/>
        <w:spacing w:line="360" w:lineRule="auto"/>
        <w:jc w:val="both"/>
        <w:rPr>
          <w:rFonts w:cs="David"/>
          <w:rtl/>
        </w:rPr>
      </w:pPr>
    </w:p>
    <w:p w14:paraId="11834317" w14:textId="77777777" w:rsidR="00E972CE" w:rsidRDefault="00E972CE" w:rsidP="00E972CE">
      <w:pPr>
        <w:pStyle w:val="a9"/>
        <w:numPr>
          <w:ilvl w:val="0"/>
          <w:numId w:val="1"/>
        </w:numPr>
        <w:spacing w:line="360" w:lineRule="auto"/>
        <w:jc w:val="both"/>
        <w:rPr>
          <w:rFonts w:cs="David"/>
          <w:b/>
          <w:bCs/>
        </w:rPr>
      </w:pPr>
      <w:r w:rsidRPr="00915B04">
        <w:rPr>
          <w:rFonts w:cs="David"/>
          <w:rtl/>
        </w:rPr>
        <w:t xml:space="preserve">לאור כל זאת, אני בדעה כי מתחם הענישה ההולם את העבירות מושא ענייננו, המהוות אירוע אחד, תוך התחשבות בכמות הסם, מהותו ובריבוי העבירות, הוא </w:t>
      </w:r>
      <w:r>
        <w:rPr>
          <w:rFonts w:cs="David" w:hint="cs"/>
          <w:rtl/>
        </w:rPr>
        <w:t xml:space="preserve">10 חודשי מאסר </w:t>
      </w:r>
      <w:r w:rsidRPr="00915B04">
        <w:rPr>
          <w:rFonts w:cs="David"/>
          <w:rtl/>
        </w:rPr>
        <w:t xml:space="preserve">ועד </w:t>
      </w:r>
      <w:r>
        <w:rPr>
          <w:rFonts w:cs="David" w:hint="cs"/>
          <w:rtl/>
        </w:rPr>
        <w:t xml:space="preserve">36 </w:t>
      </w:r>
      <w:r>
        <w:rPr>
          <w:rFonts w:cs="David"/>
          <w:rtl/>
        </w:rPr>
        <w:t>חודשי מאסר</w:t>
      </w:r>
      <w:r>
        <w:rPr>
          <w:rFonts w:cs="David" w:hint="cs"/>
          <w:rtl/>
        </w:rPr>
        <w:t xml:space="preserve"> בפועל. </w:t>
      </w:r>
    </w:p>
    <w:p w14:paraId="73B17F14" w14:textId="77777777" w:rsidR="00E972CE" w:rsidRPr="00A43EC3" w:rsidRDefault="00E972CE" w:rsidP="00E972CE">
      <w:pPr>
        <w:pStyle w:val="a9"/>
        <w:spacing w:line="360" w:lineRule="auto"/>
        <w:jc w:val="both"/>
        <w:rPr>
          <w:rFonts w:cs="David"/>
          <w:b/>
          <w:bCs/>
          <w:rtl/>
        </w:rPr>
      </w:pPr>
    </w:p>
    <w:p w14:paraId="7B65052B" w14:textId="77777777" w:rsidR="00E972CE" w:rsidRDefault="00E972CE" w:rsidP="00E972CE">
      <w:pPr>
        <w:spacing w:line="360" w:lineRule="auto"/>
        <w:ind w:firstLine="360"/>
        <w:jc w:val="both"/>
        <w:rPr>
          <w:b/>
          <w:bCs/>
          <w:u w:val="single"/>
          <w:rtl/>
        </w:rPr>
      </w:pPr>
      <w:r>
        <w:rPr>
          <w:rFonts w:hint="cs"/>
          <w:b/>
          <w:bCs/>
          <w:u w:val="single"/>
          <w:rtl/>
        </w:rPr>
        <w:t xml:space="preserve">קביעת עונשו של הנאשם </w:t>
      </w:r>
      <w:r>
        <w:rPr>
          <w:b/>
          <w:bCs/>
          <w:u w:val="single"/>
          <w:rtl/>
        </w:rPr>
        <w:t>–</w:t>
      </w:r>
      <w:r>
        <w:rPr>
          <w:rFonts w:hint="cs"/>
          <w:b/>
          <w:bCs/>
          <w:u w:val="single"/>
          <w:rtl/>
        </w:rPr>
        <w:t xml:space="preserve"> שיקולים שאינם קשורים לנסיבות ביצוע העבירה</w:t>
      </w:r>
    </w:p>
    <w:p w14:paraId="6D8439D4" w14:textId="77777777" w:rsidR="00E972CE" w:rsidRDefault="00E972CE" w:rsidP="00E972CE">
      <w:pPr>
        <w:spacing w:line="360" w:lineRule="auto"/>
        <w:ind w:left="360"/>
        <w:jc w:val="both"/>
        <w:rPr>
          <w:b/>
          <w:bCs/>
          <w:u w:val="single"/>
          <w:rtl/>
        </w:rPr>
      </w:pPr>
    </w:p>
    <w:p w14:paraId="04AB79EC" w14:textId="77777777" w:rsidR="00E972CE" w:rsidRDefault="00E972CE" w:rsidP="00E972CE">
      <w:pPr>
        <w:numPr>
          <w:ilvl w:val="0"/>
          <w:numId w:val="1"/>
        </w:numPr>
        <w:spacing w:line="360" w:lineRule="auto"/>
        <w:contextualSpacing/>
        <w:jc w:val="both"/>
      </w:pPr>
      <w:r>
        <w:rPr>
          <w:rFonts w:hint="cs"/>
          <w:rtl/>
        </w:rPr>
        <w:t xml:space="preserve">איש מהצדדים לא טען שיש לסטות במקרה זה, מסיבה כלשהי, ממתחם הענישה ואכן נתוני המקרה מצביעים על כך שיש לגזור את עונשו של הנאשם בגדרי מתחם הענישה ואין מקום לסטות ממנו לקולה או לחומרה. </w:t>
      </w:r>
    </w:p>
    <w:p w14:paraId="4171089C" w14:textId="77777777" w:rsidR="00E972CE" w:rsidRDefault="00E972CE" w:rsidP="00E972CE">
      <w:pPr>
        <w:spacing w:line="360" w:lineRule="auto"/>
        <w:ind w:left="720"/>
        <w:contextualSpacing/>
        <w:jc w:val="both"/>
      </w:pPr>
    </w:p>
    <w:p w14:paraId="28641327" w14:textId="77777777" w:rsidR="00E972CE" w:rsidRDefault="00E972CE" w:rsidP="00E972CE">
      <w:pPr>
        <w:numPr>
          <w:ilvl w:val="0"/>
          <w:numId w:val="1"/>
        </w:numPr>
        <w:spacing w:line="360" w:lineRule="auto"/>
        <w:contextualSpacing/>
        <w:jc w:val="both"/>
      </w:pPr>
      <w:r>
        <w:rPr>
          <w:rFonts w:hint="cs"/>
          <w:rtl/>
        </w:rPr>
        <w:t xml:space="preserve">לצורך גזירת עונשו של הנאשם הבאתי בחשבון לקולה את הודאתו בכתב אישום מתוקן, אשר הביאה לחיסכון ממשי בזמן שיפוטי, כמו גם שביטאה חרטה וקבלת אחריות. עוד הבאתי בחשבון את העבודה שהנאשם נישא זמן קצר טרם מעצרו בתיק זה וכי אשתו מצויה בהריון. בטוחני כי מעצרו בנסיבות אלו קשה עליו ואף תקופת המאסר  אשר תוטל עליו בגין מעשיו, תהא קשה עבורו ועבור משפחתו החדשה. </w:t>
      </w:r>
    </w:p>
    <w:p w14:paraId="223F87C7" w14:textId="77777777" w:rsidR="00E972CE" w:rsidRDefault="00E972CE" w:rsidP="00E972CE">
      <w:pPr>
        <w:spacing w:line="360" w:lineRule="auto"/>
        <w:ind w:left="720"/>
        <w:contextualSpacing/>
        <w:jc w:val="both"/>
      </w:pPr>
    </w:p>
    <w:p w14:paraId="7A489124" w14:textId="77777777" w:rsidR="00E972CE" w:rsidRDefault="00E972CE" w:rsidP="00E972CE">
      <w:pPr>
        <w:numPr>
          <w:ilvl w:val="0"/>
          <w:numId w:val="1"/>
        </w:numPr>
        <w:spacing w:line="360" w:lineRule="auto"/>
        <w:contextualSpacing/>
        <w:jc w:val="both"/>
      </w:pPr>
      <w:r>
        <w:rPr>
          <w:rFonts w:hint="cs"/>
          <w:rtl/>
        </w:rPr>
        <w:t xml:space="preserve">מנגד, קשה להתעלם מעברו הפלילי המכביד של הנאשם. חרף גילו הצעיר הספיק הנאשם לצבור שורת עבירות ארוכה בנושאים שונים ובהם עבירות רכוש, סמים, אלימות ועוד. הנאשם ריצה בעברו מספר מאסרים בפועל והדבר לא הרתיעו מהמשך ביצוע עבירות פליליות. </w:t>
      </w:r>
    </w:p>
    <w:p w14:paraId="4CF50697" w14:textId="77777777" w:rsidR="00E972CE" w:rsidRDefault="00E972CE" w:rsidP="00E972CE">
      <w:pPr>
        <w:spacing w:line="360" w:lineRule="auto"/>
        <w:ind w:left="720"/>
        <w:contextualSpacing/>
        <w:jc w:val="both"/>
      </w:pPr>
    </w:p>
    <w:p w14:paraId="6F0ABA13" w14:textId="77777777" w:rsidR="00E972CE" w:rsidRDefault="00E972CE" w:rsidP="00E972CE">
      <w:pPr>
        <w:numPr>
          <w:ilvl w:val="0"/>
          <w:numId w:val="1"/>
        </w:numPr>
        <w:spacing w:line="360" w:lineRule="auto"/>
        <w:contextualSpacing/>
        <w:jc w:val="both"/>
      </w:pPr>
      <w:r>
        <w:rPr>
          <w:rFonts w:hint="cs"/>
          <w:rtl/>
        </w:rPr>
        <w:t xml:space="preserve">הנאשם לא ביקש לקבל תסקיר ולא הובאו כל נתונים שיש בהם ללמד על סיכויי שיקום כלשהם, אף לא לצורך חריגה מהמתחם. אכן, הנאשם נישא לאחרונה ויש לקוות כי כעת משהקים משפחה, יהיה בכך להביאו לשנות את התנהגותו לחיוב. </w:t>
      </w:r>
    </w:p>
    <w:p w14:paraId="09916856" w14:textId="77777777" w:rsidR="00E972CE" w:rsidRDefault="00E972CE" w:rsidP="00E972CE">
      <w:pPr>
        <w:spacing w:line="360" w:lineRule="auto"/>
        <w:ind w:left="720"/>
        <w:contextualSpacing/>
        <w:jc w:val="both"/>
      </w:pPr>
    </w:p>
    <w:p w14:paraId="2A5C616B" w14:textId="77777777" w:rsidR="00E972CE" w:rsidRDefault="00E972CE" w:rsidP="00E972CE">
      <w:pPr>
        <w:numPr>
          <w:ilvl w:val="0"/>
          <w:numId w:val="1"/>
        </w:numPr>
        <w:spacing w:line="360" w:lineRule="auto"/>
        <w:contextualSpacing/>
        <w:jc w:val="both"/>
      </w:pPr>
      <w:r>
        <w:rPr>
          <w:rFonts w:hint="cs"/>
          <w:rtl/>
        </w:rPr>
        <w:t xml:space="preserve">נגד הנאשם תלוי ועומד מאסר מותנה בן 6 חודשים. הסנגור לא טען דבר נגד תחולת המאסר המותנה ואכן למרות שהוא הוטל בשנת 2012 (והעבירות מושא ענייננו בוצעו בשנת 2017) הוא בר הפעלה לאור מועד שחרורו של הנאשם ממאסר כאמור בע/3. יצוין כי מאסר מותנה זה הוטל בשל עבירה דומה של סחר בסם מסוכן. </w:t>
      </w:r>
    </w:p>
    <w:p w14:paraId="351205DC" w14:textId="77777777" w:rsidR="00E972CE" w:rsidRDefault="00E972CE" w:rsidP="00E972CE">
      <w:pPr>
        <w:spacing w:line="360" w:lineRule="auto"/>
        <w:ind w:left="720"/>
        <w:contextualSpacing/>
        <w:jc w:val="both"/>
      </w:pPr>
    </w:p>
    <w:p w14:paraId="0F77A769" w14:textId="77777777" w:rsidR="00E972CE" w:rsidRDefault="00E972CE" w:rsidP="00E972CE">
      <w:pPr>
        <w:numPr>
          <w:ilvl w:val="0"/>
          <w:numId w:val="1"/>
        </w:numPr>
        <w:spacing w:line="360" w:lineRule="auto"/>
        <w:contextualSpacing/>
        <w:jc w:val="both"/>
      </w:pPr>
      <w:r>
        <w:rPr>
          <w:rFonts w:hint="cs"/>
          <w:rtl/>
        </w:rPr>
        <w:t xml:space="preserve">המאשימה ביקשה לחלט סכום כסף שנתפס והקשור בעסקה מושא אישום מס' 4 וכן את האופניים החשמליים בהם עשה הנאשם שימוש לצורך ביצוע העבירות. הסנגור לא התנגד לכך ולא טען בנושא דבר. יצוין כי בקשה זו באה לאור הכרזת הנאשם כסוחר סמים (בהסכמה) כאמור </w:t>
      </w:r>
      <w:hyperlink r:id="rId46" w:history="1">
        <w:r w:rsidR="001B6044" w:rsidRPr="001B6044">
          <w:rPr>
            <w:color w:val="0000FF"/>
            <w:u w:val="single"/>
            <w:rtl/>
          </w:rPr>
          <w:t>בסעיף 36א(ב)</w:t>
        </w:r>
      </w:hyperlink>
      <w:r>
        <w:rPr>
          <w:rFonts w:hint="cs"/>
          <w:rtl/>
        </w:rPr>
        <w:t xml:space="preserve"> לפקודת הסמים. אציין כי בכתב האישום המתוקן לא פורטו האופניים, אלא רק בכתב האישום המקורי (בכתב יד) ודומה שמדובר בשכחה ולראיה, כאמור, הסנגור לא  הביע כל התנגדות עת נטען הדבר על פה. </w:t>
      </w:r>
    </w:p>
    <w:p w14:paraId="7C5E1C7D" w14:textId="77777777" w:rsidR="00E972CE" w:rsidRDefault="00E972CE" w:rsidP="00E972CE">
      <w:pPr>
        <w:spacing w:line="360" w:lineRule="auto"/>
        <w:ind w:left="720"/>
        <w:contextualSpacing/>
        <w:jc w:val="both"/>
      </w:pPr>
    </w:p>
    <w:p w14:paraId="4177F433" w14:textId="77777777" w:rsidR="00E972CE" w:rsidRDefault="00E972CE" w:rsidP="00E972CE">
      <w:pPr>
        <w:numPr>
          <w:ilvl w:val="0"/>
          <w:numId w:val="1"/>
        </w:numPr>
        <w:spacing w:line="360" w:lineRule="auto"/>
        <w:contextualSpacing/>
        <w:jc w:val="both"/>
      </w:pPr>
      <w:r>
        <w:rPr>
          <w:rFonts w:hint="cs"/>
          <w:rtl/>
        </w:rPr>
        <w:t xml:space="preserve">כאמור הסנגור לא הביע כל התנגדות לבקשת החילוט. עם זאת, אציין בקצרה כי אכן בקשה זו היא במקומה. </w:t>
      </w:r>
      <w:hyperlink r:id="rId47" w:history="1">
        <w:r w:rsidR="001B6044" w:rsidRPr="001B6044">
          <w:rPr>
            <w:color w:val="0000FF"/>
            <w:u w:val="single"/>
            <w:rtl/>
          </w:rPr>
          <w:t>סעיף 36א(ב)</w:t>
        </w:r>
      </w:hyperlink>
      <w:r>
        <w:rPr>
          <w:rFonts w:hint="cs"/>
          <w:rtl/>
        </w:rPr>
        <w:t xml:space="preserve"> לפקודה הסמים קובע כי נאשם שנקבע כי הוא סוחר סמים, בית המשפט </w:t>
      </w:r>
      <w:r w:rsidRPr="00CE47A6">
        <w:rPr>
          <w:rFonts w:cs="Miriam" w:hint="cs"/>
          <w:rtl/>
        </w:rPr>
        <w:t>"</w:t>
      </w:r>
      <w:r w:rsidRPr="00A34B6D">
        <w:rPr>
          <w:rFonts w:cs="Miriam" w:hint="cs"/>
          <w:rtl/>
        </w:rPr>
        <w:t>יצווה בגזר הדין כי בנוסף לכל עונש יחולט לאוצר המדינה כל רכוש של הנידון שהוגש בעבירה של עסקת סמים, אלא אם כן סבר שלא לעשות כן מנימוקים מיוחדים שיפרט</w:t>
      </w:r>
      <w:r w:rsidRPr="00EC4D81">
        <w:rPr>
          <w:rFonts w:cs="Miriam" w:hint="cs"/>
          <w:rtl/>
        </w:rPr>
        <w:t>"</w:t>
      </w:r>
      <w:r>
        <w:rPr>
          <w:rFonts w:hint="cs"/>
          <w:rtl/>
        </w:rPr>
        <w:t xml:space="preserve">. סכום הכסף אותו מבקשת המאשימה לחלט נתקבל על ידי הקונה באישום 4 (בהודעה בסיפא לכתב האישום צוין אישום 5 שכן הדבר היה נכון על פי כתב האישום המקורי טרם התיקון ולא בוצעה התאמה לאחר התיקון). ברי כי חילוט זה  מתבקש מאליו וכאמור הסנגור כלל לא טען דבר בעניין וממילא שלא נמצאו נימוקים מיוחדים להימנע מכך. ביחס לאופניים, הרי שעל פי </w:t>
      </w:r>
      <w:hyperlink r:id="rId48" w:history="1">
        <w:r w:rsidR="001B6044" w:rsidRPr="001B6044">
          <w:rPr>
            <w:color w:val="0000FF"/>
            <w:u w:val="single"/>
            <w:rtl/>
          </w:rPr>
          <w:t>סעיף 31(6)</w:t>
        </w:r>
      </w:hyperlink>
      <w:r>
        <w:rPr>
          <w:rFonts w:hint="cs"/>
          <w:rtl/>
        </w:rPr>
        <w:t xml:space="preserve"> רואים רכוש זה (השייך לנאשם) כאילו הושג בעבירה של עסקת סמים (בשל ההכרזה כסוחר סמים). ואולם, רכוש זה גם שימש לביצוע העבירה (</w:t>
      </w:r>
      <w:hyperlink r:id="rId49" w:history="1">
        <w:r w:rsidR="001B6044" w:rsidRPr="001B6044">
          <w:rPr>
            <w:color w:val="0000FF"/>
            <w:u w:val="single"/>
            <w:rtl/>
          </w:rPr>
          <w:t>סעיף 36א(א)(1)</w:t>
        </w:r>
      </w:hyperlink>
      <w:r>
        <w:rPr>
          <w:rFonts w:hint="cs"/>
          <w:rtl/>
        </w:rPr>
        <w:t xml:space="preserve"> לפקודת הסמים) ומדובר בעילה נפרדת המצדיקה חילוט רכוש זה וגם כאן ברירת המחדל היא חילוט אלא אם בית המשפט </w:t>
      </w:r>
      <w:r w:rsidRPr="00EC4D81">
        <w:rPr>
          <w:rFonts w:cs="Miriam" w:hint="cs"/>
          <w:rtl/>
        </w:rPr>
        <w:t>"</w:t>
      </w:r>
      <w:r w:rsidRPr="007D4926">
        <w:rPr>
          <w:rFonts w:cs="Miriam" w:hint="cs"/>
          <w:rtl/>
        </w:rPr>
        <w:t>סבר שלא לעשות כן מנימוקים מיוחדים שיפרט</w:t>
      </w:r>
      <w:r w:rsidRPr="00EC4D81">
        <w:rPr>
          <w:rFonts w:cs="Miriam" w:hint="cs"/>
          <w:rtl/>
        </w:rPr>
        <w:t>"</w:t>
      </w:r>
      <w:r>
        <w:rPr>
          <w:rFonts w:hint="cs"/>
          <w:rtl/>
        </w:rPr>
        <w:t xml:space="preserve">. בנסיבות העניין, מדובר בכלי תחבורה ששימש את הנאשם לביצוע כל העסקאות. אין מדובר ברכוש יקר ומשכך הפגיעה בנאשם אינה בלתי מדתית בשים לב למהות האישומים (לחילוט רכוש ממשי בשל עבירה של גידול סמים, ראו לאחרונה </w:t>
      </w:r>
      <w:hyperlink r:id="rId50" w:history="1">
        <w:r w:rsidR="009F1EB6" w:rsidRPr="009F1EB6">
          <w:rPr>
            <w:color w:val="0000FF"/>
            <w:u w:val="single"/>
            <w:rtl/>
          </w:rPr>
          <w:t>רע"פ 2675/17</w:t>
        </w:r>
      </w:hyperlink>
      <w:r>
        <w:rPr>
          <w:rFonts w:hint="cs"/>
          <w:rtl/>
        </w:rPr>
        <w:t xml:space="preserve"> </w:t>
      </w:r>
      <w:r w:rsidRPr="005D0E27">
        <w:rPr>
          <w:rFonts w:hint="cs"/>
          <w:b/>
          <w:bCs/>
          <w:rtl/>
        </w:rPr>
        <w:t>גיל ארצי נ' מדינת ישראל</w:t>
      </w:r>
      <w:r>
        <w:rPr>
          <w:rFonts w:hint="cs"/>
          <w:rtl/>
        </w:rPr>
        <w:t xml:space="preserve"> (23.8.17)). לא ראיתי נימוקים מיוחדים שלא לחלט רכוש זה והסנגור כאמור כלל לא טען דבר בנושא. </w:t>
      </w:r>
    </w:p>
    <w:p w14:paraId="31E02E0E" w14:textId="77777777" w:rsidR="00E972CE" w:rsidRDefault="00E972CE" w:rsidP="00E972CE">
      <w:pPr>
        <w:spacing w:line="360" w:lineRule="auto"/>
        <w:ind w:left="720"/>
        <w:contextualSpacing/>
        <w:jc w:val="both"/>
      </w:pPr>
    </w:p>
    <w:p w14:paraId="0053ADA6" w14:textId="77777777" w:rsidR="00E972CE" w:rsidRPr="007D4926" w:rsidRDefault="00E972CE" w:rsidP="00E972CE">
      <w:pPr>
        <w:numPr>
          <w:ilvl w:val="0"/>
          <w:numId w:val="1"/>
        </w:numPr>
        <w:spacing w:line="360" w:lineRule="auto"/>
        <w:contextualSpacing/>
        <w:jc w:val="both"/>
        <w:rPr>
          <w:b/>
          <w:bCs/>
        </w:rPr>
      </w:pPr>
      <w:r w:rsidRPr="007D4926">
        <w:rPr>
          <w:rFonts w:hint="cs"/>
          <w:b/>
          <w:bCs/>
          <w:rtl/>
        </w:rPr>
        <w:t xml:space="preserve">לאור כך, אני מורה על חילוט הסך של 500 ₪ והאופניים החשמליים. </w:t>
      </w:r>
    </w:p>
    <w:p w14:paraId="253975A0" w14:textId="77777777" w:rsidR="00E972CE" w:rsidRDefault="00E972CE" w:rsidP="00E972CE">
      <w:pPr>
        <w:spacing w:line="360" w:lineRule="auto"/>
        <w:ind w:left="720"/>
        <w:contextualSpacing/>
        <w:jc w:val="both"/>
      </w:pPr>
    </w:p>
    <w:p w14:paraId="28623712" w14:textId="77777777" w:rsidR="00E972CE" w:rsidRDefault="00E972CE" w:rsidP="00E972CE">
      <w:pPr>
        <w:numPr>
          <w:ilvl w:val="0"/>
          <w:numId w:val="1"/>
        </w:numPr>
        <w:spacing w:before="120" w:after="120" w:line="360" w:lineRule="auto"/>
        <w:contextualSpacing/>
        <w:jc w:val="both"/>
      </w:pPr>
      <w:r w:rsidRPr="00C95B30">
        <w:rPr>
          <w:rFonts w:hint="cs"/>
          <w:rtl/>
        </w:rPr>
        <w:t>סיכומו של דבר, לאחר שבחנתי את מכלול השיקולים, הן לקולה והן לחומרה,  אני מטיל על הנאשם את העונשים הבאים:</w:t>
      </w:r>
    </w:p>
    <w:p w14:paraId="5AE77B63" w14:textId="77777777" w:rsidR="00E972CE" w:rsidRDefault="00E972CE" w:rsidP="00E972CE">
      <w:pPr>
        <w:pStyle w:val="a9"/>
        <w:numPr>
          <w:ilvl w:val="0"/>
          <w:numId w:val="2"/>
        </w:numPr>
        <w:spacing w:before="120" w:after="120" w:line="360" w:lineRule="auto"/>
        <w:jc w:val="both"/>
        <w:rPr>
          <w:rFonts w:cs="David"/>
        </w:rPr>
      </w:pPr>
      <w:r>
        <w:rPr>
          <w:rFonts w:cs="David" w:hint="cs"/>
          <w:rtl/>
        </w:rPr>
        <w:t xml:space="preserve">14 חודשי מאסר בפועל. </w:t>
      </w:r>
    </w:p>
    <w:p w14:paraId="7D757A99" w14:textId="77777777" w:rsidR="00E972CE" w:rsidRDefault="00E972CE" w:rsidP="00E972CE">
      <w:pPr>
        <w:numPr>
          <w:ilvl w:val="0"/>
          <w:numId w:val="2"/>
        </w:numPr>
        <w:spacing w:line="360" w:lineRule="auto"/>
        <w:contextualSpacing/>
        <w:jc w:val="both"/>
      </w:pPr>
      <w:r w:rsidRPr="003F3B86">
        <w:rPr>
          <w:rtl/>
        </w:rPr>
        <w:t xml:space="preserve">אני מפעיל עונש מאסר מותנה בן </w:t>
      </w:r>
      <w:r>
        <w:rPr>
          <w:rFonts w:hint="cs"/>
          <w:rtl/>
        </w:rPr>
        <w:t xml:space="preserve">6 </w:t>
      </w:r>
      <w:r w:rsidRPr="003F3B86">
        <w:rPr>
          <w:rtl/>
        </w:rPr>
        <w:t>חודשים מ</w:t>
      </w:r>
      <w:hyperlink r:id="rId51" w:history="1">
        <w:r w:rsidR="009F1EB6" w:rsidRPr="009F1EB6">
          <w:rPr>
            <w:color w:val="0000FF"/>
            <w:u w:val="single"/>
            <w:rtl/>
          </w:rPr>
          <w:t>ת.פ 33736-04-11</w:t>
        </w:r>
      </w:hyperlink>
      <w:r w:rsidRPr="003F3B86">
        <w:rPr>
          <w:rtl/>
        </w:rPr>
        <w:t xml:space="preserve"> (בית משפט שלום </w:t>
      </w:r>
      <w:r>
        <w:rPr>
          <w:rFonts w:hint="cs"/>
          <w:rtl/>
        </w:rPr>
        <w:t>תל-אביב</w:t>
      </w:r>
      <w:r w:rsidRPr="003F3B86">
        <w:rPr>
          <w:rtl/>
        </w:rPr>
        <w:t xml:space="preserve">) מיום </w:t>
      </w:r>
      <w:r>
        <w:rPr>
          <w:rFonts w:hint="cs"/>
          <w:rtl/>
        </w:rPr>
        <w:t>29.5.12</w:t>
      </w:r>
      <w:r w:rsidRPr="003F3B86">
        <w:rPr>
          <w:rtl/>
        </w:rPr>
        <w:t xml:space="preserve"> וזאת באופן </w:t>
      </w:r>
      <w:r w:rsidRPr="005D0E27">
        <w:rPr>
          <w:u w:val="single"/>
          <w:rtl/>
        </w:rPr>
        <w:t>מצטבר</w:t>
      </w:r>
      <w:r w:rsidRPr="003F3B86">
        <w:rPr>
          <w:rtl/>
        </w:rPr>
        <w:t xml:space="preserve"> לעונש המאסר אותו הטלתי. </w:t>
      </w:r>
      <w:r>
        <w:rPr>
          <w:rFonts w:hint="cs"/>
          <w:rtl/>
        </w:rPr>
        <w:t xml:space="preserve">צבירה זו מתחייבת בנסיבות העניין, שכן לא ראיתי כל נסיבה המצדיקה סטייה מדרך המלך הקבועה </w:t>
      </w:r>
      <w:hyperlink r:id="rId52" w:history="1">
        <w:r w:rsidR="001B6044" w:rsidRPr="001B6044">
          <w:rPr>
            <w:color w:val="0000FF"/>
            <w:u w:val="single"/>
            <w:rtl/>
          </w:rPr>
          <w:t>בסעיף 58</w:t>
        </w:r>
      </w:hyperlink>
      <w:r>
        <w:rPr>
          <w:rFonts w:hint="cs"/>
          <w:rtl/>
        </w:rPr>
        <w:t xml:space="preserve"> ל</w:t>
      </w:r>
      <w:hyperlink r:id="rId53" w:history="1">
        <w:r w:rsidR="009F1EB6" w:rsidRPr="009F1EB6">
          <w:rPr>
            <w:color w:val="0000FF"/>
            <w:u w:val="single"/>
            <w:rtl/>
          </w:rPr>
          <w:t>חוק העונשין</w:t>
        </w:r>
      </w:hyperlink>
      <w:r>
        <w:rPr>
          <w:rFonts w:hint="cs"/>
          <w:rtl/>
        </w:rPr>
        <w:t xml:space="preserve"> לפיה מאסר מותנה יופעל במצטבר לעונש המוטל. אדגיש שוב כי מאסר מותנה זה הוטל בשל עבירה של סחר בסמים, בה שוב חטא הנאשם.</w:t>
      </w:r>
    </w:p>
    <w:p w14:paraId="1EED4688" w14:textId="77777777" w:rsidR="00E972CE" w:rsidRDefault="00E972CE" w:rsidP="00E972CE">
      <w:pPr>
        <w:spacing w:line="360" w:lineRule="auto"/>
        <w:ind w:left="1440"/>
        <w:contextualSpacing/>
        <w:jc w:val="both"/>
        <w:rPr>
          <w:b/>
          <w:bCs/>
          <w:rtl/>
        </w:rPr>
      </w:pPr>
    </w:p>
    <w:p w14:paraId="0FB78821" w14:textId="77777777" w:rsidR="00E972CE" w:rsidRDefault="00E972CE" w:rsidP="00E972CE">
      <w:pPr>
        <w:spacing w:line="360" w:lineRule="auto"/>
        <w:ind w:left="1440"/>
        <w:contextualSpacing/>
        <w:jc w:val="both"/>
      </w:pPr>
      <w:r w:rsidRPr="003F3B86">
        <w:rPr>
          <w:b/>
          <w:bCs/>
          <w:rtl/>
        </w:rPr>
        <w:t xml:space="preserve">סה"כ ירצה הנאשם </w:t>
      </w:r>
      <w:r>
        <w:rPr>
          <w:rFonts w:hint="cs"/>
          <w:b/>
          <w:bCs/>
          <w:rtl/>
        </w:rPr>
        <w:t>20</w:t>
      </w:r>
      <w:r w:rsidRPr="003F3B86">
        <w:rPr>
          <w:rFonts w:hint="cs"/>
          <w:b/>
          <w:bCs/>
          <w:rtl/>
        </w:rPr>
        <w:t xml:space="preserve"> </w:t>
      </w:r>
      <w:r w:rsidRPr="003F3B86">
        <w:rPr>
          <w:b/>
          <w:bCs/>
          <w:rtl/>
        </w:rPr>
        <w:t xml:space="preserve">חודשי מאסר, החל מיום מעצרו – </w:t>
      </w:r>
      <w:r w:rsidRPr="003F3B86">
        <w:rPr>
          <w:rFonts w:hint="cs"/>
          <w:b/>
          <w:bCs/>
          <w:rtl/>
        </w:rPr>
        <w:t>16.3.17</w:t>
      </w:r>
      <w:r w:rsidRPr="003F3B86">
        <w:rPr>
          <w:b/>
          <w:bCs/>
          <w:rtl/>
        </w:rPr>
        <w:t xml:space="preserve">  </w:t>
      </w:r>
    </w:p>
    <w:p w14:paraId="0EEE20B9" w14:textId="77777777" w:rsidR="00E972CE" w:rsidRPr="005864EB" w:rsidRDefault="00E972CE" w:rsidP="00E972CE">
      <w:pPr>
        <w:spacing w:line="360" w:lineRule="auto"/>
        <w:ind w:left="1440"/>
        <w:contextualSpacing/>
        <w:jc w:val="both"/>
      </w:pPr>
    </w:p>
    <w:p w14:paraId="606A1EAA" w14:textId="77777777" w:rsidR="00E972CE" w:rsidRDefault="00E972CE" w:rsidP="00E972CE">
      <w:pPr>
        <w:numPr>
          <w:ilvl w:val="0"/>
          <w:numId w:val="2"/>
        </w:numPr>
        <w:spacing w:line="360" w:lineRule="auto"/>
        <w:contextualSpacing/>
        <w:jc w:val="both"/>
      </w:pPr>
      <w:r>
        <w:rPr>
          <w:rFonts w:hint="cs"/>
          <w:rtl/>
        </w:rPr>
        <w:t xml:space="preserve">מאסר על תנאי למשך 6 חודשים והתנאי הוא שהנאשם לא יעבור בתוך 3 שנים מיום שחרורו ממאסר כל עבירה על פקודת הסמים שהיא פשע. </w:t>
      </w:r>
    </w:p>
    <w:p w14:paraId="62274835" w14:textId="77777777" w:rsidR="00E972CE" w:rsidRDefault="00E972CE" w:rsidP="00E972CE">
      <w:pPr>
        <w:spacing w:line="360" w:lineRule="auto"/>
        <w:ind w:left="1440"/>
        <w:contextualSpacing/>
        <w:jc w:val="both"/>
      </w:pPr>
    </w:p>
    <w:p w14:paraId="1809FB0A" w14:textId="77777777" w:rsidR="00E972CE" w:rsidRDefault="00E972CE" w:rsidP="00E972CE">
      <w:pPr>
        <w:numPr>
          <w:ilvl w:val="0"/>
          <w:numId w:val="2"/>
        </w:numPr>
        <w:spacing w:before="240" w:after="240" w:line="360" w:lineRule="auto"/>
        <w:contextualSpacing/>
        <w:jc w:val="both"/>
      </w:pPr>
      <w:r w:rsidRPr="005D0E27">
        <w:rPr>
          <w:rFonts w:hint="cs"/>
          <w:rtl/>
        </w:rPr>
        <w:t xml:space="preserve">קנס בסך 5000 ₪ או 25 ימי מאסר תמורתו. הקנס ישולם ב-8 תשלומים שווים ורצופים מיום 1.10.17 ובכל 1 לחודש שלאחריו. בחישוב הקנס הבאתי בחשבון את חילוט הרכוש כפי שפורט לעיל. </w:t>
      </w:r>
    </w:p>
    <w:p w14:paraId="51F063AE" w14:textId="77777777" w:rsidR="00E972CE" w:rsidRPr="00C9451A" w:rsidRDefault="00E972CE" w:rsidP="00E972CE">
      <w:pPr>
        <w:spacing w:before="240" w:after="240" w:line="360" w:lineRule="auto"/>
        <w:ind w:left="1440"/>
        <w:contextualSpacing/>
        <w:jc w:val="both"/>
      </w:pPr>
    </w:p>
    <w:p w14:paraId="0E2CFB22" w14:textId="77777777" w:rsidR="00E972CE" w:rsidRDefault="00E972CE" w:rsidP="00E972CE">
      <w:pPr>
        <w:numPr>
          <w:ilvl w:val="0"/>
          <w:numId w:val="2"/>
        </w:numPr>
        <w:spacing w:before="240" w:after="240" w:line="360" w:lineRule="auto"/>
        <w:contextualSpacing/>
        <w:jc w:val="both"/>
      </w:pPr>
      <w:r w:rsidRPr="005D0E27">
        <w:rPr>
          <w:rFonts w:hint="cs"/>
          <w:rtl/>
        </w:rPr>
        <w:t xml:space="preserve">אני פוסל את הנאשם מלהחזיק או לקבל רישיון נהיגה למשך 8 חודשים וזאת במצטבר לכל פסילה אחרת אותה מרצה הנאשם. </w:t>
      </w:r>
      <w:r>
        <w:rPr>
          <w:rFonts w:hint="cs"/>
          <w:rtl/>
        </w:rPr>
        <w:t xml:space="preserve">(להיבטים עונשיים מול מניעתיים של פסילת רישיון בעבירות סמים ראה </w:t>
      </w:r>
      <w:hyperlink r:id="rId54" w:history="1">
        <w:r w:rsidR="009F1EB6" w:rsidRPr="009F1EB6">
          <w:rPr>
            <w:color w:val="0000FF"/>
            <w:u w:val="single"/>
            <w:rtl/>
          </w:rPr>
          <w:t>ע"פ 4201/13</w:t>
        </w:r>
      </w:hyperlink>
      <w:r>
        <w:rPr>
          <w:rFonts w:hint="cs"/>
          <w:rtl/>
        </w:rPr>
        <w:t xml:space="preserve"> </w:t>
      </w:r>
      <w:r w:rsidRPr="005D0E27">
        <w:rPr>
          <w:rFonts w:hint="cs"/>
          <w:b/>
          <w:bCs/>
          <w:rtl/>
        </w:rPr>
        <w:t>עבד אל רחמן שרכס ואח' נ' מדינת ישראל</w:t>
      </w:r>
      <w:r>
        <w:rPr>
          <w:rFonts w:hint="cs"/>
          <w:rtl/>
        </w:rPr>
        <w:t xml:space="preserve"> (29.5.14)). </w:t>
      </w:r>
    </w:p>
    <w:p w14:paraId="6EAAF08F" w14:textId="77777777" w:rsidR="00E972CE" w:rsidRDefault="00E972CE" w:rsidP="00E972CE">
      <w:pPr>
        <w:spacing w:before="240" w:after="240" w:line="360" w:lineRule="auto"/>
        <w:ind w:left="1440"/>
        <w:contextualSpacing/>
        <w:jc w:val="both"/>
        <w:rPr>
          <w:rtl/>
        </w:rPr>
      </w:pPr>
    </w:p>
    <w:p w14:paraId="2EDB9A68" w14:textId="77777777" w:rsidR="00E972CE" w:rsidRDefault="00E972CE" w:rsidP="00E972CE">
      <w:pPr>
        <w:pStyle w:val="1"/>
        <w:spacing w:before="240" w:after="240" w:line="360" w:lineRule="auto"/>
        <w:ind w:left="1440"/>
        <w:jc w:val="both"/>
        <w:rPr>
          <w:rtl/>
        </w:rPr>
      </w:pPr>
      <w:r w:rsidRPr="005D0E27">
        <w:rPr>
          <w:rFonts w:hint="cs"/>
          <w:rtl/>
        </w:rPr>
        <w:t>מובהר לנאשם כי מניין הפסילה</w:t>
      </w:r>
      <w:r>
        <w:rPr>
          <w:rFonts w:hint="cs"/>
          <w:rtl/>
        </w:rPr>
        <w:t xml:space="preserve"> (להבדיל מתחילת הפסילה) יחל רק עם הפקדת רישיון נהיגה, או תצהיר כנדרש והכל בכפוף להוראות </w:t>
      </w:r>
      <w:hyperlink r:id="rId55" w:history="1">
        <w:r w:rsidR="001B6044" w:rsidRPr="001B6044">
          <w:rPr>
            <w:color w:val="0000FF"/>
            <w:u w:val="single"/>
            <w:rtl/>
          </w:rPr>
          <w:t>סעיף 42</w:t>
        </w:r>
      </w:hyperlink>
      <w:r>
        <w:rPr>
          <w:rFonts w:hint="cs"/>
          <w:rtl/>
        </w:rPr>
        <w:t xml:space="preserve"> ל</w:t>
      </w:r>
      <w:hyperlink r:id="rId56" w:history="1">
        <w:r w:rsidR="009F1EB6" w:rsidRPr="009F1EB6">
          <w:rPr>
            <w:color w:val="0000FF"/>
            <w:u w:val="single"/>
            <w:rtl/>
          </w:rPr>
          <w:t>פקודת התעבורה</w:t>
        </w:r>
      </w:hyperlink>
      <w:r>
        <w:rPr>
          <w:rFonts w:hint="cs"/>
          <w:rtl/>
        </w:rPr>
        <w:t>.</w:t>
      </w:r>
    </w:p>
    <w:p w14:paraId="39BF5662" w14:textId="77777777" w:rsidR="00E972CE" w:rsidRDefault="00E972CE" w:rsidP="00E972CE">
      <w:pPr>
        <w:pStyle w:val="1"/>
        <w:spacing w:before="240" w:after="240" w:line="360" w:lineRule="auto"/>
        <w:jc w:val="both"/>
      </w:pPr>
    </w:p>
    <w:p w14:paraId="7C61B5D4" w14:textId="77777777" w:rsidR="00E972CE" w:rsidRDefault="00E972CE" w:rsidP="00E972CE">
      <w:pPr>
        <w:pStyle w:val="1"/>
        <w:numPr>
          <w:ilvl w:val="0"/>
          <w:numId w:val="2"/>
        </w:numPr>
        <w:spacing w:before="240" w:after="240" w:line="360" w:lineRule="auto"/>
        <w:jc w:val="both"/>
      </w:pPr>
      <w:r>
        <w:rPr>
          <w:rFonts w:hint="cs"/>
          <w:rtl/>
        </w:rPr>
        <w:t xml:space="preserve">ביחס לחילוט, יש לנהוג כאמור </w:t>
      </w:r>
      <w:hyperlink r:id="rId57" w:history="1">
        <w:r w:rsidR="001B6044" w:rsidRPr="001B6044">
          <w:rPr>
            <w:color w:val="0000FF"/>
            <w:u w:val="single"/>
            <w:rtl/>
          </w:rPr>
          <w:t>בסעיף 21.</w:t>
        </w:r>
      </w:hyperlink>
    </w:p>
    <w:p w14:paraId="4B898A1D" w14:textId="77777777" w:rsidR="00E972CE" w:rsidRDefault="00E972CE" w:rsidP="00E972CE">
      <w:pPr>
        <w:pStyle w:val="1"/>
        <w:spacing w:before="240" w:after="240" w:line="360" w:lineRule="auto"/>
        <w:ind w:left="1440"/>
        <w:jc w:val="both"/>
      </w:pPr>
    </w:p>
    <w:p w14:paraId="76845D5D" w14:textId="77777777" w:rsidR="00E972CE" w:rsidRPr="003F3B86" w:rsidRDefault="00E972CE" w:rsidP="00E972CE">
      <w:pPr>
        <w:spacing w:before="120" w:after="120" w:line="360" w:lineRule="auto"/>
        <w:ind w:left="1440"/>
        <w:contextualSpacing/>
        <w:jc w:val="both"/>
        <w:rPr>
          <w:b/>
          <w:bCs/>
          <w:u w:val="single"/>
          <w:rtl/>
        </w:rPr>
      </w:pPr>
      <w:r w:rsidRPr="003F3B86">
        <w:rPr>
          <w:b/>
          <w:bCs/>
          <w:u w:val="single"/>
          <w:rtl/>
        </w:rPr>
        <w:t xml:space="preserve">בחלוף תקופת הערעור, ניתן להשמיד את המוצגים - הסמים והציוד. </w:t>
      </w:r>
    </w:p>
    <w:p w14:paraId="4EFEA907" w14:textId="77777777" w:rsidR="00E972CE" w:rsidRPr="00B05847" w:rsidRDefault="00E972CE" w:rsidP="00E972CE">
      <w:pPr>
        <w:rPr>
          <w:rtl/>
        </w:rPr>
      </w:pPr>
    </w:p>
    <w:p w14:paraId="1AA74F48" w14:textId="77777777" w:rsidR="00E972CE" w:rsidRDefault="00E972CE" w:rsidP="00E972CE">
      <w:pPr>
        <w:rPr>
          <w:rtl/>
        </w:rPr>
      </w:pPr>
    </w:p>
    <w:p w14:paraId="1F99398D" w14:textId="77777777" w:rsidR="00E972CE" w:rsidRPr="00231F2F" w:rsidRDefault="00E972CE" w:rsidP="00E972CE">
      <w:pPr>
        <w:rPr>
          <w:b/>
          <w:bCs/>
          <w:u w:val="single"/>
          <w:rtl/>
        </w:rPr>
      </w:pPr>
      <w:r w:rsidRPr="00231F2F">
        <w:rPr>
          <w:b/>
          <w:bCs/>
          <w:rtl/>
        </w:rPr>
        <w:tab/>
      </w:r>
      <w:r w:rsidRPr="00231F2F">
        <w:rPr>
          <w:b/>
          <w:bCs/>
          <w:rtl/>
        </w:rPr>
        <w:tab/>
      </w:r>
      <w:r w:rsidRPr="00231F2F">
        <w:rPr>
          <w:rFonts w:hint="cs"/>
          <w:b/>
          <w:bCs/>
          <w:u w:val="single"/>
          <w:rtl/>
        </w:rPr>
        <w:t>זכות ערעור בתוך 45 יום.</w:t>
      </w:r>
    </w:p>
    <w:p w14:paraId="54419922" w14:textId="77777777" w:rsidR="00E972CE" w:rsidRPr="00B05847" w:rsidRDefault="00E972CE" w:rsidP="00E972CE">
      <w:pPr>
        <w:rPr>
          <w:rtl/>
        </w:rPr>
      </w:pPr>
    </w:p>
    <w:p w14:paraId="739C8F0E" w14:textId="77777777" w:rsidR="00E972CE" w:rsidRPr="009F1EB6" w:rsidRDefault="009F1EB6" w:rsidP="00E972CE">
      <w:pPr>
        <w:rPr>
          <w:color w:val="FFFFFF"/>
          <w:sz w:val="2"/>
          <w:szCs w:val="2"/>
          <w:rtl/>
        </w:rPr>
      </w:pPr>
      <w:r w:rsidRPr="009F1EB6">
        <w:rPr>
          <w:color w:val="FFFFFF"/>
          <w:sz w:val="2"/>
          <w:szCs w:val="2"/>
          <w:rtl/>
        </w:rPr>
        <w:t>5129371</w:t>
      </w:r>
    </w:p>
    <w:p w14:paraId="582906E4" w14:textId="77777777" w:rsidR="00E972CE" w:rsidRDefault="009F1EB6" w:rsidP="00E972CE">
      <w:pPr>
        <w:rPr>
          <w:rFonts w:cs="FrankRuehl"/>
          <w:sz w:val="28"/>
          <w:szCs w:val="28"/>
          <w:rtl/>
        </w:rPr>
      </w:pPr>
      <w:r w:rsidRPr="009F1EB6">
        <w:rPr>
          <w:rFonts w:ascii="Arial" w:hAnsi="Arial"/>
          <w:color w:val="FFFFFF"/>
          <w:sz w:val="2"/>
          <w:szCs w:val="2"/>
          <w:rtl/>
        </w:rPr>
        <w:t>54678313</w:t>
      </w:r>
      <w:r>
        <w:rPr>
          <w:rFonts w:ascii="Arial" w:hAnsi="Arial"/>
          <w:rtl/>
        </w:rPr>
        <w:t xml:space="preserve">ניתן היום,  י"ג אלול תשע"ז, 04 ספטמבר 2017, במעמד הצדדים. </w:t>
      </w:r>
    </w:p>
    <w:p w14:paraId="38FA4DF1" w14:textId="77777777" w:rsidR="00E972CE" w:rsidRDefault="00E972CE" w:rsidP="00E972C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58CECB7" w14:textId="77777777" w:rsidR="00E972CE" w:rsidRDefault="00E972CE" w:rsidP="00E972CE">
      <w:pPr>
        <w:jc w:val="center"/>
        <w:rPr>
          <w:rFonts w:ascii="Arial" w:hAnsi="Arial" w:cs="FrankRuehl"/>
          <w:sz w:val="28"/>
          <w:szCs w:val="28"/>
          <w:rtl/>
        </w:rPr>
      </w:pPr>
    </w:p>
    <w:p w14:paraId="3A622456" w14:textId="77777777" w:rsidR="00E972CE" w:rsidRDefault="00E972CE" w:rsidP="00E972CE">
      <w:pPr>
        <w:rPr>
          <w:rFonts w:cs="FrankRuehl"/>
          <w:sz w:val="28"/>
          <w:szCs w:val="28"/>
          <w:rtl/>
        </w:rPr>
      </w:pPr>
    </w:p>
    <w:p w14:paraId="6218DAD2" w14:textId="77777777" w:rsidR="00E972CE" w:rsidRDefault="00E972CE" w:rsidP="00E972CE">
      <w:pPr>
        <w:pStyle w:val="a3"/>
        <w:jc w:val="center"/>
        <w:rPr>
          <w:rtl/>
        </w:rPr>
      </w:pPr>
    </w:p>
    <w:p w14:paraId="6E8F937C" w14:textId="77777777" w:rsidR="002D7B2F" w:rsidRPr="009F1EB6" w:rsidRDefault="002D7B2F" w:rsidP="009F1EB6">
      <w:pPr>
        <w:keepNext/>
        <w:rPr>
          <w:rFonts w:ascii="David" w:hAnsi="David"/>
          <w:color w:val="000000"/>
          <w:sz w:val="22"/>
          <w:szCs w:val="22"/>
          <w:rtl/>
        </w:rPr>
      </w:pPr>
    </w:p>
    <w:p w14:paraId="1519FD27" w14:textId="77777777" w:rsidR="009F1EB6" w:rsidRPr="009F1EB6" w:rsidRDefault="009F1EB6" w:rsidP="009F1EB6">
      <w:pPr>
        <w:keepNext/>
        <w:rPr>
          <w:rFonts w:ascii="David" w:hAnsi="David"/>
          <w:color w:val="000000"/>
          <w:sz w:val="22"/>
          <w:szCs w:val="22"/>
          <w:rtl/>
        </w:rPr>
      </w:pPr>
      <w:r w:rsidRPr="009F1EB6">
        <w:rPr>
          <w:rFonts w:ascii="David" w:hAnsi="David"/>
          <w:color w:val="000000"/>
          <w:sz w:val="22"/>
          <w:szCs w:val="22"/>
          <w:rtl/>
        </w:rPr>
        <w:t>יוסי טורס 54678313</w:t>
      </w:r>
    </w:p>
    <w:p w14:paraId="21117372" w14:textId="77777777" w:rsidR="009F1EB6" w:rsidRDefault="009F1EB6" w:rsidP="009F1EB6">
      <w:r w:rsidRPr="009F1EB6">
        <w:rPr>
          <w:color w:val="000000"/>
          <w:rtl/>
        </w:rPr>
        <w:t>נוסח מסמך זה כפוף לשינויי ניסוח ועריכה</w:t>
      </w:r>
    </w:p>
    <w:p w14:paraId="3586B1AF" w14:textId="77777777" w:rsidR="009F1EB6" w:rsidRDefault="009F1EB6" w:rsidP="009F1EB6">
      <w:pPr>
        <w:rPr>
          <w:rtl/>
        </w:rPr>
      </w:pPr>
    </w:p>
    <w:p w14:paraId="0B5B552D" w14:textId="77777777" w:rsidR="009F1EB6" w:rsidRDefault="009F1EB6" w:rsidP="009F1EB6">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49DF6794" w14:textId="77777777" w:rsidR="009F1EB6" w:rsidRPr="009F1EB6" w:rsidRDefault="009F1EB6" w:rsidP="009F1EB6">
      <w:pPr>
        <w:jc w:val="center"/>
        <w:rPr>
          <w:color w:val="0000FF"/>
          <w:u w:val="single"/>
        </w:rPr>
      </w:pPr>
    </w:p>
    <w:sectPr w:rsidR="009F1EB6" w:rsidRPr="009F1EB6" w:rsidSect="009F1EB6">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9C367" w14:textId="77777777" w:rsidR="00A25E07" w:rsidRDefault="00A25E07" w:rsidP="00493D4F">
      <w:r>
        <w:separator/>
      </w:r>
    </w:p>
  </w:endnote>
  <w:endnote w:type="continuationSeparator" w:id="0">
    <w:p w14:paraId="13A208DD" w14:textId="77777777" w:rsidR="00A25E07" w:rsidRDefault="00A25E07" w:rsidP="0049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9B345" w14:textId="77777777" w:rsidR="00A25E07" w:rsidRDefault="00A25E07" w:rsidP="009F1EB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AF45FE" w14:textId="77777777" w:rsidR="00A25E07" w:rsidRPr="009F1EB6" w:rsidRDefault="00A25E07" w:rsidP="009F1EB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B7D7A" w14:textId="77777777" w:rsidR="00A25E07" w:rsidRDefault="00A25E07" w:rsidP="009F1EB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D3674">
      <w:rPr>
        <w:rFonts w:ascii="FrankRuehl" w:hAnsi="FrankRuehl" w:cs="FrankRuehl"/>
        <w:noProof/>
        <w:rtl/>
      </w:rPr>
      <w:t>1</w:t>
    </w:r>
    <w:r>
      <w:rPr>
        <w:rFonts w:ascii="FrankRuehl" w:hAnsi="FrankRuehl" w:cs="FrankRuehl"/>
        <w:rtl/>
      </w:rPr>
      <w:fldChar w:fldCharType="end"/>
    </w:r>
  </w:p>
  <w:p w14:paraId="55897940" w14:textId="77777777" w:rsidR="00A25E07" w:rsidRPr="009F1EB6" w:rsidRDefault="00A25E07" w:rsidP="009F1EB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1211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FEF41" w14:textId="77777777" w:rsidR="00A25E07" w:rsidRDefault="00A25E07" w:rsidP="00493D4F">
      <w:r>
        <w:separator/>
      </w:r>
    </w:p>
  </w:footnote>
  <w:footnote w:type="continuationSeparator" w:id="0">
    <w:p w14:paraId="01E2DB40" w14:textId="77777777" w:rsidR="00A25E07" w:rsidRDefault="00A25E07" w:rsidP="00493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D5C98" w14:textId="77777777" w:rsidR="00A25E07" w:rsidRPr="009F1EB6" w:rsidRDefault="00A25E07" w:rsidP="009F1E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34353-03-17</w:t>
    </w:r>
    <w:r>
      <w:rPr>
        <w:rFonts w:ascii="David" w:hAnsi="David"/>
        <w:color w:val="000000"/>
        <w:sz w:val="22"/>
        <w:szCs w:val="22"/>
        <w:rtl/>
      </w:rPr>
      <w:tab/>
      <w:t xml:space="preserve"> מדינת ישראל נ' זאור אבשלומוב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8CB27" w14:textId="77777777" w:rsidR="00A25E07" w:rsidRPr="009F1EB6" w:rsidRDefault="00A25E07" w:rsidP="009F1E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34353-03-17</w:t>
    </w:r>
    <w:r>
      <w:rPr>
        <w:rFonts w:ascii="David" w:hAnsi="David"/>
        <w:color w:val="000000"/>
        <w:sz w:val="22"/>
        <w:szCs w:val="22"/>
        <w:rtl/>
      </w:rPr>
      <w:tab/>
      <w:t xml:space="preserve"> מדינת ישראל נ' זאור אבשלומוב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E1EE1"/>
    <w:multiLevelType w:val="hybridMultilevel"/>
    <w:tmpl w:val="B21C6BE8"/>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0762784"/>
    <w:multiLevelType w:val="hybridMultilevel"/>
    <w:tmpl w:val="ABC2E0F6"/>
    <w:lvl w:ilvl="0" w:tplc="E38C1434">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56064605">
    <w:abstractNumId w:val="1"/>
  </w:num>
  <w:num w:numId="2" w16cid:durableId="100733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72CE"/>
    <w:rsid w:val="00042231"/>
    <w:rsid w:val="000F1D09"/>
    <w:rsid w:val="001B6044"/>
    <w:rsid w:val="002302F9"/>
    <w:rsid w:val="002D7B2F"/>
    <w:rsid w:val="00493D4F"/>
    <w:rsid w:val="0077054C"/>
    <w:rsid w:val="007D6715"/>
    <w:rsid w:val="009F1EB6"/>
    <w:rsid w:val="00A25E07"/>
    <w:rsid w:val="00BA16A0"/>
    <w:rsid w:val="00E972CE"/>
    <w:rsid w:val="00FD36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7496F52"/>
  <w15:chartTrackingRefBased/>
  <w15:docId w15:val="{D03289BF-AE9F-4230-BBE7-FCF3676B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72C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72CE"/>
    <w:pPr>
      <w:tabs>
        <w:tab w:val="center" w:pos="4153"/>
        <w:tab w:val="right" w:pos="8306"/>
      </w:tabs>
    </w:pPr>
  </w:style>
  <w:style w:type="character" w:customStyle="1" w:styleId="a4">
    <w:name w:val="כותרת עליונה תו"/>
    <w:link w:val="a3"/>
    <w:rsid w:val="00E972CE"/>
    <w:rPr>
      <w:rFonts w:ascii="Times New Roman" w:eastAsia="Times New Roman" w:hAnsi="Times New Roman" w:cs="David"/>
      <w:sz w:val="24"/>
      <w:szCs w:val="24"/>
    </w:rPr>
  </w:style>
  <w:style w:type="paragraph" w:styleId="a5">
    <w:name w:val="footer"/>
    <w:basedOn w:val="a"/>
    <w:link w:val="a6"/>
    <w:rsid w:val="00E972CE"/>
    <w:pPr>
      <w:tabs>
        <w:tab w:val="center" w:pos="4153"/>
        <w:tab w:val="right" w:pos="8306"/>
      </w:tabs>
    </w:pPr>
  </w:style>
  <w:style w:type="character" w:customStyle="1" w:styleId="a6">
    <w:name w:val="כותרת תחתונה תו"/>
    <w:link w:val="a5"/>
    <w:rsid w:val="00E972CE"/>
    <w:rPr>
      <w:rFonts w:ascii="Times New Roman" w:eastAsia="Times New Roman" w:hAnsi="Times New Roman" w:cs="David"/>
      <w:sz w:val="24"/>
      <w:szCs w:val="24"/>
    </w:rPr>
  </w:style>
  <w:style w:type="table" w:styleId="a7">
    <w:name w:val="Table Grid"/>
    <w:basedOn w:val="a1"/>
    <w:rsid w:val="00E972C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972CE"/>
  </w:style>
  <w:style w:type="paragraph" w:styleId="a9">
    <w:name w:val="List Paragraph"/>
    <w:basedOn w:val="a"/>
    <w:qFormat/>
    <w:rsid w:val="00E972CE"/>
    <w:pPr>
      <w:ind w:left="720"/>
      <w:contextualSpacing/>
    </w:pPr>
    <w:rPr>
      <w:rFonts w:cs="Times New Roman"/>
    </w:rPr>
  </w:style>
  <w:style w:type="paragraph" w:customStyle="1" w:styleId="1">
    <w:name w:val="פיסקת רשימה1"/>
    <w:basedOn w:val="a"/>
    <w:rsid w:val="00E972CE"/>
    <w:pPr>
      <w:ind w:left="720"/>
      <w:contextualSpacing/>
    </w:pPr>
  </w:style>
  <w:style w:type="character" w:styleId="Hyperlink">
    <w:name w:val="Hyperlink"/>
    <w:rsid w:val="009F1EB6"/>
    <w:rPr>
      <w:color w:val="0563C1"/>
      <w:u w:val="single"/>
    </w:rPr>
  </w:style>
  <w:style w:type="character" w:styleId="aa">
    <w:name w:val="Unresolved Mention"/>
    <w:rsid w:val="009F1E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a.1" TargetMode="External"/><Relationship Id="rId18" Type="http://schemas.openxmlformats.org/officeDocument/2006/relationships/hyperlink" Target="http://www.nevo.co.il/law/5227/21" TargetMode="External"/><Relationship Id="rId26" Type="http://schemas.openxmlformats.org/officeDocument/2006/relationships/hyperlink" Target="http://www.nevo.co.il/case/13093721" TargetMode="External"/><Relationship Id="rId39" Type="http://schemas.openxmlformats.org/officeDocument/2006/relationships/hyperlink" Target="http://www.nevo.co.il/case/3892678" TargetMode="External"/><Relationship Id="rId21" Type="http://schemas.openxmlformats.org/officeDocument/2006/relationships/hyperlink" Target="http://www.nevo.co.il/law/4216" TargetMode="External"/><Relationship Id="rId34" Type="http://schemas.openxmlformats.org/officeDocument/2006/relationships/hyperlink" Target="http://www.nevo.co.il/case/5805976" TargetMode="External"/><Relationship Id="rId42" Type="http://schemas.openxmlformats.org/officeDocument/2006/relationships/hyperlink" Target="http://www.nevo.co.il/case/17011278" TargetMode="External"/><Relationship Id="rId47" Type="http://schemas.openxmlformats.org/officeDocument/2006/relationships/hyperlink" Target="http://www.nevo.co.il/law/4216/36a.b" TargetMode="External"/><Relationship Id="rId50" Type="http://schemas.openxmlformats.org/officeDocument/2006/relationships/hyperlink" Target="http://www.nevo.co.il/case/22505600" TargetMode="External"/><Relationship Id="rId55" Type="http://schemas.openxmlformats.org/officeDocument/2006/relationships/hyperlink" Target="http://www.nevo.co.il/law/5227/42" TargetMode="External"/><Relationship Id="rId63"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58" TargetMode="External"/><Relationship Id="rId29" Type="http://schemas.openxmlformats.org/officeDocument/2006/relationships/hyperlink" Target="http://www.nevo.co.il/case/6241434"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36a.b" TargetMode="External"/><Relationship Id="rId32" Type="http://schemas.openxmlformats.org/officeDocument/2006/relationships/hyperlink" Target="http://www.nevo.co.il/case/5726579" TargetMode="External"/><Relationship Id="rId37" Type="http://schemas.openxmlformats.org/officeDocument/2006/relationships/hyperlink" Target="http://www.nevo.co.il/case/21477472" TargetMode="External"/><Relationship Id="rId40" Type="http://schemas.openxmlformats.org/officeDocument/2006/relationships/hyperlink" Target="http://www.nevo.co.il/case/17011540" TargetMode="External"/><Relationship Id="rId45" Type="http://schemas.openxmlformats.org/officeDocument/2006/relationships/hyperlink" Target="http://www.nevo.co.il/case/16927083" TargetMode="External"/><Relationship Id="rId53" Type="http://schemas.openxmlformats.org/officeDocument/2006/relationships/hyperlink" Target="http://www.nevo.co.il/law/70301"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5227/42" TargetMode="External"/><Relationship Id="rId14" Type="http://schemas.openxmlformats.org/officeDocument/2006/relationships/hyperlink" Target="http://www.nevo.co.il/law/4216/36a.b" TargetMode="External"/><Relationship Id="rId22" Type="http://schemas.openxmlformats.org/officeDocument/2006/relationships/hyperlink" Target="http://www.nevo.co.il/law/4216/7.a.;7.c" TargetMode="External"/><Relationship Id="rId27" Type="http://schemas.openxmlformats.org/officeDocument/2006/relationships/hyperlink" Target="http://www.nevo.co.il/case/17023776" TargetMode="External"/><Relationship Id="rId30" Type="http://schemas.openxmlformats.org/officeDocument/2006/relationships/hyperlink" Target="http://www.nevo.co.il/case/5988308" TargetMode="External"/><Relationship Id="rId35" Type="http://schemas.openxmlformats.org/officeDocument/2006/relationships/hyperlink" Target="http://www.nevo.co.il/case/5605484" TargetMode="External"/><Relationship Id="rId43" Type="http://schemas.openxmlformats.org/officeDocument/2006/relationships/hyperlink" Target="http://www.nevo.co.il/case/5642705" TargetMode="External"/><Relationship Id="rId48" Type="http://schemas.openxmlformats.org/officeDocument/2006/relationships/hyperlink" Target="http://www.nevo.co.il/law/4216/31.6" TargetMode="External"/><Relationship Id="rId56" Type="http://schemas.openxmlformats.org/officeDocument/2006/relationships/hyperlink" Target="http://www.nevo.co.il/law/5227" TargetMode="External"/><Relationship Id="rId64"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case/4658655" TargetMode="External"/><Relationship Id="rId3" Type="http://schemas.openxmlformats.org/officeDocument/2006/relationships/settings" Target="settings.xml"/><Relationship Id="rId12" Type="http://schemas.openxmlformats.org/officeDocument/2006/relationships/hyperlink" Target="http://www.nevo.co.il/law/4216/31.6" TargetMode="External"/><Relationship Id="rId17" Type="http://schemas.openxmlformats.org/officeDocument/2006/relationships/hyperlink" Target="http://www.nevo.co.il/law/5227"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6093386" TargetMode="External"/><Relationship Id="rId38" Type="http://schemas.openxmlformats.org/officeDocument/2006/relationships/hyperlink" Target="http://www.nevo.co.il/case/7012287" TargetMode="External"/><Relationship Id="rId46" Type="http://schemas.openxmlformats.org/officeDocument/2006/relationships/hyperlink" Target="http://www.nevo.co.il/law/4216/36a.b" TargetMode="External"/><Relationship Id="rId59" Type="http://schemas.openxmlformats.org/officeDocument/2006/relationships/header" Target="header1.xml"/><Relationship Id="rId20" Type="http://schemas.openxmlformats.org/officeDocument/2006/relationships/hyperlink" Target="http://www.nevo.co.il/law/4216/13" TargetMode="External"/><Relationship Id="rId41" Type="http://schemas.openxmlformats.org/officeDocument/2006/relationships/hyperlink" Target="http://www.nevo.co.il/case/17011207" TargetMode="External"/><Relationship Id="rId54" Type="http://schemas.openxmlformats.org/officeDocument/2006/relationships/hyperlink" Target="http://www.nevo.co.il/case/7678679"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10" TargetMode="External"/><Relationship Id="rId28" Type="http://schemas.openxmlformats.org/officeDocument/2006/relationships/hyperlink" Target="http://www.nevo.co.il/case/21473042" TargetMode="External"/><Relationship Id="rId36" Type="http://schemas.openxmlformats.org/officeDocument/2006/relationships/hyperlink" Target="http://www.nevo.co.il/case/22934534" TargetMode="External"/><Relationship Id="rId49" Type="http://schemas.openxmlformats.org/officeDocument/2006/relationships/hyperlink" Target="http://www.nevo.co.il/law/4216/36a.a.1" TargetMode="External"/><Relationship Id="rId57" Type="http://schemas.openxmlformats.org/officeDocument/2006/relationships/hyperlink" Target="http://www.nevo.co.il/law/5227/21" TargetMode="External"/><Relationship Id="rId10" Type="http://schemas.openxmlformats.org/officeDocument/2006/relationships/hyperlink" Target="http://www.nevo.co.il/law/4216/10" TargetMode="External"/><Relationship Id="rId31" Type="http://schemas.openxmlformats.org/officeDocument/2006/relationships/hyperlink" Target="http://www.nevo.co.il/case/21644133" TargetMode="External"/><Relationship Id="rId44" Type="http://schemas.openxmlformats.org/officeDocument/2006/relationships/hyperlink" Target="http://www.nevo.co.il/case/20081335" TargetMode="External"/><Relationship Id="rId52" Type="http://schemas.openxmlformats.org/officeDocument/2006/relationships/hyperlink" Target="http://www.nevo.co.il/law/70301/58"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2987</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17892</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5046344</vt:i4>
      </vt:variant>
      <vt:variant>
        <vt:i4>150</vt:i4>
      </vt:variant>
      <vt:variant>
        <vt:i4>0</vt:i4>
      </vt:variant>
      <vt:variant>
        <vt:i4>5</vt:i4>
      </vt:variant>
      <vt:variant>
        <vt:lpwstr>http://www.nevo.co.il/law/5227/21</vt:lpwstr>
      </vt:variant>
      <vt:variant>
        <vt:lpwstr/>
      </vt:variant>
      <vt:variant>
        <vt:i4>8323175</vt:i4>
      </vt:variant>
      <vt:variant>
        <vt:i4>147</vt:i4>
      </vt:variant>
      <vt:variant>
        <vt:i4>0</vt:i4>
      </vt:variant>
      <vt:variant>
        <vt:i4>5</vt:i4>
      </vt:variant>
      <vt:variant>
        <vt:lpwstr>http://www.nevo.co.il/law/5227</vt:lpwstr>
      </vt:variant>
      <vt:variant>
        <vt:lpwstr/>
      </vt:variant>
      <vt:variant>
        <vt:i4>4915272</vt:i4>
      </vt:variant>
      <vt:variant>
        <vt:i4>144</vt:i4>
      </vt:variant>
      <vt:variant>
        <vt:i4>0</vt:i4>
      </vt:variant>
      <vt:variant>
        <vt:i4>5</vt:i4>
      </vt:variant>
      <vt:variant>
        <vt:lpwstr>http://www.nevo.co.il/law/5227/42</vt:lpwstr>
      </vt:variant>
      <vt:variant>
        <vt:lpwstr/>
      </vt:variant>
      <vt:variant>
        <vt:i4>4128893</vt:i4>
      </vt:variant>
      <vt:variant>
        <vt:i4>141</vt:i4>
      </vt:variant>
      <vt:variant>
        <vt:i4>0</vt:i4>
      </vt:variant>
      <vt:variant>
        <vt:i4>5</vt:i4>
      </vt:variant>
      <vt:variant>
        <vt:lpwstr>http://www.nevo.co.il/case/7678679</vt:lpwstr>
      </vt:variant>
      <vt:variant>
        <vt:lpwstr/>
      </vt:variant>
      <vt:variant>
        <vt:i4>7995492</vt:i4>
      </vt:variant>
      <vt:variant>
        <vt:i4>138</vt:i4>
      </vt:variant>
      <vt:variant>
        <vt:i4>0</vt:i4>
      </vt:variant>
      <vt:variant>
        <vt:i4>5</vt:i4>
      </vt:variant>
      <vt:variant>
        <vt:lpwstr>http://www.nevo.co.il/law/70301</vt:lpwstr>
      </vt:variant>
      <vt:variant>
        <vt:lpwstr/>
      </vt:variant>
      <vt:variant>
        <vt:i4>7143520</vt:i4>
      </vt:variant>
      <vt:variant>
        <vt:i4>135</vt:i4>
      </vt:variant>
      <vt:variant>
        <vt:i4>0</vt:i4>
      </vt:variant>
      <vt:variant>
        <vt:i4>5</vt:i4>
      </vt:variant>
      <vt:variant>
        <vt:lpwstr>http://www.nevo.co.il/law/70301/58</vt:lpwstr>
      </vt:variant>
      <vt:variant>
        <vt:lpwstr/>
      </vt:variant>
      <vt:variant>
        <vt:i4>3276927</vt:i4>
      </vt:variant>
      <vt:variant>
        <vt:i4>132</vt:i4>
      </vt:variant>
      <vt:variant>
        <vt:i4>0</vt:i4>
      </vt:variant>
      <vt:variant>
        <vt:i4>5</vt:i4>
      </vt:variant>
      <vt:variant>
        <vt:lpwstr>http://www.nevo.co.il/case/4658655</vt:lpwstr>
      </vt:variant>
      <vt:variant>
        <vt:lpwstr/>
      </vt:variant>
      <vt:variant>
        <vt:i4>3276912</vt:i4>
      </vt:variant>
      <vt:variant>
        <vt:i4>129</vt:i4>
      </vt:variant>
      <vt:variant>
        <vt:i4>0</vt:i4>
      </vt:variant>
      <vt:variant>
        <vt:i4>5</vt:i4>
      </vt:variant>
      <vt:variant>
        <vt:lpwstr>http://www.nevo.co.il/case/22505600</vt:lpwstr>
      </vt:variant>
      <vt:variant>
        <vt:lpwstr/>
      </vt:variant>
      <vt:variant>
        <vt:i4>8126588</vt:i4>
      </vt:variant>
      <vt:variant>
        <vt:i4>126</vt:i4>
      </vt:variant>
      <vt:variant>
        <vt:i4>0</vt:i4>
      </vt:variant>
      <vt:variant>
        <vt:i4>5</vt:i4>
      </vt:variant>
      <vt:variant>
        <vt:lpwstr>http://www.nevo.co.il/law/4216/36a.a.1</vt:lpwstr>
      </vt:variant>
      <vt:variant>
        <vt:lpwstr/>
      </vt:variant>
      <vt:variant>
        <vt:i4>6488187</vt:i4>
      </vt:variant>
      <vt:variant>
        <vt:i4>123</vt:i4>
      </vt:variant>
      <vt:variant>
        <vt:i4>0</vt:i4>
      </vt:variant>
      <vt:variant>
        <vt:i4>5</vt:i4>
      </vt:variant>
      <vt:variant>
        <vt:lpwstr>http://www.nevo.co.il/law/4216/31.6</vt:lpwstr>
      </vt:variant>
      <vt:variant>
        <vt:lpwstr/>
      </vt:variant>
      <vt:variant>
        <vt:i4>5111890</vt:i4>
      </vt:variant>
      <vt:variant>
        <vt:i4>120</vt:i4>
      </vt:variant>
      <vt:variant>
        <vt:i4>0</vt:i4>
      </vt:variant>
      <vt:variant>
        <vt:i4>5</vt:i4>
      </vt:variant>
      <vt:variant>
        <vt:lpwstr>http://www.nevo.co.il/law/4216/36a.b</vt:lpwstr>
      </vt:variant>
      <vt:variant>
        <vt:lpwstr/>
      </vt:variant>
      <vt:variant>
        <vt:i4>5111890</vt:i4>
      </vt:variant>
      <vt:variant>
        <vt:i4>117</vt:i4>
      </vt:variant>
      <vt:variant>
        <vt:i4>0</vt:i4>
      </vt:variant>
      <vt:variant>
        <vt:i4>5</vt:i4>
      </vt:variant>
      <vt:variant>
        <vt:lpwstr>http://www.nevo.co.il/law/4216/36a.b</vt:lpwstr>
      </vt:variant>
      <vt:variant>
        <vt:lpwstr/>
      </vt:variant>
      <vt:variant>
        <vt:i4>3604592</vt:i4>
      </vt:variant>
      <vt:variant>
        <vt:i4>114</vt:i4>
      </vt:variant>
      <vt:variant>
        <vt:i4>0</vt:i4>
      </vt:variant>
      <vt:variant>
        <vt:i4>5</vt:i4>
      </vt:variant>
      <vt:variant>
        <vt:lpwstr>http://www.nevo.co.il/case/16927083</vt:lpwstr>
      </vt:variant>
      <vt:variant>
        <vt:lpwstr/>
      </vt:variant>
      <vt:variant>
        <vt:i4>3145855</vt:i4>
      </vt:variant>
      <vt:variant>
        <vt:i4>111</vt:i4>
      </vt:variant>
      <vt:variant>
        <vt:i4>0</vt:i4>
      </vt:variant>
      <vt:variant>
        <vt:i4>5</vt:i4>
      </vt:variant>
      <vt:variant>
        <vt:lpwstr>http://www.nevo.co.il/case/20081335</vt:lpwstr>
      </vt:variant>
      <vt:variant>
        <vt:lpwstr/>
      </vt:variant>
      <vt:variant>
        <vt:i4>3342448</vt:i4>
      </vt:variant>
      <vt:variant>
        <vt:i4>108</vt:i4>
      </vt:variant>
      <vt:variant>
        <vt:i4>0</vt:i4>
      </vt:variant>
      <vt:variant>
        <vt:i4>5</vt:i4>
      </vt:variant>
      <vt:variant>
        <vt:lpwstr>http://www.nevo.co.il/case/5642705</vt:lpwstr>
      </vt:variant>
      <vt:variant>
        <vt:lpwstr/>
      </vt:variant>
      <vt:variant>
        <vt:i4>3604592</vt:i4>
      </vt:variant>
      <vt:variant>
        <vt:i4>105</vt:i4>
      </vt:variant>
      <vt:variant>
        <vt:i4>0</vt:i4>
      </vt:variant>
      <vt:variant>
        <vt:i4>5</vt:i4>
      </vt:variant>
      <vt:variant>
        <vt:lpwstr>http://www.nevo.co.il/case/17011278</vt:lpwstr>
      </vt:variant>
      <vt:variant>
        <vt:lpwstr/>
      </vt:variant>
      <vt:variant>
        <vt:i4>3145840</vt:i4>
      </vt:variant>
      <vt:variant>
        <vt:i4>102</vt:i4>
      </vt:variant>
      <vt:variant>
        <vt:i4>0</vt:i4>
      </vt:variant>
      <vt:variant>
        <vt:i4>5</vt:i4>
      </vt:variant>
      <vt:variant>
        <vt:lpwstr>http://www.nevo.co.il/case/17011207</vt:lpwstr>
      </vt:variant>
      <vt:variant>
        <vt:lpwstr/>
      </vt:variant>
      <vt:variant>
        <vt:i4>3407991</vt:i4>
      </vt:variant>
      <vt:variant>
        <vt:i4>99</vt:i4>
      </vt:variant>
      <vt:variant>
        <vt:i4>0</vt:i4>
      </vt:variant>
      <vt:variant>
        <vt:i4>5</vt:i4>
      </vt:variant>
      <vt:variant>
        <vt:lpwstr>http://www.nevo.co.il/case/17011540</vt:lpwstr>
      </vt:variant>
      <vt:variant>
        <vt:lpwstr/>
      </vt:variant>
      <vt:variant>
        <vt:i4>3407993</vt:i4>
      </vt:variant>
      <vt:variant>
        <vt:i4>96</vt:i4>
      </vt:variant>
      <vt:variant>
        <vt:i4>0</vt:i4>
      </vt:variant>
      <vt:variant>
        <vt:i4>5</vt:i4>
      </vt:variant>
      <vt:variant>
        <vt:lpwstr>http://www.nevo.co.il/case/3892678</vt:lpwstr>
      </vt:variant>
      <vt:variant>
        <vt:lpwstr/>
      </vt:variant>
      <vt:variant>
        <vt:i4>3342462</vt:i4>
      </vt:variant>
      <vt:variant>
        <vt:i4>93</vt:i4>
      </vt:variant>
      <vt:variant>
        <vt:i4>0</vt:i4>
      </vt:variant>
      <vt:variant>
        <vt:i4>5</vt:i4>
      </vt:variant>
      <vt:variant>
        <vt:lpwstr>http://www.nevo.co.il/case/7012287</vt:lpwstr>
      </vt:variant>
      <vt:variant>
        <vt:lpwstr/>
      </vt:variant>
      <vt:variant>
        <vt:i4>3539062</vt:i4>
      </vt:variant>
      <vt:variant>
        <vt:i4>90</vt:i4>
      </vt:variant>
      <vt:variant>
        <vt:i4>0</vt:i4>
      </vt:variant>
      <vt:variant>
        <vt:i4>5</vt:i4>
      </vt:variant>
      <vt:variant>
        <vt:lpwstr>http://www.nevo.co.il/case/21477472</vt:lpwstr>
      </vt:variant>
      <vt:variant>
        <vt:lpwstr/>
      </vt:variant>
      <vt:variant>
        <vt:i4>3932272</vt:i4>
      </vt:variant>
      <vt:variant>
        <vt:i4>87</vt:i4>
      </vt:variant>
      <vt:variant>
        <vt:i4>0</vt:i4>
      </vt:variant>
      <vt:variant>
        <vt:i4>5</vt:i4>
      </vt:variant>
      <vt:variant>
        <vt:lpwstr>http://www.nevo.co.il/case/22934534</vt:lpwstr>
      </vt:variant>
      <vt:variant>
        <vt:lpwstr/>
      </vt:variant>
      <vt:variant>
        <vt:i4>3473535</vt:i4>
      </vt:variant>
      <vt:variant>
        <vt:i4>84</vt:i4>
      </vt:variant>
      <vt:variant>
        <vt:i4>0</vt:i4>
      </vt:variant>
      <vt:variant>
        <vt:i4>5</vt:i4>
      </vt:variant>
      <vt:variant>
        <vt:lpwstr>http://www.nevo.co.il/case/5605484</vt:lpwstr>
      </vt:variant>
      <vt:variant>
        <vt:lpwstr/>
      </vt:variant>
      <vt:variant>
        <vt:i4>3801214</vt:i4>
      </vt:variant>
      <vt:variant>
        <vt:i4>81</vt:i4>
      </vt:variant>
      <vt:variant>
        <vt:i4>0</vt:i4>
      </vt:variant>
      <vt:variant>
        <vt:i4>5</vt:i4>
      </vt:variant>
      <vt:variant>
        <vt:lpwstr>http://www.nevo.co.il/case/5805976</vt:lpwstr>
      </vt:variant>
      <vt:variant>
        <vt:lpwstr/>
      </vt:variant>
      <vt:variant>
        <vt:i4>3801215</vt:i4>
      </vt:variant>
      <vt:variant>
        <vt:i4>78</vt:i4>
      </vt:variant>
      <vt:variant>
        <vt:i4>0</vt:i4>
      </vt:variant>
      <vt:variant>
        <vt:i4>5</vt:i4>
      </vt:variant>
      <vt:variant>
        <vt:lpwstr>http://www.nevo.co.il/case/6093386</vt:lpwstr>
      </vt:variant>
      <vt:variant>
        <vt:lpwstr/>
      </vt:variant>
      <vt:variant>
        <vt:i4>3866738</vt:i4>
      </vt:variant>
      <vt:variant>
        <vt:i4>75</vt:i4>
      </vt:variant>
      <vt:variant>
        <vt:i4>0</vt:i4>
      </vt:variant>
      <vt:variant>
        <vt:i4>5</vt:i4>
      </vt:variant>
      <vt:variant>
        <vt:lpwstr>http://www.nevo.co.il/case/5726579</vt:lpwstr>
      </vt:variant>
      <vt:variant>
        <vt:lpwstr/>
      </vt:variant>
      <vt:variant>
        <vt:i4>3342448</vt:i4>
      </vt:variant>
      <vt:variant>
        <vt:i4>72</vt:i4>
      </vt:variant>
      <vt:variant>
        <vt:i4>0</vt:i4>
      </vt:variant>
      <vt:variant>
        <vt:i4>5</vt:i4>
      </vt:variant>
      <vt:variant>
        <vt:lpwstr>http://www.nevo.co.il/case/21644133</vt:lpwstr>
      </vt:variant>
      <vt:variant>
        <vt:lpwstr/>
      </vt:variant>
      <vt:variant>
        <vt:i4>3539061</vt:i4>
      </vt:variant>
      <vt:variant>
        <vt:i4>69</vt:i4>
      </vt:variant>
      <vt:variant>
        <vt:i4>0</vt:i4>
      </vt:variant>
      <vt:variant>
        <vt:i4>5</vt:i4>
      </vt:variant>
      <vt:variant>
        <vt:lpwstr>http://www.nevo.co.il/case/5988308</vt:lpwstr>
      </vt:variant>
      <vt:variant>
        <vt:lpwstr/>
      </vt:variant>
      <vt:variant>
        <vt:i4>3276916</vt:i4>
      </vt:variant>
      <vt:variant>
        <vt:i4>66</vt:i4>
      </vt:variant>
      <vt:variant>
        <vt:i4>0</vt:i4>
      </vt:variant>
      <vt:variant>
        <vt:i4>5</vt:i4>
      </vt:variant>
      <vt:variant>
        <vt:lpwstr>http://www.nevo.co.il/case/6241434</vt:lpwstr>
      </vt:variant>
      <vt:variant>
        <vt:lpwstr/>
      </vt:variant>
      <vt:variant>
        <vt:i4>3211378</vt:i4>
      </vt:variant>
      <vt:variant>
        <vt:i4>63</vt:i4>
      </vt:variant>
      <vt:variant>
        <vt:i4>0</vt:i4>
      </vt:variant>
      <vt:variant>
        <vt:i4>5</vt:i4>
      </vt:variant>
      <vt:variant>
        <vt:lpwstr>http://www.nevo.co.il/case/21473042</vt:lpwstr>
      </vt:variant>
      <vt:variant>
        <vt:lpwstr/>
      </vt:variant>
      <vt:variant>
        <vt:i4>3473526</vt:i4>
      </vt:variant>
      <vt:variant>
        <vt:i4>60</vt:i4>
      </vt:variant>
      <vt:variant>
        <vt:i4>0</vt:i4>
      </vt:variant>
      <vt:variant>
        <vt:i4>5</vt:i4>
      </vt:variant>
      <vt:variant>
        <vt:lpwstr>http://www.nevo.co.il/case/17023776</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5111890</vt:i4>
      </vt:variant>
      <vt:variant>
        <vt:i4>51</vt:i4>
      </vt:variant>
      <vt:variant>
        <vt:i4>0</vt:i4>
      </vt:variant>
      <vt:variant>
        <vt:i4>5</vt:i4>
      </vt:variant>
      <vt:variant>
        <vt:lpwstr>http://www.nevo.co.il/law/4216/36a.b</vt:lpwstr>
      </vt:variant>
      <vt:variant>
        <vt:lpwstr/>
      </vt:variant>
      <vt:variant>
        <vt:i4>5177418</vt:i4>
      </vt:variant>
      <vt:variant>
        <vt:i4>48</vt:i4>
      </vt:variant>
      <vt:variant>
        <vt:i4>0</vt:i4>
      </vt:variant>
      <vt:variant>
        <vt:i4>5</vt:i4>
      </vt:variant>
      <vt:variant>
        <vt:lpwstr>http://www.nevo.co.il/law/4216/10</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8257637</vt:i4>
      </vt:variant>
      <vt:variant>
        <vt:i4>42</vt:i4>
      </vt:variant>
      <vt:variant>
        <vt:i4>0</vt:i4>
      </vt:variant>
      <vt:variant>
        <vt:i4>5</vt:i4>
      </vt:variant>
      <vt:variant>
        <vt:lpwstr>http://www.nevo.co.il/law/4216</vt:lpwstr>
      </vt:variant>
      <vt:variant>
        <vt:lpwstr/>
      </vt:variant>
      <vt:variant>
        <vt:i4>5177418</vt:i4>
      </vt:variant>
      <vt:variant>
        <vt:i4>39</vt:i4>
      </vt:variant>
      <vt:variant>
        <vt:i4>0</vt:i4>
      </vt:variant>
      <vt:variant>
        <vt:i4>5</vt:i4>
      </vt:variant>
      <vt:variant>
        <vt:lpwstr>http://www.nevo.co.il/law/4216/13</vt:lpwstr>
      </vt:variant>
      <vt:variant>
        <vt:lpwstr/>
      </vt:variant>
      <vt:variant>
        <vt:i4>4915272</vt:i4>
      </vt:variant>
      <vt:variant>
        <vt:i4>36</vt:i4>
      </vt:variant>
      <vt:variant>
        <vt:i4>0</vt:i4>
      </vt:variant>
      <vt:variant>
        <vt:i4>5</vt:i4>
      </vt:variant>
      <vt:variant>
        <vt:lpwstr>http://www.nevo.co.il/law/5227/42</vt:lpwstr>
      </vt:variant>
      <vt:variant>
        <vt:lpwstr/>
      </vt:variant>
      <vt:variant>
        <vt:i4>5046344</vt:i4>
      </vt:variant>
      <vt:variant>
        <vt:i4>33</vt:i4>
      </vt:variant>
      <vt:variant>
        <vt:i4>0</vt:i4>
      </vt:variant>
      <vt:variant>
        <vt:i4>5</vt:i4>
      </vt:variant>
      <vt:variant>
        <vt:lpwstr>http://www.nevo.co.il/law/5227/21</vt:lpwstr>
      </vt:variant>
      <vt:variant>
        <vt:lpwstr/>
      </vt:variant>
      <vt:variant>
        <vt:i4>8323175</vt:i4>
      </vt:variant>
      <vt:variant>
        <vt:i4>30</vt:i4>
      </vt:variant>
      <vt:variant>
        <vt:i4>0</vt:i4>
      </vt:variant>
      <vt:variant>
        <vt:i4>5</vt:i4>
      </vt:variant>
      <vt:variant>
        <vt:lpwstr>http://www.nevo.co.il/law/5227</vt:lpwstr>
      </vt:variant>
      <vt:variant>
        <vt:lpwstr/>
      </vt:variant>
      <vt:variant>
        <vt:i4>7143520</vt:i4>
      </vt:variant>
      <vt:variant>
        <vt:i4>27</vt:i4>
      </vt:variant>
      <vt:variant>
        <vt:i4>0</vt:i4>
      </vt:variant>
      <vt:variant>
        <vt:i4>5</vt:i4>
      </vt:variant>
      <vt:variant>
        <vt:lpwstr>http://www.nevo.co.il/law/70301/58</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8126588</vt:i4>
      </vt:variant>
      <vt:variant>
        <vt:i4>18</vt:i4>
      </vt:variant>
      <vt:variant>
        <vt:i4>0</vt:i4>
      </vt:variant>
      <vt:variant>
        <vt:i4>5</vt:i4>
      </vt:variant>
      <vt:variant>
        <vt:lpwstr>http://www.nevo.co.il/law/4216/36a.a.1</vt:lpwstr>
      </vt:variant>
      <vt:variant>
        <vt:lpwstr/>
      </vt:variant>
      <vt:variant>
        <vt:i4>6488187</vt:i4>
      </vt:variant>
      <vt:variant>
        <vt:i4>15</vt:i4>
      </vt:variant>
      <vt:variant>
        <vt:i4>0</vt:i4>
      </vt:variant>
      <vt:variant>
        <vt:i4>5</vt:i4>
      </vt:variant>
      <vt:variant>
        <vt:lpwstr>http://www.nevo.co.il/law/4216/31.6</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2025-04-22T23:21:00Z</dcterms:created>
  <dcterms:modified xsi:type="dcterms:W3CDTF">2025-04-22T23:21:00Z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34353</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זאור אבשלומוב</vt:lpwstr>
  </property>
  <property fmtid="{D5CDD505-2E9C-101B-9397-08002B2CF9AE}" pid="10" name="LAWYER">
    <vt:lpwstr>יוני דדון</vt:lpwstr>
  </property>
  <property fmtid="{D5CDD505-2E9C-101B-9397-08002B2CF9AE}" pid="11" name="JUDGE">
    <vt:lpwstr>יוסי טורס</vt:lpwstr>
  </property>
  <property fmtid="{D5CDD505-2E9C-101B-9397-08002B2CF9AE}" pid="12" name="CITY">
    <vt:lpwstr>קריות</vt:lpwstr>
  </property>
  <property fmtid="{D5CDD505-2E9C-101B-9397-08002B2CF9AE}" pid="13" name="DATE">
    <vt:lpwstr>20170904</vt:lpwstr>
  </property>
  <property fmtid="{D5CDD505-2E9C-101B-9397-08002B2CF9AE}" pid="14" name="TYPE_N_DATE">
    <vt:lpwstr>38020170904</vt:lpwstr>
  </property>
  <property fmtid="{D5CDD505-2E9C-101B-9397-08002B2CF9AE}" pid="15" name="CASESLISTTMP1">
    <vt:lpwstr>13093721;17023776;21473042;6241434;5988308;21644133;5726579;6093386;5805976;5605484;22934534;21477472;7012287;3892678;17011540;17011207;17011278;5642705;20081335;16927083;22505600;4658655;7678679</vt:lpwstr>
  </property>
  <property fmtid="{D5CDD505-2E9C-101B-9397-08002B2CF9AE}" pid="16" name="WORDNUMPAGES">
    <vt:lpwstr>9</vt:lpwstr>
  </property>
  <property fmtid="{D5CDD505-2E9C-101B-9397-08002B2CF9AE}" pid="17" name="TYPE_ABS_DATE">
    <vt:lpwstr>380020170904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4216/013;007.a;007.c;010;036a.b:3;031.6;036a.a.1</vt:lpwstr>
  </property>
  <property fmtid="{D5CDD505-2E9C-101B-9397-08002B2CF9AE}" pid="37" name="LAWLISTTMP2">
    <vt:lpwstr>70301/058</vt:lpwstr>
  </property>
  <property fmtid="{D5CDD505-2E9C-101B-9397-08002B2CF9AE}" pid="38" name="LAWLISTTMP3">
    <vt:lpwstr>5227/042;021</vt:lpwstr>
  </property>
</Properties>
</file>