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472558" w:rsidRPr="00A42922" w14:paraId="1C60D85D" w14:textId="77777777" w:rsidTr="008A0C27">
        <w:trPr>
          <w:trHeight w:hRule="exact" w:val="418"/>
          <w:jc w:val="center"/>
        </w:trPr>
        <w:tc>
          <w:tcPr>
            <w:tcW w:w="8721" w:type="dxa"/>
            <w:gridSpan w:val="2"/>
          </w:tcPr>
          <w:p w14:paraId="01C5CD47" w14:textId="77777777" w:rsidR="00472558" w:rsidRPr="00A42922" w:rsidRDefault="00472558" w:rsidP="005139F7">
            <w:pPr>
              <w:pStyle w:val="a3"/>
              <w:jc w:val="center"/>
              <w:rPr>
                <w:rFonts w:ascii="Tahoma" w:hAnsi="Tahoma"/>
                <w:color w:val="000080"/>
                <w:sz w:val="32"/>
                <w:szCs w:val="32"/>
                <w:rtl/>
              </w:rPr>
            </w:pPr>
            <w:bookmarkStart w:id="0" w:name="LastJudge"/>
            <w:r w:rsidRPr="00A42922">
              <w:rPr>
                <w:rFonts w:ascii="Tahoma" w:hAnsi="Tahoma"/>
                <w:b/>
                <w:bCs/>
                <w:color w:val="000080"/>
                <w:sz w:val="32"/>
                <w:szCs w:val="32"/>
                <w:rtl/>
              </w:rPr>
              <w:t>בית משפט השלום בתל אביב - יפו</w:t>
            </w:r>
          </w:p>
        </w:tc>
      </w:tr>
      <w:tr w:rsidR="00472558" w:rsidRPr="00A42922" w14:paraId="534A8325" w14:textId="77777777" w:rsidTr="008A0C27">
        <w:trPr>
          <w:trHeight w:val="337"/>
          <w:jc w:val="center"/>
        </w:trPr>
        <w:tc>
          <w:tcPr>
            <w:tcW w:w="5054" w:type="dxa"/>
          </w:tcPr>
          <w:p w14:paraId="4A592AC6" w14:textId="77777777" w:rsidR="00472558" w:rsidRPr="00A42922" w:rsidRDefault="00472558" w:rsidP="005139F7">
            <w:pPr>
              <w:rPr>
                <w:sz w:val="26"/>
                <w:szCs w:val="26"/>
                <w:rtl/>
              </w:rPr>
            </w:pPr>
            <w:r w:rsidRPr="00A42922">
              <w:rPr>
                <w:sz w:val="26"/>
                <w:szCs w:val="26"/>
                <w:rtl/>
              </w:rPr>
              <w:t>ת"פ</w:t>
            </w:r>
            <w:r w:rsidRPr="00A42922">
              <w:rPr>
                <w:rFonts w:hint="cs"/>
                <w:sz w:val="26"/>
                <w:szCs w:val="26"/>
                <w:rtl/>
              </w:rPr>
              <w:t xml:space="preserve"> </w:t>
            </w:r>
            <w:r w:rsidRPr="00A42922">
              <w:rPr>
                <w:sz w:val="26"/>
                <w:szCs w:val="26"/>
                <w:rtl/>
              </w:rPr>
              <w:t>44097-03-17</w:t>
            </w:r>
            <w:r w:rsidRPr="00A42922">
              <w:rPr>
                <w:rFonts w:hint="cs"/>
                <w:sz w:val="26"/>
                <w:szCs w:val="26"/>
                <w:rtl/>
              </w:rPr>
              <w:t xml:space="preserve"> </w:t>
            </w:r>
            <w:r w:rsidRPr="00A42922">
              <w:rPr>
                <w:sz w:val="26"/>
                <w:szCs w:val="26"/>
                <w:rtl/>
              </w:rPr>
              <w:t>מדינת ישראל נ' טן</w:t>
            </w:r>
          </w:p>
        </w:tc>
        <w:tc>
          <w:tcPr>
            <w:tcW w:w="3667" w:type="dxa"/>
          </w:tcPr>
          <w:p w14:paraId="59CAC73E" w14:textId="77777777" w:rsidR="00472558" w:rsidRPr="00A42922" w:rsidRDefault="00472558" w:rsidP="005139F7">
            <w:pPr>
              <w:pStyle w:val="a3"/>
              <w:jc w:val="right"/>
              <w:rPr>
                <w:rFonts w:cs="FrankRuehl"/>
                <w:sz w:val="28"/>
                <w:szCs w:val="28"/>
                <w:rtl/>
              </w:rPr>
            </w:pPr>
          </w:p>
        </w:tc>
      </w:tr>
    </w:tbl>
    <w:p w14:paraId="6C95F250" w14:textId="77777777" w:rsidR="00472558" w:rsidRPr="00A42922" w:rsidRDefault="00472558" w:rsidP="00472558">
      <w:pPr>
        <w:pStyle w:val="a3"/>
        <w:rPr>
          <w:rtl/>
        </w:rPr>
      </w:pPr>
      <w:r w:rsidRPr="00A42922">
        <w:rPr>
          <w:rFonts w:hint="cs"/>
          <w:rtl/>
        </w:rPr>
        <w:t xml:space="preserve"> </w:t>
      </w:r>
    </w:p>
    <w:p w14:paraId="4F7DD907" w14:textId="77777777" w:rsidR="00472558" w:rsidRPr="00A42922" w:rsidRDefault="00472558" w:rsidP="0047255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4212"/>
        <w:gridCol w:w="3377"/>
      </w:tblGrid>
      <w:tr w:rsidR="00472558" w:rsidRPr="00A42922" w14:paraId="08FEC34C" w14:textId="77777777" w:rsidTr="00472558">
        <w:trPr>
          <w:trHeight w:val="295"/>
          <w:jc w:val="center"/>
        </w:trPr>
        <w:tc>
          <w:tcPr>
            <w:tcW w:w="8820" w:type="dxa"/>
            <w:gridSpan w:val="3"/>
            <w:tcBorders>
              <w:top w:val="nil"/>
              <w:left w:val="nil"/>
              <w:bottom w:val="nil"/>
              <w:right w:val="nil"/>
            </w:tcBorders>
            <w:shd w:val="clear" w:color="auto" w:fill="auto"/>
          </w:tcPr>
          <w:p w14:paraId="29FBC606" w14:textId="77777777" w:rsidR="00472558" w:rsidRPr="00A42922" w:rsidRDefault="00472558" w:rsidP="00472558">
            <w:pPr>
              <w:jc w:val="both"/>
              <w:rPr>
                <w:sz w:val="26"/>
                <w:szCs w:val="26"/>
                <w:rtl/>
              </w:rPr>
            </w:pPr>
            <w:r w:rsidRPr="00A42922">
              <w:rPr>
                <w:rFonts w:ascii="Arial" w:hAnsi="Arial" w:hint="cs"/>
                <w:b/>
                <w:bCs/>
                <w:sz w:val="26"/>
                <w:szCs w:val="26"/>
                <w:rtl/>
              </w:rPr>
              <w:t>ל</w:t>
            </w:r>
            <w:r w:rsidRPr="00A42922">
              <w:rPr>
                <w:rFonts w:ascii="Arial" w:hAnsi="Arial"/>
                <w:b/>
                <w:bCs/>
                <w:sz w:val="26"/>
                <w:szCs w:val="26"/>
                <w:rtl/>
              </w:rPr>
              <w:t xml:space="preserve">פני </w:t>
            </w:r>
            <w:r w:rsidRPr="00A42922">
              <w:rPr>
                <w:rFonts w:ascii="Arial" w:hAnsi="Arial" w:hint="cs"/>
                <w:b/>
                <w:bCs/>
                <w:sz w:val="26"/>
                <w:szCs w:val="26"/>
                <w:rtl/>
              </w:rPr>
              <w:t>כבוד ה</w:t>
            </w:r>
            <w:r w:rsidRPr="00A42922">
              <w:rPr>
                <w:rFonts w:ascii="Arial" w:hAnsi="Arial"/>
                <w:b/>
                <w:bCs/>
                <w:sz w:val="26"/>
                <w:szCs w:val="26"/>
                <w:rtl/>
              </w:rPr>
              <w:t>שופט</w:t>
            </w:r>
            <w:r w:rsidRPr="00A42922">
              <w:rPr>
                <w:rFonts w:ascii="Arial" w:hAnsi="Arial" w:hint="cs"/>
                <w:b/>
                <w:bCs/>
                <w:sz w:val="26"/>
                <w:szCs w:val="26"/>
                <w:rtl/>
              </w:rPr>
              <w:t xml:space="preserve">  </w:t>
            </w:r>
            <w:r w:rsidRPr="00A42922">
              <w:rPr>
                <w:rFonts w:ascii="Arial" w:hAnsi="Arial"/>
                <w:b/>
                <w:bCs/>
                <w:sz w:val="26"/>
                <w:szCs w:val="26"/>
                <w:rtl/>
              </w:rPr>
              <w:t>עידו דרויאן-גמליאל</w:t>
            </w:r>
          </w:p>
          <w:p w14:paraId="3AE89DE9" w14:textId="77777777" w:rsidR="00472558" w:rsidRPr="00A42922" w:rsidRDefault="00472558" w:rsidP="00472558">
            <w:pPr>
              <w:jc w:val="both"/>
              <w:rPr>
                <w:rFonts w:ascii="Arial" w:hAnsi="Arial"/>
                <w:b/>
                <w:bCs/>
                <w:sz w:val="26"/>
                <w:szCs w:val="26"/>
              </w:rPr>
            </w:pPr>
          </w:p>
        </w:tc>
      </w:tr>
      <w:tr w:rsidR="00472558" w:rsidRPr="00A42922" w14:paraId="001BB588" w14:textId="77777777" w:rsidTr="00472558">
        <w:trPr>
          <w:trHeight w:val="355"/>
          <w:jc w:val="center"/>
        </w:trPr>
        <w:tc>
          <w:tcPr>
            <w:tcW w:w="885" w:type="dxa"/>
            <w:tcBorders>
              <w:top w:val="nil"/>
              <w:left w:val="nil"/>
              <w:bottom w:val="nil"/>
              <w:right w:val="nil"/>
            </w:tcBorders>
            <w:shd w:val="clear" w:color="auto" w:fill="auto"/>
          </w:tcPr>
          <w:p w14:paraId="3096F14F" w14:textId="77777777" w:rsidR="00472558" w:rsidRPr="00A42922" w:rsidRDefault="00472558" w:rsidP="00472558">
            <w:pPr>
              <w:jc w:val="both"/>
              <w:rPr>
                <w:rFonts w:ascii="Arial" w:hAnsi="Arial"/>
                <w:b/>
                <w:bCs/>
                <w:sz w:val="26"/>
                <w:szCs w:val="26"/>
              </w:rPr>
            </w:pPr>
            <w:bookmarkStart w:id="1" w:name="FirstAppellant"/>
            <w:bookmarkStart w:id="2" w:name="FirstLawyer"/>
            <w:r w:rsidRPr="00A42922">
              <w:rPr>
                <w:rFonts w:ascii="Arial" w:hAnsi="Arial" w:hint="cs"/>
                <w:b/>
                <w:bCs/>
                <w:sz w:val="26"/>
                <w:szCs w:val="26"/>
                <w:rtl/>
              </w:rPr>
              <w:t>ה</w:t>
            </w:r>
            <w:r w:rsidRPr="00A42922">
              <w:rPr>
                <w:rFonts w:ascii="Arial" w:hAnsi="Arial"/>
                <w:b/>
                <w:bCs/>
                <w:sz w:val="26"/>
                <w:szCs w:val="26"/>
                <w:rtl/>
              </w:rPr>
              <w:t>מאשימה</w:t>
            </w:r>
          </w:p>
        </w:tc>
        <w:tc>
          <w:tcPr>
            <w:tcW w:w="4384" w:type="dxa"/>
            <w:tcBorders>
              <w:top w:val="nil"/>
              <w:left w:val="nil"/>
              <w:bottom w:val="nil"/>
              <w:right w:val="nil"/>
            </w:tcBorders>
            <w:shd w:val="clear" w:color="auto" w:fill="auto"/>
          </w:tcPr>
          <w:p w14:paraId="29B42E1B" w14:textId="77777777" w:rsidR="00472558" w:rsidRPr="00A42922" w:rsidRDefault="00472558" w:rsidP="005139F7">
            <w:pPr>
              <w:rPr>
                <w:b/>
                <w:bCs/>
                <w:sz w:val="26"/>
                <w:szCs w:val="26"/>
                <w:rtl/>
              </w:rPr>
            </w:pPr>
            <w:r w:rsidRPr="00A42922">
              <w:rPr>
                <w:rFonts w:ascii="Arial" w:hAnsi="Arial"/>
                <w:b/>
                <w:bCs/>
                <w:sz w:val="26"/>
                <w:szCs w:val="26"/>
                <w:rtl/>
              </w:rPr>
              <w:t>מדינת ישראל</w:t>
            </w:r>
          </w:p>
          <w:p w14:paraId="00598373" w14:textId="77777777" w:rsidR="00472558" w:rsidRPr="00A42922" w:rsidRDefault="00472558" w:rsidP="005139F7">
            <w:pPr>
              <w:rPr>
                <w:sz w:val="26"/>
                <w:szCs w:val="26"/>
              </w:rPr>
            </w:pPr>
            <w:r w:rsidRPr="00A42922">
              <w:rPr>
                <w:rFonts w:hint="cs"/>
                <w:sz w:val="26"/>
                <w:szCs w:val="26"/>
                <w:rtl/>
              </w:rPr>
              <w:t>ע"י ב"כ עו"ד חבר וקיפניס-פרדמן</w:t>
            </w:r>
          </w:p>
        </w:tc>
        <w:tc>
          <w:tcPr>
            <w:tcW w:w="3551" w:type="dxa"/>
            <w:tcBorders>
              <w:top w:val="nil"/>
              <w:left w:val="nil"/>
              <w:bottom w:val="nil"/>
              <w:right w:val="nil"/>
            </w:tcBorders>
            <w:shd w:val="clear" w:color="auto" w:fill="auto"/>
          </w:tcPr>
          <w:p w14:paraId="05148AC1" w14:textId="77777777" w:rsidR="00472558" w:rsidRPr="00A42922" w:rsidRDefault="00472558" w:rsidP="00472558">
            <w:pPr>
              <w:jc w:val="both"/>
              <w:rPr>
                <w:rFonts w:ascii="Arial" w:hAnsi="Arial"/>
                <w:sz w:val="26"/>
                <w:szCs w:val="26"/>
              </w:rPr>
            </w:pPr>
          </w:p>
        </w:tc>
      </w:tr>
      <w:bookmarkEnd w:id="1"/>
      <w:bookmarkEnd w:id="2"/>
      <w:tr w:rsidR="00472558" w:rsidRPr="00A42922" w14:paraId="364AA61D" w14:textId="77777777" w:rsidTr="00472558">
        <w:trPr>
          <w:trHeight w:val="373"/>
          <w:jc w:val="center"/>
        </w:trPr>
        <w:tc>
          <w:tcPr>
            <w:tcW w:w="885" w:type="dxa"/>
            <w:tcBorders>
              <w:top w:val="nil"/>
              <w:left w:val="nil"/>
              <w:bottom w:val="nil"/>
              <w:right w:val="nil"/>
            </w:tcBorders>
            <w:shd w:val="clear" w:color="auto" w:fill="auto"/>
          </w:tcPr>
          <w:p w14:paraId="420FD2B9" w14:textId="77777777" w:rsidR="00472558" w:rsidRPr="00A42922" w:rsidRDefault="00472558" w:rsidP="00472558">
            <w:pPr>
              <w:jc w:val="both"/>
              <w:rPr>
                <w:rFonts w:ascii="Arial" w:hAnsi="Arial"/>
                <w:sz w:val="26"/>
                <w:szCs w:val="26"/>
                <w:rtl/>
              </w:rPr>
            </w:pPr>
          </w:p>
        </w:tc>
        <w:tc>
          <w:tcPr>
            <w:tcW w:w="7935" w:type="dxa"/>
            <w:gridSpan w:val="2"/>
            <w:tcBorders>
              <w:top w:val="nil"/>
              <w:left w:val="nil"/>
              <w:bottom w:val="nil"/>
              <w:right w:val="nil"/>
            </w:tcBorders>
            <w:shd w:val="clear" w:color="auto" w:fill="auto"/>
          </w:tcPr>
          <w:p w14:paraId="7413CC3A" w14:textId="77777777" w:rsidR="00472558" w:rsidRPr="00A42922" w:rsidRDefault="00472558" w:rsidP="00472558">
            <w:pPr>
              <w:jc w:val="center"/>
              <w:rPr>
                <w:rFonts w:ascii="Arial" w:hAnsi="Arial"/>
                <w:b/>
                <w:bCs/>
                <w:sz w:val="26"/>
                <w:szCs w:val="26"/>
                <w:rtl/>
              </w:rPr>
            </w:pPr>
          </w:p>
          <w:p w14:paraId="368ED06C" w14:textId="77777777" w:rsidR="00472558" w:rsidRPr="00A42922" w:rsidRDefault="00472558" w:rsidP="00472558">
            <w:pPr>
              <w:jc w:val="center"/>
              <w:rPr>
                <w:rFonts w:ascii="Arial" w:hAnsi="Arial"/>
                <w:b/>
                <w:bCs/>
                <w:sz w:val="26"/>
                <w:szCs w:val="26"/>
                <w:rtl/>
              </w:rPr>
            </w:pPr>
            <w:r w:rsidRPr="00A42922">
              <w:rPr>
                <w:rFonts w:ascii="Arial" w:hAnsi="Arial"/>
                <w:b/>
                <w:bCs/>
                <w:sz w:val="26"/>
                <w:szCs w:val="26"/>
                <w:rtl/>
              </w:rPr>
              <w:t>נגד</w:t>
            </w:r>
          </w:p>
          <w:p w14:paraId="1FDE82BF" w14:textId="77777777" w:rsidR="00472558" w:rsidRPr="00A42922" w:rsidRDefault="00472558" w:rsidP="00472558">
            <w:pPr>
              <w:jc w:val="both"/>
              <w:rPr>
                <w:rFonts w:ascii="Arial" w:hAnsi="Arial"/>
                <w:sz w:val="26"/>
                <w:szCs w:val="26"/>
              </w:rPr>
            </w:pPr>
          </w:p>
        </w:tc>
      </w:tr>
      <w:tr w:rsidR="00472558" w:rsidRPr="00A42922" w14:paraId="09A6BD14" w14:textId="77777777" w:rsidTr="00472558">
        <w:trPr>
          <w:trHeight w:val="355"/>
          <w:jc w:val="center"/>
        </w:trPr>
        <w:tc>
          <w:tcPr>
            <w:tcW w:w="885" w:type="dxa"/>
            <w:tcBorders>
              <w:top w:val="nil"/>
              <w:left w:val="nil"/>
              <w:bottom w:val="nil"/>
              <w:right w:val="nil"/>
            </w:tcBorders>
            <w:shd w:val="clear" w:color="auto" w:fill="auto"/>
          </w:tcPr>
          <w:p w14:paraId="68D3805F" w14:textId="77777777" w:rsidR="00472558" w:rsidRPr="00A42922" w:rsidRDefault="00472558" w:rsidP="005139F7">
            <w:pPr>
              <w:rPr>
                <w:rFonts w:ascii="Arial" w:hAnsi="Arial"/>
                <w:b/>
                <w:bCs/>
                <w:sz w:val="26"/>
                <w:szCs w:val="26"/>
                <w:rtl/>
              </w:rPr>
            </w:pPr>
            <w:r w:rsidRPr="00A42922">
              <w:rPr>
                <w:rFonts w:ascii="Arial" w:hAnsi="Arial" w:hint="cs"/>
                <w:b/>
                <w:bCs/>
                <w:sz w:val="26"/>
                <w:szCs w:val="26"/>
                <w:rtl/>
              </w:rPr>
              <w:t>ה</w:t>
            </w:r>
            <w:r w:rsidRPr="00A42922">
              <w:rPr>
                <w:rFonts w:ascii="Arial" w:hAnsi="Arial"/>
                <w:b/>
                <w:bCs/>
                <w:sz w:val="26"/>
                <w:szCs w:val="26"/>
                <w:rtl/>
              </w:rPr>
              <w:t>נאשם</w:t>
            </w:r>
          </w:p>
        </w:tc>
        <w:tc>
          <w:tcPr>
            <w:tcW w:w="4384" w:type="dxa"/>
            <w:tcBorders>
              <w:top w:val="nil"/>
              <w:left w:val="nil"/>
              <w:bottom w:val="nil"/>
              <w:right w:val="nil"/>
            </w:tcBorders>
            <w:shd w:val="clear" w:color="auto" w:fill="auto"/>
          </w:tcPr>
          <w:p w14:paraId="14F0B48D" w14:textId="77777777" w:rsidR="00472558" w:rsidRPr="00A42922" w:rsidRDefault="00472558" w:rsidP="005139F7">
            <w:pPr>
              <w:rPr>
                <w:b/>
                <w:bCs/>
                <w:sz w:val="26"/>
                <w:szCs w:val="26"/>
                <w:rtl/>
              </w:rPr>
            </w:pPr>
            <w:r w:rsidRPr="00A42922">
              <w:rPr>
                <w:rFonts w:ascii="Arial" w:hAnsi="Arial"/>
                <w:b/>
                <w:bCs/>
                <w:sz w:val="26"/>
                <w:szCs w:val="26"/>
                <w:rtl/>
              </w:rPr>
              <w:t>אלכסנדר טן</w:t>
            </w:r>
          </w:p>
          <w:p w14:paraId="714B383F" w14:textId="77777777" w:rsidR="00472558" w:rsidRPr="00A42922" w:rsidRDefault="00472558" w:rsidP="005139F7">
            <w:pPr>
              <w:rPr>
                <w:sz w:val="26"/>
                <w:szCs w:val="26"/>
                <w:rtl/>
              </w:rPr>
            </w:pPr>
            <w:r w:rsidRPr="00A42922">
              <w:rPr>
                <w:rFonts w:hint="cs"/>
                <w:sz w:val="26"/>
                <w:szCs w:val="26"/>
                <w:rtl/>
              </w:rPr>
              <w:t>ע"י ב"כ עו"ד טלמור</w:t>
            </w:r>
          </w:p>
        </w:tc>
        <w:tc>
          <w:tcPr>
            <w:tcW w:w="3551" w:type="dxa"/>
            <w:tcBorders>
              <w:top w:val="nil"/>
              <w:left w:val="nil"/>
              <w:bottom w:val="nil"/>
              <w:right w:val="nil"/>
            </w:tcBorders>
            <w:shd w:val="clear" w:color="auto" w:fill="auto"/>
          </w:tcPr>
          <w:p w14:paraId="6DB9BD79" w14:textId="77777777" w:rsidR="00472558" w:rsidRPr="00A42922" w:rsidRDefault="00472558" w:rsidP="00472558">
            <w:pPr>
              <w:jc w:val="right"/>
              <w:rPr>
                <w:rFonts w:ascii="Arial" w:hAnsi="Arial"/>
                <w:sz w:val="26"/>
                <w:szCs w:val="26"/>
              </w:rPr>
            </w:pPr>
          </w:p>
        </w:tc>
      </w:tr>
    </w:tbl>
    <w:p w14:paraId="5CB04DF4" w14:textId="77777777" w:rsidR="008A0C27" w:rsidRDefault="008A0C27" w:rsidP="00472558">
      <w:pPr>
        <w:rPr>
          <w:rtl/>
        </w:rPr>
      </w:pPr>
      <w:bookmarkStart w:id="3" w:name="LawTable"/>
      <w:bookmarkEnd w:id="3"/>
    </w:p>
    <w:p w14:paraId="72AB717D" w14:textId="77777777" w:rsidR="008A0C27" w:rsidRPr="008A0C27" w:rsidRDefault="008A0C27" w:rsidP="008A0C27">
      <w:pPr>
        <w:spacing w:after="120" w:line="240" w:lineRule="exact"/>
        <w:ind w:left="283" w:hanging="283"/>
        <w:jc w:val="both"/>
        <w:rPr>
          <w:rFonts w:ascii="FrankRuehl" w:hAnsi="FrankRuehl" w:cs="FrankRuehl"/>
          <w:rtl/>
        </w:rPr>
      </w:pPr>
      <w:r w:rsidRPr="008A0C27">
        <w:rPr>
          <w:rFonts w:ascii="FrankRuehl" w:hAnsi="FrankRuehl" w:cs="FrankRuehl"/>
          <w:rtl/>
        </w:rPr>
        <w:t xml:space="preserve">חקיקה שאוזכרה: </w:t>
      </w:r>
    </w:p>
    <w:p w14:paraId="362DBF2C" w14:textId="77777777" w:rsidR="008A0C27" w:rsidRPr="008A0C27" w:rsidRDefault="008A0C27" w:rsidP="008A0C27">
      <w:pPr>
        <w:spacing w:after="120" w:line="240" w:lineRule="exact"/>
        <w:ind w:left="283" w:hanging="283"/>
        <w:jc w:val="both"/>
        <w:rPr>
          <w:rFonts w:ascii="FrankRuehl" w:hAnsi="FrankRuehl" w:cs="FrankRuehl"/>
          <w:rtl/>
        </w:rPr>
      </w:pPr>
      <w:hyperlink r:id="rId7" w:history="1">
        <w:r w:rsidRPr="008A0C27">
          <w:rPr>
            <w:rFonts w:ascii="FrankRuehl" w:hAnsi="FrankRuehl" w:cs="FrankRuehl"/>
            <w:color w:val="0000FF"/>
            <w:u w:val="single"/>
            <w:rtl/>
          </w:rPr>
          <w:t>תקנות התעבורה, תשכ"א-1961 - לא מרובדות</w:t>
        </w:r>
      </w:hyperlink>
      <w:r w:rsidRPr="008A0C27">
        <w:rPr>
          <w:rFonts w:ascii="FrankRuehl" w:hAnsi="FrankRuehl" w:cs="FrankRuehl"/>
          <w:rtl/>
        </w:rPr>
        <w:t xml:space="preserve">: סע'  </w:t>
      </w:r>
      <w:hyperlink r:id="rId8" w:history="1">
        <w:r w:rsidRPr="008A0C27">
          <w:rPr>
            <w:rFonts w:ascii="FrankRuehl" w:hAnsi="FrankRuehl" w:cs="FrankRuehl"/>
            <w:color w:val="0000FF"/>
            <w:u w:val="single"/>
            <w:rtl/>
          </w:rPr>
          <w:t>26(2)</w:t>
        </w:r>
      </w:hyperlink>
    </w:p>
    <w:p w14:paraId="140BD114" w14:textId="77777777" w:rsidR="008A0C27" w:rsidRPr="008A0C27" w:rsidRDefault="008A0C27" w:rsidP="008A0C27">
      <w:pPr>
        <w:spacing w:after="120" w:line="240" w:lineRule="exact"/>
        <w:ind w:left="283" w:hanging="283"/>
        <w:jc w:val="both"/>
        <w:rPr>
          <w:rFonts w:ascii="FrankRuehl" w:hAnsi="FrankRuehl" w:cs="FrankRuehl"/>
          <w:rtl/>
        </w:rPr>
      </w:pPr>
      <w:hyperlink r:id="rId9" w:history="1">
        <w:r w:rsidRPr="008A0C27">
          <w:rPr>
            <w:rFonts w:ascii="FrankRuehl" w:hAnsi="FrankRuehl" w:cs="FrankRuehl"/>
            <w:color w:val="0000FF"/>
            <w:u w:val="single"/>
            <w:rtl/>
          </w:rPr>
          <w:t>פקודת התעבורה [נוסח חדש]</w:t>
        </w:r>
      </w:hyperlink>
      <w:r w:rsidRPr="008A0C27">
        <w:rPr>
          <w:rFonts w:ascii="FrankRuehl" w:hAnsi="FrankRuehl" w:cs="FrankRuehl"/>
          <w:rtl/>
        </w:rPr>
        <w:t xml:space="preserve">: סע'  </w:t>
      </w:r>
      <w:hyperlink r:id="rId10" w:history="1">
        <w:r w:rsidRPr="008A0C27">
          <w:rPr>
            <w:rFonts w:ascii="FrankRuehl" w:hAnsi="FrankRuehl" w:cs="FrankRuehl"/>
            <w:color w:val="0000FF"/>
            <w:u w:val="single"/>
            <w:rtl/>
          </w:rPr>
          <w:t>10(א)</w:t>
        </w:r>
      </w:hyperlink>
      <w:r w:rsidRPr="008A0C27">
        <w:rPr>
          <w:rFonts w:ascii="FrankRuehl" w:hAnsi="FrankRuehl" w:cs="FrankRuehl"/>
          <w:rtl/>
        </w:rPr>
        <w:t xml:space="preserve">, </w:t>
      </w:r>
      <w:hyperlink r:id="rId11" w:history="1">
        <w:r w:rsidRPr="008A0C27">
          <w:rPr>
            <w:rFonts w:ascii="FrankRuehl" w:hAnsi="FrankRuehl" w:cs="FrankRuehl"/>
            <w:color w:val="0000FF"/>
            <w:u w:val="single"/>
            <w:rtl/>
          </w:rPr>
          <w:t>38(3)</w:t>
        </w:r>
      </w:hyperlink>
    </w:p>
    <w:p w14:paraId="2460BACB" w14:textId="77777777" w:rsidR="008A0C27" w:rsidRPr="008A0C27" w:rsidRDefault="008A0C27" w:rsidP="008A0C27">
      <w:pPr>
        <w:spacing w:after="120" w:line="240" w:lineRule="exact"/>
        <w:ind w:left="283" w:hanging="283"/>
        <w:jc w:val="both"/>
        <w:rPr>
          <w:rFonts w:ascii="FrankRuehl" w:hAnsi="FrankRuehl" w:cs="FrankRuehl"/>
          <w:rtl/>
        </w:rPr>
      </w:pPr>
      <w:hyperlink r:id="rId12" w:history="1">
        <w:r w:rsidRPr="008A0C27">
          <w:rPr>
            <w:rFonts w:ascii="FrankRuehl" w:hAnsi="FrankRuehl" w:cs="FrankRuehl"/>
            <w:color w:val="0000FF"/>
            <w:u w:val="single"/>
            <w:rtl/>
          </w:rPr>
          <w:t>פקודת ביטוח רכב מנועי [נוסח חדש], תש"ל-1970</w:t>
        </w:r>
      </w:hyperlink>
      <w:r w:rsidRPr="008A0C27">
        <w:rPr>
          <w:rFonts w:ascii="FrankRuehl" w:hAnsi="FrankRuehl" w:cs="FrankRuehl"/>
          <w:rtl/>
        </w:rPr>
        <w:t xml:space="preserve">: סע'  </w:t>
      </w:r>
      <w:hyperlink r:id="rId13" w:history="1">
        <w:r w:rsidRPr="008A0C27">
          <w:rPr>
            <w:rFonts w:ascii="FrankRuehl" w:hAnsi="FrankRuehl" w:cs="FrankRuehl"/>
            <w:color w:val="0000FF"/>
            <w:u w:val="single"/>
            <w:rtl/>
          </w:rPr>
          <w:t>2(א)</w:t>
        </w:r>
      </w:hyperlink>
    </w:p>
    <w:p w14:paraId="2DEABF03" w14:textId="77777777" w:rsidR="008A0C27" w:rsidRPr="008A0C27" w:rsidRDefault="008A0C27" w:rsidP="008A0C27">
      <w:pPr>
        <w:spacing w:after="120" w:line="240" w:lineRule="exact"/>
        <w:ind w:left="283" w:hanging="283"/>
        <w:jc w:val="both"/>
        <w:rPr>
          <w:rFonts w:ascii="FrankRuehl" w:hAnsi="FrankRuehl" w:cs="FrankRuehl"/>
          <w:rtl/>
        </w:rPr>
      </w:pPr>
      <w:hyperlink r:id="rId14" w:history="1">
        <w:r w:rsidRPr="008A0C27">
          <w:rPr>
            <w:rFonts w:ascii="FrankRuehl" w:hAnsi="FrankRuehl" w:cs="FrankRuehl"/>
            <w:color w:val="0000FF"/>
            <w:u w:val="single"/>
            <w:rtl/>
          </w:rPr>
          <w:t>פקודת הסמים המסוכנים [נוסח חדש], תשל"ג-1973</w:t>
        </w:r>
      </w:hyperlink>
      <w:r w:rsidRPr="008A0C27">
        <w:rPr>
          <w:rFonts w:ascii="FrankRuehl" w:hAnsi="FrankRuehl" w:cs="FrankRuehl"/>
          <w:rtl/>
        </w:rPr>
        <w:t xml:space="preserve">: סע'  </w:t>
      </w:r>
      <w:hyperlink r:id="rId15" w:history="1">
        <w:r w:rsidRPr="008A0C27">
          <w:rPr>
            <w:rFonts w:ascii="FrankRuehl" w:hAnsi="FrankRuehl" w:cs="FrankRuehl"/>
            <w:color w:val="0000FF"/>
            <w:u w:val="single"/>
            <w:rtl/>
          </w:rPr>
          <w:t>7(א)</w:t>
        </w:r>
      </w:hyperlink>
      <w:r w:rsidRPr="008A0C27">
        <w:rPr>
          <w:rFonts w:ascii="FrankRuehl" w:hAnsi="FrankRuehl" w:cs="FrankRuehl"/>
          <w:rtl/>
        </w:rPr>
        <w:t xml:space="preserve">, </w:t>
      </w:r>
      <w:hyperlink r:id="rId16" w:history="1">
        <w:r w:rsidRPr="008A0C27">
          <w:rPr>
            <w:rFonts w:ascii="FrankRuehl" w:hAnsi="FrankRuehl" w:cs="FrankRuehl"/>
            <w:color w:val="0000FF"/>
            <w:u w:val="single"/>
            <w:rtl/>
          </w:rPr>
          <w:t>7(ג)</w:t>
        </w:r>
      </w:hyperlink>
    </w:p>
    <w:p w14:paraId="21AE9196" w14:textId="77777777" w:rsidR="008A0C27" w:rsidRPr="008A0C27" w:rsidRDefault="008A0C27" w:rsidP="008A0C27">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72558" w14:paraId="6977B920" w14:textId="77777777" w:rsidTr="00472558">
        <w:trPr>
          <w:trHeight w:val="355"/>
          <w:jc w:val="center"/>
        </w:trPr>
        <w:tc>
          <w:tcPr>
            <w:tcW w:w="8820" w:type="dxa"/>
            <w:tcBorders>
              <w:top w:val="nil"/>
              <w:left w:val="nil"/>
              <w:bottom w:val="nil"/>
              <w:right w:val="nil"/>
            </w:tcBorders>
            <w:shd w:val="clear" w:color="auto" w:fill="auto"/>
          </w:tcPr>
          <w:p w14:paraId="4113E383" w14:textId="77777777" w:rsidR="00A42922" w:rsidRPr="00A42922" w:rsidRDefault="00A42922" w:rsidP="00A42922">
            <w:pPr>
              <w:jc w:val="center"/>
              <w:rPr>
                <w:rFonts w:ascii="Arial" w:hAnsi="Arial"/>
                <w:b/>
                <w:bCs/>
                <w:sz w:val="28"/>
                <w:szCs w:val="28"/>
                <w:u w:val="single"/>
                <w:rtl/>
              </w:rPr>
            </w:pPr>
            <w:bookmarkStart w:id="4" w:name="LawTable_End"/>
            <w:bookmarkStart w:id="5" w:name="PsakDin" w:colFirst="0" w:colLast="0"/>
            <w:bookmarkEnd w:id="0"/>
            <w:bookmarkEnd w:id="4"/>
            <w:r w:rsidRPr="00A42922">
              <w:rPr>
                <w:rFonts w:ascii="Arial" w:hAnsi="Arial"/>
                <w:b/>
                <w:bCs/>
                <w:sz w:val="28"/>
                <w:szCs w:val="28"/>
                <w:u w:val="single"/>
                <w:rtl/>
              </w:rPr>
              <w:t>גזר דין</w:t>
            </w:r>
          </w:p>
          <w:p w14:paraId="330BDF06" w14:textId="77777777" w:rsidR="00472558" w:rsidRPr="00A42922" w:rsidRDefault="00472558" w:rsidP="00A42922">
            <w:pPr>
              <w:jc w:val="center"/>
              <w:rPr>
                <w:rFonts w:ascii="Arial" w:hAnsi="Arial"/>
                <w:bCs/>
                <w:sz w:val="28"/>
                <w:szCs w:val="28"/>
                <w:u w:val="single"/>
                <w:rtl/>
              </w:rPr>
            </w:pPr>
          </w:p>
        </w:tc>
      </w:tr>
      <w:bookmarkEnd w:id="5"/>
    </w:tbl>
    <w:p w14:paraId="3105F98F" w14:textId="77777777" w:rsidR="00472558" w:rsidRPr="00B05847" w:rsidRDefault="00472558" w:rsidP="00472558">
      <w:pPr>
        <w:spacing w:line="360" w:lineRule="auto"/>
        <w:jc w:val="both"/>
        <w:rPr>
          <w:rFonts w:ascii="Arial" w:hAnsi="Arial"/>
          <w:rtl/>
        </w:rPr>
      </w:pPr>
    </w:p>
    <w:p w14:paraId="4D43C33B" w14:textId="77777777" w:rsidR="00472558" w:rsidRDefault="00472558" w:rsidP="00472558">
      <w:pPr>
        <w:spacing w:line="360" w:lineRule="auto"/>
        <w:jc w:val="both"/>
        <w:rPr>
          <w:rFonts w:ascii="Arial" w:hAnsi="Arial"/>
          <w:rtl/>
        </w:rPr>
      </w:pPr>
      <w:r>
        <w:rPr>
          <w:rFonts w:ascii="Arial" w:hAnsi="Arial" w:hint="cs"/>
          <w:b/>
          <w:bCs/>
          <w:u w:val="single"/>
          <w:rtl/>
        </w:rPr>
        <w:t>השתלשלות ההליך:</w:t>
      </w:r>
    </w:p>
    <w:p w14:paraId="3BA597EF" w14:textId="77777777" w:rsidR="00472558" w:rsidRDefault="00472558" w:rsidP="00472558">
      <w:pPr>
        <w:pStyle w:val="a9"/>
        <w:numPr>
          <w:ilvl w:val="0"/>
          <w:numId w:val="1"/>
        </w:numPr>
        <w:spacing w:line="360" w:lineRule="auto"/>
        <w:jc w:val="both"/>
        <w:rPr>
          <w:rFonts w:ascii="Arial" w:hAnsi="Arial"/>
        </w:rPr>
      </w:pPr>
      <w:bookmarkStart w:id="6" w:name="ABSTRACT_START"/>
      <w:bookmarkEnd w:id="6"/>
      <w:r>
        <w:rPr>
          <w:rFonts w:ascii="Arial" w:hAnsi="Arial" w:hint="cs"/>
          <w:rtl/>
        </w:rPr>
        <w:t>ביום 10.7.17, במסגרת הסדר טיעון דיוני, ללא הסכמה לעונש פרט לפסילה בפועל, הודה הנאשם בכתב אישום מתוקן והורשע בעבירות הבאות:</w:t>
      </w:r>
    </w:p>
    <w:p w14:paraId="5AC27C12" w14:textId="77777777" w:rsidR="00472558" w:rsidRDefault="00472558" w:rsidP="00472558">
      <w:pPr>
        <w:pStyle w:val="a9"/>
        <w:numPr>
          <w:ilvl w:val="1"/>
          <w:numId w:val="2"/>
        </w:numPr>
        <w:spacing w:line="360" w:lineRule="auto"/>
        <w:jc w:val="both"/>
        <w:rPr>
          <w:rtl/>
        </w:rPr>
      </w:pPr>
      <w:r>
        <w:rPr>
          <w:rFonts w:hint="cs"/>
          <w:rtl/>
        </w:rPr>
        <w:t xml:space="preserve">נהיגה תחת השפעת סמים משכרים או משקאות משכרים, לפי </w:t>
      </w:r>
      <w:hyperlink r:id="rId17" w:history="1">
        <w:r w:rsidR="008A0C27" w:rsidRPr="008A0C27">
          <w:rPr>
            <w:color w:val="0000FF"/>
            <w:u w:val="single"/>
            <w:rtl/>
          </w:rPr>
          <w:t>תקנה 26(2)</w:t>
        </w:r>
      </w:hyperlink>
      <w:r>
        <w:rPr>
          <w:rFonts w:hint="cs"/>
          <w:rtl/>
        </w:rPr>
        <w:t xml:space="preserve"> ל</w:t>
      </w:r>
      <w:hyperlink r:id="rId18" w:history="1">
        <w:r w:rsidR="00A42922" w:rsidRPr="00A42922">
          <w:rPr>
            <w:color w:val="0000FF"/>
            <w:u w:val="single"/>
            <w:rtl/>
          </w:rPr>
          <w:t>תקנות התעבורה</w:t>
        </w:r>
      </w:hyperlink>
      <w:r>
        <w:rPr>
          <w:rFonts w:hint="cs"/>
          <w:rtl/>
        </w:rPr>
        <w:t xml:space="preserve"> בצירוף </w:t>
      </w:r>
      <w:hyperlink r:id="rId19" w:history="1">
        <w:r w:rsidR="008A0C27" w:rsidRPr="008A0C27">
          <w:rPr>
            <w:color w:val="0000FF"/>
            <w:u w:val="single"/>
            <w:rtl/>
          </w:rPr>
          <w:t>סעיף 38(3)</w:t>
        </w:r>
      </w:hyperlink>
      <w:r>
        <w:rPr>
          <w:rFonts w:hint="cs"/>
          <w:rtl/>
        </w:rPr>
        <w:t xml:space="preserve"> ל</w:t>
      </w:r>
      <w:hyperlink r:id="rId20" w:history="1">
        <w:r w:rsidR="00A42922" w:rsidRPr="00A42922">
          <w:rPr>
            <w:color w:val="0000FF"/>
            <w:u w:val="single"/>
            <w:rtl/>
          </w:rPr>
          <w:t>פקודת התעבורה</w:t>
        </w:r>
      </w:hyperlink>
      <w:r>
        <w:rPr>
          <w:rFonts w:hint="cs"/>
          <w:rtl/>
        </w:rPr>
        <w:t>;</w:t>
      </w:r>
    </w:p>
    <w:p w14:paraId="721EACFB" w14:textId="77777777" w:rsidR="00472558" w:rsidRDefault="00472558" w:rsidP="00472558">
      <w:pPr>
        <w:pStyle w:val="a9"/>
        <w:numPr>
          <w:ilvl w:val="1"/>
          <w:numId w:val="2"/>
        </w:numPr>
        <w:spacing w:line="360" w:lineRule="auto"/>
        <w:jc w:val="both"/>
        <w:rPr>
          <w:rtl/>
        </w:rPr>
      </w:pPr>
      <w:r>
        <w:rPr>
          <w:rFonts w:hint="cs"/>
          <w:rtl/>
        </w:rPr>
        <w:t xml:space="preserve">נהיגה בלי רישיון נהיגה תקף, לפי </w:t>
      </w:r>
      <w:hyperlink r:id="rId21" w:history="1">
        <w:r w:rsidR="008A0C27" w:rsidRPr="008A0C27">
          <w:rPr>
            <w:color w:val="0000FF"/>
            <w:u w:val="single"/>
            <w:rtl/>
          </w:rPr>
          <w:t>סעיף 10(א)</w:t>
        </w:r>
      </w:hyperlink>
      <w:r>
        <w:rPr>
          <w:rFonts w:hint="cs"/>
          <w:rtl/>
        </w:rPr>
        <w:t xml:space="preserve"> לפקודה הנ"ל;</w:t>
      </w:r>
    </w:p>
    <w:p w14:paraId="1DDF0F59" w14:textId="77777777" w:rsidR="00472558" w:rsidRDefault="00472558" w:rsidP="00472558">
      <w:pPr>
        <w:pStyle w:val="a9"/>
        <w:numPr>
          <w:ilvl w:val="1"/>
          <w:numId w:val="2"/>
        </w:numPr>
        <w:spacing w:line="360" w:lineRule="auto"/>
        <w:jc w:val="both"/>
        <w:rPr>
          <w:rtl/>
        </w:rPr>
      </w:pPr>
      <w:r>
        <w:rPr>
          <w:rFonts w:hint="cs"/>
          <w:rtl/>
        </w:rPr>
        <w:t xml:space="preserve">נהיגה ברכב ללא פוליסת ביטוח תקפה, לפי </w:t>
      </w:r>
      <w:hyperlink r:id="rId22" w:history="1">
        <w:r w:rsidR="008A0C27" w:rsidRPr="008A0C27">
          <w:rPr>
            <w:color w:val="0000FF"/>
            <w:u w:val="single"/>
            <w:rtl/>
          </w:rPr>
          <w:t>סעיף 2(א)</w:t>
        </w:r>
      </w:hyperlink>
      <w:r>
        <w:rPr>
          <w:rFonts w:hint="cs"/>
          <w:rtl/>
        </w:rPr>
        <w:t xml:space="preserve"> ל</w:t>
      </w:r>
      <w:hyperlink r:id="rId23" w:history="1">
        <w:r w:rsidR="00A42922" w:rsidRPr="00A42922">
          <w:rPr>
            <w:color w:val="0000FF"/>
            <w:u w:val="single"/>
            <w:rtl/>
          </w:rPr>
          <w:t>פקודת ביטוח רכב מנועי</w:t>
        </w:r>
      </w:hyperlink>
      <w:r>
        <w:rPr>
          <w:rFonts w:hint="cs"/>
          <w:rtl/>
        </w:rPr>
        <w:t>;</w:t>
      </w:r>
    </w:p>
    <w:p w14:paraId="115C8E0B" w14:textId="77777777" w:rsidR="00472558" w:rsidRDefault="00472558" w:rsidP="00472558">
      <w:pPr>
        <w:pStyle w:val="a9"/>
        <w:numPr>
          <w:ilvl w:val="1"/>
          <w:numId w:val="2"/>
        </w:numPr>
        <w:spacing w:line="360" w:lineRule="auto"/>
        <w:jc w:val="both"/>
        <w:rPr>
          <w:rtl/>
        </w:rPr>
      </w:pPr>
      <w:r>
        <w:rPr>
          <w:rFonts w:hint="cs"/>
          <w:rtl/>
        </w:rPr>
        <w:t xml:space="preserve">החזקת סם מסוכן לצריכה עצמית, לפי </w:t>
      </w:r>
      <w:hyperlink r:id="rId24" w:history="1">
        <w:r w:rsidR="008A0C27" w:rsidRPr="008A0C27">
          <w:rPr>
            <w:color w:val="0000FF"/>
            <w:u w:val="single"/>
            <w:rtl/>
          </w:rPr>
          <w:t>סעיף 7(א)</w:t>
        </w:r>
      </w:hyperlink>
      <w:r>
        <w:rPr>
          <w:rFonts w:hint="cs"/>
          <w:rtl/>
        </w:rPr>
        <w:t xml:space="preserve"> בצירוף </w:t>
      </w:r>
      <w:hyperlink r:id="rId25" w:history="1">
        <w:r w:rsidR="008A0C27" w:rsidRPr="008A0C27">
          <w:rPr>
            <w:color w:val="0000FF"/>
            <w:u w:val="single"/>
            <w:rtl/>
          </w:rPr>
          <w:t>סעיף 7(ג)</w:t>
        </w:r>
      </w:hyperlink>
      <w:r>
        <w:rPr>
          <w:rFonts w:hint="cs"/>
          <w:rtl/>
        </w:rPr>
        <w:t xml:space="preserve"> סיפא ל</w:t>
      </w:r>
      <w:hyperlink r:id="rId26" w:history="1">
        <w:r w:rsidR="00A42922" w:rsidRPr="00A42922">
          <w:rPr>
            <w:color w:val="0000FF"/>
            <w:u w:val="single"/>
            <w:rtl/>
          </w:rPr>
          <w:t>פקודת הסמים המסוכנים</w:t>
        </w:r>
      </w:hyperlink>
      <w:r>
        <w:rPr>
          <w:rFonts w:hint="cs"/>
          <w:rtl/>
        </w:rPr>
        <w:t>;</w:t>
      </w:r>
    </w:p>
    <w:p w14:paraId="26C20521" w14:textId="77777777" w:rsidR="00472558" w:rsidRDefault="00472558" w:rsidP="00472558">
      <w:pPr>
        <w:pStyle w:val="a9"/>
        <w:numPr>
          <w:ilvl w:val="0"/>
          <w:numId w:val="1"/>
        </w:numPr>
        <w:spacing w:line="360" w:lineRule="auto"/>
        <w:jc w:val="both"/>
        <w:rPr>
          <w:rFonts w:ascii="Arial" w:hAnsi="Arial"/>
        </w:rPr>
      </w:pPr>
      <w:bookmarkStart w:id="7" w:name="ABSTRACT_END"/>
      <w:bookmarkEnd w:id="7"/>
      <w:r>
        <w:rPr>
          <w:rFonts w:ascii="Arial" w:hAnsi="Arial" w:hint="cs"/>
          <w:rtl/>
        </w:rPr>
        <w:t>הנאשם הופנה לשירות המבחן והתקבל בעניינו תסקיר מיום 17.12.17. עוד לפניי תדפיס מידע תעבורתי [תע/1].</w:t>
      </w:r>
    </w:p>
    <w:p w14:paraId="7C4B8140" w14:textId="77777777" w:rsidR="00472558" w:rsidRDefault="00472558" w:rsidP="00472558">
      <w:pPr>
        <w:pStyle w:val="a9"/>
        <w:numPr>
          <w:ilvl w:val="0"/>
          <w:numId w:val="1"/>
        </w:numPr>
        <w:spacing w:line="360" w:lineRule="auto"/>
        <w:jc w:val="both"/>
        <w:rPr>
          <w:rFonts w:ascii="Arial" w:hAnsi="Arial"/>
        </w:rPr>
      </w:pPr>
      <w:r>
        <w:rPr>
          <w:rFonts w:ascii="Arial" w:hAnsi="Arial" w:hint="cs"/>
          <w:rtl/>
        </w:rPr>
        <w:t>ביום 26.12.17 טענו ב"כ הצדדים לעונש:</w:t>
      </w:r>
    </w:p>
    <w:p w14:paraId="77AA7247" w14:textId="77777777" w:rsidR="00472558" w:rsidRPr="00143C69" w:rsidRDefault="00472558" w:rsidP="00472558">
      <w:pPr>
        <w:spacing w:line="360" w:lineRule="auto"/>
        <w:ind w:left="360"/>
        <w:jc w:val="both"/>
        <w:rPr>
          <w:rFonts w:ascii="Arial" w:hAnsi="Arial"/>
          <w:rtl/>
        </w:rPr>
      </w:pPr>
      <w:r>
        <w:rPr>
          <w:rFonts w:ascii="Arial" w:hAnsi="Arial" w:hint="cs"/>
          <w:rtl/>
        </w:rPr>
        <w:t>התביעה טענה למתחם עונשי בין חודשי מאסר שניתן לרצותם בעבודות שירות לבין שנת מאסר, ועתרה למקם את עונשו העיקרי של הנאשם בתחתית המתחם, ולצדו רכיבים נלווים של מאסר מותנה, קנס מרתיע ופסילת רישיונו לנהוג;</w:t>
      </w:r>
    </w:p>
    <w:p w14:paraId="60EEFBB6" w14:textId="77777777" w:rsidR="00472558" w:rsidRDefault="00472558" w:rsidP="00472558">
      <w:pPr>
        <w:spacing w:line="360" w:lineRule="auto"/>
        <w:ind w:left="360"/>
        <w:jc w:val="both"/>
        <w:rPr>
          <w:rtl/>
        </w:rPr>
      </w:pPr>
      <w:r>
        <w:rPr>
          <w:rFonts w:hint="cs"/>
          <w:rtl/>
        </w:rPr>
        <w:lastRenderedPageBreak/>
        <w:t xml:space="preserve">ההגנה עתרה לביטול הרשעתו של הנאשם, ולחילופין </w:t>
      </w:r>
      <w:r>
        <w:rPr>
          <w:rtl/>
        </w:rPr>
        <w:t>–</w:t>
      </w:r>
      <w:r>
        <w:rPr>
          <w:rFonts w:hint="cs"/>
          <w:rtl/>
        </w:rPr>
        <w:t xml:space="preserve"> לעונש של פסילה מותנית וקנס;</w:t>
      </w:r>
    </w:p>
    <w:p w14:paraId="4B3B60F0" w14:textId="77777777" w:rsidR="00472558" w:rsidRDefault="00472558" w:rsidP="00472558">
      <w:pPr>
        <w:spacing w:line="360" w:lineRule="auto"/>
        <w:ind w:left="360"/>
        <w:jc w:val="both"/>
        <w:rPr>
          <w:rtl/>
        </w:rPr>
      </w:pPr>
    </w:p>
    <w:p w14:paraId="4002BFA3" w14:textId="77777777" w:rsidR="00472558" w:rsidRDefault="00472558" w:rsidP="00472558">
      <w:pPr>
        <w:spacing w:line="360" w:lineRule="auto"/>
        <w:jc w:val="both"/>
        <w:rPr>
          <w:rtl/>
        </w:rPr>
      </w:pPr>
      <w:r>
        <w:rPr>
          <w:rFonts w:hint="cs"/>
          <w:b/>
          <w:bCs/>
          <w:u w:val="single"/>
          <w:rtl/>
        </w:rPr>
        <w:t>מעשי הנאשם:</w:t>
      </w:r>
    </w:p>
    <w:p w14:paraId="447EB1FF" w14:textId="77777777" w:rsidR="00472558" w:rsidRDefault="00472558" w:rsidP="00472558">
      <w:pPr>
        <w:pStyle w:val="a9"/>
        <w:numPr>
          <w:ilvl w:val="0"/>
          <w:numId w:val="3"/>
        </w:numPr>
        <w:spacing w:line="360" w:lineRule="auto"/>
        <w:jc w:val="both"/>
      </w:pPr>
      <w:r>
        <w:rPr>
          <w:rFonts w:hint="cs"/>
          <w:rtl/>
        </w:rPr>
        <w:t xml:space="preserve">ביום 25.10.15 נהג הנאשם ברכבו בתל-אביב כשהוא שיכור, ובבדיקת שתן התגלו חומרים בריכוז המעיד על שימוש בקנבוס ובקוקאין סמוך לפני נהיגתו: חומר המעיד על שימוש בקנבוס לפני הנהיגה, וכן </w:t>
      </w:r>
      <w:r w:rsidRPr="00706083">
        <w:t xml:space="preserve">ng /ml </w:t>
      </w:r>
      <w:r>
        <w:t>1353</w:t>
      </w:r>
      <w:r>
        <w:rPr>
          <w:rtl/>
        </w:rPr>
        <w:t xml:space="preserve"> של בנזואיל אקוגונין (</w:t>
      </w:r>
      <w:r w:rsidRPr="00706083">
        <w:t>Benzoylecgonine</w:t>
      </w:r>
      <w:r>
        <w:rPr>
          <w:rtl/>
        </w:rPr>
        <w:t>)</w:t>
      </w:r>
      <w:r>
        <w:rPr>
          <w:rFonts w:hint="cs"/>
          <w:rtl/>
        </w:rPr>
        <w:t>.</w:t>
      </w:r>
    </w:p>
    <w:p w14:paraId="4B7F5F0D" w14:textId="77777777" w:rsidR="00472558" w:rsidRDefault="00472558" w:rsidP="00472558">
      <w:pPr>
        <w:pStyle w:val="a9"/>
        <w:numPr>
          <w:ilvl w:val="0"/>
          <w:numId w:val="3"/>
        </w:numPr>
        <w:spacing w:line="360" w:lineRule="auto"/>
        <w:jc w:val="both"/>
      </w:pPr>
      <w:r>
        <w:rPr>
          <w:rFonts w:hint="cs"/>
          <w:rtl/>
        </w:rPr>
        <w:t>הנאשם החזיק ברכבו שלוש מנות קוקאין במשקל כולל של 0.4843 גרם נטו, לצריכתו העצמית.</w:t>
      </w:r>
    </w:p>
    <w:p w14:paraId="706E4046" w14:textId="77777777" w:rsidR="00472558" w:rsidRDefault="00472558" w:rsidP="00472558">
      <w:pPr>
        <w:pStyle w:val="a9"/>
        <w:numPr>
          <w:ilvl w:val="0"/>
          <w:numId w:val="3"/>
        </w:numPr>
        <w:spacing w:line="360" w:lineRule="auto"/>
        <w:jc w:val="both"/>
      </w:pPr>
      <w:r>
        <w:rPr>
          <w:rFonts w:hint="cs"/>
          <w:rtl/>
        </w:rPr>
        <w:t>הנאשם נהג ברכב ללא רישיון נהיגה ישראלי תקף וללא פוליסת ביטוח תקפה, אך באותה עת החזיק ברישיון נהיגה זר.</w:t>
      </w:r>
    </w:p>
    <w:p w14:paraId="50A4B35E" w14:textId="77777777" w:rsidR="00472558" w:rsidRDefault="00472558" w:rsidP="00472558">
      <w:pPr>
        <w:spacing w:line="360" w:lineRule="auto"/>
        <w:jc w:val="both"/>
      </w:pPr>
    </w:p>
    <w:p w14:paraId="5981F364" w14:textId="77777777" w:rsidR="00472558" w:rsidRPr="00902695" w:rsidRDefault="00472558" w:rsidP="00472558">
      <w:pPr>
        <w:spacing w:line="360" w:lineRule="auto"/>
        <w:jc w:val="both"/>
        <w:rPr>
          <w:b/>
          <w:bCs/>
          <w:u w:val="single"/>
          <w:rtl/>
        </w:rPr>
      </w:pPr>
      <w:r>
        <w:rPr>
          <w:rFonts w:hint="cs"/>
          <w:b/>
          <w:bCs/>
          <w:u w:val="single"/>
          <w:rtl/>
        </w:rPr>
        <w:t>דחיית עתירתה של ההגנה לביטול ההרשעה:</w:t>
      </w:r>
    </w:p>
    <w:p w14:paraId="69631FCA" w14:textId="77777777" w:rsidR="00472558" w:rsidRPr="00175182" w:rsidRDefault="00472558" w:rsidP="00472558">
      <w:pPr>
        <w:numPr>
          <w:ilvl w:val="0"/>
          <w:numId w:val="4"/>
        </w:numPr>
        <w:spacing w:line="360" w:lineRule="auto"/>
        <w:contextualSpacing/>
        <w:jc w:val="both"/>
        <w:rPr>
          <w:rFonts w:ascii="Arial" w:hAnsi="Arial"/>
        </w:rPr>
      </w:pPr>
      <w:r w:rsidRPr="00175182">
        <w:rPr>
          <w:rFonts w:ascii="Arial" w:hAnsi="Arial"/>
          <w:rtl/>
        </w:rPr>
        <w:t xml:space="preserve">ההגנה עותרת לאימוץ המלצתו של שירות המבחן ולבטל את הרשעתו של הנאשם, </w:t>
      </w:r>
      <w:r>
        <w:rPr>
          <w:rFonts w:ascii="Arial" w:hAnsi="Arial" w:hint="cs"/>
          <w:rtl/>
        </w:rPr>
        <w:t>ללא נימוק ממשי. הנאשם עובד כטכנאי במפעל, ואין כל חשש מבוסס לפגיעה בעבודתו.</w:t>
      </w:r>
    </w:p>
    <w:p w14:paraId="1AC767C5" w14:textId="77777777" w:rsidR="00472558" w:rsidRDefault="00472558" w:rsidP="00472558">
      <w:pPr>
        <w:numPr>
          <w:ilvl w:val="0"/>
          <w:numId w:val="4"/>
        </w:numPr>
        <w:spacing w:line="360" w:lineRule="auto"/>
        <w:contextualSpacing/>
        <w:jc w:val="both"/>
      </w:pPr>
      <w:r w:rsidRPr="00175182">
        <w:rPr>
          <w:rtl/>
        </w:rPr>
        <w:t xml:space="preserve">הלכת </w:t>
      </w:r>
      <w:r w:rsidRPr="00175182">
        <w:rPr>
          <w:b/>
          <w:bCs/>
          <w:rtl/>
        </w:rPr>
        <w:t>כתב</w:t>
      </w:r>
      <w:r w:rsidRPr="00175182">
        <w:rPr>
          <w:rtl/>
        </w:rPr>
        <w:t xml:space="preserve"> </w:t>
      </w:r>
      <w:r w:rsidRPr="005E7964">
        <w:rPr>
          <w:rtl/>
        </w:rPr>
        <w:t>הידועה (</w:t>
      </w:r>
      <w:hyperlink r:id="rId27" w:history="1">
        <w:r w:rsidR="00A42922" w:rsidRPr="00A42922">
          <w:rPr>
            <w:color w:val="0000FF"/>
            <w:u w:val="single"/>
            <w:rtl/>
          </w:rPr>
          <w:t>ע"פ 2083/96</w:t>
        </w:r>
      </w:hyperlink>
      <w:r w:rsidRPr="00175182">
        <w:rPr>
          <w:rtl/>
        </w:rPr>
        <w:t xml:space="preserve"> </w:t>
      </w:r>
      <w:r w:rsidRPr="00175182">
        <w:rPr>
          <w:b/>
          <w:bCs/>
          <w:rtl/>
        </w:rPr>
        <w:t>כתב נ' מ.י.</w:t>
      </w:r>
      <w:r w:rsidRPr="00175182">
        <w:rPr>
          <w:rtl/>
        </w:rPr>
        <w:t xml:space="preserve"> (1997)) שאושררה שוב ושוב על-ידי בית המשפט העליון, קובעת כי ביטול הרשעה או הימנעות מהרשעה הם חריגים לכלל הקובע כי מי שביצע עבירה, יורשע. שימוש באמצעים חריגים אלו מחייב קיומם של שני תנאים מצטברים – פגיעה חמורה הצפויה לשיקום הנאשם, וטיב העבירה מאפשר לוותר על ההרשעה.</w:t>
      </w:r>
      <w:r>
        <w:rPr>
          <w:rFonts w:hint="cs"/>
          <w:rtl/>
        </w:rPr>
        <w:t xml:space="preserve"> </w:t>
      </w:r>
      <w:r w:rsidRPr="00175182">
        <w:rPr>
          <w:rtl/>
        </w:rPr>
        <w:t xml:space="preserve">בית המשפט העליון קבע לא-פעם, כי קיומה של </w:t>
      </w:r>
      <w:r w:rsidRPr="00175182">
        <w:rPr>
          <w:i/>
          <w:iCs/>
          <w:rtl/>
        </w:rPr>
        <w:t>אפשרות</w:t>
      </w:r>
      <w:r w:rsidRPr="00175182">
        <w:rPr>
          <w:rtl/>
        </w:rPr>
        <w:t xml:space="preserve"> לפגיעה תעסוקתית אינו נחשב כפגיעה חמורה וקונקרטית בשיקום הנאשם</w:t>
      </w:r>
      <w:r>
        <w:rPr>
          <w:rFonts w:hint="cs"/>
          <w:rtl/>
        </w:rPr>
        <w:t>.</w:t>
      </w:r>
    </w:p>
    <w:p w14:paraId="6EE4ACCE" w14:textId="77777777" w:rsidR="00472558" w:rsidRPr="00B05847" w:rsidRDefault="00472558" w:rsidP="00472558">
      <w:pPr>
        <w:numPr>
          <w:ilvl w:val="0"/>
          <w:numId w:val="4"/>
        </w:numPr>
        <w:spacing w:line="360" w:lineRule="auto"/>
        <w:contextualSpacing/>
        <w:jc w:val="both"/>
        <w:rPr>
          <w:rtl/>
        </w:rPr>
      </w:pPr>
      <w:r>
        <w:rPr>
          <w:rFonts w:hint="cs"/>
          <w:rtl/>
        </w:rPr>
        <w:t>במקרה דנן לא הונחה כל תשתית עובדתית לתמיכה בעתירה, והרשעת הנאשם תעמוד על כנה.</w:t>
      </w:r>
    </w:p>
    <w:p w14:paraId="55C65C89" w14:textId="77777777" w:rsidR="00472558" w:rsidRDefault="00472558" w:rsidP="00472558">
      <w:pPr>
        <w:spacing w:line="360" w:lineRule="auto"/>
        <w:jc w:val="both"/>
        <w:rPr>
          <w:rtl/>
        </w:rPr>
      </w:pPr>
    </w:p>
    <w:p w14:paraId="35D8DDCB" w14:textId="77777777" w:rsidR="00472558" w:rsidRDefault="00472558" w:rsidP="00472558">
      <w:pPr>
        <w:spacing w:line="360" w:lineRule="auto"/>
        <w:jc w:val="both"/>
        <w:rPr>
          <w:rtl/>
        </w:rPr>
      </w:pPr>
      <w:r>
        <w:rPr>
          <w:rFonts w:hint="cs"/>
          <w:b/>
          <w:bCs/>
          <w:u w:val="single"/>
          <w:rtl/>
        </w:rPr>
        <w:t xml:space="preserve">נסיבות העבירות </w:t>
      </w:r>
      <w:r>
        <w:rPr>
          <w:b/>
          <w:bCs/>
          <w:u w:val="single"/>
          <w:rtl/>
        </w:rPr>
        <w:t>–</w:t>
      </w:r>
      <w:r>
        <w:rPr>
          <w:rFonts w:hint="cs"/>
          <w:b/>
          <w:bCs/>
          <w:u w:val="single"/>
          <w:rtl/>
        </w:rPr>
        <w:t xml:space="preserve"> קביעת מתחם העונש ההולם:</w:t>
      </w:r>
    </w:p>
    <w:p w14:paraId="5BC18F68" w14:textId="77777777" w:rsidR="00472558" w:rsidRDefault="00472558" w:rsidP="00472558">
      <w:pPr>
        <w:pStyle w:val="a9"/>
        <w:numPr>
          <w:ilvl w:val="0"/>
          <w:numId w:val="5"/>
        </w:numPr>
        <w:spacing w:line="360" w:lineRule="auto"/>
        <w:jc w:val="both"/>
      </w:pPr>
      <w:r>
        <w:rPr>
          <w:rFonts w:hint="cs"/>
          <w:rtl/>
        </w:rPr>
        <w:t>מעשי הנאשם בוצעו כאחד, וייקבע אפוא מתחם אחד לכלל האירוע.</w:t>
      </w:r>
    </w:p>
    <w:p w14:paraId="2BA780BE" w14:textId="77777777" w:rsidR="00472558" w:rsidRDefault="00472558" w:rsidP="00472558">
      <w:pPr>
        <w:pStyle w:val="a9"/>
        <w:numPr>
          <w:ilvl w:val="0"/>
          <w:numId w:val="5"/>
        </w:numPr>
        <w:spacing w:line="360" w:lineRule="auto"/>
        <w:jc w:val="both"/>
      </w:pPr>
      <w:r>
        <w:rPr>
          <w:rFonts w:hint="cs"/>
          <w:rtl/>
        </w:rPr>
        <w:t xml:space="preserve">הנאשם פגע באופן מהותי בערכים המוגנים בעבירות אותן עבר: נהיגת הנאשם כשהוא תחת השפעת סמים גררה סכנה מיידית וחמורה לציבור המשתמשים בדרך, לרבות הנאשם עצמו, וראו </w:t>
      </w:r>
      <w:hyperlink r:id="rId28" w:history="1">
        <w:r w:rsidR="00A42922" w:rsidRPr="00A42922">
          <w:rPr>
            <w:color w:val="0000FF"/>
            <w:u w:val="single"/>
            <w:rtl/>
          </w:rPr>
          <w:t>רע"פ 6439/06</w:t>
        </w:r>
      </w:hyperlink>
      <w:r>
        <w:rPr>
          <w:rtl/>
        </w:rPr>
        <w:t xml:space="preserve"> </w:t>
      </w:r>
      <w:r w:rsidRPr="00810558">
        <w:rPr>
          <w:b/>
          <w:bCs/>
          <w:rtl/>
        </w:rPr>
        <w:t xml:space="preserve">קריטי נגד </w:t>
      </w:r>
      <w:r w:rsidRPr="00810558">
        <w:rPr>
          <w:rFonts w:hint="cs"/>
          <w:b/>
          <w:bCs/>
          <w:rtl/>
        </w:rPr>
        <w:t>מ.י.</w:t>
      </w:r>
      <w:r w:rsidRPr="00810558">
        <w:rPr>
          <w:rtl/>
        </w:rPr>
        <w:t xml:space="preserve"> (2006)</w:t>
      </w:r>
      <w:r w:rsidRPr="00810558">
        <w:rPr>
          <w:rFonts w:hint="cs"/>
          <w:rtl/>
        </w:rPr>
        <w:t>.</w:t>
      </w:r>
      <w:r>
        <w:rPr>
          <w:rFonts w:hint="cs"/>
          <w:rtl/>
        </w:rPr>
        <w:t xml:space="preserve"> כך גם לעניין נהיגתו ללא רישיון נהיגה תקף, הגם שבעת נהיגתו היה לנאשם רישיון נהיגה מטעם מדינה זרה, עובדה המקלה מעט מחומרת מעשיו. לצד עבירות התעבורה, הדומיננטיות בשיקולם של דברים, לא נרתע הנאשם גם מהחזקת סם קשה, קוקאין, לצריכה עצמית.</w:t>
      </w:r>
    </w:p>
    <w:p w14:paraId="5402CB72" w14:textId="77777777" w:rsidR="00472558" w:rsidRPr="00E93688" w:rsidRDefault="00472558" w:rsidP="00472558">
      <w:pPr>
        <w:pStyle w:val="a9"/>
        <w:numPr>
          <w:ilvl w:val="0"/>
          <w:numId w:val="5"/>
        </w:numPr>
        <w:spacing w:line="360" w:lineRule="auto"/>
        <w:jc w:val="both"/>
        <w:rPr>
          <w:rtl/>
        </w:rPr>
      </w:pPr>
      <w:r>
        <w:rPr>
          <w:rFonts w:hint="cs"/>
          <w:rtl/>
        </w:rPr>
        <w:t xml:space="preserve">לעניין עבירות התעבורה, וכאשר הורשע הנאשם לפי </w:t>
      </w:r>
      <w:hyperlink r:id="rId29" w:history="1">
        <w:r w:rsidR="008A0C27" w:rsidRPr="008A0C27">
          <w:rPr>
            <w:color w:val="0000FF"/>
            <w:u w:val="single"/>
            <w:rtl/>
          </w:rPr>
          <w:t>תקנה 26(2)</w:t>
        </w:r>
      </w:hyperlink>
      <w:r>
        <w:rPr>
          <w:rFonts w:hint="cs"/>
          <w:rtl/>
        </w:rPr>
        <w:t xml:space="preserve"> ולא לפי הסעיף המקביל והחמור יותר שבפקודה, מתחם העונש הנהוג נקבע </w:t>
      </w:r>
      <w:r>
        <w:rPr>
          <w:rtl/>
        </w:rPr>
        <w:t xml:space="preserve">בין פסילת המינימום בת </w:t>
      </w:r>
      <w:r>
        <w:rPr>
          <w:rFonts w:hint="cs"/>
          <w:rtl/>
        </w:rPr>
        <w:t>שלושת ה</w:t>
      </w:r>
      <w:r w:rsidRPr="00E93688">
        <w:rPr>
          <w:rtl/>
        </w:rPr>
        <w:t>חודשים ועד לפסילה של 11 חודשים, לצד מאסר מותנה, פסילה על תנאי וקנס</w:t>
      </w:r>
      <w:r>
        <w:rPr>
          <w:rFonts w:hint="cs"/>
          <w:rtl/>
        </w:rPr>
        <w:t xml:space="preserve"> (והשוו </w:t>
      </w:r>
      <w:hyperlink r:id="rId30" w:history="1">
        <w:r w:rsidR="00A42922" w:rsidRPr="00A42922">
          <w:rPr>
            <w:color w:val="0000FF"/>
            <w:u w:val="single"/>
            <w:rtl/>
          </w:rPr>
          <w:t>ת"פ 62524-12-15</w:t>
        </w:r>
      </w:hyperlink>
      <w:r w:rsidRPr="004F69A3">
        <w:rPr>
          <w:rFonts w:hint="cs"/>
          <w:rtl/>
        </w:rPr>
        <w:t xml:space="preserve"> </w:t>
      </w:r>
      <w:r>
        <w:rPr>
          <w:rFonts w:hint="cs"/>
          <w:b/>
          <w:bCs/>
          <w:rtl/>
        </w:rPr>
        <w:t>מ.י. נ' קובישקין</w:t>
      </w:r>
      <w:r>
        <w:rPr>
          <w:rFonts w:hint="cs"/>
          <w:rtl/>
        </w:rPr>
        <w:t xml:space="preserve"> (2017) ו</w:t>
      </w:r>
      <w:hyperlink r:id="rId31" w:history="1">
        <w:r w:rsidR="00A42922" w:rsidRPr="00A42922">
          <w:rPr>
            <w:color w:val="0000FF"/>
            <w:u w:val="single"/>
            <w:rtl/>
          </w:rPr>
          <w:t>פ"ל 3175-08-14</w:t>
        </w:r>
      </w:hyperlink>
      <w:r w:rsidRPr="00140DAE">
        <w:rPr>
          <w:b/>
          <w:bCs/>
          <w:rtl/>
        </w:rPr>
        <w:t xml:space="preserve"> מ</w:t>
      </w:r>
      <w:r w:rsidRPr="00140DAE">
        <w:rPr>
          <w:rFonts w:hint="cs"/>
          <w:b/>
          <w:bCs/>
          <w:rtl/>
        </w:rPr>
        <w:t>.י.</w:t>
      </w:r>
      <w:r w:rsidRPr="00140DAE">
        <w:rPr>
          <w:b/>
          <w:bCs/>
          <w:rtl/>
        </w:rPr>
        <w:t xml:space="preserve"> נ' איניו</w:t>
      </w:r>
      <w:r>
        <w:rPr>
          <w:rFonts w:hint="cs"/>
          <w:rtl/>
        </w:rPr>
        <w:t xml:space="preserve"> (2016), בנסיבות הדומות לענייננו).</w:t>
      </w:r>
    </w:p>
    <w:p w14:paraId="0A43A6C4" w14:textId="77777777" w:rsidR="00472558" w:rsidRDefault="00472558" w:rsidP="00472558">
      <w:pPr>
        <w:pStyle w:val="a9"/>
        <w:numPr>
          <w:ilvl w:val="0"/>
          <w:numId w:val="5"/>
        </w:numPr>
        <w:spacing w:line="360" w:lineRule="auto"/>
        <w:jc w:val="both"/>
      </w:pPr>
      <w:r>
        <w:rPr>
          <w:rFonts w:hint="cs"/>
          <w:rtl/>
        </w:rPr>
        <w:lastRenderedPageBreak/>
        <w:t>לעניין עבירת הסמים, שהנה החזקת סם לצריכה עצמית, נהוג מתחם עונשי בין מאסר מותנה לבין חודשי מאסר ספורים, אך המתחם ייקבע בעיקרו לפי עבירות התעבורה, שהן הדומיננטיות.</w:t>
      </w:r>
    </w:p>
    <w:p w14:paraId="60615237" w14:textId="77777777" w:rsidR="00472558" w:rsidRDefault="00472558" w:rsidP="00472558">
      <w:pPr>
        <w:pStyle w:val="a9"/>
        <w:numPr>
          <w:ilvl w:val="0"/>
          <w:numId w:val="5"/>
        </w:numPr>
        <w:spacing w:line="360" w:lineRule="auto"/>
        <w:jc w:val="both"/>
      </w:pPr>
      <w:r>
        <w:rPr>
          <w:rFonts w:hint="cs"/>
          <w:rtl/>
        </w:rPr>
        <w:t>צירופם של מעשי העבירה בהתנהגותו של הנאשם, כללן של הנסיבות והענישה הנוהגת, מצדיקים קביעתו של מתחם העונש ההולם בין שישה לבין 18 חודשי פסילה, לצד מאסר מותנה, פסילה על-תנאי וקנס משמעותי.</w:t>
      </w:r>
    </w:p>
    <w:p w14:paraId="109BFDD9" w14:textId="77777777" w:rsidR="00472558" w:rsidRDefault="00472558" w:rsidP="00472558">
      <w:pPr>
        <w:spacing w:line="360" w:lineRule="auto"/>
        <w:jc w:val="both"/>
        <w:rPr>
          <w:rtl/>
        </w:rPr>
      </w:pPr>
    </w:p>
    <w:p w14:paraId="4B661698" w14:textId="77777777" w:rsidR="00472558" w:rsidRDefault="00472558" w:rsidP="00472558">
      <w:pPr>
        <w:spacing w:line="360" w:lineRule="auto"/>
        <w:jc w:val="both"/>
        <w:rPr>
          <w:rtl/>
        </w:rPr>
      </w:pPr>
    </w:p>
    <w:p w14:paraId="267D97DE" w14:textId="77777777" w:rsidR="00472558" w:rsidRPr="00464075" w:rsidRDefault="00472558" w:rsidP="00472558">
      <w:pPr>
        <w:spacing w:line="360" w:lineRule="auto"/>
        <w:jc w:val="both"/>
        <w:rPr>
          <w:rtl/>
        </w:rPr>
      </w:pPr>
    </w:p>
    <w:p w14:paraId="3B37E089" w14:textId="77777777" w:rsidR="00472558" w:rsidRDefault="00472558" w:rsidP="00472558">
      <w:pPr>
        <w:spacing w:line="360" w:lineRule="auto"/>
        <w:jc w:val="both"/>
        <w:rPr>
          <w:rtl/>
        </w:rPr>
      </w:pPr>
      <w:r>
        <w:rPr>
          <w:rFonts w:hint="cs"/>
          <w:b/>
          <w:bCs/>
          <w:u w:val="single"/>
          <w:rtl/>
        </w:rPr>
        <w:t xml:space="preserve">נסיבות שאינן קשורות בעבירות </w:t>
      </w:r>
      <w:r>
        <w:rPr>
          <w:b/>
          <w:bCs/>
          <w:u w:val="single"/>
          <w:rtl/>
        </w:rPr>
        <w:t>–</w:t>
      </w:r>
      <w:r>
        <w:rPr>
          <w:rFonts w:hint="cs"/>
          <w:b/>
          <w:bCs/>
          <w:u w:val="single"/>
          <w:rtl/>
        </w:rPr>
        <w:t>קביעת העונש במתחם:</w:t>
      </w:r>
    </w:p>
    <w:p w14:paraId="69ADCD25" w14:textId="77777777" w:rsidR="00472558" w:rsidRDefault="00472558" w:rsidP="00472558">
      <w:pPr>
        <w:pStyle w:val="a9"/>
        <w:numPr>
          <w:ilvl w:val="0"/>
          <w:numId w:val="6"/>
        </w:numPr>
        <w:spacing w:line="360" w:lineRule="auto"/>
        <w:jc w:val="both"/>
      </w:pPr>
      <w:r>
        <w:rPr>
          <w:rFonts w:hint="cs"/>
          <w:rtl/>
        </w:rPr>
        <w:t>הנאשם, יליד 1982, כבן 35 כיום, נשוי ואב לתאומים בני שלוש, עובד כיום כטכנאי מכונות ואלקטרוניקה במפעל. בילדותו נהרג אביו, ובהיותו כבן עשר עלה ארצה עם אמו ואביו החורג שנהג כלפיו באלימות. הנאשם סבל מקשיי קליטה ודחייה חברתית, ועד גיל 17 התגורר לפרקים ברוסיה ובגרמניה, שם נחשף לנוהגים של צריכה מופרזת של אלכוהול. משחזר לישראל, חבר לחברה שולית. הנאשם לא גויס לצה"ל, כיון שחזר שוב לרוסיה. הנאשם התחתן בחו"ל, סיים לימודים בהנדסת אלקטרוניקה, ושב לחיות בישראל.</w:t>
      </w:r>
    </w:p>
    <w:p w14:paraId="4BA3FB6D" w14:textId="77777777" w:rsidR="00472558" w:rsidRDefault="00472558" w:rsidP="00472558">
      <w:pPr>
        <w:pStyle w:val="a9"/>
        <w:numPr>
          <w:ilvl w:val="0"/>
          <w:numId w:val="6"/>
        </w:numPr>
        <w:spacing w:line="360" w:lineRule="auto"/>
        <w:jc w:val="both"/>
      </w:pPr>
      <w:r>
        <w:rPr>
          <w:rFonts w:hint="cs"/>
          <w:rtl/>
        </w:rPr>
        <w:t>אין לחובת הנאשם עבר פלילי, ועברו התעבורתי אינו מכביד.</w:t>
      </w:r>
    </w:p>
    <w:p w14:paraId="6CF16F85" w14:textId="77777777" w:rsidR="00472558" w:rsidRDefault="00472558" w:rsidP="00472558">
      <w:pPr>
        <w:pStyle w:val="a9"/>
        <w:numPr>
          <w:ilvl w:val="0"/>
          <w:numId w:val="6"/>
        </w:numPr>
        <w:spacing w:line="360" w:lineRule="auto"/>
        <w:jc w:val="both"/>
      </w:pPr>
      <w:r>
        <w:rPr>
          <w:rFonts w:hint="cs"/>
          <w:rtl/>
        </w:rPr>
        <w:t>הנאשם חשף בפני שירות המבחן, כי מחמת משבר משפחתי נהג לצרוך בקביעות קנבוס ואלכוהול. הנאשם חדל מהשימוש בסם, כפי שמעידות בדיקות שתן שמסר לשירות. הנאשם נטל אחריות על מעשיו וגילה תובנה לחומרת הסיכון שהיווה לעצמו ולאחרים.</w:t>
      </w:r>
    </w:p>
    <w:p w14:paraId="055022E1" w14:textId="77777777" w:rsidR="00472558" w:rsidRDefault="00472558" w:rsidP="00472558">
      <w:pPr>
        <w:pStyle w:val="a9"/>
        <w:numPr>
          <w:ilvl w:val="0"/>
          <w:numId w:val="6"/>
        </w:numPr>
        <w:spacing w:line="360" w:lineRule="auto"/>
        <w:jc w:val="both"/>
      </w:pPr>
      <w:r>
        <w:rPr>
          <w:rFonts w:hint="cs"/>
          <w:rtl/>
        </w:rPr>
        <w:t>הנאשם אינו מעוניין בטיפול, מחמת תפיסתו לפיה אין כל בעייתיות בחייו כיום. לנוכח עמדותיו, נמנע השירות מהמלצה טיפולית. הנאשם גם מסר לקצינת המבחן כי יסרב לבצע של"צ, אך בבית המשפט טען כי לא הובן כהלכה וסבר שקצינת המבחן מכוונת לעבודות שירות.</w:t>
      </w:r>
    </w:p>
    <w:p w14:paraId="6E56B208" w14:textId="77777777" w:rsidR="00472558" w:rsidRDefault="00472558" w:rsidP="00472558">
      <w:pPr>
        <w:pStyle w:val="a9"/>
        <w:numPr>
          <w:ilvl w:val="0"/>
          <w:numId w:val="6"/>
        </w:numPr>
        <w:spacing w:line="360" w:lineRule="auto"/>
        <w:jc w:val="both"/>
      </w:pPr>
      <w:r>
        <w:rPr>
          <w:rFonts w:hint="cs"/>
          <w:rtl/>
        </w:rPr>
        <w:t>לזכות הנאשם יעמדו נסיבות אלו, שגם לדעת התביעה מצדיקות את מיקום עונשו בתחתית המתחם (הגם שהמתחם שהציעה התביעה חמור מזה שנקבע לעיל): הודאת הנאשם, תוך קבלת אחריות והפנמה של חומרת הסיכון; חיסכון במשאבי ציבור לאור ההודאה; היעדר עבר פלילי; עבר תעבורתי שאינו מכביד; חלוף הזמן מעת ביצוע העבירה, כשלא הוגשו נגד הנאשם כתבי אישום נוספים.</w:t>
      </w:r>
    </w:p>
    <w:p w14:paraId="0EF8C1C3" w14:textId="77777777" w:rsidR="00472558" w:rsidRDefault="00472558" w:rsidP="00472558">
      <w:pPr>
        <w:spacing w:line="360" w:lineRule="auto"/>
        <w:jc w:val="both"/>
        <w:rPr>
          <w:rtl/>
        </w:rPr>
      </w:pPr>
    </w:p>
    <w:p w14:paraId="782E1C32" w14:textId="77777777" w:rsidR="00472558" w:rsidRDefault="00472558" w:rsidP="00472558">
      <w:pPr>
        <w:spacing w:line="360" w:lineRule="auto"/>
        <w:jc w:val="both"/>
        <w:rPr>
          <w:rtl/>
        </w:rPr>
      </w:pPr>
      <w:r>
        <w:rPr>
          <w:rFonts w:hint="cs"/>
          <w:b/>
          <w:bCs/>
          <w:u w:val="single"/>
          <w:rtl/>
        </w:rPr>
        <w:t>סוף-דבר, אני גוזר על הנאשם את העונשים הבאים:</w:t>
      </w:r>
    </w:p>
    <w:p w14:paraId="1BFC9983" w14:textId="77777777" w:rsidR="00472558" w:rsidRDefault="00472558" w:rsidP="00472558">
      <w:pPr>
        <w:spacing w:line="360" w:lineRule="auto"/>
        <w:ind w:left="720" w:hanging="720"/>
        <w:jc w:val="both"/>
        <w:rPr>
          <w:rtl/>
        </w:rPr>
      </w:pPr>
      <w:r>
        <w:rPr>
          <w:rFonts w:hint="cs"/>
          <w:rtl/>
        </w:rPr>
        <w:t>א.</w:t>
      </w:r>
      <w:r>
        <w:rPr>
          <w:rFonts w:hint="cs"/>
          <w:rtl/>
        </w:rPr>
        <w:tab/>
        <w:t>שישה חודשי פסילה מלנהוג או לקבל רישיון נהיגה. לנאשם לא היה רישיון נהיגה ישראלי ואני מחייב אותו בהפקדת רישיונו הישראלי, אם הוציא כזה, או בתצהיר כי אינו אוחז ברישיון ישראלי ולא המיר רישיונו הזר לרישיון ישראלי;</w:t>
      </w:r>
    </w:p>
    <w:p w14:paraId="4499E712" w14:textId="77777777" w:rsidR="00472558" w:rsidRDefault="00472558" w:rsidP="00472558">
      <w:pPr>
        <w:spacing w:line="360" w:lineRule="auto"/>
        <w:ind w:left="720" w:hanging="720"/>
        <w:jc w:val="both"/>
        <w:rPr>
          <w:rtl/>
        </w:rPr>
      </w:pPr>
      <w:r>
        <w:rPr>
          <w:rFonts w:hint="cs"/>
          <w:rtl/>
        </w:rPr>
        <w:t>ב.</w:t>
      </w:r>
      <w:r>
        <w:rPr>
          <w:rFonts w:hint="cs"/>
          <w:rtl/>
        </w:rPr>
        <w:tab/>
        <w:t xml:space="preserve">שישה חודשי פסילה על-תנאי למשך שנתיים מתום הפסילה בפועל, </w:t>
      </w:r>
      <w:r w:rsidRPr="00747A85">
        <w:rPr>
          <w:rtl/>
        </w:rPr>
        <w:t>שלא יעבור עביר</w:t>
      </w:r>
      <w:r>
        <w:rPr>
          <w:rFonts w:hint="cs"/>
          <w:rtl/>
        </w:rPr>
        <w:t>ה</w:t>
      </w:r>
      <w:r>
        <w:rPr>
          <w:rtl/>
        </w:rPr>
        <w:t xml:space="preserve"> בה</w:t>
      </w:r>
      <w:r w:rsidRPr="00747A85">
        <w:rPr>
          <w:rtl/>
        </w:rPr>
        <w:t xml:space="preserve"> הורשע </w:t>
      </w:r>
      <w:r>
        <w:rPr>
          <w:rFonts w:hint="cs"/>
          <w:rtl/>
        </w:rPr>
        <w:t xml:space="preserve">בתיק זה </w:t>
      </w:r>
      <w:r w:rsidRPr="00747A85">
        <w:rPr>
          <w:rtl/>
        </w:rPr>
        <w:t xml:space="preserve">או כל עבירה </w:t>
      </w:r>
      <w:r>
        <w:rPr>
          <w:rFonts w:hint="cs"/>
          <w:rtl/>
        </w:rPr>
        <w:t>המפורטת</w:t>
      </w:r>
      <w:r w:rsidRPr="00747A85">
        <w:rPr>
          <w:rtl/>
        </w:rPr>
        <w:t xml:space="preserve"> </w:t>
      </w:r>
      <w:r>
        <w:rPr>
          <w:rFonts w:hint="cs"/>
          <w:rtl/>
        </w:rPr>
        <w:t>ב</w:t>
      </w:r>
      <w:r w:rsidRPr="00747A85">
        <w:rPr>
          <w:rtl/>
        </w:rPr>
        <w:t>תוספת הראשונה או השנייה</w:t>
      </w:r>
      <w:r>
        <w:rPr>
          <w:rFonts w:hint="cs"/>
          <w:rtl/>
        </w:rPr>
        <w:t xml:space="preserve"> ל</w:t>
      </w:r>
      <w:hyperlink r:id="rId32" w:history="1">
        <w:r w:rsidR="00A42922" w:rsidRPr="00A42922">
          <w:rPr>
            <w:color w:val="0000FF"/>
            <w:u w:val="single"/>
            <w:rtl/>
          </w:rPr>
          <w:t>פקודת התעבורה</w:t>
        </w:r>
      </w:hyperlink>
      <w:r>
        <w:rPr>
          <w:rFonts w:hint="cs"/>
          <w:rtl/>
        </w:rPr>
        <w:t>;</w:t>
      </w:r>
    </w:p>
    <w:p w14:paraId="5F426505" w14:textId="77777777" w:rsidR="00472558" w:rsidRDefault="00472558" w:rsidP="00472558">
      <w:pPr>
        <w:spacing w:line="360" w:lineRule="auto"/>
        <w:ind w:left="720" w:hanging="720"/>
        <w:jc w:val="both"/>
        <w:rPr>
          <w:rtl/>
        </w:rPr>
      </w:pPr>
      <w:r>
        <w:rPr>
          <w:rFonts w:hint="cs"/>
          <w:rtl/>
        </w:rPr>
        <w:t>ג.</w:t>
      </w:r>
      <w:r>
        <w:rPr>
          <w:rFonts w:hint="cs"/>
          <w:rtl/>
        </w:rPr>
        <w:tab/>
        <w:t>שלושה חודשי מאסר על תנאי למשך שנתיים מהיום, שלא יעבור עבירה בה הורשע בתיק זה, או עבירה של נהיגה בשכרות, או כל עבירת סמים אחרת שהיא פשע;</w:t>
      </w:r>
    </w:p>
    <w:p w14:paraId="112A5599" w14:textId="77777777" w:rsidR="00472558" w:rsidRDefault="00472558" w:rsidP="00472558">
      <w:pPr>
        <w:spacing w:line="360" w:lineRule="auto"/>
        <w:ind w:left="720" w:hanging="720"/>
        <w:jc w:val="both"/>
        <w:rPr>
          <w:rtl/>
        </w:rPr>
      </w:pPr>
      <w:r>
        <w:rPr>
          <w:rFonts w:hint="cs"/>
          <w:rtl/>
        </w:rPr>
        <w:t>ד.</w:t>
      </w:r>
      <w:r>
        <w:rPr>
          <w:rFonts w:hint="cs"/>
          <w:rtl/>
        </w:rPr>
        <w:tab/>
        <w:t>קנס בסך 2,500 ₪ או שלושה חודשי מאסר תמורתו. הקנס ישולם בחמישה תשלומים חודשיים, שווים ורצופים, שהראשון שבהם לא יאוחר מיום 1.2.18, וכשמחדל או עיכוב באחד התשלומים יעמיד מלוא הסך לפירעון מידי;</w:t>
      </w:r>
    </w:p>
    <w:p w14:paraId="20228DD3" w14:textId="77777777" w:rsidR="00472558" w:rsidRDefault="00472558" w:rsidP="00472558">
      <w:pPr>
        <w:spacing w:line="360" w:lineRule="auto"/>
        <w:ind w:left="720" w:hanging="720"/>
        <w:jc w:val="both"/>
        <w:rPr>
          <w:rtl/>
        </w:rPr>
      </w:pPr>
    </w:p>
    <w:p w14:paraId="68A796D1" w14:textId="77777777" w:rsidR="00472558" w:rsidRDefault="00472558" w:rsidP="00472558">
      <w:pPr>
        <w:spacing w:line="360" w:lineRule="auto"/>
        <w:ind w:left="720" w:hanging="720"/>
        <w:jc w:val="both"/>
        <w:rPr>
          <w:rtl/>
        </w:rPr>
      </w:pPr>
    </w:p>
    <w:p w14:paraId="0051AE7D" w14:textId="77777777" w:rsidR="00472558" w:rsidRDefault="00472558" w:rsidP="00472558">
      <w:pPr>
        <w:spacing w:line="360" w:lineRule="auto"/>
        <w:ind w:left="720" w:hanging="720"/>
        <w:jc w:val="both"/>
        <w:rPr>
          <w:rtl/>
        </w:rPr>
      </w:pPr>
    </w:p>
    <w:p w14:paraId="589FADBA" w14:textId="77777777" w:rsidR="00472558" w:rsidRDefault="00472558" w:rsidP="00472558">
      <w:pPr>
        <w:spacing w:line="360" w:lineRule="auto"/>
        <w:ind w:left="720" w:hanging="720"/>
        <w:jc w:val="both"/>
        <w:rPr>
          <w:rtl/>
        </w:rPr>
      </w:pPr>
      <w:r>
        <w:rPr>
          <w:rFonts w:hint="cs"/>
          <w:b/>
          <w:bCs/>
          <w:u w:val="single"/>
          <w:rtl/>
        </w:rPr>
        <w:t>הוראות נלוות:</w:t>
      </w:r>
    </w:p>
    <w:p w14:paraId="00D89AE2" w14:textId="77777777" w:rsidR="00472558" w:rsidRDefault="00472558" w:rsidP="00472558">
      <w:pPr>
        <w:spacing w:line="360" w:lineRule="auto"/>
        <w:ind w:left="720" w:hanging="720"/>
        <w:jc w:val="both"/>
        <w:rPr>
          <w:rtl/>
        </w:rPr>
      </w:pPr>
      <w:r>
        <w:rPr>
          <w:rFonts w:hint="cs"/>
          <w:rtl/>
        </w:rPr>
        <w:t>א.</w:t>
      </w:r>
      <w:r>
        <w:rPr>
          <w:rFonts w:hint="cs"/>
          <w:rtl/>
        </w:rPr>
        <w:tab/>
        <w:t>עותק גזר הדין יישלח לשירות המבחן לידיעה;</w:t>
      </w:r>
    </w:p>
    <w:p w14:paraId="10BA7798" w14:textId="77777777" w:rsidR="00472558" w:rsidRDefault="00472558" w:rsidP="00472558">
      <w:pPr>
        <w:spacing w:line="360" w:lineRule="auto"/>
        <w:ind w:left="720" w:hanging="720"/>
        <w:jc w:val="both"/>
        <w:rPr>
          <w:rtl/>
        </w:rPr>
      </w:pPr>
      <w:r>
        <w:rPr>
          <w:rFonts w:hint="cs"/>
          <w:rtl/>
        </w:rPr>
        <w:t>ב.</w:t>
      </w:r>
      <w:r>
        <w:rPr>
          <w:rFonts w:hint="cs"/>
          <w:rtl/>
        </w:rPr>
        <w:tab/>
        <w:t>הסמים יושמדו וכל מוצג אחר, פרט לכסף, יועבר להכרעה פרטנית של קצין משטרה;</w:t>
      </w:r>
    </w:p>
    <w:p w14:paraId="5C8AAB21" w14:textId="77777777" w:rsidR="00472558" w:rsidRPr="00512B41" w:rsidRDefault="00472558" w:rsidP="00472558">
      <w:pPr>
        <w:spacing w:line="360" w:lineRule="auto"/>
        <w:ind w:left="720" w:hanging="720"/>
        <w:jc w:val="both"/>
      </w:pPr>
      <w:r>
        <w:rPr>
          <w:rFonts w:hint="cs"/>
          <w:rtl/>
        </w:rPr>
        <w:t>ג.</w:t>
      </w:r>
      <w:r>
        <w:rPr>
          <w:rFonts w:hint="cs"/>
          <w:rtl/>
        </w:rPr>
        <w:tab/>
        <w:t>ככל שהפקיד הנאשם פיקדון בתיק זה, בתיק קשור, או בתיק המשטרה, יושב לו הפיקדון;</w:t>
      </w:r>
    </w:p>
    <w:p w14:paraId="4ED3FD12" w14:textId="77777777" w:rsidR="00472558" w:rsidRDefault="00472558" w:rsidP="00472558">
      <w:pPr>
        <w:pStyle w:val="a9"/>
        <w:spacing w:line="360" w:lineRule="auto"/>
        <w:ind w:left="360"/>
        <w:jc w:val="both"/>
        <w:rPr>
          <w:rtl/>
        </w:rPr>
      </w:pPr>
    </w:p>
    <w:p w14:paraId="35A0893C" w14:textId="77777777" w:rsidR="00472558" w:rsidRPr="00275F7C" w:rsidRDefault="00472558" w:rsidP="00472558">
      <w:pPr>
        <w:pStyle w:val="a9"/>
        <w:spacing w:line="360" w:lineRule="auto"/>
        <w:ind w:left="360"/>
        <w:jc w:val="both"/>
        <w:rPr>
          <w:rtl/>
        </w:rPr>
      </w:pPr>
    </w:p>
    <w:p w14:paraId="6ABD99A3" w14:textId="77777777" w:rsidR="00472558" w:rsidRDefault="00472558" w:rsidP="00472558">
      <w:pPr>
        <w:spacing w:line="360" w:lineRule="auto"/>
        <w:jc w:val="both"/>
        <w:rPr>
          <w:rtl/>
        </w:rPr>
      </w:pPr>
      <w:r>
        <w:rPr>
          <w:rFonts w:hint="cs"/>
          <w:rtl/>
        </w:rPr>
        <w:t>זכות ערעור לבית המשפט המחוזי תוך 45 יום מהיום.</w:t>
      </w:r>
    </w:p>
    <w:p w14:paraId="06BBF010" w14:textId="77777777" w:rsidR="00472558" w:rsidRDefault="00472558" w:rsidP="00472558">
      <w:pPr>
        <w:spacing w:line="360" w:lineRule="auto"/>
        <w:jc w:val="both"/>
        <w:rPr>
          <w:rtl/>
        </w:rPr>
      </w:pPr>
    </w:p>
    <w:p w14:paraId="72F5543A" w14:textId="77777777" w:rsidR="00472558" w:rsidRPr="00B05847" w:rsidRDefault="00472558" w:rsidP="00472558">
      <w:pPr>
        <w:spacing w:line="360" w:lineRule="auto"/>
        <w:jc w:val="both"/>
        <w:rPr>
          <w:rtl/>
        </w:rPr>
      </w:pPr>
    </w:p>
    <w:p w14:paraId="48AD1AAC" w14:textId="77777777" w:rsidR="00472558" w:rsidRPr="00A42922" w:rsidRDefault="00A42922" w:rsidP="00472558">
      <w:pPr>
        <w:spacing w:line="360" w:lineRule="auto"/>
        <w:jc w:val="both"/>
        <w:rPr>
          <w:color w:val="FFFFFF"/>
          <w:sz w:val="2"/>
          <w:szCs w:val="2"/>
          <w:rtl/>
        </w:rPr>
      </w:pPr>
      <w:r w:rsidRPr="00A42922">
        <w:rPr>
          <w:color w:val="FFFFFF"/>
          <w:sz w:val="2"/>
          <w:szCs w:val="2"/>
          <w:rtl/>
        </w:rPr>
        <w:t>5129371</w:t>
      </w:r>
    </w:p>
    <w:p w14:paraId="33E51E03" w14:textId="77777777" w:rsidR="00472558" w:rsidRPr="00250B83" w:rsidRDefault="00A42922" w:rsidP="00472558">
      <w:pPr>
        <w:rPr>
          <w:rtl/>
        </w:rPr>
      </w:pPr>
      <w:r w:rsidRPr="00A42922">
        <w:rPr>
          <w:rFonts w:ascii="Arial" w:hAnsi="Arial"/>
          <w:color w:val="FFFFFF"/>
          <w:sz w:val="2"/>
          <w:szCs w:val="2"/>
          <w:rtl/>
        </w:rPr>
        <w:t>54678313</w:t>
      </w:r>
      <w:r>
        <w:rPr>
          <w:rFonts w:ascii="Arial" w:hAnsi="Arial"/>
          <w:rtl/>
        </w:rPr>
        <w:t xml:space="preserve">ניתן היום,  כ"ג טבת תשע"ח, 10 ינואר 2018, במעמד הצדדים. </w:t>
      </w:r>
    </w:p>
    <w:p w14:paraId="77BD37A5" w14:textId="77777777" w:rsidR="00472558" w:rsidRPr="00250B83" w:rsidRDefault="00472558" w:rsidP="00472558">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r>
        <w:rPr>
          <w:rtl/>
        </w:rPr>
        <w:t xml:space="preserve">     </w:t>
      </w:r>
    </w:p>
    <w:p w14:paraId="310CBDFD" w14:textId="77777777" w:rsidR="00472558" w:rsidRPr="00250B83" w:rsidRDefault="00472558" w:rsidP="00472558">
      <w:pPr>
        <w:jc w:val="center"/>
        <w:rPr>
          <w:rFonts w:ascii="Arial" w:hAnsi="Arial"/>
          <w:rtl/>
        </w:rPr>
      </w:pPr>
    </w:p>
    <w:p w14:paraId="50E14EED" w14:textId="77777777" w:rsidR="00472558" w:rsidRPr="00250B83" w:rsidRDefault="00472558" w:rsidP="00472558">
      <w:pPr>
        <w:rPr>
          <w:rtl/>
        </w:rPr>
      </w:pPr>
    </w:p>
    <w:p w14:paraId="6E9DC6E4" w14:textId="77777777" w:rsidR="00472558" w:rsidRPr="008A0C27" w:rsidRDefault="008A0C27" w:rsidP="00472558">
      <w:pPr>
        <w:pStyle w:val="a3"/>
        <w:jc w:val="center"/>
        <w:rPr>
          <w:color w:val="FFFFFF"/>
          <w:sz w:val="2"/>
          <w:szCs w:val="2"/>
          <w:rtl/>
        </w:rPr>
      </w:pPr>
      <w:r w:rsidRPr="008A0C27">
        <w:rPr>
          <w:color w:val="FFFFFF"/>
          <w:sz w:val="2"/>
          <w:szCs w:val="2"/>
          <w:rtl/>
        </w:rPr>
        <w:t>5129371</w:t>
      </w:r>
    </w:p>
    <w:p w14:paraId="35E40F24" w14:textId="77777777" w:rsidR="002D7B2F" w:rsidRPr="008A0C27" w:rsidRDefault="008A0C27" w:rsidP="00A42922">
      <w:pPr>
        <w:keepNext/>
        <w:rPr>
          <w:rFonts w:ascii="David" w:hAnsi="David"/>
          <w:color w:val="FFFFFF"/>
          <w:sz w:val="2"/>
          <w:szCs w:val="2"/>
          <w:rtl/>
        </w:rPr>
      </w:pPr>
      <w:r w:rsidRPr="008A0C27">
        <w:rPr>
          <w:rFonts w:ascii="David" w:hAnsi="David"/>
          <w:color w:val="FFFFFF"/>
          <w:sz w:val="2"/>
          <w:szCs w:val="2"/>
          <w:rtl/>
        </w:rPr>
        <w:t>54678313</w:t>
      </w:r>
    </w:p>
    <w:p w14:paraId="0925AABA" w14:textId="77777777" w:rsidR="00A42922" w:rsidRPr="00A42922" w:rsidRDefault="00A42922" w:rsidP="00A42922">
      <w:pPr>
        <w:keepNext/>
        <w:rPr>
          <w:rFonts w:ascii="David" w:hAnsi="David"/>
          <w:color w:val="000000"/>
          <w:sz w:val="22"/>
          <w:szCs w:val="22"/>
          <w:rtl/>
        </w:rPr>
      </w:pPr>
      <w:r w:rsidRPr="00A42922">
        <w:rPr>
          <w:rFonts w:ascii="David" w:hAnsi="David"/>
          <w:color w:val="000000"/>
          <w:sz w:val="22"/>
          <w:szCs w:val="22"/>
          <w:rtl/>
        </w:rPr>
        <w:t>עידו דרויאן גמליאל 54678313</w:t>
      </w:r>
    </w:p>
    <w:p w14:paraId="05136276" w14:textId="77777777" w:rsidR="00A42922" w:rsidRDefault="00A42922" w:rsidP="00A42922">
      <w:r w:rsidRPr="00A42922">
        <w:rPr>
          <w:color w:val="000000"/>
          <w:rtl/>
        </w:rPr>
        <w:t>נוסח מסמך זה כפוף לשינויי ניסוח ועריכה</w:t>
      </w:r>
    </w:p>
    <w:p w14:paraId="53B507E2" w14:textId="77777777" w:rsidR="00A42922" w:rsidRDefault="00A42922" w:rsidP="00A42922">
      <w:pPr>
        <w:rPr>
          <w:rtl/>
        </w:rPr>
      </w:pPr>
    </w:p>
    <w:p w14:paraId="62FC39B9" w14:textId="77777777" w:rsidR="00A42922" w:rsidRDefault="00A42922" w:rsidP="00A42922">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013F5922" w14:textId="77777777" w:rsidR="008A0C27" w:rsidRPr="008A0C27" w:rsidRDefault="008A0C27" w:rsidP="008A0C27">
      <w:pPr>
        <w:keepNext/>
        <w:rPr>
          <w:rFonts w:ascii="David" w:hAnsi="David"/>
          <w:color w:val="000000"/>
          <w:sz w:val="22"/>
          <w:szCs w:val="22"/>
          <w:rtl/>
        </w:rPr>
      </w:pPr>
    </w:p>
    <w:sectPr w:rsidR="008A0C27" w:rsidRPr="008A0C27" w:rsidSect="008A0C27">
      <w:headerReference w:type="even" r:id="rId34"/>
      <w:headerReference w:type="default" r:id="rId35"/>
      <w:footerReference w:type="even" r:id="rId36"/>
      <w:footerReference w:type="default" r:id="rId3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768410" w14:textId="77777777" w:rsidR="004B02E2" w:rsidRDefault="004B02E2" w:rsidP="00DD5118">
      <w:r>
        <w:separator/>
      </w:r>
    </w:p>
  </w:endnote>
  <w:endnote w:type="continuationSeparator" w:id="0">
    <w:p w14:paraId="24746060" w14:textId="77777777" w:rsidR="004B02E2" w:rsidRDefault="004B02E2" w:rsidP="00DD5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C08BB9" w14:textId="77777777" w:rsidR="004B02E2" w:rsidRDefault="004B02E2" w:rsidP="008A0C2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8BCFA12" w14:textId="77777777" w:rsidR="004B02E2" w:rsidRPr="008A0C27" w:rsidRDefault="004B02E2" w:rsidP="008A0C27">
    <w:pPr>
      <w:pStyle w:val="a5"/>
      <w:pBdr>
        <w:top w:val="single" w:sz="4" w:space="1" w:color="auto"/>
        <w:between w:val="single" w:sz="4" w:space="0" w:color="auto"/>
      </w:pBdr>
      <w:spacing w:after="60"/>
      <w:jc w:val="center"/>
      <w:rPr>
        <w:rFonts w:ascii="FrankRuehl" w:hAnsi="FrankRuehl" w:cs="FrankRuehl"/>
        <w:color w:val="000000"/>
      </w:rPr>
    </w:pPr>
    <w:r w:rsidRPr="008A0C2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8A3748" w14:textId="77777777" w:rsidR="004B02E2" w:rsidRDefault="004B02E2" w:rsidP="008A0C2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F398E">
      <w:rPr>
        <w:rFonts w:ascii="FrankRuehl" w:hAnsi="FrankRuehl" w:cs="FrankRuehl"/>
        <w:noProof/>
        <w:rtl/>
      </w:rPr>
      <w:t>1</w:t>
    </w:r>
    <w:r>
      <w:rPr>
        <w:rFonts w:ascii="FrankRuehl" w:hAnsi="FrankRuehl" w:cs="FrankRuehl"/>
        <w:rtl/>
      </w:rPr>
      <w:fldChar w:fldCharType="end"/>
    </w:r>
  </w:p>
  <w:p w14:paraId="7877B4F2" w14:textId="77777777" w:rsidR="004B02E2" w:rsidRPr="008A0C27" w:rsidRDefault="004B02E2" w:rsidP="008A0C27">
    <w:pPr>
      <w:pStyle w:val="a5"/>
      <w:pBdr>
        <w:top w:val="single" w:sz="4" w:space="1" w:color="auto"/>
        <w:between w:val="single" w:sz="4" w:space="0" w:color="auto"/>
      </w:pBdr>
      <w:spacing w:after="60"/>
      <w:jc w:val="center"/>
      <w:rPr>
        <w:rFonts w:ascii="FrankRuehl" w:hAnsi="FrankRuehl" w:cs="FrankRuehl"/>
        <w:color w:val="000000"/>
      </w:rPr>
    </w:pPr>
    <w:r w:rsidRPr="008A0C27">
      <w:rPr>
        <w:rFonts w:ascii="FrankRuehl" w:hAnsi="FrankRuehl" w:cs="FrankRuehl"/>
        <w:color w:val="000000"/>
      </w:rPr>
      <w:pict w14:anchorId="6B4239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5F495E" w14:textId="77777777" w:rsidR="004B02E2" w:rsidRDefault="004B02E2" w:rsidP="00DD5118">
      <w:r>
        <w:separator/>
      </w:r>
    </w:p>
  </w:footnote>
  <w:footnote w:type="continuationSeparator" w:id="0">
    <w:p w14:paraId="2B785095" w14:textId="77777777" w:rsidR="004B02E2" w:rsidRDefault="004B02E2" w:rsidP="00DD51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54343E" w14:textId="77777777" w:rsidR="004B02E2" w:rsidRPr="008A0C27" w:rsidRDefault="004B02E2" w:rsidP="008A0C2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44097-03-17</w:t>
    </w:r>
    <w:r>
      <w:rPr>
        <w:rFonts w:ascii="David" w:hAnsi="David"/>
        <w:color w:val="000000"/>
        <w:sz w:val="22"/>
        <w:szCs w:val="22"/>
        <w:rtl/>
      </w:rPr>
      <w:tab/>
      <w:t xml:space="preserve"> מדינת ישראל נ' אלכסנדר טן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5B535B" w14:textId="77777777" w:rsidR="004B02E2" w:rsidRPr="008A0C27" w:rsidRDefault="004B02E2" w:rsidP="008A0C2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44097-03-17</w:t>
    </w:r>
    <w:r>
      <w:rPr>
        <w:rFonts w:ascii="David" w:hAnsi="David"/>
        <w:color w:val="000000"/>
        <w:sz w:val="22"/>
        <w:szCs w:val="22"/>
        <w:rtl/>
      </w:rPr>
      <w:tab/>
      <w:t xml:space="preserve"> מדינת ישראל נ' אלכסנדר טן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794695"/>
    <w:multiLevelType w:val="hybridMultilevel"/>
    <w:tmpl w:val="2C7ACD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91D06A5"/>
    <w:multiLevelType w:val="hybridMultilevel"/>
    <w:tmpl w:val="1B6C8082"/>
    <w:lvl w:ilvl="0" w:tplc="0409000F">
      <w:start w:val="1"/>
      <w:numFmt w:val="decimal"/>
      <w:lvlText w:val="%1."/>
      <w:lvlJc w:val="left"/>
      <w:pPr>
        <w:ind w:left="360" w:hanging="360"/>
      </w:pPr>
    </w:lvl>
    <w:lvl w:ilvl="1" w:tplc="04090013">
      <w:start w:val="1"/>
      <w:numFmt w:val="hebrew1"/>
      <w:lvlText w:val="%2."/>
      <w:lvlJc w:val="center"/>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5594E32"/>
    <w:multiLevelType w:val="hybridMultilevel"/>
    <w:tmpl w:val="267E1D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DFE72BA"/>
    <w:multiLevelType w:val="hybridMultilevel"/>
    <w:tmpl w:val="4E464E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E0A3AA4"/>
    <w:multiLevelType w:val="hybridMultilevel"/>
    <w:tmpl w:val="B92C71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AB66A16"/>
    <w:multiLevelType w:val="hybridMultilevel"/>
    <w:tmpl w:val="D95C2B16"/>
    <w:lvl w:ilvl="0" w:tplc="0409000F">
      <w:start w:val="1"/>
      <w:numFmt w:val="decimal"/>
      <w:lvlText w:val="%1."/>
      <w:lvlJc w:val="left"/>
      <w:pPr>
        <w:ind w:left="360" w:hanging="360"/>
      </w:pPr>
      <w:rPr>
        <w:rFonts w:cs="Times New Roman"/>
      </w:rPr>
    </w:lvl>
    <w:lvl w:ilvl="1" w:tplc="04090013">
      <w:start w:val="1"/>
      <w:numFmt w:val="hebrew1"/>
      <w:lvlText w:val="%2."/>
      <w:lvlJc w:val="center"/>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16cid:durableId="424156574">
    <w:abstractNumId w:val="3"/>
  </w:num>
  <w:num w:numId="2" w16cid:durableId="1640770690">
    <w:abstractNumId w:val="1"/>
  </w:num>
  <w:num w:numId="3" w16cid:durableId="925960093">
    <w:abstractNumId w:val="0"/>
  </w:num>
  <w:num w:numId="4" w16cid:durableId="867794130">
    <w:abstractNumId w:val="5"/>
  </w:num>
  <w:num w:numId="5" w16cid:durableId="1659531041">
    <w:abstractNumId w:val="4"/>
  </w:num>
  <w:num w:numId="6" w16cid:durableId="5237117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72558"/>
    <w:rsid w:val="002D7B2F"/>
    <w:rsid w:val="00472558"/>
    <w:rsid w:val="004B02E2"/>
    <w:rsid w:val="0050799F"/>
    <w:rsid w:val="005139F7"/>
    <w:rsid w:val="008A0C27"/>
    <w:rsid w:val="008B0F07"/>
    <w:rsid w:val="008F398E"/>
    <w:rsid w:val="00A42922"/>
    <w:rsid w:val="00BA16A0"/>
    <w:rsid w:val="00DD5118"/>
    <w:rsid w:val="00EC4A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D864EF1"/>
  <w15:chartTrackingRefBased/>
  <w15:docId w15:val="{4FB2A55F-1253-4B0B-9910-391E3C773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255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72558"/>
    <w:pPr>
      <w:tabs>
        <w:tab w:val="center" w:pos="4153"/>
        <w:tab w:val="right" w:pos="8306"/>
      </w:tabs>
    </w:pPr>
  </w:style>
  <w:style w:type="character" w:customStyle="1" w:styleId="a4">
    <w:name w:val="כותרת עליונה תו"/>
    <w:link w:val="a3"/>
    <w:rsid w:val="00472558"/>
    <w:rPr>
      <w:rFonts w:ascii="Times New Roman" w:eastAsia="Times New Roman" w:hAnsi="Times New Roman" w:cs="David"/>
      <w:sz w:val="24"/>
      <w:szCs w:val="24"/>
    </w:rPr>
  </w:style>
  <w:style w:type="paragraph" w:styleId="a5">
    <w:name w:val="footer"/>
    <w:basedOn w:val="a"/>
    <w:link w:val="a6"/>
    <w:rsid w:val="00472558"/>
    <w:pPr>
      <w:tabs>
        <w:tab w:val="center" w:pos="4153"/>
        <w:tab w:val="right" w:pos="8306"/>
      </w:tabs>
    </w:pPr>
  </w:style>
  <w:style w:type="character" w:customStyle="1" w:styleId="a6">
    <w:name w:val="כותרת תחתונה תו"/>
    <w:link w:val="a5"/>
    <w:rsid w:val="00472558"/>
    <w:rPr>
      <w:rFonts w:ascii="Times New Roman" w:eastAsia="Times New Roman" w:hAnsi="Times New Roman" w:cs="David"/>
      <w:sz w:val="24"/>
      <w:szCs w:val="24"/>
    </w:rPr>
  </w:style>
  <w:style w:type="table" w:styleId="a7">
    <w:name w:val="Table Grid"/>
    <w:basedOn w:val="a1"/>
    <w:rsid w:val="0047255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72558"/>
  </w:style>
  <w:style w:type="paragraph" w:styleId="a9">
    <w:name w:val="List Paragraph"/>
    <w:basedOn w:val="a"/>
    <w:qFormat/>
    <w:rsid w:val="00472558"/>
    <w:pPr>
      <w:ind w:left="720"/>
      <w:contextualSpacing/>
    </w:pPr>
  </w:style>
  <w:style w:type="character" w:styleId="Hyperlink">
    <w:name w:val="Hyperlink"/>
    <w:rsid w:val="00A42922"/>
    <w:rPr>
      <w:color w:val="0563C1"/>
      <w:u w:val="single"/>
    </w:rPr>
  </w:style>
  <w:style w:type="character" w:styleId="aa">
    <w:name w:val="Unresolved Mention"/>
    <w:rsid w:val="00A4292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4501/2.a" TargetMode="External"/><Relationship Id="rId18" Type="http://schemas.openxmlformats.org/officeDocument/2006/relationships/hyperlink" Target="http://www.nevo.co.il/law/74274" TargetMode="External"/><Relationship Id="rId26" Type="http://schemas.openxmlformats.org/officeDocument/2006/relationships/hyperlink" Target="http://www.nevo.co.il/law/4216" TargetMode="External"/><Relationship Id="rId39" Type="http://schemas.openxmlformats.org/officeDocument/2006/relationships/theme" Target="theme/theme1.xml"/><Relationship Id="rId21" Type="http://schemas.openxmlformats.org/officeDocument/2006/relationships/hyperlink" Target="http://www.nevo.co.il/law/5227/10.a" TargetMode="External"/><Relationship Id="rId34" Type="http://schemas.openxmlformats.org/officeDocument/2006/relationships/header" Target="header1.xml"/><Relationship Id="rId7" Type="http://schemas.openxmlformats.org/officeDocument/2006/relationships/hyperlink" Target="http://www.nevo.co.il/law/74274" TargetMode="External"/><Relationship Id="rId12" Type="http://schemas.openxmlformats.org/officeDocument/2006/relationships/hyperlink" Target="http://www.nevo.co.il/law/74501" TargetMode="External"/><Relationship Id="rId17" Type="http://schemas.openxmlformats.org/officeDocument/2006/relationships/hyperlink" Target="http://www.nevo.co.il/law/74274/26.2" TargetMode="External"/><Relationship Id="rId25" Type="http://schemas.openxmlformats.org/officeDocument/2006/relationships/hyperlink" Target="http://www.nevo.co.il/law/4216/7.c"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4216/7.c" TargetMode="External"/><Relationship Id="rId20" Type="http://schemas.openxmlformats.org/officeDocument/2006/relationships/hyperlink" Target="http://www.nevo.co.il/law/5227" TargetMode="External"/><Relationship Id="rId29" Type="http://schemas.openxmlformats.org/officeDocument/2006/relationships/hyperlink" Target="http://www.nevo.co.il/law/74274/26.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5227/38.3" TargetMode="External"/><Relationship Id="rId24" Type="http://schemas.openxmlformats.org/officeDocument/2006/relationships/hyperlink" Target="http://www.nevo.co.il/law/4216/7.a" TargetMode="External"/><Relationship Id="rId32" Type="http://schemas.openxmlformats.org/officeDocument/2006/relationships/hyperlink" Target="http://www.nevo.co.il/law/5227"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7.a" TargetMode="External"/><Relationship Id="rId23" Type="http://schemas.openxmlformats.org/officeDocument/2006/relationships/hyperlink" Target="http://www.nevo.co.il/law/74501" TargetMode="External"/><Relationship Id="rId28" Type="http://schemas.openxmlformats.org/officeDocument/2006/relationships/hyperlink" Target="http://www.nevo.co.il/case/6066223" TargetMode="External"/><Relationship Id="rId36" Type="http://schemas.openxmlformats.org/officeDocument/2006/relationships/footer" Target="footer1.xml"/><Relationship Id="rId10" Type="http://schemas.openxmlformats.org/officeDocument/2006/relationships/hyperlink" Target="http://www.nevo.co.il/law/5227/10.a" TargetMode="External"/><Relationship Id="rId19" Type="http://schemas.openxmlformats.org/officeDocument/2006/relationships/hyperlink" Target="http://www.nevo.co.il/law/5227/38.3" TargetMode="External"/><Relationship Id="rId31" Type="http://schemas.openxmlformats.org/officeDocument/2006/relationships/hyperlink" Target="http://www.nevo.co.il/case/17949630" TargetMode="External"/><Relationship Id="rId4" Type="http://schemas.openxmlformats.org/officeDocument/2006/relationships/webSettings" Target="webSettings.xml"/><Relationship Id="rId9" Type="http://schemas.openxmlformats.org/officeDocument/2006/relationships/hyperlink" Target="http://www.nevo.co.il/law/5227" TargetMode="External"/><Relationship Id="rId14" Type="http://schemas.openxmlformats.org/officeDocument/2006/relationships/hyperlink" Target="http://www.nevo.co.il/law/4216" TargetMode="External"/><Relationship Id="rId22" Type="http://schemas.openxmlformats.org/officeDocument/2006/relationships/hyperlink" Target="http://www.nevo.co.il/law/74501/2.a" TargetMode="External"/><Relationship Id="rId27" Type="http://schemas.openxmlformats.org/officeDocument/2006/relationships/hyperlink" Target="http://www.nevo.co.il/case/5810781" TargetMode="External"/><Relationship Id="rId30" Type="http://schemas.openxmlformats.org/officeDocument/2006/relationships/hyperlink" Target="http://www.nevo.co.il/case/20835219" TargetMode="External"/><Relationship Id="rId35" Type="http://schemas.openxmlformats.org/officeDocument/2006/relationships/header" Target="header2.xml"/><Relationship Id="rId8" Type="http://schemas.openxmlformats.org/officeDocument/2006/relationships/hyperlink" Target="http://www.nevo.co.il/law/74274/26.2"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1265</Words>
  <Characters>6330</Characters>
  <Application>Microsoft Office Word</Application>
  <DocSecurity>0</DocSecurity>
  <Lines>52</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7580</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8323175</vt:i4>
      </vt:variant>
      <vt:variant>
        <vt:i4>75</vt:i4>
      </vt:variant>
      <vt:variant>
        <vt:i4>0</vt:i4>
      </vt:variant>
      <vt:variant>
        <vt:i4>5</vt:i4>
      </vt:variant>
      <vt:variant>
        <vt:lpwstr>http://www.nevo.co.il/law/5227</vt:lpwstr>
      </vt:variant>
      <vt:variant>
        <vt:lpwstr/>
      </vt:variant>
      <vt:variant>
        <vt:i4>3276913</vt:i4>
      </vt:variant>
      <vt:variant>
        <vt:i4>72</vt:i4>
      </vt:variant>
      <vt:variant>
        <vt:i4>0</vt:i4>
      </vt:variant>
      <vt:variant>
        <vt:i4>5</vt:i4>
      </vt:variant>
      <vt:variant>
        <vt:lpwstr>http://www.nevo.co.il/case/17949630</vt:lpwstr>
      </vt:variant>
      <vt:variant>
        <vt:lpwstr/>
      </vt:variant>
      <vt:variant>
        <vt:i4>4063349</vt:i4>
      </vt:variant>
      <vt:variant>
        <vt:i4>69</vt:i4>
      </vt:variant>
      <vt:variant>
        <vt:i4>0</vt:i4>
      </vt:variant>
      <vt:variant>
        <vt:i4>5</vt:i4>
      </vt:variant>
      <vt:variant>
        <vt:lpwstr>http://www.nevo.co.il/case/20835219</vt:lpwstr>
      </vt:variant>
      <vt:variant>
        <vt:lpwstr/>
      </vt:variant>
      <vt:variant>
        <vt:i4>5374029</vt:i4>
      </vt:variant>
      <vt:variant>
        <vt:i4>66</vt:i4>
      </vt:variant>
      <vt:variant>
        <vt:i4>0</vt:i4>
      </vt:variant>
      <vt:variant>
        <vt:i4>5</vt:i4>
      </vt:variant>
      <vt:variant>
        <vt:lpwstr>http://www.nevo.co.il/law/74274/26.2</vt:lpwstr>
      </vt:variant>
      <vt:variant>
        <vt:lpwstr/>
      </vt:variant>
      <vt:variant>
        <vt:i4>3211376</vt:i4>
      </vt:variant>
      <vt:variant>
        <vt:i4>63</vt:i4>
      </vt:variant>
      <vt:variant>
        <vt:i4>0</vt:i4>
      </vt:variant>
      <vt:variant>
        <vt:i4>5</vt:i4>
      </vt:variant>
      <vt:variant>
        <vt:lpwstr>http://www.nevo.co.il/case/6066223</vt:lpwstr>
      </vt:variant>
      <vt:variant>
        <vt:lpwstr/>
      </vt:variant>
      <vt:variant>
        <vt:i4>3276916</vt:i4>
      </vt:variant>
      <vt:variant>
        <vt:i4>60</vt:i4>
      </vt:variant>
      <vt:variant>
        <vt:i4>0</vt:i4>
      </vt:variant>
      <vt:variant>
        <vt:i4>5</vt:i4>
      </vt:variant>
      <vt:variant>
        <vt:lpwstr>http://www.nevo.co.il/case/5810781</vt:lpwstr>
      </vt:variant>
      <vt:variant>
        <vt:lpwstr/>
      </vt:variant>
      <vt:variant>
        <vt:i4>8257637</vt:i4>
      </vt:variant>
      <vt:variant>
        <vt:i4>57</vt:i4>
      </vt:variant>
      <vt:variant>
        <vt:i4>0</vt:i4>
      </vt:variant>
      <vt:variant>
        <vt:i4>5</vt:i4>
      </vt:variant>
      <vt:variant>
        <vt:lpwstr>http://www.nevo.co.il/law/4216</vt:lpwstr>
      </vt:variant>
      <vt:variant>
        <vt:lpwstr/>
      </vt:variant>
      <vt:variant>
        <vt:i4>2752612</vt:i4>
      </vt:variant>
      <vt:variant>
        <vt:i4>54</vt:i4>
      </vt:variant>
      <vt:variant>
        <vt:i4>0</vt:i4>
      </vt:variant>
      <vt:variant>
        <vt:i4>5</vt:i4>
      </vt:variant>
      <vt:variant>
        <vt:lpwstr>http://www.nevo.co.il/law/4216/7.c</vt:lpwstr>
      </vt:variant>
      <vt:variant>
        <vt:lpwstr/>
      </vt:variant>
      <vt:variant>
        <vt:i4>2621540</vt:i4>
      </vt:variant>
      <vt:variant>
        <vt:i4>51</vt:i4>
      </vt:variant>
      <vt:variant>
        <vt:i4>0</vt:i4>
      </vt:variant>
      <vt:variant>
        <vt:i4>5</vt:i4>
      </vt:variant>
      <vt:variant>
        <vt:lpwstr>http://www.nevo.co.il/law/4216/7.a</vt:lpwstr>
      </vt:variant>
      <vt:variant>
        <vt:lpwstr/>
      </vt:variant>
      <vt:variant>
        <vt:i4>8257634</vt:i4>
      </vt:variant>
      <vt:variant>
        <vt:i4>48</vt:i4>
      </vt:variant>
      <vt:variant>
        <vt:i4>0</vt:i4>
      </vt:variant>
      <vt:variant>
        <vt:i4>5</vt:i4>
      </vt:variant>
      <vt:variant>
        <vt:lpwstr>http://www.nevo.co.il/law/74501</vt:lpwstr>
      </vt:variant>
      <vt:variant>
        <vt:lpwstr/>
      </vt:variant>
      <vt:variant>
        <vt:i4>8323169</vt:i4>
      </vt:variant>
      <vt:variant>
        <vt:i4>45</vt:i4>
      </vt:variant>
      <vt:variant>
        <vt:i4>0</vt:i4>
      </vt:variant>
      <vt:variant>
        <vt:i4>5</vt:i4>
      </vt:variant>
      <vt:variant>
        <vt:lpwstr>http://www.nevo.co.il/law/74501/2.a</vt:lpwstr>
      </vt:variant>
      <vt:variant>
        <vt:lpwstr/>
      </vt:variant>
      <vt:variant>
        <vt:i4>6291576</vt:i4>
      </vt:variant>
      <vt:variant>
        <vt:i4>42</vt:i4>
      </vt:variant>
      <vt:variant>
        <vt:i4>0</vt:i4>
      </vt:variant>
      <vt:variant>
        <vt:i4>5</vt:i4>
      </vt:variant>
      <vt:variant>
        <vt:lpwstr>http://www.nevo.co.il/law/5227/10.a</vt:lpwstr>
      </vt:variant>
      <vt:variant>
        <vt:lpwstr/>
      </vt:variant>
      <vt:variant>
        <vt:i4>8323175</vt:i4>
      </vt:variant>
      <vt:variant>
        <vt:i4>39</vt:i4>
      </vt:variant>
      <vt:variant>
        <vt:i4>0</vt:i4>
      </vt:variant>
      <vt:variant>
        <vt:i4>5</vt:i4>
      </vt:variant>
      <vt:variant>
        <vt:lpwstr>http://www.nevo.co.il/law/5227</vt:lpwstr>
      </vt:variant>
      <vt:variant>
        <vt:lpwstr/>
      </vt:variant>
      <vt:variant>
        <vt:i4>6422640</vt:i4>
      </vt:variant>
      <vt:variant>
        <vt:i4>36</vt:i4>
      </vt:variant>
      <vt:variant>
        <vt:i4>0</vt:i4>
      </vt:variant>
      <vt:variant>
        <vt:i4>5</vt:i4>
      </vt:variant>
      <vt:variant>
        <vt:lpwstr>http://www.nevo.co.il/law/5227/38.3</vt:lpwstr>
      </vt:variant>
      <vt:variant>
        <vt:lpwstr/>
      </vt:variant>
      <vt:variant>
        <vt:i4>7929957</vt:i4>
      </vt:variant>
      <vt:variant>
        <vt:i4>33</vt:i4>
      </vt:variant>
      <vt:variant>
        <vt:i4>0</vt:i4>
      </vt:variant>
      <vt:variant>
        <vt:i4>5</vt:i4>
      </vt:variant>
      <vt:variant>
        <vt:lpwstr>http://www.nevo.co.il/law/74274</vt:lpwstr>
      </vt:variant>
      <vt:variant>
        <vt:lpwstr/>
      </vt:variant>
      <vt:variant>
        <vt:i4>5374029</vt:i4>
      </vt:variant>
      <vt:variant>
        <vt:i4>30</vt:i4>
      </vt:variant>
      <vt:variant>
        <vt:i4>0</vt:i4>
      </vt:variant>
      <vt:variant>
        <vt:i4>5</vt:i4>
      </vt:variant>
      <vt:variant>
        <vt:lpwstr>http://www.nevo.co.il/law/74274/26.2</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8257637</vt:i4>
      </vt:variant>
      <vt:variant>
        <vt:i4>21</vt:i4>
      </vt:variant>
      <vt:variant>
        <vt:i4>0</vt:i4>
      </vt:variant>
      <vt:variant>
        <vt:i4>5</vt:i4>
      </vt:variant>
      <vt:variant>
        <vt:lpwstr>http://www.nevo.co.il/law/4216</vt:lpwstr>
      </vt:variant>
      <vt:variant>
        <vt:lpwstr/>
      </vt:variant>
      <vt:variant>
        <vt:i4>8323169</vt:i4>
      </vt:variant>
      <vt:variant>
        <vt:i4>18</vt:i4>
      </vt:variant>
      <vt:variant>
        <vt:i4>0</vt:i4>
      </vt:variant>
      <vt:variant>
        <vt:i4>5</vt:i4>
      </vt:variant>
      <vt:variant>
        <vt:lpwstr>http://www.nevo.co.il/law/74501/2.a</vt:lpwstr>
      </vt:variant>
      <vt:variant>
        <vt:lpwstr/>
      </vt:variant>
      <vt:variant>
        <vt:i4>8257634</vt:i4>
      </vt:variant>
      <vt:variant>
        <vt:i4>15</vt:i4>
      </vt:variant>
      <vt:variant>
        <vt:i4>0</vt:i4>
      </vt:variant>
      <vt:variant>
        <vt:i4>5</vt:i4>
      </vt:variant>
      <vt:variant>
        <vt:lpwstr>http://www.nevo.co.il/law/74501</vt:lpwstr>
      </vt:variant>
      <vt:variant>
        <vt:lpwstr/>
      </vt:variant>
      <vt:variant>
        <vt:i4>6422640</vt:i4>
      </vt:variant>
      <vt:variant>
        <vt:i4>12</vt:i4>
      </vt:variant>
      <vt:variant>
        <vt:i4>0</vt:i4>
      </vt:variant>
      <vt:variant>
        <vt:i4>5</vt:i4>
      </vt:variant>
      <vt:variant>
        <vt:lpwstr>http://www.nevo.co.il/law/5227/38.3</vt:lpwstr>
      </vt:variant>
      <vt:variant>
        <vt:lpwstr/>
      </vt:variant>
      <vt:variant>
        <vt:i4>6291576</vt:i4>
      </vt:variant>
      <vt:variant>
        <vt:i4>9</vt:i4>
      </vt:variant>
      <vt:variant>
        <vt:i4>0</vt:i4>
      </vt:variant>
      <vt:variant>
        <vt:i4>5</vt:i4>
      </vt:variant>
      <vt:variant>
        <vt:lpwstr>http://www.nevo.co.il/law/5227/10.a</vt:lpwstr>
      </vt:variant>
      <vt:variant>
        <vt:lpwstr/>
      </vt:variant>
      <vt:variant>
        <vt:i4>8323175</vt:i4>
      </vt:variant>
      <vt:variant>
        <vt:i4>6</vt:i4>
      </vt:variant>
      <vt:variant>
        <vt:i4>0</vt:i4>
      </vt:variant>
      <vt:variant>
        <vt:i4>5</vt:i4>
      </vt:variant>
      <vt:variant>
        <vt:lpwstr>http://www.nevo.co.il/law/5227</vt:lpwstr>
      </vt:variant>
      <vt:variant>
        <vt:lpwstr/>
      </vt:variant>
      <vt:variant>
        <vt:i4>5374029</vt:i4>
      </vt:variant>
      <vt:variant>
        <vt:i4>3</vt:i4>
      </vt:variant>
      <vt:variant>
        <vt:i4>0</vt:i4>
      </vt:variant>
      <vt:variant>
        <vt:i4>5</vt:i4>
      </vt:variant>
      <vt:variant>
        <vt:lpwstr>http://www.nevo.co.il/law/74274/26.2</vt:lpwstr>
      </vt:variant>
      <vt:variant>
        <vt:lpwstr/>
      </vt:variant>
      <vt:variant>
        <vt:i4>7929957</vt:i4>
      </vt:variant>
      <vt:variant>
        <vt:i4>0</vt:i4>
      </vt:variant>
      <vt:variant>
        <vt:i4>0</vt:i4>
      </vt:variant>
      <vt:variant>
        <vt:i4>5</vt:i4>
      </vt:variant>
      <vt:variant>
        <vt:lpwstr>http://www.nevo.co.il/law/74274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2025-04-22T23:21:00Z</dcterms:created>
  <dcterms:modified xsi:type="dcterms:W3CDTF">2025-04-22T23:21:00Z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44097</vt:lpwstr>
  </property>
  <property fmtid="{D5CDD505-2E9C-101B-9397-08002B2CF9AE}" pid="6" name="NEWPARTB">
    <vt:lpwstr>03</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אלכסנדר טן</vt:lpwstr>
  </property>
  <property fmtid="{D5CDD505-2E9C-101B-9397-08002B2CF9AE}" pid="10" name="LAWYER">
    <vt:lpwstr>חבר וקיפניס פרדמן;טלמור</vt:lpwstr>
  </property>
  <property fmtid="{D5CDD505-2E9C-101B-9397-08002B2CF9AE}" pid="11" name="JUDGE">
    <vt:lpwstr>עידו דרויאן גמליאל</vt:lpwstr>
  </property>
  <property fmtid="{D5CDD505-2E9C-101B-9397-08002B2CF9AE}" pid="12" name="CITY">
    <vt:lpwstr>ת"א</vt:lpwstr>
  </property>
  <property fmtid="{D5CDD505-2E9C-101B-9397-08002B2CF9AE}" pid="13" name="DATE">
    <vt:lpwstr>20180110</vt:lpwstr>
  </property>
  <property fmtid="{D5CDD505-2E9C-101B-9397-08002B2CF9AE}" pid="14" name="TYPE_N_DATE">
    <vt:lpwstr>38020180110</vt:lpwstr>
  </property>
  <property fmtid="{D5CDD505-2E9C-101B-9397-08002B2CF9AE}" pid="15" name="CASESLISTTMP1">
    <vt:lpwstr>5810781;6066223;20835219;17949630</vt:lpwstr>
  </property>
  <property fmtid="{D5CDD505-2E9C-101B-9397-08002B2CF9AE}" pid="16" name="WORDNUMPAGES">
    <vt:lpwstr>4</vt:lpwstr>
  </property>
  <property fmtid="{D5CDD505-2E9C-101B-9397-08002B2CF9AE}" pid="17" name="TYPE_ABS_DATE">
    <vt:lpwstr>380020180110</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74274/026.2:2</vt:lpwstr>
  </property>
  <property fmtid="{D5CDD505-2E9C-101B-9397-08002B2CF9AE}" pid="37" name="LAWLISTTMP2">
    <vt:lpwstr>5227/038.3;010.a</vt:lpwstr>
  </property>
  <property fmtid="{D5CDD505-2E9C-101B-9397-08002B2CF9AE}" pid="38" name="LAWLISTTMP3">
    <vt:lpwstr>74501/002.a</vt:lpwstr>
  </property>
  <property fmtid="{D5CDD505-2E9C-101B-9397-08002B2CF9AE}" pid="39" name="LAWLISTTMP4">
    <vt:lpwstr>4216/007.a;007.c</vt:lpwstr>
  </property>
</Properties>
</file>