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21619" w:rsidRPr="00D572EB" w14:paraId="7AABE1E0" w14:textId="77777777" w:rsidTr="00107CD8">
        <w:trPr>
          <w:trHeight w:hRule="exact" w:val="418"/>
          <w:jc w:val="center"/>
        </w:trPr>
        <w:tc>
          <w:tcPr>
            <w:tcW w:w="8721" w:type="dxa"/>
            <w:gridSpan w:val="2"/>
          </w:tcPr>
          <w:p w14:paraId="2188081C" w14:textId="77777777" w:rsidR="00021619" w:rsidRPr="00D572EB" w:rsidRDefault="00021619" w:rsidP="00A455A9">
            <w:pPr>
              <w:pStyle w:val="a3"/>
              <w:jc w:val="center"/>
              <w:rPr>
                <w:rFonts w:ascii="FrankRuehl" w:hAnsi="FrankRuehl" w:cs="FrankRuehl"/>
                <w:color w:val="000080"/>
                <w:sz w:val="28"/>
                <w:szCs w:val="28"/>
                <w:rtl/>
              </w:rPr>
            </w:pPr>
            <w:bookmarkStart w:id="0" w:name="LastJudge"/>
            <w:r w:rsidRPr="00D572EB">
              <w:rPr>
                <w:rFonts w:ascii="FrankRuehl" w:hAnsi="FrankRuehl" w:cs="FrankRuehl"/>
                <w:b/>
                <w:bCs/>
                <w:color w:val="000080"/>
                <w:sz w:val="28"/>
                <w:szCs w:val="28"/>
                <w:rtl/>
              </w:rPr>
              <w:t>בית משפט השלום בירושלים</w:t>
            </w:r>
          </w:p>
        </w:tc>
      </w:tr>
      <w:tr w:rsidR="00021619" w:rsidRPr="00D572EB" w14:paraId="6223902A" w14:textId="77777777" w:rsidTr="00107CD8">
        <w:trPr>
          <w:trHeight w:val="337"/>
          <w:jc w:val="center"/>
        </w:trPr>
        <w:tc>
          <w:tcPr>
            <w:tcW w:w="5054" w:type="dxa"/>
          </w:tcPr>
          <w:p w14:paraId="2F05480F" w14:textId="77777777" w:rsidR="00021619" w:rsidRPr="00D572EB" w:rsidRDefault="006502DD" w:rsidP="00A455A9">
            <w:pPr>
              <w:rPr>
                <w:rFonts w:cs="FrankRuehl"/>
                <w:b/>
                <w:bCs/>
                <w:sz w:val="28"/>
                <w:szCs w:val="28"/>
                <w:rtl/>
              </w:rPr>
            </w:pPr>
            <w:hyperlink r:id="rId7" w:history="1">
              <w:r w:rsidRPr="006502DD">
                <w:rPr>
                  <w:rFonts w:cs="FrankRuehl"/>
                  <w:b/>
                  <w:bCs/>
                  <w:color w:val="0000FF"/>
                  <w:sz w:val="28"/>
                  <w:szCs w:val="28"/>
                  <w:u w:val="single"/>
                  <w:rtl/>
                </w:rPr>
                <w:t xml:space="preserve">ת"פ 47012-03-17 </w:t>
              </w:r>
            </w:hyperlink>
            <w:r w:rsidR="00021619" w:rsidRPr="00D572EB">
              <w:rPr>
                <w:rFonts w:cs="FrankRuehl" w:hint="cs"/>
                <w:b/>
                <w:bCs/>
                <w:sz w:val="28"/>
                <w:szCs w:val="28"/>
                <w:rtl/>
              </w:rPr>
              <w:t xml:space="preserve"> </w:t>
            </w:r>
            <w:r w:rsidR="00021619" w:rsidRPr="00D572EB">
              <w:rPr>
                <w:rFonts w:cs="FrankRuehl"/>
                <w:b/>
                <w:bCs/>
                <w:sz w:val="28"/>
                <w:szCs w:val="28"/>
                <w:rtl/>
              </w:rPr>
              <w:t>מדינת ישראל נ' נחמני</w:t>
            </w:r>
          </w:p>
          <w:p w14:paraId="78AA40B0" w14:textId="77777777" w:rsidR="00021619" w:rsidRPr="00D572EB" w:rsidRDefault="006502DD" w:rsidP="00A455A9">
            <w:pPr>
              <w:rPr>
                <w:rFonts w:cs="FrankRuehl"/>
                <w:b/>
                <w:bCs/>
                <w:sz w:val="28"/>
                <w:szCs w:val="28"/>
                <w:rtl/>
              </w:rPr>
            </w:pPr>
            <w:hyperlink r:id="rId8" w:history="1">
              <w:r w:rsidRPr="006502DD">
                <w:rPr>
                  <w:rFonts w:cs="FrankRuehl"/>
                  <w:b/>
                  <w:bCs/>
                  <w:color w:val="0000FF"/>
                  <w:sz w:val="28"/>
                  <w:szCs w:val="28"/>
                  <w:u w:val="single"/>
                  <w:rtl/>
                </w:rPr>
                <w:t xml:space="preserve">ת"פ 28335-08-18 </w:t>
              </w:r>
            </w:hyperlink>
            <w:r w:rsidR="00021619" w:rsidRPr="00D572EB">
              <w:rPr>
                <w:rFonts w:cs="FrankRuehl" w:hint="cs"/>
                <w:b/>
                <w:bCs/>
                <w:sz w:val="28"/>
                <w:szCs w:val="28"/>
                <w:rtl/>
              </w:rPr>
              <w:t xml:space="preserve"> </w:t>
            </w:r>
            <w:r w:rsidR="00021619" w:rsidRPr="00D572EB">
              <w:rPr>
                <w:rFonts w:cs="FrankRuehl"/>
                <w:b/>
                <w:bCs/>
                <w:sz w:val="28"/>
                <w:szCs w:val="28"/>
                <w:rtl/>
              </w:rPr>
              <w:t>מדינת ישראל נ' נחמני</w:t>
            </w:r>
          </w:p>
          <w:p w14:paraId="36808697" w14:textId="77777777" w:rsidR="00021619" w:rsidRPr="00D572EB" w:rsidRDefault="00021619" w:rsidP="00A455A9">
            <w:pPr>
              <w:pStyle w:val="a3"/>
              <w:rPr>
                <w:rFonts w:cs="FrankRuehl"/>
                <w:b/>
                <w:bCs/>
                <w:sz w:val="28"/>
                <w:szCs w:val="28"/>
                <w:rtl/>
              </w:rPr>
            </w:pPr>
          </w:p>
        </w:tc>
        <w:tc>
          <w:tcPr>
            <w:tcW w:w="3667" w:type="dxa"/>
          </w:tcPr>
          <w:p w14:paraId="7BB822FF" w14:textId="77777777" w:rsidR="00021619" w:rsidRPr="00D572EB" w:rsidRDefault="00021619" w:rsidP="00A455A9">
            <w:pPr>
              <w:pStyle w:val="a3"/>
              <w:jc w:val="right"/>
              <w:rPr>
                <w:rFonts w:cs="FrankRuehl"/>
                <w:b/>
                <w:bCs/>
                <w:sz w:val="28"/>
                <w:szCs w:val="28"/>
                <w:rtl/>
              </w:rPr>
            </w:pPr>
          </w:p>
        </w:tc>
      </w:tr>
    </w:tbl>
    <w:p w14:paraId="095E7B18" w14:textId="77777777" w:rsidR="00021619" w:rsidRPr="00D572EB" w:rsidRDefault="00021619" w:rsidP="00021619">
      <w:pPr>
        <w:pStyle w:val="a3"/>
        <w:rPr>
          <w:rtl/>
        </w:rPr>
      </w:pPr>
      <w:r w:rsidRPr="00D572E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1619" w:rsidRPr="00D572EB" w14:paraId="77BFA1A9" w14:textId="77777777" w:rsidTr="00021619">
        <w:trPr>
          <w:trHeight w:val="295"/>
          <w:jc w:val="center"/>
        </w:trPr>
        <w:tc>
          <w:tcPr>
            <w:tcW w:w="923" w:type="dxa"/>
            <w:tcBorders>
              <w:top w:val="nil"/>
              <w:left w:val="nil"/>
              <w:bottom w:val="nil"/>
              <w:right w:val="nil"/>
            </w:tcBorders>
            <w:shd w:val="clear" w:color="auto" w:fill="auto"/>
          </w:tcPr>
          <w:p w14:paraId="08A50769" w14:textId="77777777" w:rsidR="00021619" w:rsidRPr="00D572EB" w:rsidRDefault="00021619" w:rsidP="00021619">
            <w:pPr>
              <w:jc w:val="both"/>
              <w:rPr>
                <w:rFonts w:ascii="FrankRuehl" w:hAnsi="FrankRuehl" w:cs="FrankRuehl"/>
                <w:b/>
                <w:bCs/>
                <w:sz w:val="28"/>
                <w:szCs w:val="28"/>
              </w:rPr>
            </w:pPr>
            <w:r w:rsidRPr="00D572EB">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E1A09C2" w14:textId="77777777" w:rsidR="00021619" w:rsidRPr="00D572EB" w:rsidRDefault="00021619" w:rsidP="00A455A9">
            <w:pPr>
              <w:rPr>
                <w:rFonts w:ascii="FrankRuehl" w:hAnsi="FrankRuehl" w:cs="FrankRuehl"/>
                <w:b/>
                <w:bCs/>
                <w:sz w:val="28"/>
                <w:szCs w:val="28"/>
                <w:rtl/>
              </w:rPr>
            </w:pPr>
            <w:r w:rsidRPr="00D572EB">
              <w:rPr>
                <w:rFonts w:ascii="FrankRuehl" w:hAnsi="FrankRuehl" w:cs="FrankRuehl"/>
                <w:b/>
                <w:bCs/>
                <w:sz w:val="28"/>
                <w:szCs w:val="28"/>
                <w:rtl/>
              </w:rPr>
              <w:t>כבוד השופט  דוד שאול גבאי ריכטר</w:t>
            </w:r>
          </w:p>
          <w:p w14:paraId="07F51D50" w14:textId="77777777" w:rsidR="00021619" w:rsidRPr="00D572EB" w:rsidRDefault="00021619" w:rsidP="00A455A9">
            <w:pPr>
              <w:rPr>
                <w:rFonts w:ascii="FrankRuehl" w:hAnsi="FrankRuehl" w:cs="FrankRuehl"/>
                <w:b/>
                <w:bCs/>
                <w:sz w:val="28"/>
                <w:szCs w:val="28"/>
                <w:rtl/>
              </w:rPr>
            </w:pPr>
          </w:p>
          <w:p w14:paraId="617244A0" w14:textId="77777777" w:rsidR="00021619" w:rsidRPr="00D572EB" w:rsidRDefault="00021619" w:rsidP="00021619">
            <w:pPr>
              <w:jc w:val="both"/>
              <w:rPr>
                <w:rFonts w:ascii="FrankRuehl" w:hAnsi="FrankRuehl" w:cs="FrankRuehl"/>
                <w:b/>
                <w:bCs/>
                <w:sz w:val="28"/>
                <w:szCs w:val="28"/>
              </w:rPr>
            </w:pPr>
          </w:p>
        </w:tc>
      </w:tr>
      <w:tr w:rsidR="00021619" w:rsidRPr="00D572EB" w14:paraId="06B82DCA" w14:textId="77777777" w:rsidTr="00021619">
        <w:trPr>
          <w:trHeight w:val="355"/>
          <w:jc w:val="center"/>
        </w:trPr>
        <w:tc>
          <w:tcPr>
            <w:tcW w:w="923" w:type="dxa"/>
            <w:tcBorders>
              <w:top w:val="nil"/>
              <w:left w:val="nil"/>
              <w:bottom w:val="nil"/>
              <w:right w:val="nil"/>
            </w:tcBorders>
            <w:shd w:val="clear" w:color="auto" w:fill="auto"/>
          </w:tcPr>
          <w:p w14:paraId="0DA9D40C" w14:textId="77777777" w:rsidR="00021619" w:rsidRPr="00D572EB" w:rsidRDefault="00021619" w:rsidP="00021619">
            <w:pPr>
              <w:jc w:val="both"/>
              <w:rPr>
                <w:rFonts w:ascii="FrankRuehl" w:hAnsi="FrankRuehl" w:cs="FrankRuehl"/>
                <w:b/>
                <w:bCs/>
                <w:sz w:val="28"/>
                <w:szCs w:val="28"/>
              </w:rPr>
            </w:pPr>
            <w:bookmarkStart w:id="1" w:name="FirstAppellant"/>
            <w:r w:rsidRPr="00D572EB">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47388961" w14:textId="77777777" w:rsidR="00021619" w:rsidRPr="00D572EB" w:rsidRDefault="00021619" w:rsidP="00A455A9">
            <w:pPr>
              <w:rPr>
                <w:rFonts w:ascii="FrankRuehl" w:hAnsi="FrankRuehl" w:cs="FrankRuehl"/>
                <w:b/>
                <w:bCs/>
                <w:sz w:val="28"/>
                <w:szCs w:val="28"/>
                <w:rtl/>
              </w:rPr>
            </w:pPr>
            <w:r w:rsidRPr="00D572EB">
              <w:rPr>
                <w:rFonts w:ascii="FrankRuehl" w:hAnsi="FrankRuehl" w:cs="FrankRuehl"/>
                <w:b/>
                <w:bCs/>
                <w:sz w:val="28"/>
                <w:szCs w:val="28"/>
                <w:rtl/>
              </w:rPr>
              <w:t>מדינת ישראל</w:t>
            </w:r>
          </w:p>
          <w:p w14:paraId="5EFB30D8" w14:textId="77777777" w:rsidR="00021619" w:rsidRPr="00D572EB" w:rsidRDefault="00021619" w:rsidP="00A455A9">
            <w:pPr>
              <w:rPr>
                <w:rFonts w:ascii="FrankRuehl" w:hAnsi="FrankRuehl" w:cs="FrankRuehl"/>
                <w:b/>
                <w:bCs/>
                <w:sz w:val="28"/>
                <w:szCs w:val="28"/>
              </w:rPr>
            </w:pPr>
            <w:r w:rsidRPr="00D572EB">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658DA9CE" w14:textId="77777777" w:rsidR="00021619" w:rsidRPr="00D572EB" w:rsidRDefault="00021619" w:rsidP="00021619">
            <w:pPr>
              <w:jc w:val="both"/>
              <w:rPr>
                <w:rFonts w:ascii="FrankRuehl" w:hAnsi="FrankRuehl" w:cs="FrankRuehl"/>
                <w:b/>
                <w:bCs/>
                <w:sz w:val="28"/>
                <w:szCs w:val="28"/>
              </w:rPr>
            </w:pPr>
          </w:p>
        </w:tc>
      </w:tr>
      <w:bookmarkEnd w:id="1"/>
      <w:tr w:rsidR="00021619" w:rsidRPr="00D572EB" w14:paraId="05CA0446" w14:textId="77777777" w:rsidTr="00021619">
        <w:trPr>
          <w:trHeight w:val="355"/>
          <w:jc w:val="center"/>
        </w:trPr>
        <w:tc>
          <w:tcPr>
            <w:tcW w:w="923" w:type="dxa"/>
            <w:tcBorders>
              <w:top w:val="nil"/>
              <w:left w:val="nil"/>
              <w:bottom w:val="nil"/>
              <w:right w:val="nil"/>
            </w:tcBorders>
            <w:shd w:val="clear" w:color="auto" w:fill="auto"/>
          </w:tcPr>
          <w:p w14:paraId="62C14BB6" w14:textId="77777777" w:rsidR="00021619" w:rsidRPr="00D572EB" w:rsidRDefault="00021619" w:rsidP="00021619">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C828133" w14:textId="77777777" w:rsidR="00021619" w:rsidRPr="00D572EB" w:rsidRDefault="00021619" w:rsidP="00021619">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25A35393" w14:textId="77777777" w:rsidR="00021619" w:rsidRPr="00D572EB" w:rsidRDefault="00021619" w:rsidP="00021619">
            <w:pPr>
              <w:jc w:val="right"/>
              <w:rPr>
                <w:rFonts w:ascii="FrankRuehl" w:hAnsi="FrankRuehl" w:cs="FrankRuehl"/>
                <w:b/>
                <w:bCs/>
                <w:sz w:val="28"/>
                <w:szCs w:val="28"/>
                <w:rtl/>
              </w:rPr>
            </w:pPr>
            <w:r w:rsidRPr="00D572EB">
              <w:rPr>
                <w:rFonts w:ascii="FrankRuehl" w:hAnsi="FrankRuehl" w:cs="FrankRuehl"/>
                <w:b/>
                <w:bCs/>
                <w:sz w:val="28"/>
                <w:szCs w:val="28"/>
                <w:rtl/>
              </w:rPr>
              <w:t>המאשימה</w:t>
            </w:r>
          </w:p>
        </w:tc>
      </w:tr>
      <w:tr w:rsidR="00021619" w:rsidRPr="00D572EB" w14:paraId="726B445C" w14:textId="77777777" w:rsidTr="00021619">
        <w:trPr>
          <w:trHeight w:val="355"/>
          <w:jc w:val="center"/>
        </w:trPr>
        <w:tc>
          <w:tcPr>
            <w:tcW w:w="923" w:type="dxa"/>
            <w:tcBorders>
              <w:top w:val="nil"/>
              <w:left w:val="nil"/>
              <w:bottom w:val="nil"/>
              <w:right w:val="nil"/>
            </w:tcBorders>
            <w:shd w:val="clear" w:color="auto" w:fill="auto"/>
          </w:tcPr>
          <w:p w14:paraId="3212AB0D" w14:textId="77777777" w:rsidR="00021619" w:rsidRPr="00D572EB" w:rsidRDefault="00021619" w:rsidP="00021619">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138DF5A" w14:textId="77777777" w:rsidR="00021619" w:rsidRPr="00D572EB" w:rsidRDefault="00021619" w:rsidP="00021619">
            <w:pPr>
              <w:jc w:val="center"/>
              <w:rPr>
                <w:rFonts w:ascii="FrankRuehl" w:hAnsi="FrankRuehl" w:cs="FrankRuehl"/>
                <w:b/>
                <w:bCs/>
                <w:sz w:val="28"/>
                <w:szCs w:val="28"/>
                <w:rtl/>
              </w:rPr>
            </w:pPr>
          </w:p>
          <w:p w14:paraId="4DDD3A10" w14:textId="77777777" w:rsidR="00021619" w:rsidRPr="00D572EB" w:rsidRDefault="00021619" w:rsidP="00021619">
            <w:pPr>
              <w:jc w:val="center"/>
              <w:rPr>
                <w:rFonts w:ascii="FrankRuehl" w:hAnsi="FrankRuehl" w:cs="FrankRuehl"/>
                <w:b/>
                <w:bCs/>
                <w:sz w:val="28"/>
                <w:szCs w:val="28"/>
                <w:rtl/>
              </w:rPr>
            </w:pPr>
            <w:r w:rsidRPr="00D572EB">
              <w:rPr>
                <w:rFonts w:ascii="FrankRuehl" w:hAnsi="FrankRuehl" w:cs="FrankRuehl"/>
                <w:b/>
                <w:bCs/>
                <w:sz w:val="28"/>
                <w:szCs w:val="28"/>
                <w:rtl/>
              </w:rPr>
              <w:t>נגד</w:t>
            </w:r>
          </w:p>
          <w:p w14:paraId="3B0964C2" w14:textId="77777777" w:rsidR="00021619" w:rsidRPr="00D572EB" w:rsidRDefault="00021619" w:rsidP="00021619">
            <w:pPr>
              <w:jc w:val="both"/>
              <w:rPr>
                <w:rFonts w:ascii="FrankRuehl" w:hAnsi="FrankRuehl" w:cs="FrankRuehl"/>
                <w:b/>
                <w:bCs/>
                <w:sz w:val="28"/>
                <w:szCs w:val="28"/>
              </w:rPr>
            </w:pPr>
          </w:p>
        </w:tc>
      </w:tr>
      <w:tr w:rsidR="00021619" w:rsidRPr="00D572EB" w14:paraId="6151D5C0" w14:textId="77777777" w:rsidTr="00021619">
        <w:trPr>
          <w:trHeight w:val="355"/>
          <w:jc w:val="center"/>
        </w:trPr>
        <w:tc>
          <w:tcPr>
            <w:tcW w:w="923" w:type="dxa"/>
            <w:tcBorders>
              <w:top w:val="nil"/>
              <w:left w:val="nil"/>
              <w:bottom w:val="nil"/>
              <w:right w:val="nil"/>
            </w:tcBorders>
            <w:shd w:val="clear" w:color="auto" w:fill="auto"/>
          </w:tcPr>
          <w:p w14:paraId="182A6E1E" w14:textId="77777777" w:rsidR="00021619" w:rsidRPr="00D572EB" w:rsidRDefault="00021619" w:rsidP="00A455A9">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ECF2F92" w14:textId="77777777" w:rsidR="00021619" w:rsidRPr="00D572EB" w:rsidRDefault="00021619" w:rsidP="00A455A9">
            <w:pPr>
              <w:rPr>
                <w:rFonts w:ascii="FrankRuehl" w:hAnsi="FrankRuehl" w:cs="FrankRuehl"/>
                <w:b/>
                <w:bCs/>
                <w:sz w:val="28"/>
                <w:szCs w:val="28"/>
                <w:rtl/>
              </w:rPr>
            </w:pPr>
            <w:r w:rsidRPr="00D572EB">
              <w:rPr>
                <w:rFonts w:ascii="FrankRuehl" w:hAnsi="FrankRuehl" w:cs="FrankRuehl"/>
                <w:b/>
                <w:bCs/>
                <w:sz w:val="28"/>
                <w:szCs w:val="28"/>
                <w:rtl/>
              </w:rPr>
              <w:t>שמעון נחמני</w:t>
            </w:r>
          </w:p>
        </w:tc>
        <w:tc>
          <w:tcPr>
            <w:tcW w:w="3771" w:type="dxa"/>
            <w:tcBorders>
              <w:top w:val="nil"/>
              <w:left w:val="nil"/>
              <w:bottom w:val="nil"/>
              <w:right w:val="nil"/>
            </w:tcBorders>
            <w:shd w:val="clear" w:color="auto" w:fill="auto"/>
          </w:tcPr>
          <w:p w14:paraId="5D60B021" w14:textId="77777777" w:rsidR="00021619" w:rsidRPr="00D572EB" w:rsidRDefault="00021619" w:rsidP="00021619">
            <w:pPr>
              <w:jc w:val="right"/>
              <w:rPr>
                <w:rFonts w:ascii="FrankRuehl" w:hAnsi="FrankRuehl" w:cs="FrankRuehl"/>
                <w:b/>
                <w:bCs/>
                <w:sz w:val="28"/>
                <w:szCs w:val="28"/>
              </w:rPr>
            </w:pPr>
          </w:p>
        </w:tc>
      </w:tr>
      <w:tr w:rsidR="00021619" w:rsidRPr="00D572EB" w14:paraId="30840873" w14:textId="77777777" w:rsidTr="00021619">
        <w:trPr>
          <w:trHeight w:val="355"/>
          <w:jc w:val="center"/>
        </w:trPr>
        <w:tc>
          <w:tcPr>
            <w:tcW w:w="923" w:type="dxa"/>
            <w:tcBorders>
              <w:top w:val="nil"/>
              <w:left w:val="nil"/>
              <w:bottom w:val="nil"/>
              <w:right w:val="nil"/>
            </w:tcBorders>
            <w:shd w:val="clear" w:color="auto" w:fill="auto"/>
          </w:tcPr>
          <w:p w14:paraId="1B8218F1" w14:textId="77777777" w:rsidR="00021619" w:rsidRPr="00D572EB" w:rsidRDefault="00021619" w:rsidP="00021619">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6903A87F" w14:textId="77777777" w:rsidR="00021619" w:rsidRPr="00D572EB" w:rsidRDefault="00021619" w:rsidP="00021619">
            <w:pPr>
              <w:jc w:val="both"/>
              <w:rPr>
                <w:rFonts w:ascii="FrankRuehl" w:hAnsi="FrankRuehl" w:cs="FrankRuehl"/>
                <w:b/>
                <w:bCs/>
                <w:sz w:val="28"/>
                <w:szCs w:val="28"/>
                <w:rtl/>
              </w:rPr>
            </w:pPr>
            <w:r w:rsidRPr="00D572EB">
              <w:rPr>
                <w:rFonts w:ascii="FrankRuehl" w:hAnsi="FrankRuehl" w:cs="FrankRuehl" w:hint="cs"/>
                <w:b/>
                <w:bCs/>
                <w:sz w:val="28"/>
                <w:szCs w:val="28"/>
                <w:rtl/>
              </w:rPr>
              <w:t>ע"י ב"כ עו"ד טליה רם</w:t>
            </w:r>
          </w:p>
        </w:tc>
        <w:tc>
          <w:tcPr>
            <w:tcW w:w="3771" w:type="dxa"/>
            <w:tcBorders>
              <w:top w:val="nil"/>
              <w:left w:val="nil"/>
              <w:bottom w:val="nil"/>
              <w:right w:val="nil"/>
            </w:tcBorders>
            <w:shd w:val="clear" w:color="auto" w:fill="auto"/>
          </w:tcPr>
          <w:p w14:paraId="4C63ECE6" w14:textId="77777777" w:rsidR="00021619" w:rsidRPr="00D572EB" w:rsidRDefault="00021619" w:rsidP="00021619">
            <w:pPr>
              <w:jc w:val="right"/>
              <w:rPr>
                <w:rFonts w:ascii="FrankRuehl" w:hAnsi="FrankRuehl" w:cs="FrankRuehl"/>
                <w:b/>
                <w:bCs/>
                <w:sz w:val="28"/>
                <w:szCs w:val="28"/>
              </w:rPr>
            </w:pPr>
            <w:r w:rsidRPr="00D572EB">
              <w:rPr>
                <w:rFonts w:ascii="FrankRuehl" w:hAnsi="FrankRuehl" w:cs="FrankRuehl"/>
                <w:b/>
                <w:bCs/>
                <w:sz w:val="28"/>
                <w:szCs w:val="28"/>
                <w:rtl/>
              </w:rPr>
              <w:t>הנאשם</w:t>
            </w:r>
          </w:p>
        </w:tc>
      </w:tr>
      <w:bookmarkEnd w:id="2"/>
    </w:tbl>
    <w:p w14:paraId="5444F5E6" w14:textId="77777777" w:rsidR="00D572EB" w:rsidRPr="00D572EB" w:rsidRDefault="00D572EB" w:rsidP="00D572EB">
      <w:pPr>
        <w:spacing w:before="120" w:after="120" w:line="240" w:lineRule="exact"/>
        <w:ind w:left="283" w:hanging="283"/>
        <w:jc w:val="both"/>
        <w:rPr>
          <w:rFonts w:ascii="FrankRuehl" w:hAnsi="FrankRuehl" w:cs="FrankRuehl"/>
          <w:rtl/>
        </w:rPr>
      </w:pPr>
    </w:p>
    <w:p w14:paraId="749A5563" w14:textId="77777777" w:rsidR="006502DD" w:rsidRPr="006502DD" w:rsidRDefault="006502DD" w:rsidP="006502DD">
      <w:pPr>
        <w:spacing w:before="120" w:after="120" w:line="240" w:lineRule="exact"/>
        <w:ind w:left="283" w:hanging="283"/>
        <w:jc w:val="both"/>
        <w:rPr>
          <w:rFonts w:ascii="FrankRuehl" w:hAnsi="FrankRuehl" w:cs="FrankRuehl"/>
          <w:rtl/>
        </w:rPr>
      </w:pPr>
    </w:p>
    <w:p w14:paraId="5FCAB930" w14:textId="77777777" w:rsidR="00A35C90" w:rsidRDefault="00A35C90" w:rsidP="00A35C90">
      <w:pPr>
        <w:rPr>
          <w:rtl/>
        </w:rPr>
      </w:pPr>
      <w:bookmarkStart w:id="3" w:name="LawTable"/>
      <w:bookmarkEnd w:id="3"/>
    </w:p>
    <w:p w14:paraId="7F2F5AF3" w14:textId="77777777" w:rsidR="00A35C90" w:rsidRPr="00A35C90" w:rsidRDefault="00A35C90" w:rsidP="00A35C90">
      <w:pPr>
        <w:spacing w:before="120" w:after="120" w:line="240" w:lineRule="exact"/>
        <w:ind w:left="283" w:hanging="283"/>
        <w:jc w:val="both"/>
        <w:rPr>
          <w:rFonts w:ascii="FrankRuehl" w:hAnsi="FrankRuehl" w:cs="FrankRuehl"/>
          <w:rtl/>
        </w:rPr>
      </w:pPr>
    </w:p>
    <w:p w14:paraId="56C1076C" w14:textId="77777777" w:rsidR="00A35C90" w:rsidRPr="00A35C90" w:rsidRDefault="00A35C90" w:rsidP="00A35C90">
      <w:pPr>
        <w:spacing w:before="120" w:after="120" w:line="240" w:lineRule="exact"/>
        <w:ind w:left="283" w:hanging="283"/>
        <w:jc w:val="both"/>
        <w:rPr>
          <w:rFonts w:ascii="FrankRuehl" w:hAnsi="FrankRuehl" w:cs="FrankRuehl"/>
          <w:rtl/>
        </w:rPr>
      </w:pPr>
    </w:p>
    <w:p w14:paraId="4646B0D9" w14:textId="77777777" w:rsidR="00A35C90" w:rsidRPr="00A35C90" w:rsidRDefault="00A35C90" w:rsidP="00A35C90">
      <w:pPr>
        <w:spacing w:before="120" w:after="120" w:line="240" w:lineRule="exact"/>
        <w:ind w:left="283" w:hanging="283"/>
        <w:jc w:val="both"/>
        <w:rPr>
          <w:rFonts w:ascii="FrankRuehl" w:hAnsi="FrankRuehl" w:cs="FrankRuehl"/>
          <w:rtl/>
        </w:rPr>
      </w:pPr>
      <w:r w:rsidRPr="00A35C90">
        <w:rPr>
          <w:rFonts w:ascii="FrankRuehl" w:hAnsi="FrankRuehl" w:cs="FrankRuehl"/>
          <w:rtl/>
        </w:rPr>
        <w:t xml:space="preserve">חקיקה שאוזכרה: </w:t>
      </w:r>
    </w:p>
    <w:p w14:paraId="20FB3CEA" w14:textId="77777777" w:rsidR="00A35C90" w:rsidRPr="00A35C90" w:rsidRDefault="00A35C90" w:rsidP="00A35C90">
      <w:pPr>
        <w:spacing w:before="120" w:after="120" w:line="240" w:lineRule="exact"/>
        <w:ind w:left="283" w:hanging="283"/>
        <w:jc w:val="both"/>
        <w:rPr>
          <w:rFonts w:ascii="FrankRuehl" w:hAnsi="FrankRuehl" w:cs="FrankRuehl"/>
          <w:rtl/>
        </w:rPr>
      </w:pPr>
      <w:hyperlink r:id="rId9" w:history="1">
        <w:r w:rsidRPr="00A35C90">
          <w:rPr>
            <w:rFonts w:ascii="FrankRuehl" w:hAnsi="FrankRuehl" w:cs="FrankRuehl"/>
            <w:color w:val="0000FF"/>
            <w:rtl/>
          </w:rPr>
          <w:t>פקודת הסמים המסוכנים [נוסח חדש], תשל"ג-1973</w:t>
        </w:r>
      </w:hyperlink>
      <w:r w:rsidRPr="00A35C90">
        <w:rPr>
          <w:rFonts w:ascii="FrankRuehl" w:hAnsi="FrankRuehl" w:cs="FrankRuehl"/>
          <w:rtl/>
        </w:rPr>
        <w:t xml:space="preserve">: סע'  </w:t>
      </w:r>
      <w:hyperlink r:id="rId10" w:history="1">
        <w:r w:rsidRPr="00A35C90">
          <w:rPr>
            <w:rFonts w:ascii="FrankRuehl" w:hAnsi="FrankRuehl" w:cs="FrankRuehl"/>
            <w:color w:val="0000FF"/>
            <w:rtl/>
          </w:rPr>
          <w:t>14</w:t>
        </w:r>
      </w:hyperlink>
    </w:p>
    <w:p w14:paraId="615CACCE" w14:textId="77777777" w:rsidR="00A35C90" w:rsidRPr="00A35C90" w:rsidRDefault="00A35C90" w:rsidP="00A35C90">
      <w:pPr>
        <w:spacing w:before="120" w:after="120" w:line="240" w:lineRule="exact"/>
        <w:ind w:left="283" w:hanging="283"/>
        <w:jc w:val="both"/>
        <w:rPr>
          <w:rFonts w:ascii="FrankRuehl" w:hAnsi="FrankRuehl" w:cs="FrankRuehl"/>
          <w:rtl/>
        </w:rPr>
      </w:pPr>
      <w:hyperlink r:id="rId11" w:history="1">
        <w:r w:rsidRPr="00A35C90">
          <w:rPr>
            <w:rFonts w:ascii="FrankRuehl" w:hAnsi="FrankRuehl" w:cs="FrankRuehl"/>
            <w:color w:val="0000FF"/>
            <w:rtl/>
          </w:rPr>
          <w:t>חוק העונשין, תשל"ז-1977</w:t>
        </w:r>
      </w:hyperlink>
      <w:r w:rsidRPr="00A35C90">
        <w:rPr>
          <w:rFonts w:ascii="FrankRuehl" w:hAnsi="FrankRuehl" w:cs="FrankRuehl"/>
          <w:rtl/>
        </w:rPr>
        <w:t xml:space="preserve">: סע'  </w:t>
      </w:r>
      <w:hyperlink r:id="rId12" w:history="1">
        <w:r w:rsidRPr="00A35C90">
          <w:rPr>
            <w:rFonts w:ascii="FrankRuehl" w:hAnsi="FrankRuehl" w:cs="FrankRuehl"/>
            <w:color w:val="0000FF"/>
            <w:rtl/>
          </w:rPr>
          <w:t>40ט'</w:t>
        </w:r>
      </w:hyperlink>
      <w:r w:rsidRPr="00A35C90">
        <w:rPr>
          <w:rFonts w:ascii="FrankRuehl" w:hAnsi="FrankRuehl" w:cs="FrankRuehl"/>
          <w:rtl/>
        </w:rPr>
        <w:t xml:space="preserve">, </w:t>
      </w:r>
      <w:hyperlink r:id="rId13" w:history="1">
        <w:r w:rsidRPr="00A35C90">
          <w:rPr>
            <w:rFonts w:ascii="FrankRuehl" w:hAnsi="FrankRuehl" w:cs="FrankRuehl"/>
            <w:color w:val="0000FF"/>
            <w:rtl/>
          </w:rPr>
          <w:t>249</w:t>
        </w:r>
      </w:hyperlink>
      <w:r w:rsidRPr="00A35C90">
        <w:rPr>
          <w:rFonts w:ascii="FrankRuehl" w:hAnsi="FrankRuehl" w:cs="FrankRuehl"/>
          <w:rtl/>
        </w:rPr>
        <w:t xml:space="preserve">, </w:t>
      </w:r>
      <w:hyperlink r:id="rId14" w:history="1">
        <w:r w:rsidRPr="00A35C90">
          <w:rPr>
            <w:rFonts w:ascii="FrankRuehl" w:hAnsi="FrankRuehl" w:cs="FrankRuehl"/>
            <w:color w:val="0000FF"/>
            <w:rtl/>
          </w:rPr>
          <w:t>40יא</w:t>
        </w:r>
      </w:hyperlink>
    </w:p>
    <w:p w14:paraId="3B5E45D6" w14:textId="77777777" w:rsidR="00A35C90" w:rsidRPr="00A35C90" w:rsidRDefault="00A35C90" w:rsidP="00A35C90">
      <w:pPr>
        <w:rPr>
          <w:rtl/>
        </w:rPr>
      </w:pPr>
      <w:bookmarkStart w:id="4" w:name="LawTable_End"/>
      <w:bookmarkEnd w:id="4"/>
    </w:p>
    <w:p w14:paraId="2AA9E4E8" w14:textId="77777777" w:rsidR="00021619" w:rsidRPr="006502DD" w:rsidRDefault="00021619" w:rsidP="006502D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1619" w14:paraId="116F9270" w14:textId="77777777" w:rsidTr="00021619">
        <w:trPr>
          <w:trHeight w:val="355"/>
          <w:jc w:val="center"/>
        </w:trPr>
        <w:tc>
          <w:tcPr>
            <w:tcW w:w="8820" w:type="dxa"/>
            <w:tcBorders>
              <w:top w:val="nil"/>
              <w:left w:val="nil"/>
              <w:bottom w:val="nil"/>
              <w:right w:val="nil"/>
            </w:tcBorders>
            <w:shd w:val="clear" w:color="auto" w:fill="auto"/>
          </w:tcPr>
          <w:p w14:paraId="52BF5AAB" w14:textId="77777777" w:rsidR="00D572EB" w:rsidRPr="00D572EB" w:rsidRDefault="00D572EB" w:rsidP="00D572EB">
            <w:pPr>
              <w:jc w:val="center"/>
              <w:rPr>
                <w:rFonts w:ascii="Arial" w:hAnsi="Arial" w:cs="FrankRuehl"/>
                <w:b/>
                <w:bCs/>
                <w:sz w:val="32"/>
                <w:szCs w:val="32"/>
                <w:u w:val="single"/>
                <w:rtl/>
              </w:rPr>
            </w:pPr>
            <w:bookmarkStart w:id="5" w:name="PsakDin" w:colFirst="0" w:colLast="0"/>
            <w:bookmarkEnd w:id="0"/>
            <w:r w:rsidRPr="00D572EB">
              <w:rPr>
                <w:rFonts w:ascii="Arial" w:hAnsi="Arial" w:cs="FrankRuehl"/>
                <w:b/>
                <w:bCs/>
                <w:sz w:val="32"/>
                <w:szCs w:val="32"/>
                <w:u w:val="single"/>
                <w:rtl/>
              </w:rPr>
              <w:t>גזר דין</w:t>
            </w:r>
          </w:p>
          <w:p w14:paraId="1206296A" w14:textId="77777777" w:rsidR="00021619" w:rsidRPr="00D572EB" w:rsidRDefault="00021619" w:rsidP="00D572EB">
            <w:pPr>
              <w:jc w:val="center"/>
              <w:rPr>
                <w:rFonts w:ascii="Arial" w:hAnsi="Arial" w:cs="FrankRuehl"/>
                <w:bCs/>
                <w:sz w:val="32"/>
                <w:szCs w:val="32"/>
                <w:u w:val="single"/>
                <w:rtl/>
              </w:rPr>
            </w:pPr>
          </w:p>
        </w:tc>
      </w:tr>
      <w:bookmarkEnd w:id="5"/>
    </w:tbl>
    <w:p w14:paraId="00519EBE" w14:textId="77777777" w:rsidR="00021619" w:rsidRPr="00B05847" w:rsidRDefault="00021619" w:rsidP="00021619">
      <w:pPr>
        <w:rPr>
          <w:rFonts w:ascii="Arial" w:hAnsi="Arial"/>
          <w:rtl/>
        </w:rPr>
      </w:pPr>
    </w:p>
    <w:p w14:paraId="5643A082" w14:textId="77777777" w:rsidR="00021619" w:rsidRDefault="00021619" w:rsidP="00021619">
      <w:pPr>
        <w:spacing w:line="360" w:lineRule="auto"/>
        <w:rPr>
          <w:rFonts w:cs="FrankRuehl"/>
          <w:b/>
          <w:bCs/>
          <w:sz w:val="28"/>
          <w:szCs w:val="28"/>
          <w:u w:val="single"/>
        </w:rPr>
      </w:pPr>
      <w:r>
        <w:rPr>
          <w:rFonts w:cs="FrankRuehl"/>
          <w:b/>
          <w:bCs/>
          <w:sz w:val="28"/>
          <w:szCs w:val="28"/>
          <w:u w:val="single"/>
          <w:rtl/>
        </w:rPr>
        <w:t>כתב</w:t>
      </w:r>
      <w:r>
        <w:rPr>
          <w:rFonts w:cs="FrankRuehl" w:hint="cs"/>
          <w:b/>
          <w:bCs/>
          <w:sz w:val="28"/>
          <w:szCs w:val="28"/>
          <w:u w:val="single"/>
          <w:rtl/>
        </w:rPr>
        <w:t>י</w:t>
      </w:r>
      <w:r>
        <w:rPr>
          <w:rFonts w:cs="FrankRuehl"/>
          <w:b/>
          <w:bCs/>
          <w:sz w:val="28"/>
          <w:szCs w:val="28"/>
          <w:u w:val="single"/>
          <w:rtl/>
        </w:rPr>
        <w:t xml:space="preserve"> האישום</w:t>
      </w:r>
    </w:p>
    <w:p w14:paraId="7B7191FC" w14:textId="77777777" w:rsidR="00021619" w:rsidRDefault="00021619" w:rsidP="00021619">
      <w:pPr>
        <w:spacing w:line="360" w:lineRule="auto"/>
        <w:jc w:val="both"/>
        <w:rPr>
          <w:rFonts w:cs="FrankRuehl"/>
          <w:sz w:val="28"/>
          <w:szCs w:val="28"/>
          <w:rtl/>
        </w:rPr>
      </w:pPr>
      <w:r>
        <w:rPr>
          <w:rFonts w:cs="FrankRuehl" w:hint="cs"/>
          <w:sz w:val="28"/>
          <w:szCs w:val="28"/>
          <w:rtl/>
        </w:rPr>
        <w:t>הנאשם הורשע על-פי הודאתו במסגרת שני כתבי אישום מתוקנים, כשהצדדים הגיעו להסדר טיעון מסוג "הסדר טווח".</w:t>
      </w:r>
    </w:p>
    <w:p w14:paraId="4EFA7B50" w14:textId="77777777" w:rsidR="00021619" w:rsidRDefault="00021619" w:rsidP="00021619">
      <w:pPr>
        <w:spacing w:line="360" w:lineRule="auto"/>
        <w:jc w:val="both"/>
        <w:rPr>
          <w:rFonts w:cs="FrankRuehl"/>
          <w:sz w:val="28"/>
          <w:szCs w:val="28"/>
          <w:rtl/>
        </w:rPr>
      </w:pPr>
    </w:p>
    <w:p w14:paraId="7A59952F" w14:textId="77777777" w:rsidR="00021619" w:rsidRDefault="00D572EB" w:rsidP="00021619">
      <w:pPr>
        <w:spacing w:line="360" w:lineRule="auto"/>
        <w:jc w:val="both"/>
        <w:rPr>
          <w:rFonts w:cs="FrankRuehl"/>
          <w:sz w:val="28"/>
          <w:szCs w:val="28"/>
          <w:rtl/>
        </w:rPr>
      </w:pPr>
      <w:hyperlink r:id="rId15" w:history="1">
        <w:r w:rsidRPr="00D572EB">
          <w:rPr>
            <w:rFonts w:cs="FrankRuehl"/>
            <w:color w:val="0000FF"/>
            <w:sz w:val="28"/>
            <w:szCs w:val="28"/>
            <w:u w:val="single"/>
            <w:rtl/>
          </w:rPr>
          <w:t>ת"פ 47012-03-17</w:t>
        </w:r>
      </w:hyperlink>
      <w:r w:rsidR="00021619" w:rsidRPr="0044152C">
        <w:rPr>
          <w:rFonts w:cs="FrankRuehl" w:hint="cs"/>
          <w:sz w:val="28"/>
          <w:szCs w:val="28"/>
          <w:u w:val="single"/>
          <w:rtl/>
        </w:rPr>
        <w:t xml:space="preserve"> (להלן </w:t>
      </w:r>
      <w:r w:rsidR="00021619" w:rsidRPr="0044152C">
        <w:rPr>
          <w:rFonts w:cs="FrankRuehl"/>
          <w:sz w:val="28"/>
          <w:szCs w:val="28"/>
          <w:u w:val="single"/>
          <w:rtl/>
        </w:rPr>
        <w:t>–</w:t>
      </w:r>
      <w:r w:rsidR="00021619" w:rsidRPr="0044152C">
        <w:rPr>
          <w:rFonts w:cs="FrankRuehl" w:hint="cs"/>
          <w:sz w:val="28"/>
          <w:szCs w:val="28"/>
          <w:u w:val="single"/>
          <w:rtl/>
        </w:rPr>
        <w:t xml:space="preserve"> </w:t>
      </w:r>
      <w:r w:rsidR="00021619" w:rsidRPr="0044152C">
        <w:rPr>
          <w:rFonts w:cs="FrankRuehl" w:hint="cs"/>
          <w:b/>
          <w:bCs/>
          <w:sz w:val="28"/>
          <w:szCs w:val="28"/>
          <w:u w:val="single"/>
          <w:rtl/>
        </w:rPr>
        <w:t>התיק הראשון</w:t>
      </w:r>
      <w:r w:rsidR="00021619" w:rsidRPr="0044152C">
        <w:rPr>
          <w:rFonts w:cs="FrankRuehl" w:hint="cs"/>
          <w:sz w:val="28"/>
          <w:szCs w:val="28"/>
          <w:u w:val="single"/>
          <w:rtl/>
        </w:rPr>
        <w:t>)</w:t>
      </w:r>
      <w:r w:rsidR="00021619">
        <w:rPr>
          <w:rFonts w:cs="FrankRuehl" w:hint="cs"/>
          <w:sz w:val="28"/>
          <w:szCs w:val="28"/>
          <w:rtl/>
        </w:rPr>
        <w:t xml:space="preserve"> </w:t>
      </w:r>
      <w:r w:rsidR="00021619">
        <w:rPr>
          <w:rFonts w:cs="FrankRuehl"/>
          <w:sz w:val="28"/>
          <w:szCs w:val="28"/>
          <w:rtl/>
        </w:rPr>
        <w:t>–</w:t>
      </w:r>
      <w:r w:rsidR="00021619">
        <w:rPr>
          <w:rFonts w:cs="FrankRuehl" w:hint="cs"/>
          <w:sz w:val="28"/>
          <w:szCs w:val="28"/>
          <w:rtl/>
        </w:rPr>
        <w:t xml:space="preserve"> </w:t>
      </w:r>
      <w:bookmarkStart w:id="6" w:name="ABSTRACT_START"/>
      <w:bookmarkEnd w:id="6"/>
      <w:r w:rsidR="00021619">
        <w:rPr>
          <w:rFonts w:cs="FrankRuehl" w:hint="cs"/>
          <w:sz w:val="28"/>
          <w:szCs w:val="28"/>
          <w:rtl/>
        </w:rPr>
        <w:t>מעובדות כתב האישום המתוקן עולה, כי הנאשם בחודש יולי 2016, תיווך בין סוכן משטרתי שפנה אליו לקנות סם, לבין אדם אחר, ממנו אמור היה הנאשם לקבל את הסם ולספק אותו לסוכן.</w:t>
      </w:r>
      <w:bookmarkStart w:id="7" w:name="ABSTRACT_END"/>
      <w:bookmarkEnd w:id="7"/>
      <w:r w:rsidR="00021619">
        <w:rPr>
          <w:rFonts w:cs="FrankRuehl" w:hint="cs"/>
          <w:sz w:val="28"/>
          <w:szCs w:val="28"/>
          <w:rtl/>
        </w:rPr>
        <w:t xml:space="preserve"> מדובר ב-14.32 גרם קנביס הידרו תמורת 1,500 ₪ אותם מכר האחר לסוכן כשנפגשו השניים, וזאת לאחר שהנאשם אמר לסוכן כי טרם קיבל את </w:t>
      </w:r>
      <w:r w:rsidR="00021619">
        <w:rPr>
          <w:rFonts w:cs="FrankRuehl" w:hint="cs"/>
          <w:sz w:val="28"/>
          <w:szCs w:val="28"/>
          <w:rtl/>
        </w:rPr>
        <w:lastRenderedPageBreak/>
        <w:t xml:space="preserve">הסמים שעל מכירתם הוסכם, והציע לו לפגוש ישירות את האחר על-מנת לבצע את העסקה. לפיכך, הורשע הנאשם בביצוע עבירת תיווך לסחר בסם מסוכן, לפי </w:t>
      </w:r>
      <w:hyperlink r:id="rId16" w:history="1">
        <w:r w:rsidR="00107CD8" w:rsidRPr="00107CD8">
          <w:rPr>
            <w:rStyle w:val="Hyperlink"/>
            <w:rFonts w:cs="FrankRuehl" w:hint="eastAsia"/>
            <w:sz w:val="28"/>
            <w:szCs w:val="28"/>
            <w:rtl/>
          </w:rPr>
          <w:t>סעיף</w:t>
        </w:r>
        <w:r w:rsidR="00107CD8" w:rsidRPr="00107CD8">
          <w:rPr>
            <w:rStyle w:val="Hyperlink"/>
            <w:rFonts w:cs="FrankRuehl"/>
            <w:sz w:val="28"/>
            <w:szCs w:val="28"/>
            <w:rtl/>
          </w:rPr>
          <w:t xml:space="preserve"> 14</w:t>
        </w:r>
      </w:hyperlink>
      <w:r w:rsidR="00021619">
        <w:rPr>
          <w:rFonts w:cs="FrankRuehl" w:hint="cs"/>
          <w:sz w:val="28"/>
          <w:szCs w:val="28"/>
          <w:rtl/>
        </w:rPr>
        <w:t xml:space="preserve"> ל</w:t>
      </w:r>
      <w:hyperlink r:id="rId17" w:history="1">
        <w:r w:rsidRPr="00D572EB">
          <w:rPr>
            <w:rFonts w:cs="FrankRuehl"/>
            <w:color w:val="0000FF"/>
            <w:sz w:val="28"/>
            <w:szCs w:val="28"/>
            <w:u w:val="single"/>
            <w:rtl/>
          </w:rPr>
          <w:t>פקודת הסמים המסוכנים</w:t>
        </w:r>
      </w:hyperlink>
      <w:r w:rsidR="00021619">
        <w:rPr>
          <w:rFonts w:cs="FrankRuehl" w:hint="cs"/>
          <w:sz w:val="28"/>
          <w:szCs w:val="28"/>
          <w:rtl/>
        </w:rPr>
        <w:t xml:space="preserve">. </w:t>
      </w:r>
    </w:p>
    <w:p w14:paraId="59BD2635" w14:textId="77777777" w:rsidR="00021619" w:rsidRDefault="00021619" w:rsidP="00021619">
      <w:pPr>
        <w:spacing w:line="360" w:lineRule="auto"/>
        <w:jc w:val="both"/>
        <w:rPr>
          <w:rFonts w:cs="FrankRuehl"/>
          <w:sz w:val="28"/>
          <w:szCs w:val="28"/>
          <w:rtl/>
        </w:rPr>
      </w:pPr>
      <w:r>
        <w:rPr>
          <w:rFonts w:cs="FrankRuehl"/>
          <w:sz w:val="28"/>
          <w:szCs w:val="28"/>
          <w:rtl/>
        </w:rPr>
        <w:br/>
      </w:r>
      <w:r w:rsidRPr="00F07F5E">
        <w:rPr>
          <w:rFonts w:cs="FrankRuehl" w:hint="cs"/>
          <w:sz w:val="28"/>
          <w:szCs w:val="28"/>
          <w:u w:val="single"/>
          <w:rtl/>
        </w:rPr>
        <w:t>ת"</w:t>
      </w:r>
      <w:hyperlink r:id="rId18" w:history="1">
        <w:r w:rsidR="00D572EB" w:rsidRPr="00D572EB">
          <w:rPr>
            <w:rFonts w:cs="FrankRuehl"/>
            <w:color w:val="0000FF"/>
            <w:sz w:val="28"/>
            <w:szCs w:val="28"/>
            <w:u w:val="single"/>
            <w:rtl/>
          </w:rPr>
          <w:t>פ 28335-08-18</w:t>
        </w:r>
      </w:hyperlink>
      <w:r w:rsidRPr="00F07F5E">
        <w:rPr>
          <w:rFonts w:cs="FrankRuehl" w:hint="cs"/>
          <w:sz w:val="28"/>
          <w:szCs w:val="28"/>
          <w:u w:val="single"/>
          <w:rtl/>
        </w:rPr>
        <w:t xml:space="preserve"> (להלן </w:t>
      </w:r>
      <w:r w:rsidRPr="00F07F5E">
        <w:rPr>
          <w:rFonts w:cs="FrankRuehl"/>
          <w:sz w:val="28"/>
          <w:szCs w:val="28"/>
          <w:u w:val="single"/>
          <w:rtl/>
        </w:rPr>
        <w:t>–</w:t>
      </w:r>
      <w:r w:rsidRPr="00F07F5E">
        <w:rPr>
          <w:rFonts w:cs="FrankRuehl" w:hint="cs"/>
          <w:sz w:val="28"/>
          <w:szCs w:val="28"/>
          <w:u w:val="single"/>
          <w:rtl/>
        </w:rPr>
        <w:t xml:space="preserve"> </w:t>
      </w:r>
      <w:r w:rsidRPr="00F07F5E">
        <w:rPr>
          <w:rFonts w:cs="FrankRuehl" w:hint="cs"/>
          <w:b/>
          <w:bCs/>
          <w:sz w:val="28"/>
          <w:szCs w:val="28"/>
          <w:u w:val="single"/>
          <w:rtl/>
        </w:rPr>
        <w:t>התיק השני</w:t>
      </w:r>
      <w:r w:rsidRPr="00F07F5E">
        <w:rPr>
          <w:rFonts w:cs="FrankRuehl" w:hint="cs"/>
          <w:sz w:val="28"/>
          <w:szCs w:val="28"/>
          <w:u w:val="single"/>
          <w:rtl/>
        </w:rPr>
        <w:t>)</w:t>
      </w:r>
      <w:r w:rsidRPr="00F07F5E">
        <w:rPr>
          <w:rFonts w:cs="FrankRuehl" w:hint="cs"/>
          <w:sz w:val="28"/>
          <w:szCs w:val="28"/>
          <w:rtl/>
        </w:rPr>
        <w:t xml:space="preserve"> </w:t>
      </w:r>
      <w:r w:rsidRPr="00F07F5E">
        <w:rPr>
          <w:rFonts w:cs="FrankRuehl"/>
          <w:sz w:val="28"/>
          <w:szCs w:val="28"/>
          <w:rtl/>
        </w:rPr>
        <w:t>–</w:t>
      </w:r>
      <w:r w:rsidRPr="00F07F5E">
        <w:rPr>
          <w:rFonts w:cs="FrankRuehl" w:hint="cs"/>
          <w:sz w:val="28"/>
          <w:szCs w:val="28"/>
          <w:rtl/>
        </w:rPr>
        <w:t xml:space="preserve"> מעובדות כתב האישום המתוקן עולה, כי ביום 27.012016 בשעת ערב שלח הודעה לטלפון של השוטר דמסה מלאדה, שהיה מעורב בהפללתו הנאשם בפעילות פלילית לכאורה. בהודעה כתב הנאשם: "אמרתי שאמא שלך מצצה לי אתמול בלילה, איזה כיף היה לי, הרבה זמן לא הרגשתי כזה כיף, רוצה גם אתה למצוץ לי? נעשה שלישיה מטורפת. מאחל לך שיהיה לך החיים הכי ארורים שיש, עד שתאבד את השפיות שלך". בגין מעשה זה הורשע הנאשם בעבירות של הטרדת עד, לפי </w:t>
      </w:r>
      <w:hyperlink r:id="rId19" w:history="1">
        <w:r w:rsidR="00107CD8" w:rsidRPr="00107CD8">
          <w:rPr>
            <w:rStyle w:val="Hyperlink"/>
            <w:rFonts w:cs="FrankRuehl" w:hint="eastAsia"/>
            <w:sz w:val="28"/>
            <w:szCs w:val="28"/>
            <w:rtl/>
          </w:rPr>
          <w:t>סעיף</w:t>
        </w:r>
        <w:r w:rsidR="00107CD8" w:rsidRPr="00107CD8">
          <w:rPr>
            <w:rStyle w:val="Hyperlink"/>
            <w:rFonts w:cs="FrankRuehl"/>
            <w:sz w:val="28"/>
            <w:szCs w:val="28"/>
            <w:rtl/>
          </w:rPr>
          <w:t xml:space="preserve"> 249</w:t>
        </w:r>
      </w:hyperlink>
      <w:r w:rsidRPr="00F07F5E">
        <w:rPr>
          <w:rFonts w:cs="FrankRuehl" w:hint="cs"/>
          <w:sz w:val="28"/>
          <w:szCs w:val="28"/>
          <w:rtl/>
        </w:rPr>
        <w:t xml:space="preserve"> ל</w:t>
      </w:r>
      <w:hyperlink r:id="rId20" w:history="1">
        <w:r w:rsidR="00D572EB" w:rsidRPr="00D572EB">
          <w:rPr>
            <w:rFonts w:cs="FrankRuehl"/>
            <w:color w:val="0000FF"/>
            <w:sz w:val="28"/>
            <w:szCs w:val="28"/>
            <w:u w:val="single"/>
            <w:rtl/>
          </w:rPr>
          <w:t>חוק העונשין</w:t>
        </w:r>
      </w:hyperlink>
      <w:r w:rsidRPr="00F07F5E">
        <w:rPr>
          <w:rFonts w:cs="FrankRuehl" w:hint="cs"/>
          <w:sz w:val="28"/>
          <w:szCs w:val="28"/>
          <w:rtl/>
        </w:rPr>
        <w:t>, התשל"ז-1977.</w:t>
      </w:r>
    </w:p>
    <w:p w14:paraId="486F9C17" w14:textId="77777777" w:rsidR="00021619" w:rsidRDefault="00021619" w:rsidP="00021619">
      <w:pPr>
        <w:spacing w:line="360" w:lineRule="auto"/>
        <w:jc w:val="both"/>
        <w:rPr>
          <w:rFonts w:cs="FrankRuehl"/>
          <w:sz w:val="28"/>
          <w:szCs w:val="28"/>
          <w:rtl/>
        </w:rPr>
      </w:pPr>
    </w:p>
    <w:p w14:paraId="7CC3FA37" w14:textId="77777777" w:rsidR="00021619" w:rsidRPr="0044152C" w:rsidRDefault="00021619" w:rsidP="00021619">
      <w:pPr>
        <w:spacing w:line="360" w:lineRule="auto"/>
        <w:jc w:val="both"/>
        <w:rPr>
          <w:rFonts w:cs="FrankRuehl"/>
          <w:b/>
          <w:bCs/>
          <w:sz w:val="28"/>
          <w:szCs w:val="28"/>
          <w:u w:val="single"/>
        </w:rPr>
      </w:pPr>
    </w:p>
    <w:p w14:paraId="05630459" w14:textId="77777777" w:rsidR="00021619" w:rsidRDefault="00021619" w:rsidP="00021619">
      <w:pPr>
        <w:spacing w:line="360" w:lineRule="auto"/>
        <w:jc w:val="both"/>
        <w:rPr>
          <w:rFonts w:cs="FrankRuehl"/>
          <w:b/>
          <w:bCs/>
          <w:sz w:val="28"/>
          <w:szCs w:val="28"/>
          <w:u w:val="single"/>
        </w:rPr>
      </w:pPr>
      <w:r>
        <w:rPr>
          <w:rFonts w:cs="FrankRuehl"/>
          <w:b/>
          <w:bCs/>
          <w:sz w:val="28"/>
          <w:szCs w:val="28"/>
          <w:u w:val="single"/>
          <w:rtl/>
        </w:rPr>
        <w:t>מהלך הדיון</w:t>
      </w:r>
    </w:p>
    <w:p w14:paraId="42AA8141" w14:textId="77777777" w:rsidR="00021619" w:rsidRDefault="00021619" w:rsidP="00021619">
      <w:pPr>
        <w:spacing w:line="360" w:lineRule="auto"/>
        <w:jc w:val="both"/>
        <w:rPr>
          <w:rFonts w:cs="FrankRuehl"/>
          <w:sz w:val="28"/>
          <w:szCs w:val="28"/>
          <w:rtl/>
        </w:rPr>
      </w:pPr>
      <w:r>
        <w:rPr>
          <w:rFonts w:cs="FrankRuehl" w:hint="cs"/>
          <w:sz w:val="28"/>
          <w:szCs w:val="28"/>
          <w:rtl/>
        </w:rPr>
        <w:t>הצדדים הציגו לבית המשפט הסדר בשני התיקים שבכותרת, ולפיו תעתור המאשימה לכל היותר לעונש של 4 חודשי מאסר בעבודות השירות בכפוף לתסקיר חיובי. הנאשם נשלח לשירות המבחן ובהמשך נשלח לממונה על עבודות השירות.</w:t>
      </w:r>
    </w:p>
    <w:p w14:paraId="222D79ED" w14:textId="77777777" w:rsidR="00021619" w:rsidRDefault="00021619" w:rsidP="00021619">
      <w:pPr>
        <w:spacing w:line="360" w:lineRule="auto"/>
        <w:jc w:val="both"/>
        <w:rPr>
          <w:rFonts w:cs="FrankRuehl"/>
          <w:sz w:val="28"/>
          <w:szCs w:val="28"/>
          <w:rtl/>
        </w:rPr>
      </w:pPr>
    </w:p>
    <w:p w14:paraId="45AB2E5F" w14:textId="77777777" w:rsidR="00021619" w:rsidRDefault="00021619" w:rsidP="00021619">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531ED1F8" w14:textId="77777777" w:rsidR="00021619" w:rsidRDefault="00021619" w:rsidP="00021619">
      <w:pPr>
        <w:spacing w:line="360" w:lineRule="auto"/>
        <w:jc w:val="both"/>
        <w:rPr>
          <w:rFonts w:cs="FrankRuehl"/>
          <w:sz w:val="28"/>
          <w:szCs w:val="28"/>
          <w:rtl/>
        </w:rPr>
      </w:pPr>
      <w:r>
        <w:rPr>
          <w:rFonts w:cs="FrankRuehl"/>
          <w:sz w:val="28"/>
          <w:szCs w:val="28"/>
          <w:rtl/>
        </w:rPr>
        <w:t xml:space="preserve">מהתסקיר שהוגש בעניינו של הנאשם </w:t>
      </w:r>
      <w:r>
        <w:rPr>
          <w:rFonts w:cs="FrankRuehl" w:hint="cs"/>
          <w:sz w:val="28"/>
          <w:szCs w:val="28"/>
          <w:rtl/>
        </w:rPr>
        <w:t xml:space="preserve">בחודש מרץ 2019 </w:t>
      </w:r>
      <w:r>
        <w:rPr>
          <w:rFonts w:cs="FrankRuehl"/>
          <w:sz w:val="28"/>
          <w:szCs w:val="28"/>
          <w:rtl/>
        </w:rPr>
        <w:t>עולה</w:t>
      </w:r>
      <w:r>
        <w:rPr>
          <w:rFonts w:cs="FrankRuehl" w:hint="cs"/>
          <w:sz w:val="28"/>
          <w:szCs w:val="28"/>
          <w:rtl/>
        </w:rPr>
        <w:t xml:space="preserve">, כי הנאשם, כבן 25, נשוי ואב לשלושה ילדים קטנים ועובד מזה מספר שנים בדוכן פלאפל. השירות גולל את קורותיו של הנאשם וקורות משפחתו הגרעינית. הנאשם גדל במשפחה חרדית, וסיים מסגרות לימוד עד הגיעו לגיל 16 לערך. הוא נישא מוקדם מהצפוי לאשתו ונולד להם בנם הראשון. הנאשם התגייס לצבא, שירת שירות צבאי מלא כנהג, והמשיך בשירות מילואים. הוא ניסה כוחו בלימודי הנדסת בניין אך תיאר קושי ולא המשיך בלימודים. כיום הנאשם הוא המפרנס היחיד למשפחתו. הנאשם החל להשתמש בסמים "קלים" עוד ביותו כבן 17, וזאת על רקע חברתי. לאחרונה ובשל ההליכים הפלילים, הפסיק את השימוש בסמים, אם כי למרות מספר בדיקות שתן נקיות שמסר הנאשם, נמצאה בדיקה המעידה על שימוש בקוקאין ואקסטזי. הנאשם מסר ביחס לבדיקה האחרונה, כי היה במסיבה שבה שתה "קוקטיל" שלא היה מודע לכל רכיביו. שירות המבחן הצביע על קושי ברציפות הקשר עם הנאשם. לגבי העבירות סיפר הנאשם כי בתיק הראשון, הסוכן המשטרתי עבד עימו בפלאפל ולחץ עליו לספק לו סמים ולבסוף, היפנה אותו הנאשם לאחיו. בהמשך רצה לנקום </w:t>
      </w:r>
      <w:r>
        <w:rPr>
          <w:rFonts w:cs="FrankRuehl" w:hint="cs"/>
          <w:sz w:val="28"/>
          <w:szCs w:val="28"/>
          <w:rtl/>
        </w:rPr>
        <w:lastRenderedPageBreak/>
        <w:t>בסוכן ולכן ביצע את מעשה הטרדת העד. שירות המבחן סבר כי הנאשם מתקשה לבחון את המניעים להתנהלותו, אם כי הביע רצון טיפולי. כמו-כן ציין שירות המבחן משבר משפחתי וזוגי בו נתון הנאשם. לפיכך, המליץ שירות המבחן על דחיית הדיון בארבעה חודשים, בקשה לה נעתר בית המשפט.</w:t>
      </w:r>
    </w:p>
    <w:p w14:paraId="606A00AB" w14:textId="77777777" w:rsidR="00021619" w:rsidRDefault="00021619" w:rsidP="00021619">
      <w:pPr>
        <w:spacing w:line="360" w:lineRule="auto"/>
        <w:jc w:val="both"/>
        <w:rPr>
          <w:rFonts w:cs="FrankRuehl"/>
          <w:sz w:val="28"/>
          <w:szCs w:val="28"/>
          <w:rtl/>
        </w:rPr>
      </w:pPr>
    </w:p>
    <w:p w14:paraId="5DA87756" w14:textId="77777777" w:rsidR="00021619" w:rsidRDefault="00021619" w:rsidP="00021619">
      <w:pPr>
        <w:spacing w:line="360" w:lineRule="auto"/>
        <w:jc w:val="both"/>
        <w:rPr>
          <w:rFonts w:cs="FrankRuehl"/>
          <w:sz w:val="28"/>
          <w:szCs w:val="28"/>
          <w:rtl/>
        </w:rPr>
      </w:pPr>
      <w:r>
        <w:rPr>
          <w:rFonts w:cs="FrankRuehl" w:hint="cs"/>
          <w:sz w:val="28"/>
          <w:szCs w:val="28"/>
          <w:rtl/>
        </w:rPr>
        <w:t xml:space="preserve">מהתסקיר שהוגש בחודש יולי 2019 עולה, כי הנאשם התקשה לשמור על קשר עם השירות בתקופת הדחיה. הנאשם החליף עבודה לעבודה בתחום ניסור הבטון, המתבצעת בכל רחבי הארץ, ולכן התקשה לשמור על קשר עם השירות הגם שהביע רצון טיפולי וגם רצון לטיפול זוגי. בנסיבות אלו נמסרה על ידי הנאשם רק בדיקת שתן בודדת שנמצאה נקיה מסמים. בשל העומס בו נתון הנאשם, לא התקדם הטיפול. בני הזוג דיווחו על רצון לשקם את הקשר ביניהם. במכלול הנסיבות סבר שירות המבחן כי הנאשם אינו פנוי לטיפול, ולנוכח נסיבותיו </w:t>
      </w:r>
      <w:r>
        <w:rPr>
          <w:rFonts w:cs="FrankRuehl"/>
          <w:sz w:val="28"/>
          <w:szCs w:val="28"/>
          <w:rtl/>
        </w:rPr>
        <w:t>–</w:t>
      </w:r>
      <w:r>
        <w:rPr>
          <w:rFonts w:cs="FrankRuehl" w:hint="cs"/>
          <w:sz w:val="28"/>
          <w:szCs w:val="28"/>
          <w:rtl/>
        </w:rPr>
        <w:t xml:space="preserve"> היותו אדם צעיר, ללא עבר, נשוי ואב לשלושה ילדים, שמצא עבודה המהווה עבורו עוגן משמעותי ושיקומי, המליץ שירות המבחן על הטלת מאסר קצר בעבודות שירות ומאסר מותנה. שירות המבחן לא מצא להמליץ על של"ץ בהיעדר פניות מצד הנאשם. </w:t>
      </w:r>
    </w:p>
    <w:p w14:paraId="22F70891" w14:textId="77777777" w:rsidR="00021619" w:rsidRDefault="00021619" w:rsidP="00021619">
      <w:pPr>
        <w:spacing w:line="360" w:lineRule="auto"/>
        <w:jc w:val="both"/>
        <w:rPr>
          <w:rFonts w:cs="FrankRuehl"/>
          <w:sz w:val="28"/>
          <w:szCs w:val="28"/>
          <w:rtl/>
        </w:rPr>
      </w:pPr>
    </w:p>
    <w:p w14:paraId="7A1072D9" w14:textId="77777777" w:rsidR="00021619" w:rsidRDefault="00021619" w:rsidP="00021619">
      <w:pPr>
        <w:spacing w:line="360" w:lineRule="auto"/>
        <w:jc w:val="both"/>
        <w:rPr>
          <w:rFonts w:cs="FrankRuehl"/>
          <w:sz w:val="28"/>
          <w:szCs w:val="28"/>
          <w:rtl/>
        </w:rPr>
      </w:pPr>
      <w:r>
        <w:rPr>
          <w:rFonts w:cs="FrankRuehl" w:hint="cs"/>
          <w:sz w:val="28"/>
          <w:szCs w:val="28"/>
          <w:rtl/>
        </w:rPr>
        <w:t>יצוין, כי בדיון היום, ובחלוף כשנה מהתסקיר האחרון התברר, כי הנאשם לומד היום במכינה לחרדים באוניברסיטה העברית, מתוך כוונה לממש את רצונו זה שנים רבות, ללמוד לימודים אקדמיים גבוהים. כיום הוא אינו עובד ועתותיו מוקדשות ללימודים, ואשתו היא המפרנסת העיקרית.</w:t>
      </w:r>
    </w:p>
    <w:p w14:paraId="6412D64E" w14:textId="77777777" w:rsidR="00021619" w:rsidRDefault="00021619" w:rsidP="00021619">
      <w:pPr>
        <w:spacing w:line="360" w:lineRule="auto"/>
        <w:jc w:val="both"/>
        <w:rPr>
          <w:rFonts w:cs="FrankRuehl"/>
          <w:sz w:val="28"/>
          <w:szCs w:val="28"/>
          <w:rtl/>
        </w:rPr>
      </w:pPr>
    </w:p>
    <w:p w14:paraId="41B468B2" w14:textId="77777777" w:rsidR="00021619" w:rsidRDefault="00021619" w:rsidP="00021619">
      <w:pPr>
        <w:spacing w:line="360" w:lineRule="auto"/>
        <w:jc w:val="both"/>
        <w:rPr>
          <w:rFonts w:cs="FrankRuehl"/>
          <w:b/>
          <w:bCs/>
          <w:sz w:val="28"/>
          <w:szCs w:val="28"/>
          <w:u w:val="single"/>
          <w:rtl/>
        </w:rPr>
      </w:pPr>
      <w:r>
        <w:rPr>
          <w:rFonts w:cs="FrankRuehl"/>
          <w:b/>
          <w:bCs/>
          <w:sz w:val="28"/>
          <w:szCs w:val="28"/>
          <w:u w:val="single"/>
          <w:rtl/>
        </w:rPr>
        <w:t>חוות דעת של הממונה על עבודות השירות</w:t>
      </w:r>
    </w:p>
    <w:p w14:paraId="41213FE4" w14:textId="77777777" w:rsidR="00021619" w:rsidRDefault="00021619" w:rsidP="00021619">
      <w:pPr>
        <w:spacing w:line="360" w:lineRule="auto"/>
        <w:jc w:val="both"/>
        <w:rPr>
          <w:rFonts w:cs="FrankRuehl"/>
          <w:sz w:val="28"/>
          <w:szCs w:val="28"/>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הנאשם כשיר לבצע עבודות שירות, וזאת במסגרת "מפעל חיים בירושלים", החל מיום 27.12.2020.</w:t>
      </w:r>
    </w:p>
    <w:p w14:paraId="339CF5C1" w14:textId="77777777" w:rsidR="00021619" w:rsidRPr="005565C2" w:rsidRDefault="00021619" w:rsidP="00021619">
      <w:pPr>
        <w:spacing w:line="360" w:lineRule="auto"/>
        <w:jc w:val="both"/>
        <w:rPr>
          <w:rFonts w:cs="FrankRuehl"/>
          <w:sz w:val="28"/>
          <w:szCs w:val="28"/>
          <w:rtl/>
        </w:rPr>
      </w:pPr>
    </w:p>
    <w:p w14:paraId="278CC47B" w14:textId="77777777" w:rsidR="00021619" w:rsidRDefault="00021619" w:rsidP="00021619">
      <w:pPr>
        <w:spacing w:line="360" w:lineRule="auto"/>
        <w:jc w:val="both"/>
        <w:rPr>
          <w:rFonts w:cs="FrankRuehl"/>
          <w:b/>
          <w:bCs/>
          <w:sz w:val="28"/>
          <w:szCs w:val="28"/>
          <w:u w:val="single"/>
          <w:rtl/>
        </w:rPr>
      </w:pPr>
      <w:r>
        <w:rPr>
          <w:rFonts w:cs="FrankRuehl"/>
          <w:b/>
          <w:bCs/>
          <w:sz w:val="28"/>
          <w:szCs w:val="28"/>
          <w:u w:val="single"/>
          <w:rtl/>
        </w:rPr>
        <w:t>טיעונים לעונש</w:t>
      </w:r>
    </w:p>
    <w:p w14:paraId="5E5A7494" w14:textId="77777777" w:rsidR="00021619" w:rsidRDefault="00021619" w:rsidP="00021619">
      <w:pPr>
        <w:spacing w:line="360" w:lineRule="auto"/>
        <w:jc w:val="both"/>
        <w:rPr>
          <w:rFonts w:cs="FrankRuehl"/>
          <w:sz w:val="28"/>
          <w:szCs w:val="28"/>
          <w:rtl/>
        </w:rPr>
      </w:pPr>
      <w:r>
        <w:rPr>
          <w:rFonts w:cs="FrankRuehl"/>
          <w:sz w:val="28"/>
          <w:szCs w:val="28"/>
          <w:rtl/>
        </w:rPr>
        <w:t xml:space="preserve">הצדדים לא הגיעו להסכמה עונשית. </w:t>
      </w:r>
    </w:p>
    <w:p w14:paraId="4F37400F" w14:textId="77777777" w:rsidR="00021619" w:rsidRDefault="00021619" w:rsidP="00021619">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 xml:space="preserve">המאשימה עתרה להטלת מאסר בפועל וענישה נלווית, לאחר שלא מצאה כי התסקירים חיוביים. </w:t>
      </w:r>
      <w:r>
        <w:rPr>
          <w:rFonts w:cs="FrankRuehl"/>
          <w:sz w:val="28"/>
          <w:szCs w:val="28"/>
          <w:rtl/>
        </w:rPr>
        <w:t xml:space="preserve">מאידך, </w:t>
      </w:r>
      <w:r>
        <w:rPr>
          <w:rFonts w:cs="FrankRuehl" w:hint="cs"/>
          <w:sz w:val="28"/>
          <w:szCs w:val="28"/>
          <w:rtl/>
        </w:rPr>
        <w:t xml:space="preserve">ב"כ הנאשם ביקשה להסתפק במאסר מותנה ובענישה צופת פני עתיד. היא עדכנה לגבי נסיבות חייו העדכניות של הנאשם שלא באו לידי ביטוי בתסקיר האחרון, שהוא כבן שנה. </w:t>
      </w:r>
    </w:p>
    <w:p w14:paraId="15A167AD" w14:textId="77777777" w:rsidR="00021619" w:rsidRDefault="00021619" w:rsidP="00021619">
      <w:pPr>
        <w:spacing w:line="360" w:lineRule="auto"/>
        <w:jc w:val="both"/>
        <w:rPr>
          <w:rFonts w:cs="FrankRuehl"/>
          <w:b/>
          <w:bCs/>
          <w:sz w:val="28"/>
          <w:szCs w:val="28"/>
          <w:u w:val="single"/>
          <w:rtl/>
        </w:rPr>
      </w:pPr>
    </w:p>
    <w:p w14:paraId="6C1324B9" w14:textId="77777777" w:rsidR="00021619" w:rsidRDefault="00021619" w:rsidP="00021619">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3574B4FC" w14:textId="77777777" w:rsidR="00021619" w:rsidRDefault="00021619" w:rsidP="00021619">
      <w:pPr>
        <w:spacing w:line="360" w:lineRule="auto"/>
        <w:jc w:val="both"/>
        <w:rPr>
          <w:rFonts w:cs="FrankRuehl"/>
          <w:b/>
          <w:bCs/>
          <w:sz w:val="28"/>
          <w:szCs w:val="28"/>
          <w:u w:val="single"/>
          <w:rtl/>
        </w:rPr>
      </w:pPr>
    </w:p>
    <w:p w14:paraId="594FF10D" w14:textId="77777777" w:rsidR="00021619" w:rsidRDefault="00021619" w:rsidP="00021619">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sidRPr="00F07F5E">
        <w:rPr>
          <w:rFonts w:cs="FrankRuehl" w:hint="cs"/>
          <w:sz w:val="28"/>
          <w:szCs w:val="28"/>
          <w:u w:val="single"/>
          <w:rtl/>
        </w:rPr>
        <w:t>אשר לעבירות הסמים</w:t>
      </w:r>
      <w:r>
        <w:rPr>
          <w:rFonts w:cs="FrankRuehl" w:hint="cs"/>
          <w:sz w:val="28"/>
          <w:szCs w:val="28"/>
          <w:rtl/>
        </w:rPr>
        <w:t xml:space="preserve"> </w:t>
      </w:r>
      <w:r>
        <w:rPr>
          <w:rFonts w:cs="FrankRuehl"/>
          <w:sz w:val="28"/>
          <w:szCs w:val="28"/>
          <w:rtl/>
        </w:rPr>
        <w:t>–</w:t>
      </w:r>
      <w:r>
        <w:rPr>
          <w:rFonts w:cs="FrankRuehl" w:hint="cs"/>
          <w:sz w:val="28"/>
          <w:szCs w:val="28"/>
          <w:rtl/>
        </w:rPr>
        <w:t xml:space="preserve"> העבירות פוגעות בשלום הציבור ובריאותו, כאשר פגיעה זו מועצמת שעה שמדובר בסחר. אלא שבנסיבות המקרה, כשאין מדובר בכמות גדולה של סם מסוג קנביס, כשהסחר היה על רקע היכרות מוקדמת, מידת הפגיעה בערך המוגן נמוכה. </w:t>
      </w:r>
      <w:r w:rsidRPr="00F07F5E">
        <w:rPr>
          <w:rFonts w:cs="FrankRuehl" w:hint="cs"/>
          <w:sz w:val="28"/>
          <w:szCs w:val="28"/>
          <w:u w:val="single"/>
          <w:rtl/>
        </w:rPr>
        <w:t>אשר לעבירת הטרדת העד</w:t>
      </w:r>
      <w:r>
        <w:rPr>
          <w:rFonts w:cs="FrankRuehl" w:hint="cs"/>
          <w:sz w:val="28"/>
          <w:szCs w:val="28"/>
          <w:rtl/>
        </w:rPr>
        <w:t xml:space="preserve"> </w:t>
      </w:r>
      <w:r>
        <w:rPr>
          <w:rFonts w:cs="FrankRuehl"/>
          <w:sz w:val="28"/>
          <w:szCs w:val="28"/>
          <w:rtl/>
        </w:rPr>
        <w:t>–</w:t>
      </w:r>
      <w:r>
        <w:rPr>
          <w:rFonts w:cs="FrankRuehl" w:hint="cs"/>
          <w:sz w:val="28"/>
          <w:szCs w:val="28"/>
          <w:rtl/>
        </w:rPr>
        <w:t xml:space="preserve"> עבירה זו חמורה במהותה נוכח פגיעה בעקרון שלטון החוק ובסדרי שלטון ומשפט. בנסיבות העניין, מידת הפגיעה בערך המוגן נמוכה-בינונית.</w:t>
      </w:r>
    </w:p>
    <w:p w14:paraId="6ADF60D4" w14:textId="77777777" w:rsidR="00021619" w:rsidRDefault="00021619" w:rsidP="00021619">
      <w:pPr>
        <w:spacing w:line="360" w:lineRule="auto"/>
        <w:jc w:val="both"/>
        <w:rPr>
          <w:rFonts w:cs="FrankRuehl"/>
          <w:b/>
          <w:bCs/>
          <w:sz w:val="28"/>
          <w:szCs w:val="28"/>
          <w:rtl/>
        </w:rPr>
      </w:pPr>
    </w:p>
    <w:p w14:paraId="16928E71" w14:textId="77777777" w:rsidR="00021619" w:rsidRDefault="00021619" w:rsidP="00021619">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1" w:history="1">
        <w:r w:rsidR="00107CD8" w:rsidRPr="00107CD8">
          <w:rPr>
            <w:rStyle w:val="Hyperlink"/>
            <w:rFonts w:cs="FrankRuehl"/>
            <w:b/>
            <w:bCs/>
            <w:sz w:val="28"/>
            <w:szCs w:val="28"/>
            <w:rtl/>
          </w:rPr>
          <w:t>סעיף 40ט'</w:t>
        </w:r>
      </w:hyperlink>
      <w:r>
        <w:rPr>
          <w:rFonts w:cs="FrankRuehl"/>
          <w:b/>
          <w:bCs/>
          <w:sz w:val="28"/>
          <w:szCs w:val="28"/>
          <w:u w:val="single"/>
          <w:rtl/>
        </w:rPr>
        <w:t xml:space="preserve"> ל</w:t>
      </w:r>
      <w:hyperlink r:id="rId22" w:history="1">
        <w:r w:rsidR="00D572EB" w:rsidRPr="00D572E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w:t>
      </w:r>
      <w:r w:rsidRPr="00B26CED">
        <w:rPr>
          <w:rFonts w:cs="FrankRuehl" w:hint="cs"/>
          <w:sz w:val="28"/>
          <w:szCs w:val="28"/>
          <w:u w:val="single"/>
          <w:rtl/>
        </w:rPr>
        <w:t>אשר לתיק הראשון בעניין הסמים</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בעבירה מתוכננת, אם כי, כאמור, לא נסתרה טענת הנאשם כי הסוכן הכיר אותו על רקע עבודתם המשותפת. נוכח תפקידו של הנאשם כמתווך ונוכח ההיכרות המוקדמת עם הסוכן, הדבר מוציא את העוקץ מחומרת העבירה, מה גם שמדובר בסוג סם "קל" ובכמות לא גדולה. מנגד, הזמינות לסם מעידה על ניסיון בתחום; הנאשם צריך היה להימנע מן המעשה בהיותו בגיר; הנזק מסמים ידוע, אך בעניינו כאשר מדובר בסוכן ובסוג הסם האמור, הנזק מינורי, כמו גם הנזק הפוטנציאלי בנסיבות העניין.  </w:t>
      </w:r>
      <w:r w:rsidRPr="00B26CED">
        <w:rPr>
          <w:rFonts w:cs="FrankRuehl" w:hint="cs"/>
          <w:sz w:val="28"/>
          <w:szCs w:val="28"/>
          <w:u w:val="single"/>
          <w:rtl/>
        </w:rPr>
        <w:t>אשר לתיק השני בעניין הטרדת העד</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בהתנהגות פסולה וחמורה מבחינת פגיעתה בשלטון החוק. הנאשם העז להטריד סוכן משטרתי שהוא עד במשפט, ומניעיו הנאשם באותן נסיבות, אינם יכולים להצדיק את המעשה, ממנו היה עליו להימנע. בפועל לא נגרם נזק משמעותי אך הנזק האפשרי הוא שיבוש מהלכי משפט וסיום הליכים בצורה שגויה ובלתי צודקת.</w:t>
      </w:r>
    </w:p>
    <w:p w14:paraId="0F6F4E69" w14:textId="77777777" w:rsidR="00021619" w:rsidRDefault="00021619" w:rsidP="00021619">
      <w:pPr>
        <w:spacing w:line="360" w:lineRule="auto"/>
        <w:jc w:val="both"/>
        <w:rPr>
          <w:rFonts w:cs="FrankRuehl"/>
          <w:b/>
          <w:bCs/>
          <w:sz w:val="28"/>
          <w:szCs w:val="28"/>
          <w:u w:val="single"/>
          <w:rtl/>
        </w:rPr>
      </w:pPr>
    </w:p>
    <w:p w14:paraId="3C1FBEF4" w14:textId="77777777" w:rsidR="00021619" w:rsidRDefault="00021619" w:rsidP="00021619">
      <w:pPr>
        <w:spacing w:line="360" w:lineRule="auto"/>
        <w:jc w:val="both"/>
        <w:rPr>
          <w:rFonts w:cs="FrankRuehl"/>
          <w:sz w:val="28"/>
          <w:szCs w:val="28"/>
          <w:u w:val="single"/>
          <w:rtl/>
        </w:rPr>
      </w:pPr>
      <w:r>
        <w:rPr>
          <w:rFonts w:cs="FrankRuehl"/>
          <w:b/>
          <w:bCs/>
          <w:sz w:val="28"/>
          <w:szCs w:val="28"/>
          <w:u w:val="single"/>
          <w:rtl/>
        </w:rPr>
        <w:t>מדיניות הענישה הנוהגת</w:t>
      </w:r>
      <w:r>
        <w:rPr>
          <w:rFonts w:cs="FrankRuehl"/>
          <w:b/>
          <w:bCs/>
          <w:sz w:val="28"/>
          <w:szCs w:val="28"/>
          <w:rtl/>
        </w:rPr>
        <w:t xml:space="preserve"> –</w:t>
      </w:r>
      <w:r>
        <w:rPr>
          <w:rFonts w:cs="FrankRuehl" w:hint="cs"/>
          <w:sz w:val="28"/>
          <w:szCs w:val="28"/>
          <w:u w:val="single"/>
          <w:rtl/>
        </w:rPr>
        <w:t xml:space="preserve"> </w:t>
      </w:r>
    </w:p>
    <w:p w14:paraId="28ED61F2" w14:textId="77777777" w:rsidR="00021619" w:rsidRDefault="00021619" w:rsidP="00021619">
      <w:pPr>
        <w:spacing w:line="360" w:lineRule="auto"/>
        <w:jc w:val="both"/>
        <w:rPr>
          <w:rFonts w:cs="FrankRuehl"/>
          <w:sz w:val="28"/>
          <w:szCs w:val="28"/>
          <w:rtl/>
        </w:rPr>
      </w:pPr>
      <w:r w:rsidRPr="008F12C2">
        <w:rPr>
          <w:rFonts w:cs="FrankRuehl" w:hint="cs"/>
          <w:sz w:val="28"/>
          <w:szCs w:val="28"/>
          <w:u w:val="single"/>
          <w:rtl/>
        </w:rPr>
        <w:t>לעניין התיק הראשון</w:t>
      </w:r>
      <w:r>
        <w:rPr>
          <w:rFonts w:cs="FrankRuehl" w:hint="cs"/>
          <w:sz w:val="28"/>
          <w:szCs w:val="28"/>
          <w:rtl/>
        </w:rPr>
        <w:t xml:space="preserve"> </w:t>
      </w:r>
      <w:r>
        <w:rPr>
          <w:rFonts w:cs="FrankRuehl"/>
          <w:sz w:val="28"/>
          <w:szCs w:val="28"/>
          <w:rtl/>
        </w:rPr>
        <w:t>–</w:t>
      </w:r>
      <w:r>
        <w:rPr>
          <w:rFonts w:cs="FrankRuehl" w:hint="cs"/>
          <w:sz w:val="28"/>
          <w:szCs w:val="28"/>
          <w:rtl/>
        </w:rPr>
        <w:t xml:space="preserve"> הענישה בעבירות של תיווך לסחר בסמים תלוית נסיבות ומנעד הענישה רב ומשמעותי. </w:t>
      </w:r>
    </w:p>
    <w:p w14:paraId="35D34972" w14:textId="77777777" w:rsidR="00021619" w:rsidRDefault="00021619" w:rsidP="00021619">
      <w:pPr>
        <w:spacing w:line="360" w:lineRule="auto"/>
        <w:jc w:val="both"/>
        <w:rPr>
          <w:rFonts w:cs="FrankRuehl"/>
          <w:sz w:val="28"/>
          <w:szCs w:val="28"/>
          <w:u w:val="single"/>
          <w:rtl/>
        </w:rPr>
      </w:pPr>
    </w:p>
    <w:p w14:paraId="05B56DAA" w14:textId="77777777" w:rsidR="00021619" w:rsidRPr="008F12C2" w:rsidRDefault="00021619" w:rsidP="00021619">
      <w:pPr>
        <w:spacing w:line="360" w:lineRule="auto"/>
        <w:jc w:val="both"/>
        <w:rPr>
          <w:rFonts w:cs="FrankRuehl"/>
          <w:sz w:val="28"/>
          <w:szCs w:val="28"/>
          <w:rtl/>
        </w:rPr>
      </w:pPr>
      <w:r w:rsidRPr="008F12C2">
        <w:rPr>
          <w:rFonts w:cs="FrankRuehl" w:hint="cs"/>
          <w:sz w:val="28"/>
          <w:szCs w:val="28"/>
          <w:u w:val="single"/>
          <w:rtl/>
        </w:rPr>
        <w:t>לעניין התיק השני בעניין הטרדת עד</w:t>
      </w:r>
      <w:r>
        <w:rPr>
          <w:rFonts w:cs="FrankRuehl" w:hint="cs"/>
          <w:sz w:val="28"/>
          <w:szCs w:val="28"/>
          <w:rtl/>
        </w:rPr>
        <w:t xml:space="preserve"> </w:t>
      </w:r>
      <w:r>
        <w:rPr>
          <w:rFonts w:cs="FrankRuehl"/>
          <w:sz w:val="28"/>
          <w:szCs w:val="28"/>
          <w:rtl/>
        </w:rPr>
        <w:t>–</w:t>
      </w:r>
      <w:r>
        <w:rPr>
          <w:rFonts w:cs="FrankRuehl" w:hint="cs"/>
          <w:sz w:val="28"/>
          <w:szCs w:val="28"/>
          <w:rtl/>
        </w:rPr>
        <w:t xml:space="preserve"> מפנה ל</w:t>
      </w:r>
      <w:hyperlink r:id="rId23" w:history="1">
        <w:r w:rsidR="00D572EB" w:rsidRPr="00D572EB">
          <w:rPr>
            <w:rFonts w:cs="FrankRuehl"/>
            <w:color w:val="0000FF"/>
            <w:sz w:val="28"/>
            <w:szCs w:val="28"/>
            <w:u w:val="single"/>
            <w:rtl/>
          </w:rPr>
          <w:t>רע"פ 2937/20</w:t>
        </w:r>
      </w:hyperlink>
      <w:r>
        <w:rPr>
          <w:rFonts w:cs="FrankRuehl" w:hint="cs"/>
          <w:sz w:val="28"/>
          <w:szCs w:val="28"/>
          <w:rtl/>
        </w:rPr>
        <w:t xml:space="preserve"> </w:t>
      </w:r>
      <w:r w:rsidRPr="008F12C2">
        <w:rPr>
          <w:rFonts w:cs="FrankRuehl" w:hint="cs"/>
          <w:b/>
          <w:bCs/>
          <w:sz w:val="28"/>
          <w:szCs w:val="28"/>
          <w:u w:val="single"/>
          <w:rtl/>
        </w:rPr>
        <w:t>וואלפא</w:t>
      </w:r>
      <w:r>
        <w:rPr>
          <w:rFonts w:cs="FrankRuehl" w:hint="cs"/>
          <w:sz w:val="28"/>
          <w:szCs w:val="28"/>
          <w:rtl/>
        </w:rPr>
        <w:t xml:space="preserve"> נ' </w:t>
      </w:r>
      <w:r w:rsidRPr="008F12C2">
        <w:rPr>
          <w:rFonts w:cs="FrankRuehl" w:hint="cs"/>
          <w:b/>
          <w:bCs/>
          <w:sz w:val="28"/>
          <w:szCs w:val="28"/>
          <w:u w:val="single"/>
          <w:rtl/>
        </w:rPr>
        <w:t>מ"י</w:t>
      </w:r>
      <w:r>
        <w:rPr>
          <w:rFonts w:cs="FrankRuehl" w:hint="cs"/>
          <w:sz w:val="28"/>
          <w:szCs w:val="28"/>
          <w:rtl/>
        </w:rPr>
        <w:t xml:space="preserve"> (מיום 19.5.2020) שם אושר מתחם ענישה שבין מאסר על-תנאי ועד חודשי מאסר ספורים בנסיבות חמורות ממקרנו, שם איש ציבור הטריד עובד שהיה כפוף לו, לאחר שזה התלונן עליו במשטרה. שם הסתיים התיק במאסר מותנה וקנס.</w:t>
      </w:r>
    </w:p>
    <w:p w14:paraId="1C3CBEAB" w14:textId="77777777" w:rsidR="00021619" w:rsidRDefault="00021619" w:rsidP="00021619">
      <w:pPr>
        <w:spacing w:line="360" w:lineRule="auto"/>
        <w:jc w:val="both"/>
        <w:rPr>
          <w:rFonts w:cs="FrankRuehl"/>
          <w:b/>
          <w:bCs/>
          <w:sz w:val="28"/>
          <w:szCs w:val="28"/>
          <w:u w:val="single"/>
          <w:rtl/>
        </w:rPr>
      </w:pPr>
    </w:p>
    <w:p w14:paraId="616B6A87" w14:textId="77777777" w:rsidR="00021619" w:rsidRDefault="00021619" w:rsidP="00021619">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w:t>
      </w:r>
      <w:r>
        <w:rPr>
          <w:rFonts w:cs="FrankRuehl" w:hint="cs"/>
          <w:sz w:val="28"/>
          <w:szCs w:val="28"/>
          <w:rtl/>
        </w:rPr>
        <w:t>בתיק הראשון מתחם הענישה יעמוד על של"ץ נרחב ועד 8 חודשי מאסר לרבות בעבודות שירות. בתיק השני, יעמוד המתחם על מאסר מותנה ועד 6 חודשי עבודות שירות.</w:t>
      </w:r>
    </w:p>
    <w:p w14:paraId="70E2B706" w14:textId="77777777" w:rsidR="00021619" w:rsidRDefault="00021619" w:rsidP="00021619">
      <w:pPr>
        <w:spacing w:line="360" w:lineRule="auto"/>
        <w:jc w:val="both"/>
        <w:rPr>
          <w:rFonts w:cs="FrankRuehl"/>
          <w:sz w:val="28"/>
          <w:szCs w:val="28"/>
          <w:rtl/>
        </w:rPr>
      </w:pPr>
      <w:r>
        <w:rPr>
          <w:rFonts w:cs="FrankRuehl" w:hint="cs"/>
          <w:sz w:val="28"/>
          <w:szCs w:val="28"/>
          <w:rtl/>
        </w:rPr>
        <w:t xml:space="preserve">לכן, עתירת המאשימה לעונש מקסימלי של 4 חודשי עבודות שירות על-פי ההסדר המקורי, הגיונית בנסיבות העניין. </w:t>
      </w:r>
    </w:p>
    <w:p w14:paraId="4494564B" w14:textId="77777777" w:rsidR="00021619" w:rsidRDefault="00021619" w:rsidP="00021619">
      <w:pPr>
        <w:spacing w:line="360" w:lineRule="auto"/>
        <w:jc w:val="both"/>
        <w:rPr>
          <w:rFonts w:cs="FrankRuehl"/>
          <w:sz w:val="28"/>
          <w:szCs w:val="28"/>
          <w:rtl/>
        </w:rPr>
      </w:pPr>
    </w:p>
    <w:p w14:paraId="09BF517E" w14:textId="77777777" w:rsidR="00021619" w:rsidRPr="00F07F5E" w:rsidRDefault="00021619" w:rsidP="00021619">
      <w:pPr>
        <w:spacing w:line="360" w:lineRule="auto"/>
        <w:jc w:val="both"/>
        <w:rPr>
          <w:rFonts w:cs="FrankRuehl"/>
          <w:sz w:val="28"/>
          <w:szCs w:val="28"/>
          <w:rtl/>
        </w:rPr>
      </w:pPr>
      <w:r w:rsidRPr="00F07F5E">
        <w:rPr>
          <w:rFonts w:cs="FrankRuehl" w:hint="cs"/>
          <w:sz w:val="28"/>
          <w:szCs w:val="28"/>
          <w:rtl/>
        </w:rPr>
        <w:t>קשה להתייחס לשני המקרים כאל "מקרה אחד" הגם שקיים קשר ענייני ביניהם, ולו בשל חלוף הזמן והנסיבות השונות.</w:t>
      </w:r>
    </w:p>
    <w:p w14:paraId="0BA604E0" w14:textId="77777777" w:rsidR="00021619" w:rsidRDefault="00021619" w:rsidP="00021619">
      <w:pPr>
        <w:spacing w:line="360" w:lineRule="auto"/>
        <w:jc w:val="both"/>
        <w:rPr>
          <w:rFonts w:cs="FrankRuehl"/>
          <w:b/>
          <w:bCs/>
          <w:sz w:val="28"/>
          <w:szCs w:val="28"/>
          <w:u w:val="single"/>
          <w:rtl/>
        </w:rPr>
      </w:pPr>
    </w:p>
    <w:p w14:paraId="7B15BE64" w14:textId="77777777" w:rsidR="00021619" w:rsidRDefault="00021619" w:rsidP="00021619">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4" w:history="1">
        <w:r w:rsidR="00107CD8" w:rsidRPr="00107CD8">
          <w:rPr>
            <w:rStyle w:val="Hyperlink"/>
            <w:rFonts w:cs="FrankRuehl"/>
            <w:b/>
            <w:bCs/>
            <w:sz w:val="28"/>
            <w:szCs w:val="28"/>
            <w:rtl/>
          </w:rPr>
          <w:t>סעיף 40י"א</w:t>
        </w:r>
      </w:hyperlink>
      <w:r>
        <w:rPr>
          <w:rFonts w:cs="FrankRuehl"/>
          <w:b/>
          <w:bCs/>
          <w:sz w:val="28"/>
          <w:szCs w:val="28"/>
          <w:u w:val="single"/>
          <w:rtl/>
        </w:rPr>
        <w:t xml:space="preserve"> ל</w:t>
      </w:r>
      <w:hyperlink r:id="rId25" w:history="1">
        <w:r w:rsidR="00D572EB" w:rsidRPr="00D572E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שנסיבותיו האישיות אינן פשוטות. הוא נישא בגיל צעיר באופן לא מתוכנן, והוא אב ל-3 ילדים קטנים, וכן חווה משבר משפחתי לא פשוט. לכן, שליחה למאסר או לתקופה ממושכת בעבודות שירות תפגע במהלך המשמעותי שעושה כיום הנאשם במסגרת לימודי המכינה בהם נמצא, ובהתחשב בחשיבות נושא הלימודים עבורו והמאמצים שעשה בעבר, הפגיעה תהיה משמעותית. הנאשם תרם למדינה בשירות צבאי. נטילת האחריות אינה משביעת רצון וכך גם התנהלות הנאשם אל מול שירות המבחן לאורך תקופה, ונסיבותיו האישיות </w:t>
      </w:r>
      <w:r>
        <w:rPr>
          <w:rFonts w:cs="FrankRuehl"/>
          <w:sz w:val="28"/>
          <w:szCs w:val="28"/>
          <w:rtl/>
        </w:rPr>
        <w:t>–</w:t>
      </w:r>
      <w:r>
        <w:rPr>
          <w:rFonts w:cs="FrankRuehl" w:hint="cs"/>
          <w:sz w:val="28"/>
          <w:szCs w:val="28"/>
          <w:rtl/>
        </w:rPr>
        <w:t xml:space="preserve"> כל אלה אינם יכולים להצדיק התנהלות זו. אין לנאשם עבר פלילי ובסופו של יום, הוא חסך מזמנו של בית המשפט. </w:t>
      </w:r>
    </w:p>
    <w:p w14:paraId="0C360B4D" w14:textId="77777777" w:rsidR="00021619" w:rsidRDefault="00021619" w:rsidP="00021619">
      <w:pPr>
        <w:spacing w:line="360" w:lineRule="auto"/>
        <w:jc w:val="both"/>
        <w:rPr>
          <w:rFonts w:cs="FrankRuehl"/>
          <w:sz w:val="28"/>
          <w:szCs w:val="28"/>
          <w:rtl/>
        </w:rPr>
      </w:pPr>
    </w:p>
    <w:p w14:paraId="105C3DF3" w14:textId="77777777" w:rsidR="00021619" w:rsidRDefault="00021619" w:rsidP="00021619">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הנסיבות יש למקם את הנאשם עד לאמצע המתחמים שקבעתי. </w:t>
      </w:r>
    </w:p>
    <w:p w14:paraId="3DC156DD" w14:textId="77777777" w:rsidR="00021619" w:rsidRDefault="00021619" w:rsidP="00021619">
      <w:pPr>
        <w:spacing w:line="360" w:lineRule="auto"/>
        <w:jc w:val="both"/>
        <w:rPr>
          <w:rFonts w:cs="FrankRuehl"/>
          <w:b/>
          <w:bCs/>
          <w:sz w:val="28"/>
          <w:szCs w:val="28"/>
          <w:u w:val="single"/>
          <w:rtl/>
        </w:rPr>
      </w:pPr>
    </w:p>
    <w:p w14:paraId="3D2E2FFB" w14:textId="77777777" w:rsidR="00021619" w:rsidRDefault="00021619" w:rsidP="00021619">
      <w:pPr>
        <w:spacing w:line="360" w:lineRule="auto"/>
        <w:jc w:val="both"/>
        <w:rPr>
          <w:rFonts w:cs="FrankRuehl"/>
          <w:b/>
          <w:bCs/>
          <w:sz w:val="28"/>
          <w:szCs w:val="28"/>
          <w:u w:val="single"/>
          <w:rtl/>
        </w:rPr>
      </w:pPr>
      <w:r>
        <w:rPr>
          <w:rFonts w:cs="FrankRuehl"/>
          <w:b/>
          <w:bCs/>
          <w:sz w:val="28"/>
          <w:szCs w:val="28"/>
          <w:u w:val="single"/>
          <w:rtl/>
        </w:rPr>
        <w:t>גזירת הדין</w:t>
      </w:r>
    </w:p>
    <w:p w14:paraId="2FF385E7" w14:textId="77777777" w:rsidR="00021619" w:rsidRDefault="00021619" w:rsidP="00021619">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C64C0F7" w14:textId="77777777" w:rsidR="00021619" w:rsidRDefault="00021619" w:rsidP="00021619">
      <w:pPr>
        <w:numPr>
          <w:ilvl w:val="0"/>
          <w:numId w:val="1"/>
        </w:numPr>
        <w:spacing w:after="160" w:line="360" w:lineRule="auto"/>
        <w:contextualSpacing/>
        <w:jc w:val="both"/>
        <w:rPr>
          <w:rFonts w:cs="FrankRuehl"/>
          <w:sz w:val="28"/>
          <w:szCs w:val="28"/>
          <w:rtl/>
        </w:rPr>
      </w:pPr>
      <w:r>
        <w:rPr>
          <w:rFonts w:cs="FrankRuehl" w:hint="cs"/>
          <w:sz w:val="28"/>
          <w:szCs w:val="28"/>
          <w:rtl/>
        </w:rPr>
        <w:t>45 יום מאסר</w:t>
      </w:r>
      <w:r>
        <w:rPr>
          <w:rFonts w:cs="FrankRuehl"/>
          <w:sz w:val="28"/>
          <w:szCs w:val="28"/>
          <w:rtl/>
        </w:rPr>
        <w:t>, אשר ירוצ</w:t>
      </w:r>
      <w:r>
        <w:rPr>
          <w:rFonts w:cs="FrankRuehl" w:hint="cs"/>
          <w:sz w:val="28"/>
          <w:szCs w:val="28"/>
          <w:rtl/>
        </w:rPr>
        <w:t>ה</w:t>
      </w:r>
      <w:r>
        <w:rPr>
          <w:rFonts w:cs="FrankRuehl"/>
          <w:sz w:val="28"/>
          <w:szCs w:val="28"/>
          <w:rtl/>
        </w:rPr>
        <w:t xml:space="preserve"> בעבודות שירות, החל מיום   </w:t>
      </w:r>
      <w:r>
        <w:rPr>
          <w:rFonts w:cs="FrankRuehl" w:hint="cs"/>
          <w:sz w:val="28"/>
          <w:szCs w:val="28"/>
          <w:rtl/>
        </w:rPr>
        <w:t>4.7.2021</w:t>
      </w:r>
      <w:r>
        <w:rPr>
          <w:rFonts w:cs="FrankRuehl"/>
          <w:sz w:val="28"/>
          <w:szCs w:val="28"/>
          <w:rtl/>
        </w:rPr>
        <w:t xml:space="preserve"> , אשר ירוצו ב</w:t>
      </w:r>
      <w:r>
        <w:rPr>
          <w:rFonts w:cs="FrankRuehl" w:hint="cs"/>
          <w:sz w:val="28"/>
          <w:szCs w:val="28"/>
          <w:rtl/>
        </w:rPr>
        <w:t>מפעל חיים בירושלים</w:t>
      </w:r>
      <w:r>
        <w:rPr>
          <w:rFonts w:cs="FrankRuehl"/>
          <w:sz w:val="28"/>
          <w:szCs w:val="28"/>
          <w:rtl/>
        </w:rPr>
        <w:t xml:space="preserve">, וזאת על פי חוות דעת הממונה על עבודות השירות. על הנאשם להתייצב ביום </w:t>
      </w:r>
      <w:r>
        <w:rPr>
          <w:rFonts w:cs="FrankRuehl" w:hint="cs"/>
          <w:sz w:val="28"/>
          <w:szCs w:val="28"/>
          <w:rtl/>
        </w:rPr>
        <w:t>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cs="FrankRuehl" w:hint="cs"/>
          <w:sz w:val="28"/>
          <w:szCs w:val="28"/>
          <w:rtl/>
        </w:rPr>
        <w:t>. התחשבתי בנאשם מבחינת מועד תחילת ריצוי העונש, נוכח בקשת באת-כוחו הנובעת מנסיבות הלימודים בהם משולב כעת</w:t>
      </w:r>
      <w:r>
        <w:rPr>
          <w:rFonts w:cs="FrankRuehl"/>
          <w:sz w:val="28"/>
          <w:szCs w:val="28"/>
          <w:rtl/>
        </w:rPr>
        <w:t>;</w:t>
      </w:r>
    </w:p>
    <w:p w14:paraId="304B9999" w14:textId="77777777" w:rsidR="00021619" w:rsidRDefault="00021619" w:rsidP="00021619">
      <w:pPr>
        <w:numPr>
          <w:ilvl w:val="0"/>
          <w:numId w:val="1"/>
        </w:numPr>
        <w:spacing w:after="160" w:line="360" w:lineRule="auto"/>
        <w:contextualSpacing/>
        <w:jc w:val="both"/>
        <w:rPr>
          <w:rFonts w:cs="FrankRuehl"/>
          <w:sz w:val="28"/>
          <w:szCs w:val="28"/>
        </w:rPr>
      </w:pPr>
      <w:r>
        <w:rPr>
          <w:rFonts w:cs="FrankRuehl" w:hint="cs"/>
          <w:sz w:val="28"/>
          <w:szCs w:val="28"/>
          <w:rtl/>
        </w:rPr>
        <w:t xml:space="preserve">8 </w:t>
      </w:r>
      <w:r>
        <w:rPr>
          <w:rFonts w:cs="FrankRuehl"/>
          <w:sz w:val="28"/>
          <w:szCs w:val="28"/>
          <w:rtl/>
        </w:rPr>
        <w:t xml:space="preserve">חודשי מאסר, שלא ירוצו אלא אם יעבור הנאשם </w:t>
      </w:r>
      <w:r>
        <w:rPr>
          <w:rFonts w:cs="FrankRuehl" w:hint="cs"/>
          <w:sz w:val="28"/>
          <w:szCs w:val="28"/>
          <w:rtl/>
        </w:rPr>
        <w:t>כל עבירת סמים מסוג פשע ע"פ פקודת הסמים וכן עבירה של הטרדת עד, בתוך שנתיים מיום סיום עבודות השירות;</w:t>
      </w:r>
    </w:p>
    <w:p w14:paraId="5F506290" w14:textId="77777777" w:rsidR="00021619" w:rsidRDefault="00021619" w:rsidP="00021619">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סמים מסוג עוון ע"פ פקודת הסמים בתוך שנתיים מיום סיום עבודות השירות;</w:t>
      </w:r>
    </w:p>
    <w:p w14:paraId="29E2224E" w14:textId="77777777" w:rsidR="00021619" w:rsidRDefault="00021619" w:rsidP="00021619">
      <w:pPr>
        <w:numPr>
          <w:ilvl w:val="0"/>
          <w:numId w:val="1"/>
        </w:numPr>
        <w:spacing w:after="160" w:line="360" w:lineRule="auto"/>
        <w:contextualSpacing/>
        <w:jc w:val="both"/>
        <w:rPr>
          <w:rFonts w:cs="FrankRuehl"/>
          <w:sz w:val="28"/>
          <w:szCs w:val="28"/>
        </w:rPr>
      </w:pPr>
      <w:r>
        <w:rPr>
          <w:rFonts w:cs="FrankRuehl"/>
          <w:sz w:val="28"/>
          <w:szCs w:val="28"/>
          <w:rtl/>
        </w:rPr>
        <w:t xml:space="preserve">פיצוי למתלונן </w:t>
      </w:r>
      <w:r>
        <w:rPr>
          <w:rFonts w:cs="FrankRuehl" w:hint="cs"/>
          <w:sz w:val="28"/>
          <w:szCs w:val="28"/>
          <w:rtl/>
        </w:rPr>
        <w:t xml:space="preserve">בתיק השני, ע"ת 1, </w:t>
      </w:r>
      <w:r>
        <w:rPr>
          <w:rFonts w:cs="FrankRuehl"/>
          <w:sz w:val="28"/>
          <w:szCs w:val="28"/>
          <w:rtl/>
        </w:rPr>
        <w:t>בסך</w:t>
      </w:r>
      <w:r>
        <w:rPr>
          <w:rFonts w:cs="FrankRuehl" w:hint="cs"/>
          <w:sz w:val="28"/>
          <w:szCs w:val="28"/>
          <w:rtl/>
        </w:rPr>
        <w:t xml:space="preserve"> 1,500 ₪</w:t>
      </w:r>
      <w:r>
        <w:rPr>
          <w:rFonts w:cs="FrankRuehl"/>
          <w:sz w:val="28"/>
          <w:szCs w:val="28"/>
          <w:rtl/>
        </w:rPr>
        <w:t xml:space="preserve"> . הפיצוי ישולם ב-</w:t>
      </w:r>
      <w:r>
        <w:rPr>
          <w:rFonts w:cs="FrankRuehl" w:hint="cs"/>
          <w:sz w:val="28"/>
          <w:szCs w:val="28"/>
          <w:rtl/>
        </w:rPr>
        <w:t>10</w:t>
      </w:r>
      <w:r>
        <w:rPr>
          <w:rFonts w:cs="FrankRuehl"/>
          <w:sz w:val="28"/>
          <w:szCs w:val="28"/>
          <w:rtl/>
        </w:rPr>
        <w:t xml:space="preserve"> תשלומים </w:t>
      </w:r>
      <w:r>
        <w:rPr>
          <w:rFonts w:cs="FrankRuehl" w:hint="cs"/>
          <w:sz w:val="28"/>
          <w:szCs w:val="28"/>
          <w:rtl/>
        </w:rPr>
        <w:t xml:space="preserve">שווים ורצופים </w:t>
      </w:r>
      <w:r>
        <w:rPr>
          <w:rFonts w:cs="FrankRuehl"/>
          <w:sz w:val="28"/>
          <w:szCs w:val="28"/>
          <w:rtl/>
        </w:rPr>
        <w:t xml:space="preserve">החל מיום </w:t>
      </w:r>
      <w:r>
        <w:rPr>
          <w:rFonts w:cs="FrankRuehl" w:hint="cs"/>
          <w:sz w:val="28"/>
          <w:szCs w:val="28"/>
          <w:rtl/>
        </w:rPr>
        <w:t>1.10.2020</w:t>
      </w:r>
      <w:r>
        <w:rPr>
          <w:rFonts w:cs="FrankRuehl"/>
          <w:sz w:val="28"/>
          <w:szCs w:val="28"/>
          <w:rtl/>
        </w:rPr>
        <w:t>, וב-1 לכל חודש רציף ועוקב. אי עמידה בתשלום מי מהתשלומים תביא לפירעון מיידי של הפיצוי ולתוספת הפרשי הצמדה וריבית פיגורים כחוק;</w:t>
      </w:r>
    </w:p>
    <w:p w14:paraId="634AC4B4" w14:textId="77777777" w:rsidR="00021619" w:rsidRDefault="00021619" w:rsidP="00021619">
      <w:pPr>
        <w:spacing w:line="360" w:lineRule="auto"/>
        <w:rPr>
          <w:rFonts w:ascii="FrankRuehl" w:hAnsi="FrankRuehl" w:cs="FrankRuehl"/>
          <w:sz w:val="28"/>
          <w:szCs w:val="28"/>
          <w:rtl/>
        </w:rPr>
      </w:pPr>
    </w:p>
    <w:p w14:paraId="46691A56" w14:textId="77777777" w:rsidR="00021619" w:rsidRDefault="00021619" w:rsidP="00021619">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p>
    <w:p w14:paraId="49243321" w14:textId="77777777" w:rsidR="00021619" w:rsidRDefault="00021619" w:rsidP="00021619">
      <w:pPr>
        <w:spacing w:line="360" w:lineRule="auto"/>
        <w:rPr>
          <w:rFonts w:ascii="FrankRuehl" w:hAnsi="FrankRuehl" w:cs="FrankRuehl"/>
          <w:sz w:val="28"/>
          <w:szCs w:val="28"/>
        </w:rPr>
      </w:pPr>
      <w:r>
        <w:rPr>
          <w:rFonts w:ascii="FrankRuehl" w:hAnsi="FrankRuehl" w:cs="FrankRuehl"/>
          <w:sz w:val="28"/>
          <w:szCs w:val="28"/>
          <w:rtl/>
        </w:rPr>
        <w:t>יש לשלוח לשירות המבחן ולממונה על עבודות שירות.</w:t>
      </w:r>
    </w:p>
    <w:p w14:paraId="0CCA4352" w14:textId="77777777" w:rsidR="00021619" w:rsidRDefault="00021619" w:rsidP="00021619">
      <w:pPr>
        <w:rPr>
          <w:rFonts w:ascii="FrankRuehl" w:hAnsi="FrankRuehl" w:cs="FrankRuehl"/>
          <w:sz w:val="28"/>
          <w:szCs w:val="28"/>
          <w:rtl/>
        </w:rPr>
      </w:pPr>
    </w:p>
    <w:p w14:paraId="46855B75" w14:textId="77777777" w:rsidR="00021619" w:rsidRDefault="00021619" w:rsidP="00021619">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051279F7" w14:textId="77777777" w:rsidR="00021619" w:rsidRPr="00DA0FDB" w:rsidRDefault="00021619" w:rsidP="00021619"/>
    <w:p w14:paraId="30DD9FC5" w14:textId="77777777" w:rsidR="00021619" w:rsidRPr="00B05847" w:rsidRDefault="00021619" w:rsidP="00021619">
      <w:pPr>
        <w:rPr>
          <w:rFonts w:ascii="Arial" w:hAnsi="Arial"/>
          <w:rtl/>
        </w:rPr>
      </w:pPr>
    </w:p>
    <w:p w14:paraId="41471465" w14:textId="77777777" w:rsidR="00021619" w:rsidRPr="00B05847" w:rsidRDefault="00021619" w:rsidP="00021619">
      <w:pPr>
        <w:rPr>
          <w:rtl/>
        </w:rPr>
      </w:pPr>
    </w:p>
    <w:p w14:paraId="5EE639A3" w14:textId="77777777" w:rsidR="00021619" w:rsidRPr="00D572EB" w:rsidRDefault="00D572EB" w:rsidP="00021619">
      <w:pPr>
        <w:rPr>
          <w:color w:val="FFFFFF"/>
          <w:sz w:val="2"/>
          <w:szCs w:val="2"/>
          <w:rtl/>
        </w:rPr>
      </w:pPr>
      <w:r w:rsidRPr="00D572EB">
        <w:rPr>
          <w:color w:val="FFFFFF"/>
          <w:sz w:val="2"/>
          <w:szCs w:val="2"/>
          <w:rtl/>
        </w:rPr>
        <w:t>5129371</w:t>
      </w:r>
    </w:p>
    <w:p w14:paraId="413DFEFA" w14:textId="77777777" w:rsidR="00021619" w:rsidRDefault="00D572EB" w:rsidP="00021619">
      <w:pPr>
        <w:rPr>
          <w:rFonts w:cs="FrankRuehl"/>
          <w:sz w:val="28"/>
          <w:szCs w:val="28"/>
          <w:rtl/>
        </w:rPr>
      </w:pPr>
      <w:bookmarkStart w:id="8" w:name="Nitan"/>
      <w:r w:rsidRPr="00D572EB">
        <w:rPr>
          <w:rFonts w:ascii="Arial" w:hAnsi="Arial"/>
          <w:color w:val="FFFFFF"/>
          <w:sz w:val="2"/>
          <w:szCs w:val="2"/>
          <w:rtl/>
        </w:rPr>
        <w:t>54678313</w:t>
      </w:r>
      <w:r>
        <w:rPr>
          <w:rFonts w:ascii="Arial" w:hAnsi="Arial"/>
          <w:rtl/>
        </w:rPr>
        <w:t xml:space="preserve">ניתן היום,  ו' אב תש"פ, 27 יולי 2020, במעמד  הצדדים. </w:t>
      </w:r>
      <w:bookmarkEnd w:id="8"/>
    </w:p>
    <w:p w14:paraId="026B91B8" w14:textId="77777777" w:rsidR="00021619" w:rsidRDefault="00021619" w:rsidP="00D572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3C1EB99" w14:textId="77777777" w:rsidR="00021619" w:rsidRDefault="00021619" w:rsidP="00021619">
      <w:pPr>
        <w:jc w:val="center"/>
        <w:rPr>
          <w:rFonts w:ascii="Arial" w:hAnsi="Arial" w:cs="FrankRuehl"/>
          <w:sz w:val="28"/>
          <w:szCs w:val="28"/>
          <w:rtl/>
        </w:rPr>
      </w:pPr>
    </w:p>
    <w:p w14:paraId="71784FC8" w14:textId="77777777" w:rsidR="00021619" w:rsidRDefault="00021619" w:rsidP="00021619">
      <w:pPr>
        <w:rPr>
          <w:rFonts w:cs="FrankRuehl"/>
          <w:sz w:val="28"/>
          <w:szCs w:val="28"/>
          <w:rtl/>
        </w:rPr>
      </w:pPr>
    </w:p>
    <w:p w14:paraId="2F999E86" w14:textId="77777777" w:rsidR="00021619" w:rsidRDefault="00021619" w:rsidP="00021619">
      <w:pPr>
        <w:pStyle w:val="a3"/>
        <w:jc w:val="center"/>
        <w:rPr>
          <w:rtl/>
        </w:rPr>
      </w:pPr>
    </w:p>
    <w:p w14:paraId="33633FB1" w14:textId="77777777" w:rsidR="00A8603C" w:rsidRPr="00D572EB" w:rsidRDefault="00A8603C" w:rsidP="00D572EB">
      <w:pPr>
        <w:keepNext/>
        <w:rPr>
          <w:rFonts w:ascii="David" w:hAnsi="David"/>
          <w:color w:val="000000"/>
          <w:sz w:val="22"/>
          <w:szCs w:val="22"/>
          <w:rtl/>
        </w:rPr>
      </w:pPr>
    </w:p>
    <w:p w14:paraId="018F27F2" w14:textId="77777777" w:rsidR="00D572EB" w:rsidRPr="00D572EB" w:rsidRDefault="00D572EB" w:rsidP="00D572EB">
      <w:pPr>
        <w:keepNext/>
        <w:rPr>
          <w:rFonts w:ascii="David" w:hAnsi="David"/>
          <w:color w:val="000000"/>
          <w:sz w:val="22"/>
          <w:szCs w:val="22"/>
          <w:rtl/>
        </w:rPr>
      </w:pPr>
      <w:r w:rsidRPr="00D572EB">
        <w:rPr>
          <w:rFonts w:ascii="David" w:hAnsi="David"/>
          <w:color w:val="000000"/>
          <w:sz w:val="22"/>
          <w:szCs w:val="22"/>
          <w:rtl/>
        </w:rPr>
        <w:t>דוד שאול גבאי ריכטר 54678313</w:t>
      </w:r>
    </w:p>
    <w:p w14:paraId="6BFC1CB1" w14:textId="77777777" w:rsidR="00D572EB" w:rsidRDefault="00D572EB" w:rsidP="00D572EB">
      <w:r w:rsidRPr="00D572EB">
        <w:rPr>
          <w:color w:val="000000"/>
          <w:rtl/>
        </w:rPr>
        <w:t>נוסח מסמך זה כפוף לשינויי ניסוח ועריכה</w:t>
      </w:r>
    </w:p>
    <w:p w14:paraId="41E5B1D5" w14:textId="77777777" w:rsidR="00D572EB" w:rsidRDefault="00D572EB" w:rsidP="00D572EB">
      <w:pPr>
        <w:rPr>
          <w:rtl/>
        </w:rPr>
      </w:pPr>
    </w:p>
    <w:p w14:paraId="23E3FD3D" w14:textId="77777777" w:rsidR="00D572EB" w:rsidRDefault="00D572EB" w:rsidP="00D572EB">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C76E439" w14:textId="77777777" w:rsidR="00D572EB" w:rsidRPr="00D572EB" w:rsidRDefault="00D572EB" w:rsidP="00D572EB">
      <w:pPr>
        <w:jc w:val="center"/>
        <w:rPr>
          <w:color w:val="0000FF"/>
          <w:u w:val="single"/>
        </w:rPr>
      </w:pPr>
    </w:p>
    <w:sectPr w:rsidR="00D572EB" w:rsidRPr="00D572EB" w:rsidSect="00D572EB">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CF92E" w14:textId="77777777" w:rsidR="00FA76EF" w:rsidRDefault="00FA76EF" w:rsidP="00962726">
      <w:r>
        <w:separator/>
      </w:r>
    </w:p>
  </w:endnote>
  <w:endnote w:type="continuationSeparator" w:id="0">
    <w:p w14:paraId="030E41DC" w14:textId="77777777" w:rsidR="00FA76EF" w:rsidRDefault="00FA76EF" w:rsidP="0096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55FFB" w14:textId="77777777" w:rsidR="00D572EB" w:rsidRDefault="00D572EB" w:rsidP="00D572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300EDB" w14:textId="77777777" w:rsidR="00A455A9" w:rsidRPr="00D572EB" w:rsidRDefault="00D572EB" w:rsidP="00D572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F1366" w14:textId="77777777" w:rsidR="00D572EB" w:rsidRDefault="00D572EB" w:rsidP="00D572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1AF6">
      <w:rPr>
        <w:rFonts w:ascii="FrankRuehl" w:hAnsi="FrankRuehl" w:cs="FrankRuehl"/>
        <w:noProof/>
        <w:rtl/>
      </w:rPr>
      <w:t>1</w:t>
    </w:r>
    <w:r>
      <w:rPr>
        <w:rFonts w:ascii="FrankRuehl" w:hAnsi="FrankRuehl" w:cs="FrankRuehl"/>
        <w:rtl/>
      </w:rPr>
      <w:fldChar w:fldCharType="end"/>
    </w:r>
  </w:p>
  <w:p w14:paraId="04582F5D" w14:textId="77777777" w:rsidR="00A455A9" w:rsidRPr="00D572EB" w:rsidRDefault="00D572EB" w:rsidP="00D572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B26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D9DFF" w14:textId="77777777" w:rsidR="00FA76EF" w:rsidRDefault="00FA76EF" w:rsidP="00962726">
      <w:r>
        <w:separator/>
      </w:r>
    </w:p>
  </w:footnote>
  <w:footnote w:type="continuationSeparator" w:id="0">
    <w:p w14:paraId="6D620ECE" w14:textId="77777777" w:rsidR="00FA76EF" w:rsidRDefault="00FA76EF" w:rsidP="00962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96B4" w14:textId="77777777" w:rsidR="00D572EB" w:rsidRPr="00D572EB" w:rsidRDefault="00D572EB" w:rsidP="00D572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47012-03-17</w:t>
    </w:r>
    <w:r>
      <w:rPr>
        <w:rFonts w:ascii="David" w:hAnsi="David"/>
        <w:color w:val="000000"/>
        <w:sz w:val="22"/>
        <w:szCs w:val="22"/>
        <w:rtl/>
      </w:rPr>
      <w:tab/>
      <w:t xml:space="preserve"> מדינת ישראל נ' שמעון נחמני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0F0C0" w14:textId="77777777" w:rsidR="00D572EB" w:rsidRPr="00D572EB" w:rsidRDefault="00D572EB" w:rsidP="00D572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47012-03-17</w:t>
    </w:r>
    <w:r>
      <w:rPr>
        <w:rFonts w:ascii="David" w:hAnsi="David"/>
        <w:color w:val="000000"/>
        <w:sz w:val="22"/>
        <w:szCs w:val="22"/>
        <w:rtl/>
      </w:rPr>
      <w:tab/>
      <w:t xml:space="preserve"> מדינת ישראל נ' שמעון נחמני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73800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1619"/>
    <w:rsid w:val="00021619"/>
    <w:rsid w:val="000420C6"/>
    <w:rsid w:val="000F1BB3"/>
    <w:rsid w:val="00107CD8"/>
    <w:rsid w:val="004309AA"/>
    <w:rsid w:val="004F6677"/>
    <w:rsid w:val="006502DD"/>
    <w:rsid w:val="007612F9"/>
    <w:rsid w:val="00962726"/>
    <w:rsid w:val="00A35C90"/>
    <w:rsid w:val="00A455A9"/>
    <w:rsid w:val="00A8603C"/>
    <w:rsid w:val="00C501AB"/>
    <w:rsid w:val="00D572EB"/>
    <w:rsid w:val="00E71AF6"/>
    <w:rsid w:val="00F25F46"/>
    <w:rsid w:val="00FA7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25AE8B"/>
  <w15:chartTrackingRefBased/>
  <w15:docId w15:val="{6CE5DE90-CEDD-4958-BB0B-92253096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16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1619"/>
    <w:pPr>
      <w:tabs>
        <w:tab w:val="center" w:pos="4153"/>
        <w:tab w:val="right" w:pos="8306"/>
      </w:tabs>
    </w:pPr>
  </w:style>
  <w:style w:type="character" w:customStyle="1" w:styleId="a4">
    <w:name w:val="כותרת עליונה תו"/>
    <w:link w:val="a3"/>
    <w:rsid w:val="00021619"/>
    <w:rPr>
      <w:rFonts w:ascii="Times New Roman" w:eastAsia="Times New Roman" w:hAnsi="Times New Roman" w:cs="David"/>
      <w:sz w:val="24"/>
      <w:szCs w:val="24"/>
    </w:rPr>
  </w:style>
  <w:style w:type="paragraph" w:styleId="a5">
    <w:name w:val="footer"/>
    <w:basedOn w:val="a"/>
    <w:link w:val="a6"/>
    <w:rsid w:val="00021619"/>
    <w:pPr>
      <w:tabs>
        <w:tab w:val="center" w:pos="4153"/>
        <w:tab w:val="right" w:pos="8306"/>
      </w:tabs>
    </w:pPr>
  </w:style>
  <w:style w:type="character" w:customStyle="1" w:styleId="a6">
    <w:name w:val="כותרת תחתונה תו"/>
    <w:link w:val="a5"/>
    <w:rsid w:val="00021619"/>
    <w:rPr>
      <w:rFonts w:ascii="Times New Roman" w:eastAsia="Times New Roman" w:hAnsi="Times New Roman" w:cs="David"/>
      <w:sz w:val="24"/>
      <w:szCs w:val="24"/>
    </w:rPr>
  </w:style>
  <w:style w:type="table" w:styleId="a7">
    <w:name w:val="Table Grid"/>
    <w:basedOn w:val="a1"/>
    <w:rsid w:val="000216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1619"/>
  </w:style>
  <w:style w:type="character" w:styleId="Hyperlink">
    <w:name w:val="Hyperlink"/>
    <w:rsid w:val="00D572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4917240" TargetMode="External"/><Relationship Id="rId13" Type="http://schemas.openxmlformats.org/officeDocument/2006/relationships/hyperlink" Target="http://www.nevo.co.il/law/70301/249" TargetMode="External"/><Relationship Id="rId18" Type="http://schemas.openxmlformats.org/officeDocument/2006/relationships/hyperlink" Target="http://www.nevo.co.il/case/24917240"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7" Type="http://schemas.openxmlformats.org/officeDocument/2006/relationships/hyperlink" Target="http://www.nevo.co.il/case/22345350%09"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14"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j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345350" TargetMode="External"/><Relationship Id="rId23" Type="http://schemas.openxmlformats.org/officeDocument/2006/relationships/hyperlink" Target="http://www.nevo.co.il/case/26657083" TargetMode="External"/><Relationship Id="rId28" Type="http://schemas.openxmlformats.org/officeDocument/2006/relationships/header" Target="header2.xml"/><Relationship Id="rId10" Type="http://schemas.openxmlformats.org/officeDocument/2006/relationships/hyperlink" Target="http://www.nevo.co.il/law/4216/14" TargetMode="External"/><Relationship Id="rId19" Type="http://schemas.openxmlformats.org/officeDocument/2006/relationships/hyperlink" Target="http://www.nevo.co.il/law/70301/24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9754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3866743</vt:i4>
      </vt:variant>
      <vt:variant>
        <vt:i4>48</vt:i4>
      </vt:variant>
      <vt:variant>
        <vt:i4>0</vt:i4>
      </vt:variant>
      <vt:variant>
        <vt:i4>5</vt:i4>
      </vt:variant>
      <vt:variant>
        <vt:lpwstr>http://www.nevo.co.il/case/26657083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6357095</vt:i4>
      </vt:variant>
      <vt:variant>
        <vt:i4>36</vt:i4>
      </vt:variant>
      <vt:variant>
        <vt:i4>0</vt:i4>
      </vt:variant>
      <vt:variant>
        <vt:i4>5</vt:i4>
      </vt:variant>
      <vt:variant>
        <vt:lpwstr>http://www.nevo.co.il/law/70301/249</vt:lpwstr>
      </vt:variant>
      <vt:variant>
        <vt:lpwstr/>
      </vt:variant>
      <vt:variant>
        <vt:i4>3670131</vt:i4>
      </vt:variant>
      <vt:variant>
        <vt:i4>33</vt:i4>
      </vt:variant>
      <vt:variant>
        <vt:i4>0</vt:i4>
      </vt:variant>
      <vt:variant>
        <vt:i4>5</vt:i4>
      </vt:variant>
      <vt:variant>
        <vt:lpwstr>http://www.nevo.co.il/case/24917240</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http://www.nevo.co.il/law/4216/14</vt:lpwstr>
      </vt:variant>
      <vt:variant>
        <vt:lpwstr/>
      </vt:variant>
      <vt:variant>
        <vt:i4>3211377</vt:i4>
      </vt:variant>
      <vt:variant>
        <vt:i4>24</vt:i4>
      </vt:variant>
      <vt:variant>
        <vt:i4>0</vt:i4>
      </vt:variant>
      <vt:variant>
        <vt:i4>5</vt:i4>
      </vt:variant>
      <vt:variant>
        <vt:lpwstr>http://www.nevo.co.il/case/22345350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6357095</vt:i4>
      </vt:variant>
      <vt:variant>
        <vt:i4>18</vt:i4>
      </vt:variant>
      <vt:variant>
        <vt:i4>0</vt:i4>
      </vt:variant>
      <vt:variant>
        <vt:i4>5</vt:i4>
      </vt:variant>
      <vt:variant>
        <vt:lpwstr>http://www.nevo.co.il/law/70301/249</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8257637</vt:i4>
      </vt:variant>
      <vt:variant>
        <vt:i4>6</vt:i4>
      </vt:variant>
      <vt:variant>
        <vt:i4>0</vt:i4>
      </vt:variant>
      <vt:variant>
        <vt:i4>5</vt:i4>
      </vt:variant>
      <vt:variant>
        <vt:lpwstr>http://www.nevo.co.il/law/4216</vt:lpwstr>
      </vt:variant>
      <vt:variant>
        <vt:lpwstr/>
      </vt:variant>
      <vt:variant>
        <vt:i4>3670131</vt:i4>
      </vt:variant>
      <vt:variant>
        <vt:i4>3</vt:i4>
      </vt:variant>
      <vt:variant>
        <vt:i4>0</vt:i4>
      </vt:variant>
      <vt:variant>
        <vt:i4>5</vt:i4>
      </vt:variant>
      <vt:variant>
        <vt:lpwstr>http://www.nevo.co.il/case/24917240</vt:lpwstr>
      </vt:variant>
      <vt:variant>
        <vt:lpwstr/>
      </vt:variant>
      <vt:variant>
        <vt:i4>3211377</vt:i4>
      </vt:variant>
      <vt:variant>
        <vt:i4>0</vt:i4>
      </vt:variant>
      <vt:variant>
        <vt:i4>0</vt:i4>
      </vt:variant>
      <vt:variant>
        <vt:i4>5</vt:i4>
      </vt:variant>
      <vt:variant>
        <vt:lpwstr>http://www.nevo.co.il/case/22345350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2025-04-22T23:21:00Z</dcterms:created>
  <dcterms:modified xsi:type="dcterms:W3CDTF">2025-04-22T23:21:00Z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47012;28335</vt:lpwstr>
  </property>
  <property fmtid="{D5CDD505-2E9C-101B-9397-08002B2CF9AE}" pid="6" name="NEWPARTB">
    <vt:lpwstr>03;08</vt:lpwstr>
  </property>
  <property fmtid="{D5CDD505-2E9C-101B-9397-08002B2CF9AE}" pid="7" name="NEWPARTC">
    <vt:lpwstr>17;18</vt:lpwstr>
  </property>
  <property fmtid="{D5CDD505-2E9C-101B-9397-08002B2CF9AE}" pid="8" name="APPELLANT">
    <vt:lpwstr>מדינת ישראל</vt:lpwstr>
  </property>
  <property fmtid="{D5CDD505-2E9C-101B-9397-08002B2CF9AE}" pid="9" name="APPELLEE">
    <vt:lpwstr>שמעון נחמני</vt:lpwstr>
  </property>
  <property fmtid="{D5CDD505-2E9C-101B-9397-08002B2CF9AE}" pid="10" name="LAWYER">
    <vt:lpwstr>טליה רם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20200727</vt:lpwstr>
  </property>
  <property fmtid="{D5CDD505-2E9C-101B-9397-08002B2CF9AE}" pid="14" name="TYPE_N_DATE">
    <vt:lpwstr>38020200727</vt:lpwstr>
  </property>
  <property fmtid="{D5CDD505-2E9C-101B-9397-08002B2CF9AE}" pid="15" name="WORDNUMPAGES">
    <vt:lpwstr>6</vt:lpwstr>
  </property>
  <property fmtid="{D5CDD505-2E9C-101B-9397-08002B2CF9AE}" pid="16" name="TYPE_ABS_DATE">
    <vt:lpwstr>380020200727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22345350:2;24917240:2;26657083</vt:lpwstr>
  </property>
  <property fmtid="{D5CDD505-2E9C-101B-9397-08002B2CF9AE}" pid="36" name="LAWLISTTMP1">
    <vt:lpwstr>4216/014</vt:lpwstr>
  </property>
  <property fmtid="{D5CDD505-2E9C-101B-9397-08002B2CF9AE}" pid="37" name="LAWLISTTMP2">
    <vt:lpwstr>70301/249;040i;40ja</vt:lpwstr>
  </property>
</Properties>
</file>