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A36E4" w:rsidRPr="00B60172" w14:paraId="171D42CB" w14:textId="77777777" w:rsidTr="0005640F">
        <w:trPr>
          <w:trHeight w:hRule="exact" w:val="418"/>
          <w:jc w:val="center"/>
        </w:trPr>
        <w:tc>
          <w:tcPr>
            <w:tcW w:w="8721" w:type="dxa"/>
            <w:gridSpan w:val="2"/>
          </w:tcPr>
          <w:p w14:paraId="27A24427" w14:textId="77777777" w:rsidR="00EA36E4" w:rsidRPr="00B60172" w:rsidRDefault="00EA36E4" w:rsidP="00503158">
            <w:pPr>
              <w:pStyle w:val="a3"/>
              <w:jc w:val="center"/>
              <w:rPr>
                <w:rFonts w:ascii="Tahoma" w:hAnsi="Tahoma" w:cs="Tahoma"/>
                <w:color w:val="000080"/>
                <w:rtl/>
              </w:rPr>
            </w:pPr>
            <w:bookmarkStart w:id="0" w:name="FirstLawyer"/>
            <w:bookmarkStart w:id="1" w:name="LastJudge"/>
            <w:r w:rsidRPr="00B60172">
              <w:rPr>
                <w:rFonts w:ascii="Tahoma" w:hAnsi="Tahoma" w:cs="Tahoma"/>
                <w:b/>
                <w:bCs/>
                <w:color w:val="000080"/>
                <w:rtl/>
              </w:rPr>
              <w:t>בית משפט השלום ברמלה</w:t>
            </w:r>
          </w:p>
        </w:tc>
      </w:tr>
      <w:tr w:rsidR="00EA36E4" w:rsidRPr="00B60172" w14:paraId="6F84D5D8" w14:textId="77777777" w:rsidTr="0005640F">
        <w:trPr>
          <w:trHeight w:val="337"/>
          <w:jc w:val="center"/>
        </w:trPr>
        <w:tc>
          <w:tcPr>
            <w:tcW w:w="5054" w:type="dxa"/>
          </w:tcPr>
          <w:p w14:paraId="5898292E" w14:textId="77777777" w:rsidR="00EA36E4" w:rsidRPr="00B60172" w:rsidRDefault="00EA36E4" w:rsidP="00503158">
            <w:pPr>
              <w:rPr>
                <w:rFonts w:cs="FrankRuehl"/>
                <w:sz w:val="28"/>
                <w:szCs w:val="28"/>
                <w:rtl/>
              </w:rPr>
            </w:pPr>
            <w:r w:rsidRPr="00B60172">
              <w:rPr>
                <w:rFonts w:cs="FrankRuehl"/>
                <w:sz w:val="28"/>
                <w:szCs w:val="28"/>
                <w:rtl/>
              </w:rPr>
              <w:t>ת"פ</w:t>
            </w:r>
            <w:r w:rsidRPr="00B60172">
              <w:rPr>
                <w:rFonts w:cs="FrankRuehl" w:hint="cs"/>
                <w:sz w:val="28"/>
                <w:szCs w:val="28"/>
                <w:rtl/>
              </w:rPr>
              <w:t xml:space="preserve"> </w:t>
            </w:r>
            <w:r w:rsidRPr="00B60172">
              <w:rPr>
                <w:rFonts w:cs="FrankRuehl"/>
                <w:sz w:val="28"/>
                <w:szCs w:val="28"/>
                <w:rtl/>
              </w:rPr>
              <w:t>56373-03-17</w:t>
            </w:r>
            <w:r w:rsidRPr="00B60172">
              <w:rPr>
                <w:rFonts w:cs="FrankRuehl" w:hint="cs"/>
                <w:sz w:val="28"/>
                <w:szCs w:val="28"/>
                <w:rtl/>
              </w:rPr>
              <w:t xml:space="preserve"> </w:t>
            </w:r>
            <w:r w:rsidRPr="00B60172">
              <w:rPr>
                <w:rFonts w:cs="FrankRuehl"/>
                <w:sz w:val="28"/>
                <w:szCs w:val="28"/>
                <w:rtl/>
              </w:rPr>
              <w:t>מדינת ישראל נ' כהן</w:t>
            </w:r>
          </w:p>
          <w:p w14:paraId="6070B5D5" w14:textId="77777777" w:rsidR="00EA36E4" w:rsidRPr="00B60172" w:rsidRDefault="00EA36E4" w:rsidP="00503158">
            <w:pPr>
              <w:pStyle w:val="a3"/>
              <w:rPr>
                <w:rFonts w:cs="FrankRuehl"/>
                <w:sz w:val="28"/>
                <w:szCs w:val="28"/>
                <w:rtl/>
              </w:rPr>
            </w:pPr>
          </w:p>
          <w:p w14:paraId="5EFC8A56" w14:textId="77777777" w:rsidR="00EA36E4" w:rsidRPr="00B60172" w:rsidRDefault="00EA36E4" w:rsidP="00503158">
            <w:pPr>
              <w:rPr>
                <w:rFonts w:cs="FrankRuehl"/>
                <w:sz w:val="28"/>
                <w:szCs w:val="28"/>
                <w:rtl/>
              </w:rPr>
            </w:pPr>
            <w:r w:rsidRPr="00B60172">
              <w:rPr>
                <w:rFonts w:cs="FrankRuehl"/>
                <w:sz w:val="28"/>
                <w:szCs w:val="28"/>
                <w:rtl/>
              </w:rPr>
              <w:t>ת"פ</w:t>
            </w:r>
            <w:r w:rsidRPr="00B60172">
              <w:rPr>
                <w:rFonts w:cs="FrankRuehl" w:hint="cs"/>
                <w:sz w:val="28"/>
                <w:szCs w:val="28"/>
                <w:rtl/>
              </w:rPr>
              <w:t xml:space="preserve"> </w:t>
            </w:r>
            <w:r w:rsidRPr="00B60172">
              <w:rPr>
                <w:rFonts w:cs="FrankRuehl"/>
                <w:sz w:val="28"/>
                <w:szCs w:val="28"/>
                <w:rtl/>
              </w:rPr>
              <w:t>68017-06-20</w:t>
            </w:r>
            <w:r w:rsidRPr="00B60172">
              <w:rPr>
                <w:rFonts w:cs="FrankRuehl" w:hint="cs"/>
                <w:sz w:val="28"/>
                <w:szCs w:val="28"/>
                <w:rtl/>
              </w:rPr>
              <w:t xml:space="preserve"> </w:t>
            </w:r>
            <w:r w:rsidRPr="00B60172">
              <w:rPr>
                <w:rFonts w:cs="FrankRuehl"/>
                <w:sz w:val="28"/>
                <w:szCs w:val="28"/>
                <w:rtl/>
              </w:rPr>
              <w:t>מדינת ישראל נ' כהן</w:t>
            </w:r>
          </w:p>
          <w:p w14:paraId="1953FCE8" w14:textId="77777777" w:rsidR="00EA36E4" w:rsidRPr="00B60172" w:rsidRDefault="00EA36E4" w:rsidP="00503158">
            <w:pPr>
              <w:pStyle w:val="a3"/>
              <w:rPr>
                <w:rFonts w:cs="FrankRuehl"/>
                <w:sz w:val="28"/>
                <w:szCs w:val="28"/>
                <w:rtl/>
              </w:rPr>
            </w:pPr>
          </w:p>
        </w:tc>
        <w:tc>
          <w:tcPr>
            <w:tcW w:w="3667" w:type="dxa"/>
          </w:tcPr>
          <w:p w14:paraId="461A06D4" w14:textId="77777777" w:rsidR="00EA36E4" w:rsidRPr="00B60172" w:rsidRDefault="00EA36E4" w:rsidP="00503158">
            <w:pPr>
              <w:pStyle w:val="a3"/>
              <w:jc w:val="right"/>
              <w:rPr>
                <w:rFonts w:cs="FrankRuehl"/>
                <w:sz w:val="28"/>
                <w:szCs w:val="28"/>
                <w:rtl/>
              </w:rPr>
            </w:pPr>
          </w:p>
        </w:tc>
      </w:tr>
    </w:tbl>
    <w:p w14:paraId="560CAFB6" w14:textId="77777777" w:rsidR="00EA36E4" w:rsidRPr="00B60172" w:rsidRDefault="00EA36E4" w:rsidP="00EA36E4">
      <w:pPr>
        <w:pStyle w:val="a3"/>
        <w:rPr>
          <w:rtl/>
        </w:rPr>
      </w:pPr>
      <w:r w:rsidRPr="00B60172">
        <w:rPr>
          <w:rFonts w:hint="cs"/>
          <w:rtl/>
        </w:rPr>
        <w:t xml:space="preserve"> </w:t>
      </w:r>
    </w:p>
    <w:p w14:paraId="3FBDB6DA" w14:textId="77777777" w:rsidR="00EA36E4" w:rsidRPr="00B60172" w:rsidRDefault="00EA36E4" w:rsidP="00EA36E4">
      <w:pPr>
        <w:rPr>
          <w:rFonts w:ascii="David" w:hAnsi="David"/>
          <w:b/>
          <w:bCs/>
          <w:sz w:val="28"/>
          <w:szCs w:val="28"/>
          <w:rtl/>
        </w:rPr>
      </w:pPr>
    </w:p>
    <w:p w14:paraId="6C1CABF3" w14:textId="77777777" w:rsidR="00EA36E4" w:rsidRPr="00B60172" w:rsidRDefault="00EA36E4" w:rsidP="00EA36E4">
      <w:pPr>
        <w:rPr>
          <w:rFonts w:ascii="David" w:hAnsi="David"/>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6"/>
        <w:gridCol w:w="3759"/>
      </w:tblGrid>
      <w:tr w:rsidR="00EA36E4" w:rsidRPr="00B60172" w14:paraId="3F8CEA68" w14:textId="77777777" w:rsidTr="0005640F">
        <w:trPr>
          <w:trHeight w:val="295"/>
          <w:jc w:val="center"/>
        </w:trPr>
        <w:tc>
          <w:tcPr>
            <w:tcW w:w="945" w:type="dxa"/>
            <w:tcBorders>
              <w:top w:val="nil"/>
              <w:left w:val="nil"/>
              <w:bottom w:val="nil"/>
              <w:right w:val="nil"/>
            </w:tcBorders>
            <w:shd w:val="clear" w:color="auto" w:fill="auto"/>
          </w:tcPr>
          <w:p w14:paraId="22FD728E" w14:textId="77777777" w:rsidR="00EA36E4" w:rsidRPr="00B60172" w:rsidRDefault="00EA36E4" w:rsidP="00EA36E4">
            <w:pPr>
              <w:jc w:val="both"/>
              <w:rPr>
                <w:rFonts w:ascii="David" w:hAnsi="David"/>
                <w:b/>
                <w:bCs/>
                <w:sz w:val="28"/>
                <w:szCs w:val="28"/>
              </w:rPr>
            </w:pPr>
            <w:r w:rsidRPr="00B60172">
              <w:rPr>
                <w:rFonts w:ascii="David" w:hAnsi="David"/>
                <w:b/>
                <w:bCs/>
                <w:sz w:val="28"/>
                <w:szCs w:val="28"/>
                <w:rtl/>
              </w:rPr>
              <w:t xml:space="preserve">בפני </w:t>
            </w:r>
          </w:p>
        </w:tc>
        <w:tc>
          <w:tcPr>
            <w:tcW w:w="7875" w:type="dxa"/>
            <w:gridSpan w:val="2"/>
            <w:tcBorders>
              <w:top w:val="nil"/>
              <w:left w:val="nil"/>
              <w:bottom w:val="nil"/>
              <w:right w:val="nil"/>
            </w:tcBorders>
            <w:shd w:val="clear" w:color="auto" w:fill="auto"/>
          </w:tcPr>
          <w:p w14:paraId="70206D00" w14:textId="77777777" w:rsidR="00EA36E4" w:rsidRPr="00B60172" w:rsidRDefault="00EA36E4" w:rsidP="00503158">
            <w:pPr>
              <w:rPr>
                <w:rFonts w:ascii="David" w:hAnsi="David"/>
                <w:b/>
                <w:bCs/>
                <w:sz w:val="28"/>
                <w:szCs w:val="28"/>
                <w:rtl/>
              </w:rPr>
            </w:pPr>
            <w:r w:rsidRPr="00B60172">
              <w:rPr>
                <w:rFonts w:ascii="David" w:hAnsi="David"/>
                <w:b/>
                <w:bCs/>
                <w:sz w:val="28"/>
                <w:szCs w:val="28"/>
                <w:rtl/>
              </w:rPr>
              <w:t>כבוד השופט  הישאם  אבו שחאדה</w:t>
            </w:r>
            <w:r w:rsidRPr="00B60172">
              <w:rPr>
                <w:rFonts w:ascii="David" w:hAnsi="David"/>
                <w:b/>
                <w:bCs/>
                <w:sz w:val="28"/>
                <w:szCs w:val="28"/>
                <w:rtl/>
              </w:rPr>
              <w:br/>
            </w:r>
          </w:p>
          <w:p w14:paraId="27029AC7" w14:textId="77777777" w:rsidR="00EA36E4" w:rsidRPr="00B60172" w:rsidRDefault="00EA36E4" w:rsidP="00503158">
            <w:pPr>
              <w:rPr>
                <w:rFonts w:ascii="David" w:hAnsi="David"/>
                <w:b/>
                <w:bCs/>
                <w:sz w:val="28"/>
                <w:szCs w:val="28"/>
                <w:rtl/>
              </w:rPr>
            </w:pPr>
          </w:p>
          <w:p w14:paraId="29F88ED9" w14:textId="77777777" w:rsidR="00EA36E4" w:rsidRPr="00B60172" w:rsidRDefault="00EA36E4" w:rsidP="00EA36E4">
            <w:pPr>
              <w:jc w:val="both"/>
              <w:rPr>
                <w:rFonts w:ascii="David" w:hAnsi="David"/>
                <w:b/>
                <w:bCs/>
                <w:sz w:val="28"/>
                <w:szCs w:val="28"/>
              </w:rPr>
            </w:pPr>
          </w:p>
        </w:tc>
      </w:tr>
      <w:tr w:rsidR="00EA36E4" w:rsidRPr="00B60172" w14:paraId="38460191" w14:textId="77777777" w:rsidTr="0005640F">
        <w:trPr>
          <w:trHeight w:val="355"/>
          <w:jc w:val="center"/>
        </w:trPr>
        <w:tc>
          <w:tcPr>
            <w:tcW w:w="945" w:type="dxa"/>
            <w:tcBorders>
              <w:top w:val="nil"/>
              <w:left w:val="nil"/>
              <w:bottom w:val="nil"/>
              <w:right w:val="nil"/>
            </w:tcBorders>
            <w:shd w:val="clear" w:color="auto" w:fill="auto"/>
          </w:tcPr>
          <w:p w14:paraId="1C096DE0" w14:textId="77777777" w:rsidR="00EA36E4" w:rsidRPr="00B60172" w:rsidRDefault="00EA36E4" w:rsidP="00EA36E4">
            <w:pPr>
              <w:jc w:val="both"/>
              <w:rPr>
                <w:rFonts w:ascii="David" w:hAnsi="David"/>
                <w:b/>
                <w:bCs/>
                <w:sz w:val="28"/>
                <w:szCs w:val="28"/>
              </w:rPr>
            </w:pPr>
            <w:bookmarkStart w:id="2" w:name="FirstAppellant"/>
            <w:r w:rsidRPr="00B60172">
              <w:rPr>
                <w:rFonts w:ascii="David" w:hAnsi="David"/>
                <w:b/>
                <w:bCs/>
                <w:sz w:val="28"/>
                <w:szCs w:val="28"/>
                <w:rtl/>
              </w:rPr>
              <w:t>בעניין:</w:t>
            </w:r>
          </w:p>
        </w:tc>
        <w:tc>
          <w:tcPr>
            <w:tcW w:w="4116" w:type="dxa"/>
            <w:tcBorders>
              <w:top w:val="nil"/>
              <w:left w:val="nil"/>
              <w:bottom w:val="nil"/>
              <w:right w:val="nil"/>
            </w:tcBorders>
            <w:shd w:val="clear" w:color="auto" w:fill="auto"/>
          </w:tcPr>
          <w:p w14:paraId="30C8F8E7" w14:textId="77777777" w:rsidR="00EA36E4" w:rsidRPr="00B60172" w:rsidRDefault="00EA36E4" w:rsidP="00503158">
            <w:pPr>
              <w:rPr>
                <w:rFonts w:ascii="David" w:hAnsi="David"/>
                <w:b/>
                <w:bCs/>
                <w:sz w:val="28"/>
                <w:szCs w:val="28"/>
              </w:rPr>
            </w:pPr>
            <w:r w:rsidRPr="00B60172">
              <w:rPr>
                <w:rFonts w:ascii="David" w:hAnsi="David"/>
                <w:b/>
                <w:bCs/>
                <w:sz w:val="28"/>
                <w:szCs w:val="28"/>
                <w:rtl/>
              </w:rPr>
              <w:t>המאשימה מדינת ישראל</w:t>
            </w:r>
            <w:r w:rsidRPr="00B60172">
              <w:rPr>
                <w:rFonts w:ascii="David" w:hAnsi="David"/>
                <w:b/>
                <w:bCs/>
                <w:sz w:val="28"/>
                <w:szCs w:val="28"/>
                <w:rtl/>
              </w:rPr>
              <w:br/>
              <w:t xml:space="preserve">ע"י עוה"ד </w:t>
            </w:r>
            <w:r w:rsidRPr="00B60172">
              <w:rPr>
                <w:rFonts w:ascii="David" w:hAnsi="David" w:hint="cs"/>
                <w:b/>
                <w:bCs/>
                <w:sz w:val="28"/>
                <w:szCs w:val="28"/>
                <w:rtl/>
              </w:rPr>
              <w:t>עדי בן חיים</w:t>
            </w:r>
          </w:p>
        </w:tc>
        <w:tc>
          <w:tcPr>
            <w:tcW w:w="3759" w:type="dxa"/>
            <w:tcBorders>
              <w:top w:val="nil"/>
              <w:left w:val="nil"/>
              <w:bottom w:val="nil"/>
              <w:right w:val="nil"/>
            </w:tcBorders>
            <w:shd w:val="clear" w:color="auto" w:fill="auto"/>
          </w:tcPr>
          <w:p w14:paraId="2901772F" w14:textId="77777777" w:rsidR="00EA36E4" w:rsidRPr="00B60172" w:rsidRDefault="00EA36E4" w:rsidP="00EA36E4">
            <w:pPr>
              <w:jc w:val="both"/>
              <w:rPr>
                <w:rFonts w:ascii="David" w:hAnsi="David"/>
                <w:b/>
                <w:bCs/>
                <w:sz w:val="28"/>
                <w:szCs w:val="28"/>
              </w:rPr>
            </w:pPr>
          </w:p>
        </w:tc>
      </w:tr>
      <w:bookmarkEnd w:id="2"/>
      <w:tr w:rsidR="00EA36E4" w:rsidRPr="00B60172" w14:paraId="469DC90D" w14:textId="77777777" w:rsidTr="0005640F">
        <w:trPr>
          <w:gridAfter w:val="2"/>
          <w:wAfter w:w="7875" w:type="dxa"/>
          <w:trHeight w:val="355"/>
          <w:jc w:val="center"/>
        </w:trPr>
        <w:tc>
          <w:tcPr>
            <w:tcW w:w="945" w:type="dxa"/>
            <w:tcBorders>
              <w:top w:val="nil"/>
              <w:left w:val="nil"/>
              <w:bottom w:val="nil"/>
              <w:right w:val="nil"/>
            </w:tcBorders>
            <w:shd w:val="clear" w:color="auto" w:fill="auto"/>
          </w:tcPr>
          <w:p w14:paraId="70B6FA0E" w14:textId="77777777" w:rsidR="00EA36E4" w:rsidRPr="00B60172" w:rsidRDefault="00EA36E4" w:rsidP="00EA36E4">
            <w:pPr>
              <w:jc w:val="both"/>
              <w:rPr>
                <w:rFonts w:ascii="David" w:hAnsi="David"/>
                <w:b/>
                <w:bCs/>
                <w:sz w:val="28"/>
                <w:szCs w:val="28"/>
                <w:rtl/>
              </w:rPr>
            </w:pPr>
          </w:p>
          <w:p w14:paraId="36A3D7E2" w14:textId="77777777" w:rsidR="00EA36E4" w:rsidRPr="00B60172" w:rsidRDefault="00EA36E4" w:rsidP="00EA36E4">
            <w:pPr>
              <w:jc w:val="both"/>
              <w:rPr>
                <w:rFonts w:ascii="David" w:hAnsi="David"/>
                <w:b/>
                <w:bCs/>
                <w:sz w:val="28"/>
                <w:szCs w:val="28"/>
                <w:rtl/>
              </w:rPr>
            </w:pPr>
          </w:p>
        </w:tc>
      </w:tr>
      <w:tr w:rsidR="00EA36E4" w:rsidRPr="00B60172" w14:paraId="24AC1A38" w14:textId="77777777" w:rsidTr="0005640F">
        <w:trPr>
          <w:trHeight w:val="355"/>
          <w:jc w:val="center"/>
        </w:trPr>
        <w:tc>
          <w:tcPr>
            <w:tcW w:w="945" w:type="dxa"/>
            <w:tcBorders>
              <w:top w:val="nil"/>
              <w:left w:val="nil"/>
              <w:bottom w:val="nil"/>
              <w:right w:val="nil"/>
            </w:tcBorders>
            <w:shd w:val="clear" w:color="auto" w:fill="auto"/>
          </w:tcPr>
          <w:p w14:paraId="2E36CA4C" w14:textId="77777777" w:rsidR="00EA36E4" w:rsidRPr="00B60172" w:rsidRDefault="00EA36E4" w:rsidP="00EA36E4">
            <w:pPr>
              <w:jc w:val="both"/>
              <w:rPr>
                <w:rFonts w:ascii="David" w:hAnsi="David"/>
                <w:b/>
                <w:bCs/>
                <w:sz w:val="28"/>
                <w:szCs w:val="28"/>
                <w:rtl/>
              </w:rPr>
            </w:pPr>
          </w:p>
        </w:tc>
        <w:tc>
          <w:tcPr>
            <w:tcW w:w="7875" w:type="dxa"/>
            <w:gridSpan w:val="2"/>
            <w:tcBorders>
              <w:top w:val="nil"/>
              <w:left w:val="nil"/>
              <w:bottom w:val="nil"/>
              <w:right w:val="nil"/>
            </w:tcBorders>
            <w:shd w:val="clear" w:color="auto" w:fill="auto"/>
          </w:tcPr>
          <w:p w14:paraId="06FB7F88" w14:textId="77777777" w:rsidR="00EA36E4" w:rsidRPr="00B60172" w:rsidRDefault="00EA36E4" w:rsidP="00EA36E4">
            <w:pPr>
              <w:jc w:val="center"/>
              <w:rPr>
                <w:rFonts w:ascii="David" w:hAnsi="David"/>
                <w:b/>
                <w:bCs/>
                <w:sz w:val="28"/>
                <w:szCs w:val="28"/>
                <w:rtl/>
              </w:rPr>
            </w:pPr>
          </w:p>
          <w:p w14:paraId="7958478A" w14:textId="77777777" w:rsidR="00EA36E4" w:rsidRPr="00B60172" w:rsidRDefault="00EA36E4" w:rsidP="00EA36E4">
            <w:pPr>
              <w:jc w:val="center"/>
              <w:rPr>
                <w:rFonts w:ascii="David" w:hAnsi="David"/>
                <w:b/>
                <w:bCs/>
                <w:sz w:val="28"/>
                <w:szCs w:val="28"/>
                <w:rtl/>
              </w:rPr>
            </w:pPr>
            <w:r w:rsidRPr="00B60172">
              <w:rPr>
                <w:rFonts w:ascii="David" w:hAnsi="David"/>
                <w:b/>
                <w:bCs/>
                <w:sz w:val="28"/>
                <w:szCs w:val="28"/>
                <w:rtl/>
              </w:rPr>
              <w:t>נגד</w:t>
            </w:r>
          </w:p>
          <w:p w14:paraId="4ABD6FBE" w14:textId="77777777" w:rsidR="00EA36E4" w:rsidRPr="00B60172" w:rsidRDefault="00EA36E4" w:rsidP="00EA36E4">
            <w:pPr>
              <w:jc w:val="both"/>
              <w:rPr>
                <w:rFonts w:ascii="David" w:hAnsi="David"/>
                <w:b/>
                <w:bCs/>
                <w:sz w:val="28"/>
                <w:szCs w:val="28"/>
                <w:rtl/>
              </w:rPr>
            </w:pPr>
          </w:p>
          <w:p w14:paraId="6074BA8A" w14:textId="77777777" w:rsidR="00EA36E4" w:rsidRPr="00B60172" w:rsidRDefault="00EA36E4" w:rsidP="00EA36E4">
            <w:pPr>
              <w:jc w:val="both"/>
              <w:rPr>
                <w:rFonts w:ascii="David" w:hAnsi="David"/>
                <w:b/>
                <w:bCs/>
                <w:sz w:val="28"/>
                <w:szCs w:val="28"/>
                <w:rtl/>
              </w:rPr>
            </w:pPr>
          </w:p>
          <w:p w14:paraId="79253D43" w14:textId="77777777" w:rsidR="00EA36E4" w:rsidRPr="00B60172" w:rsidRDefault="00EA36E4" w:rsidP="00EA36E4">
            <w:pPr>
              <w:jc w:val="both"/>
              <w:rPr>
                <w:rFonts w:ascii="David" w:hAnsi="David"/>
                <w:b/>
                <w:bCs/>
                <w:sz w:val="28"/>
                <w:szCs w:val="28"/>
              </w:rPr>
            </w:pPr>
          </w:p>
        </w:tc>
      </w:tr>
      <w:tr w:rsidR="00EA36E4" w:rsidRPr="00B60172" w14:paraId="5B7745A9" w14:textId="77777777" w:rsidTr="0005640F">
        <w:trPr>
          <w:trHeight w:val="355"/>
          <w:jc w:val="center"/>
        </w:trPr>
        <w:tc>
          <w:tcPr>
            <w:tcW w:w="945" w:type="dxa"/>
            <w:tcBorders>
              <w:top w:val="nil"/>
              <w:left w:val="nil"/>
              <w:bottom w:val="nil"/>
              <w:right w:val="nil"/>
            </w:tcBorders>
            <w:shd w:val="clear" w:color="auto" w:fill="auto"/>
          </w:tcPr>
          <w:p w14:paraId="797698F4" w14:textId="77777777" w:rsidR="00EA36E4" w:rsidRPr="00B60172" w:rsidRDefault="00EA36E4" w:rsidP="00503158">
            <w:pPr>
              <w:rPr>
                <w:rFonts w:ascii="David" w:hAnsi="David"/>
                <w:b/>
                <w:bCs/>
                <w:sz w:val="28"/>
                <w:szCs w:val="28"/>
                <w:rtl/>
              </w:rPr>
            </w:pPr>
          </w:p>
        </w:tc>
        <w:tc>
          <w:tcPr>
            <w:tcW w:w="4116" w:type="dxa"/>
            <w:tcBorders>
              <w:top w:val="nil"/>
              <w:left w:val="nil"/>
              <w:bottom w:val="nil"/>
              <w:right w:val="nil"/>
            </w:tcBorders>
            <w:shd w:val="clear" w:color="auto" w:fill="auto"/>
          </w:tcPr>
          <w:p w14:paraId="55D6B4D6" w14:textId="77777777" w:rsidR="00EA36E4" w:rsidRPr="00B60172" w:rsidRDefault="00EA36E4" w:rsidP="00503158">
            <w:pPr>
              <w:rPr>
                <w:rFonts w:ascii="David" w:hAnsi="David"/>
                <w:b/>
                <w:bCs/>
                <w:sz w:val="28"/>
                <w:szCs w:val="28"/>
                <w:rtl/>
              </w:rPr>
            </w:pPr>
            <w:r w:rsidRPr="00B60172">
              <w:rPr>
                <w:rFonts w:ascii="David" w:hAnsi="David"/>
                <w:b/>
                <w:bCs/>
                <w:sz w:val="28"/>
                <w:szCs w:val="28"/>
                <w:rtl/>
              </w:rPr>
              <w:t>הנאשם - יהודה כהן</w:t>
            </w:r>
            <w:r w:rsidRPr="00B60172">
              <w:rPr>
                <w:rFonts w:ascii="David" w:hAnsi="David"/>
                <w:b/>
                <w:bCs/>
                <w:sz w:val="28"/>
                <w:szCs w:val="28"/>
                <w:rtl/>
              </w:rPr>
              <w:br/>
              <w:t>ע"י עוה"ד</w:t>
            </w:r>
            <w:r w:rsidRPr="00B60172">
              <w:rPr>
                <w:rFonts w:ascii="David" w:hAnsi="David" w:hint="cs"/>
                <w:b/>
                <w:bCs/>
                <w:sz w:val="28"/>
                <w:szCs w:val="28"/>
                <w:rtl/>
              </w:rPr>
              <w:t xml:space="preserve"> הישאם קבלאן בשם עו"ד </w:t>
            </w:r>
            <w:r w:rsidRPr="00B60172">
              <w:rPr>
                <w:rFonts w:ascii="David" w:hAnsi="David"/>
                <w:b/>
                <w:bCs/>
                <w:sz w:val="28"/>
                <w:szCs w:val="28"/>
                <w:rtl/>
              </w:rPr>
              <w:t xml:space="preserve"> משה אלון</w:t>
            </w:r>
          </w:p>
        </w:tc>
        <w:tc>
          <w:tcPr>
            <w:tcW w:w="3759" w:type="dxa"/>
            <w:tcBorders>
              <w:top w:val="nil"/>
              <w:left w:val="nil"/>
              <w:bottom w:val="nil"/>
              <w:right w:val="nil"/>
            </w:tcBorders>
            <w:shd w:val="clear" w:color="auto" w:fill="auto"/>
          </w:tcPr>
          <w:p w14:paraId="28E45AAC" w14:textId="77777777" w:rsidR="00EA36E4" w:rsidRPr="00B60172" w:rsidRDefault="00EA36E4" w:rsidP="00EA36E4">
            <w:pPr>
              <w:jc w:val="right"/>
              <w:rPr>
                <w:rFonts w:ascii="David" w:hAnsi="David"/>
                <w:b/>
                <w:bCs/>
                <w:sz w:val="28"/>
                <w:szCs w:val="28"/>
              </w:rPr>
            </w:pPr>
          </w:p>
        </w:tc>
      </w:tr>
    </w:tbl>
    <w:p w14:paraId="09B841AF" w14:textId="77777777" w:rsidR="00B60172" w:rsidRPr="00B60172" w:rsidRDefault="00B60172" w:rsidP="00B60172">
      <w:pPr>
        <w:spacing w:before="120" w:after="120" w:line="240" w:lineRule="exact"/>
        <w:ind w:left="283" w:hanging="283"/>
        <w:jc w:val="both"/>
        <w:rPr>
          <w:rFonts w:ascii="FrankRuehl" w:hAnsi="FrankRuehl" w:cs="FrankRuehl"/>
          <w:rtl/>
        </w:rPr>
      </w:pPr>
    </w:p>
    <w:p w14:paraId="7CBC8F84" w14:textId="77777777" w:rsidR="00B63787" w:rsidRDefault="00B63787" w:rsidP="00B63787">
      <w:pPr>
        <w:rPr>
          <w:rFonts w:ascii="David" w:hAnsi="David"/>
          <w:sz w:val="28"/>
          <w:szCs w:val="28"/>
          <w:rtl/>
        </w:rPr>
      </w:pPr>
      <w:bookmarkStart w:id="3" w:name="LawTable"/>
      <w:bookmarkEnd w:id="3"/>
    </w:p>
    <w:p w14:paraId="68DABCF4" w14:textId="77777777" w:rsidR="00B63787" w:rsidRPr="00B63787" w:rsidRDefault="00B63787" w:rsidP="00B63787">
      <w:pPr>
        <w:spacing w:before="120" w:after="120" w:line="240" w:lineRule="exact"/>
        <w:ind w:left="283" w:hanging="283"/>
        <w:jc w:val="both"/>
        <w:rPr>
          <w:rFonts w:ascii="FrankRuehl" w:hAnsi="FrankRuehl" w:cs="FrankRuehl"/>
          <w:rtl/>
        </w:rPr>
      </w:pPr>
    </w:p>
    <w:p w14:paraId="2A8FBC2D" w14:textId="77777777" w:rsidR="00B63787" w:rsidRPr="00B63787" w:rsidRDefault="00B63787" w:rsidP="00B63787">
      <w:pPr>
        <w:spacing w:before="120" w:after="120" w:line="240" w:lineRule="exact"/>
        <w:ind w:left="283" w:hanging="283"/>
        <w:jc w:val="both"/>
        <w:rPr>
          <w:rFonts w:ascii="FrankRuehl" w:hAnsi="FrankRuehl" w:cs="FrankRuehl"/>
          <w:rtl/>
        </w:rPr>
      </w:pPr>
    </w:p>
    <w:p w14:paraId="6732D486" w14:textId="77777777" w:rsidR="00B63787" w:rsidRPr="00B63787" w:rsidRDefault="00B63787" w:rsidP="00B63787">
      <w:pPr>
        <w:spacing w:before="120" w:after="120" w:line="240" w:lineRule="exact"/>
        <w:ind w:left="283" w:hanging="283"/>
        <w:jc w:val="both"/>
        <w:rPr>
          <w:rFonts w:ascii="FrankRuehl" w:hAnsi="FrankRuehl" w:cs="FrankRuehl"/>
          <w:rtl/>
        </w:rPr>
      </w:pPr>
      <w:r w:rsidRPr="00B63787">
        <w:rPr>
          <w:rFonts w:ascii="FrankRuehl" w:hAnsi="FrankRuehl" w:cs="FrankRuehl"/>
          <w:rtl/>
        </w:rPr>
        <w:t xml:space="preserve">חקיקה שאוזכרה: </w:t>
      </w:r>
    </w:p>
    <w:p w14:paraId="24101224" w14:textId="77777777" w:rsidR="00B63787" w:rsidRPr="00B63787" w:rsidRDefault="00B63787" w:rsidP="00B63787">
      <w:pPr>
        <w:spacing w:before="120" w:after="120" w:line="240" w:lineRule="exact"/>
        <w:ind w:left="283" w:hanging="283"/>
        <w:jc w:val="both"/>
        <w:rPr>
          <w:rFonts w:ascii="FrankRuehl" w:hAnsi="FrankRuehl" w:cs="FrankRuehl"/>
          <w:rtl/>
        </w:rPr>
      </w:pPr>
      <w:hyperlink r:id="rId6" w:history="1">
        <w:r w:rsidRPr="00B63787">
          <w:rPr>
            <w:rFonts w:ascii="FrankRuehl" w:hAnsi="FrankRuehl" w:cs="FrankRuehl"/>
            <w:color w:val="0000FF"/>
            <w:rtl/>
          </w:rPr>
          <w:t>חוק העונשין, תשל"ז-1977</w:t>
        </w:r>
      </w:hyperlink>
      <w:r w:rsidRPr="00B63787">
        <w:rPr>
          <w:rFonts w:ascii="FrankRuehl" w:hAnsi="FrankRuehl" w:cs="FrankRuehl"/>
          <w:rtl/>
        </w:rPr>
        <w:t xml:space="preserve">: סע'  </w:t>
      </w:r>
      <w:hyperlink r:id="rId7" w:history="1">
        <w:r w:rsidRPr="00B63787">
          <w:rPr>
            <w:rFonts w:ascii="FrankRuehl" w:hAnsi="FrankRuehl" w:cs="FrankRuehl"/>
            <w:color w:val="0000FF"/>
            <w:rtl/>
          </w:rPr>
          <w:t>34ח</w:t>
        </w:r>
      </w:hyperlink>
      <w:r w:rsidRPr="00B63787">
        <w:rPr>
          <w:rFonts w:ascii="FrankRuehl" w:hAnsi="FrankRuehl" w:cs="FrankRuehl"/>
          <w:rtl/>
        </w:rPr>
        <w:t xml:space="preserve">, </w:t>
      </w:r>
      <w:hyperlink r:id="rId8" w:history="1">
        <w:r w:rsidRPr="00B63787">
          <w:rPr>
            <w:rFonts w:ascii="FrankRuehl" w:hAnsi="FrankRuehl" w:cs="FrankRuehl"/>
            <w:color w:val="0000FF"/>
            <w:rtl/>
          </w:rPr>
          <w:t>34ט</w:t>
        </w:r>
      </w:hyperlink>
      <w:r w:rsidRPr="00B63787">
        <w:rPr>
          <w:rFonts w:ascii="FrankRuehl" w:hAnsi="FrankRuehl" w:cs="FrankRuehl"/>
          <w:rtl/>
        </w:rPr>
        <w:t xml:space="preserve">, </w:t>
      </w:r>
      <w:hyperlink r:id="rId9" w:history="1">
        <w:r w:rsidRPr="00B63787">
          <w:rPr>
            <w:rFonts w:ascii="FrankRuehl" w:hAnsi="FrankRuehl" w:cs="FrankRuehl"/>
            <w:color w:val="0000FF"/>
            <w:rtl/>
          </w:rPr>
          <w:t>192</w:t>
        </w:r>
      </w:hyperlink>
      <w:r w:rsidRPr="00B63787">
        <w:rPr>
          <w:rFonts w:ascii="FrankRuehl" w:hAnsi="FrankRuehl" w:cs="FrankRuehl"/>
          <w:rtl/>
        </w:rPr>
        <w:t xml:space="preserve">, </w:t>
      </w:r>
      <w:hyperlink r:id="rId10" w:history="1">
        <w:r w:rsidRPr="00B63787">
          <w:rPr>
            <w:rFonts w:ascii="FrankRuehl" w:hAnsi="FrankRuehl" w:cs="FrankRuehl"/>
            <w:color w:val="0000FF"/>
            <w:rtl/>
          </w:rPr>
          <w:t>402(א)</w:t>
        </w:r>
      </w:hyperlink>
    </w:p>
    <w:p w14:paraId="1794B36A" w14:textId="77777777" w:rsidR="00B63787" w:rsidRPr="00B63787" w:rsidRDefault="00B63787" w:rsidP="00B63787">
      <w:pPr>
        <w:spacing w:before="120" w:after="120" w:line="240" w:lineRule="exact"/>
        <w:ind w:left="283" w:hanging="283"/>
        <w:jc w:val="both"/>
        <w:rPr>
          <w:rFonts w:ascii="FrankRuehl" w:hAnsi="FrankRuehl" w:cs="FrankRuehl"/>
          <w:rtl/>
        </w:rPr>
      </w:pPr>
      <w:hyperlink r:id="rId11" w:history="1">
        <w:r w:rsidRPr="00B63787">
          <w:rPr>
            <w:rFonts w:ascii="FrankRuehl" w:hAnsi="FrankRuehl" w:cs="FrankRuehl"/>
            <w:color w:val="0000FF"/>
            <w:rtl/>
          </w:rPr>
          <w:t>פקודת הסמים המסוכנים [נוסח חדש], תשל"ג-1973</w:t>
        </w:r>
      </w:hyperlink>
      <w:r w:rsidRPr="00B63787">
        <w:rPr>
          <w:rFonts w:ascii="FrankRuehl" w:hAnsi="FrankRuehl" w:cs="FrankRuehl"/>
          <w:rtl/>
        </w:rPr>
        <w:t xml:space="preserve">: סע'  </w:t>
      </w:r>
      <w:hyperlink r:id="rId12" w:history="1">
        <w:r w:rsidRPr="00B63787">
          <w:rPr>
            <w:rFonts w:ascii="FrankRuehl" w:hAnsi="FrankRuehl" w:cs="FrankRuehl"/>
            <w:color w:val="0000FF"/>
            <w:rtl/>
          </w:rPr>
          <w:t>7(א)</w:t>
        </w:r>
      </w:hyperlink>
      <w:r w:rsidRPr="00B63787">
        <w:rPr>
          <w:rFonts w:ascii="FrankRuehl" w:hAnsi="FrankRuehl" w:cs="FrankRuehl"/>
          <w:rtl/>
        </w:rPr>
        <w:t xml:space="preserve">, </w:t>
      </w:r>
      <w:hyperlink r:id="rId13" w:history="1">
        <w:r w:rsidRPr="00B63787">
          <w:rPr>
            <w:rFonts w:ascii="FrankRuehl" w:hAnsi="FrankRuehl" w:cs="FrankRuehl"/>
            <w:color w:val="0000FF"/>
            <w:rtl/>
          </w:rPr>
          <w:t>7(ג)</w:t>
        </w:r>
      </w:hyperlink>
    </w:p>
    <w:p w14:paraId="3EB3B629" w14:textId="77777777" w:rsidR="00B63787" w:rsidRPr="00B63787" w:rsidRDefault="00B63787" w:rsidP="00B63787">
      <w:pPr>
        <w:rPr>
          <w:rFonts w:ascii="David" w:hAnsi="David"/>
          <w:sz w:val="28"/>
          <w:szCs w:val="28"/>
          <w:rtl/>
        </w:rPr>
      </w:pPr>
      <w:bookmarkStart w:id="4" w:name="LawTable_End"/>
      <w:bookmarkEnd w:id="4"/>
    </w:p>
    <w:p w14:paraId="0F6015C5" w14:textId="77777777" w:rsidR="00EA36E4" w:rsidRPr="0005640F" w:rsidRDefault="00EA36E4" w:rsidP="0005640F">
      <w:pPr>
        <w:rPr>
          <w:rFonts w:ascii="David" w:hAnsi="David"/>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A36E4" w:rsidRPr="005E67A8" w14:paraId="05BB886B" w14:textId="77777777" w:rsidTr="00EA36E4">
        <w:trPr>
          <w:trHeight w:val="355"/>
          <w:jc w:val="center"/>
        </w:trPr>
        <w:tc>
          <w:tcPr>
            <w:tcW w:w="8820" w:type="dxa"/>
            <w:tcBorders>
              <w:top w:val="nil"/>
              <w:left w:val="nil"/>
              <w:bottom w:val="nil"/>
              <w:right w:val="nil"/>
            </w:tcBorders>
            <w:shd w:val="clear" w:color="auto" w:fill="auto"/>
          </w:tcPr>
          <w:p w14:paraId="742FD5FE" w14:textId="77777777" w:rsidR="00B60172" w:rsidRPr="00B60172" w:rsidRDefault="00B60172" w:rsidP="00B60172">
            <w:pPr>
              <w:jc w:val="center"/>
              <w:rPr>
                <w:rFonts w:ascii="David" w:hAnsi="David"/>
                <w:b/>
                <w:bCs/>
                <w:sz w:val="28"/>
                <w:szCs w:val="28"/>
                <w:u w:val="single"/>
                <w:rtl/>
              </w:rPr>
            </w:pPr>
            <w:bookmarkStart w:id="5" w:name="PsakDin" w:colFirst="0" w:colLast="0"/>
            <w:bookmarkEnd w:id="0"/>
            <w:bookmarkEnd w:id="1"/>
            <w:r w:rsidRPr="00B60172">
              <w:rPr>
                <w:rFonts w:ascii="David" w:hAnsi="David"/>
                <w:b/>
                <w:bCs/>
                <w:sz w:val="28"/>
                <w:szCs w:val="28"/>
                <w:u w:val="single"/>
                <w:rtl/>
              </w:rPr>
              <w:t>ג ז ר  ד י ן</w:t>
            </w:r>
          </w:p>
          <w:p w14:paraId="6A3170A6" w14:textId="77777777" w:rsidR="00EA36E4" w:rsidRPr="00B60172" w:rsidRDefault="00EA36E4" w:rsidP="00B60172">
            <w:pPr>
              <w:jc w:val="center"/>
              <w:rPr>
                <w:rFonts w:ascii="David" w:hAnsi="David"/>
                <w:b/>
                <w:bCs/>
                <w:sz w:val="28"/>
                <w:szCs w:val="28"/>
                <w:u w:val="single"/>
                <w:rtl/>
              </w:rPr>
            </w:pPr>
          </w:p>
        </w:tc>
      </w:tr>
      <w:bookmarkEnd w:id="5"/>
    </w:tbl>
    <w:p w14:paraId="066D2ADF" w14:textId="77777777" w:rsidR="00EA36E4" w:rsidRPr="005E67A8" w:rsidRDefault="00EA36E4" w:rsidP="00EA36E4">
      <w:pPr>
        <w:rPr>
          <w:rFonts w:ascii="David" w:hAnsi="David"/>
          <w:b/>
          <w:bCs/>
          <w:sz w:val="28"/>
          <w:szCs w:val="28"/>
          <w:rtl/>
        </w:rPr>
      </w:pPr>
    </w:p>
    <w:p w14:paraId="251250C1" w14:textId="77777777" w:rsidR="00EA36E4" w:rsidRPr="00B05847" w:rsidRDefault="00EA36E4" w:rsidP="00EA36E4">
      <w:pPr>
        <w:rPr>
          <w:rFonts w:ascii="Arial" w:hAnsi="Arial"/>
          <w:rtl/>
        </w:rPr>
      </w:pPr>
    </w:p>
    <w:p w14:paraId="4AB0C83D" w14:textId="77777777" w:rsidR="00EA36E4" w:rsidRPr="0029326C" w:rsidRDefault="00EA36E4" w:rsidP="00EA36E4">
      <w:pPr>
        <w:rPr>
          <w:b/>
          <w:bCs/>
          <w:sz w:val="28"/>
          <w:szCs w:val="28"/>
          <w:u w:val="single"/>
          <w:rtl/>
        </w:rPr>
      </w:pPr>
      <w:r w:rsidRPr="0029326C">
        <w:rPr>
          <w:rFonts w:hint="cs"/>
          <w:b/>
          <w:bCs/>
          <w:sz w:val="28"/>
          <w:szCs w:val="28"/>
          <w:u w:val="single"/>
          <w:rtl/>
        </w:rPr>
        <w:t>כתב האישום ב-</w:t>
      </w:r>
      <w:hyperlink r:id="rId14" w:history="1">
        <w:r w:rsidR="00B60172" w:rsidRPr="00B60172">
          <w:rPr>
            <w:b/>
            <w:bCs/>
            <w:color w:val="0000FF"/>
            <w:sz w:val="28"/>
            <w:szCs w:val="28"/>
            <w:u w:val="single"/>
            <w:rtl/>
          </w:rPr>
          <w:t>ת"פ 56373-03-17</w:t>
        </w:r>
      </w:hyperlink>
      <w:r w:rsidRPr="0029326C">
        <w:rPr>
          <w:rFonts w:hint="cs"/>
          <w:b/>
          <w:bCs/>
          <w:sz w:val="28"/>
          <w:szCs w:val="28"/>
          <w:u w:val="single"/>
          <w:rtl/>
        </w:rPr>
        <w:t xml:space="preserve"> </w:t>
      </w:r>
    </w:p>
    <w:p w14:paraId="7AFEBAFA" w14:textId="77777777" w:rsidR="00EA36E4" w:rsidRDefault="00EA36E4" w:rsidP="00EA36E4">
      <w:pPr>
        <w:rPr>
          <w:rtl/>
        </w:rPr>
      </w:pPr>
    </w:p>
    <w:p w14:paraId="1957FB77" w14:textId="77777777" w:rsidR="00EA36E4" w:rsidRPr="00B05847" w:rsidRDefault="00EA36E4" w:rsidP="00EA36E4">
      <w:pPr>
        <w:rPr>
          <w:rtl/>
        </w:rPr>
      </w:pPr>
    </w:p>
    <w:p w14:paraId="5F56B468" w14:textId="77777777" w:rsidR="00EA36E4" w:rsidRDefault="00EA36E4" w:rsidP="00EA36E4">
      <w:pPr>
        <w:spacing w:line="360" w:lineRule="auto"/>
        <w:ind w:left="720" w:hanging="720"/>
        <w:jc w:val="both"/>
        <w:rPr>
          <w:rFonts w:ascii="Arial" w:hAnsi="Arial"/>
        </w:rPr>
      </w:pPr>
      <w:r>
        <w:rPr>
          <w:rFonts w:ascii="Arial" w:hAnsi="Arial"/>
          <w:rtl/>
        </w:rPr>
        <w:t>1.</w:t>
      </w:r>
      <w:r>
        <w:rPr>
          <w:rFonts w:ascii="Arial" w:hAnsi="Arial"/>
          <w:rtl/>
        </w:rPr>
        <w:tab/>
      </w:r>
      <w:bookmarkStart w:id="6" w:name="ABSTRACT_START"/>
      <w:bookmarkEnd w:id="6"/>
      <w:r>
        <w:rPr>
          <w:rFonts w:ascii="Arial" w:hAnsi="Arial"/>
          <w:rtl/>
        </w:rPr>
        <w:t xml:space="preserve">כנגד הנאשם הוגש כתב אישום אשר כולל שני אישומים. הנאשם כפר בכתב האישום ונשמעו הראיות. </w:t>
      </w:r>
    </w:p>
    <w:p w14:paraId="1C53F21E" w14:textId="77777777" w:rsidR="00EA36E4" w:rsidRDefault="00EA36E4" w:rsidP="00EA36E4">
      <w:pPr>
        <w:spacing w:line="360" w:lineRule="auto"/>
        <w:jc w:val="both"/>
        <w:rPr>
          <w:rFonts w:ascii="Arial" w:hAnsi="Arial"/>
          <w:rtl/>
        </w:rPr>
      </w:pPr>
      <w:bookmarkStart w:id="7" w:name="ABSTRACT_END"/>
      <w:bookmarkEnd w:id="7"/>
    </w:p>
    <w:p w14:paraId="5B7C37CC" w14:textId="77777777" w:rsidR="00EA36E4" w:rsidRDefault="00EA36E4" w:rsidP="00EA36E4">
      <w:pPr>
        <w:spacing w:line="360" w:lineRule="auto"/>
        <w:ind w:left="720" w:hanging="720"/>
        <w:jc w:val="both"/>
        <w:rPr>
          <w:rFonts w:ascii="Arial" w:hAnsi="Arial"/>
          <w:rtl/>
        </w:rPr>
      </w:pPr>
      <w:r>
        <w:rPr>
          <w:rFonts w:ascii="Arial" w:hAnsi="Arial"/>
          <w:rtl/>
        </w:rPr>
        <w:t>2.</w:t>
      </w:r>
      <w:r>
        <w:rPr>
          <w:rFonts w:ascii="Arial" w:hAnsi="Arial"/>
          <w:rtl/>
        </w:rPr>
        <w:tab/>
      </w:r>
      <w:r>
        <w:rPr>
          <w:rFonts w:ascii="Arial" w:hAnsi="Arial"/>
          <w:u w:val="single"/>
          <w:rtl/>
        </w:rPr>
        <w:t>באישום הראשון</w:t>
      </w:r>
      <w:r>
        <w:rPr>
          <w:rFonts w:ascii="Arial" w:hAnsi="Arial"/>
          <w:rtl/>
        </w:rPr>
        <w:t xml:space="preserve">, יוחסה לנאשם עבירה של איומים לפי </w:t>
      </w:r>
      <w:hyperlink r:id="rId15" w:history="1">
        <w:r w:rsidR="0005640F" w:rsidRPr="0005640F">
          <w:rPr>
            <w:rStyle w:val="Hyperlink"/>
            <w:rFonts w:ascii="Arial" w:hAnsi="Arial"/>
            <w:rtl/>
          </w:rPr>
          <w:t>סעיף 192</w:t>
        </w:r>
      </w:hyperlink>
      <w:r>
        <w:rPr>
          <w:rFonts w:ascii="Arial" w:hAnsi="Arial"/>
          <w:rtl/>
        </w:rPr>
        <w:t xml:space="preserve"> ל</w:t>
      </w:r>
      <w:hyperlink r:id="rId16" w:history="1">
        <w:r w:rsidR="00B60172" w:rsidRPr="00B60172">
          <w:rPr>
            <w:rFonts w:ascii="Arial" w:hAnsi="Arial"/>
            <w:color w:val="0000FF"/>
            <w:u w:val="single"/>
            <w:rtl/>
          </w:rPr>
          <w:t>חוק העונשין</w:t>
        </w:r>
      </w:hyperlink>
      <w:r>
        <w:rPr>
          <w:rFonts w:ascii="Arial" w:hAnsi="Arial"/>
          <w:rtl/>
        </w:rPr>
        <w:t xml:space="preserve"> התשל"ז – 1977 (להלן: </w:t>
      </w:r>
      <w:r>
        <w:rPr>
          <w:rFonts w:ascii="Arial" w:hAnsi="Arial"/>
          <w:b/>
          <w:bCs/>
          <w:rtl/>
        </w:rPr>
        <w:t>חוק העונשין</w:t>
      </w:r>
      <w:r>
        <w:rPr>
          <w:rFonts w:ascii="Arial" w:hAnsi="Arial"/>
          <w:rtl/>
        </w:rPr>
        <w:t>). על פי עובדות האישום הראשון, ביום 29.12.16, בשעה 14:00 או בסמוך לכך, השתחרר הנאשם מאשפוזו במחלקה ג' בבית החולים בבאר יעקב. עת קיבל הנאשם את מכתב השחרור שלו, פנה לאחד האחים שעבדו במחלקה בשם מחמוד אבו חמד (להלן:</w:t>
      </w:r>
      <w:r>
        <w:rPr>
          <w:rFonts w:ascii="Arial" w:hAnsi="Arial"/>
          <w:b/>
          <w:bCs/>
          <w:rtl/>
        </w:rPr>
        <w:t xml:space="preserve"> מחמוד</w:t>
      </w:r>
      <w:r>
        <w:rPr>
          <w:rFonts w:ascii="Arial" w:hAnsi="Arial"/>
          <w:rtl/>
        </w:rPr>
        <w:t>) ואמר לו: "</w:t>
      </w:r>
      <w:r w:rsidRPr="0029326C">
        <w:rPr>
          <w:rFonts w:ascii="Arial" w:hAnsi="Arial"/>
          <w:b/>
          <w:bCs/>
          <w:rtl/>
        </w:rPr>
        <w:t>אני מכיר ערבים מכפרים ברחבי הארץ, ואני אנקום בך על זה שקשרת אותי וגררת אותי באותו לילה, כמו שקשרת אותי וגררת אותי באותו לילה, אני ארים אותך למעלה</w:t>
      </w:r>
      <w:r>
        <w:rPr>
          <w:rFonts w:ascii="Arial" w:hAnsi="Arial"/>
          <w:rtl/>
        </w:rPr>
        <w:t xml:space="preserve">". </w:t>
      </w:r>
    </w:p>
    <w:p w14:paraId="47757137" w14:textId="77777777" w:rsidR="00EA36E4" w:rsidRDefault="00EA36E4" w:rsidP="00EA36E4">
      <w:pPr>
        <w:spacing w:line="360" w:lineRule="auto"/>
        <w:jc w:val="both"/>
        <w:rPr>
          <w:rFonts w:ascii="Arial" w:hAnsi="Arial"/>
          <w:rtl/>
        </w:rPr>
      </w:pPr>
    </w:p>
    <w:p w14:paraId="7F85183A" w14:textId="77777777" w:rsidR="00EA36E4" w:rsidRDefault="00EA36E4" w:rsidP="00EA36E4">
      <w:pPr>
        <w:spacing w:line="360" w:lineRule="auto"/>
        <w:ind w:left="720" w:hanging="720"/>
        <w:jc w:val="both"/>
        <w:rPr>
          <w:rFonts w:ascii="Arial" w:hAnsi="Arial"/>
          <w:rtl/>
        </w:rPr>
      </w:pPr>
      <w:r>
        <w:rPr>
          <w:rFonts w:ascii="Arial" w:hAnsi="Arial"/>
          <w:rtl/>
        </w:rPr>
        <w:t>3.</w:t>
      </w:r>
      <w:r>
        <w:rPr>
          <w:rFonts w:ascii="Arial" w:hAnsi="Arial"/>
          <w:rtl/>
        </w:rPr>
        <w:tab/>
      </w:r>
      <w:r>
        <w:rPr>
          <w:rFonts w:ascii="Arial" w:hAnsi="Arial"/>
          <w:u w:val="single"/>
          <w:rtl/>
        </w:rPr>
        <w:t>באישום השני</w:t>
      </w:r>
      <w:r>
        <w:rPr>
          <w:rFonts w:ascii="Arial" w:hAnsi="Arial"/>
          <w:rtl/>
        </w:rPr>
        <w:t xml:space="preserve">, יוחסה לנאשם עבירה של איומים לפי </w:t>
      </w:r>
      <w:hyperlink r:id="rId17" w:history="1">
        <w:r w:rsidR="0005640F" w:rsidRPr="0005640F">
          <w:rPr>
            <w:rStyle w:val="Hyperlink"/>
            <w:rFonts w:ascii="Arial" w:hAnsi="Arial"/>
            <w:rtl/>
          </w:rPr>
          <w:t>סעיף 192</w:t>
        </w:r>
      </w:hyperlink>
      <w:r>
        <w:rPr>
          <w:rFonts w:ascii="Arial" w:hAnsi="Arial"/>
          <w:rtl/>
        </w:rPr>
        <w:t xml:space="preserve"> ל</w:t>
      </w:r>
      <w:hyperlink r:id="rId18" w:history="1">
        <w:r w:rsidR="00B60172" w:rsidRPr="00B60172">
          <w:rPr>
            <w:rFonts w:ascii="Arial" w:hAnsi="Arial"/>
            <w:color w:val="0000FF"/>
            <w:u w:val="single"/>
            <w:rtl/>
          </w:rPr>
          <w:t>חוק העונשין</w:t>
        </w:r>
      </w:hyperlink>
      <w:r>
        <w:rPr>
          <w:rFonts w:ascii="Arial" w:hAnsi="Arial"/>
          <w:rtl/>
        </w:rPr>
        <w:t>. על פי עובדות האישום השני, ביום 30.12.16, בשעה 15:00 או בסמוך לכך, הגיעו שוטרים לביתו של הנאשם שבתחומי העיר לוד. עת הובל הנאשם לניידת המשטרה, אמר הנאשם לשוטר נועם כהן: "</w:t>
      </w:r>
      <w:r w:rsidRPr="00303C9C">
        <w:rPr>
          <w:rFonts w:ascii="Arial" w:hAnsi="Arial"/>
          <w:b/>
          <w:bCs/>
          <w:rtl/>
        </w:rPr>
        <w:t>מה הבאתם אותי על אונס, אני אנסתי שתי בחורות אתמול, אני אונס ילדים, אני פדופיל</w:t>
      </w:r>
      <w:r>
        <w:rPr>
          <w:rFonts w:ascii="Arial" w:hAnsi="Arial"/>
          <w:rtl/>
        </w:rPr>
        <w:t>" וכן אמר: "</w:t>
      </w:r>
      <w:r w:rsidRPr="00303C9C">
        <w:rPr>
          <w:rFonts w:ascii="Arial" w:hAnsi="Arial"/>
          <w:b/>
          <w:bCs/>
          <w:rtl/>
        </w:rPr>
        <w:t>אני אזיין אותך ואראה לך מה זה, העיניים האלה, והר והר לא נפגשים אבל בני אדם כן, אני ירק לך על הפנים</w:t>
      </w:r>
      <w:r>
        <w:rPr>
          <w:rFonts w:ascii="Arial" w:hAnsi="Arial"/>
          <w:rtl/>
        </w:rPr>
        <w:t>". בנוסף, אמר הנאשם לשוטרים שישפריץ דם עליהם וחבל עליהם ובהמשך איים על השוטר וונדהגן מלאקו "</w:t>
      </w:r>
      <w:r w:rsidRPr="00303C9C">
        <w:rPr>
          <w:rFonts w:ascii="Arial" w:hAnsi="Arial"/>
          <w:b/>
          <w:bCs/>
          <w:rtl/>
        </w:rPr>
        <w:t>אשים כסף יום יום כדי שלא תמשיך להיות ברמלה ובחיים... אנקום בהם ולא אשאר חייב לאף אחד</w:t>
      </w:r>
      <w:r>
        <w:rPr>
          <w:rFonts w:ascii="Arial" w:hAnsi="Arial"/>
          <w:rtl/>
        </w:rPr>
        <w:t>". בהמשך, עת ליווה השוטר דורון אזולאי את הנאשם לשירותים בתוך תחנת המשטרה, טרק הנאשם את דלת השירותים ואמר: "</w:t>
      </w:r>
      <w:r w:rsidRPr="00303C9C">
        <w:rPr>
          <w:rFonts w:ascii="Arial" w:hAnsi="Arial"/>
          <w:b/>
          <w:bCs/>
          <w:rtl/>
        </w:rPr>
        <w:t>אם אתם גברים תיכנסו לתא, אני אזיין אתכם</w:t>
      </w:r>
      <w:r>
        <w:rPr>
          <w:rFonts w:ascii="Arial" w:hAnsi="Arial"/>
          <w:rtl/>
        </w:rPr>
        <w:t>" ובהמשך פתח את מכנסיו ואמר: "</w:t>
      </w:r>
      <w:r w:rsidRPr="00303C9C">
        <w:rPr>
          <w:rFonts w:ascii="Arial" w:hAnsi="Arial"/>
          <w:b/>
          <w:bCs/>
          <w:rtl/>
        </w:rPr>
        <w:t>בואו תמצוץ לי את הזין.. אני אזיין אותך</w:t>
      </w:r>
      <w:r>
        <w:rPr>
          <w:rFonts w:ascii="Arial" w:hAnsi="Arial"/>
          <w:rtl/>
        </w:rPr>
        <w:t xml:space="preserve">". </w:t>
      </w:r>
    </w:p>
    <w:p w14:paraId="2FFF73B0" w14:textId="77777777" w:rsidR="00EA36E4" w:rsidRDefault="00EA36E4" w:rsidP="00EA36E4">
      <w:pPr>
        <w:spacing w:line="360" w:lineRule="auto"/>
        <w:ind w:left="720" w:hanging="720"/>
        <w:jc w:val="both"/>
        <w:rPr>
          <w:rFonts w:ascii="Arial" w:hAnsi="Arial"/>
          <w:rtl/>
        </w:rPr>
      </w:pPr>
    </w:p>
    <w:p w14:paraId="76060246" w14:textId="77777777" w:rsidR="00EA36E4" w:rsidRDefault="00EA36E4" w:rsidP="00EA36E4">
      <w:pPr>
        <w:spacing w:line="360" w:lineRule="auto"/>
        <w:ind w:left="720" w:hanging="720"/>
        <w:jc w:val="both"/>
        <w:rPr>
          <w:rFonts w:ascii="Arial" w:hAnsi="Arial"/>
          <w:rtl/>
        </w:rPr>
      </w:pPr>
      <w:r>
        <w:rPr>
          <w:rFonts w:ascii="Arial" w:hAnsi="Arial" w:hint="cs"/>
          <w:rtl/>
        </w:rPr>
        <w:t>4.</w:t>
      </w:r>
      <w:r>
        <w:rPr>
          <w:rFonts w:ascii="Arial" w:hAnsi="Arial" w:hint="cs"/>
          <w:rtl/>
        </w:rPr>
        <w:tab/>
        <w:t xml:space="preserve">לאחר שמיעת הראיות, ניתנה הכרעת הדין לפיה הנאשם הורשע בעבירות שיוחסו לו בשני האישומים. </w:t>
      </w:r>
    </w:p>
    <w:p w14:paraId="5F922160" w14:textId="77777777" w:rsidR="00EA36E4" w:rsidRDefault="00EA36E4" w:rsidP="00EA36E4">
      <w:pPr>
        <w:rPr>
          <w:rtl/>
        </w:rPr>
      </w:pPr>
    </w:p>
    <w:p w14:paraId="04175A16" w14:textId="77777777" w:rsidR="00EA36E4" w:rsidRPr="00400B8C" w:rsidRDefault="00EA36E4" w:rsidP="00EA36E4">
      <w:pPr>
        <w:spacing w:line="360" w:lineRule="auto"/>
        <w:jc w:val="both"/>
        <w:rPr>
          <w:b/>
          <w:bCs/>
          <w:u w:val="single"/>
          <w:rtl/>
        </w:rPr>
      </w:pPr>
      <w:r w:rsidRPr="0029326C">
        <w:rPr>
          <w:rFonts w:hint="cs"/>
          <w:b/>
          <w:bCs/>
          <w:sz w:val="28"/>
          <w:szCs w:val="28"/>
          <w:u w:val="single"/>
          <w:rtl/>
        </w:rPr>
        <w:t>כתב האישום המתוקן ב-</w:t>
      </w:r>
      <w:hyperlink r:id="rId19" w:history="1">
        <w:r w:rsidR="00B60172" w:rsidRPr="00B60172">
          <w:rPr>
            <w:b/>
            <w:bCs/>
            <w:color w:val="0000FF"/>
            <w:sz w:val="28"/>
            <w:szCs w:val="28"/>
            <w:u w:val="single"/>
            <w:rtl/>
          </w:rPr>
          <w:t>ת"פ 68017-06-20</w:t>
        </w:r>
        <w:r w:rsidR="00B60172" w:rsidRPr="00B60172">
          <w:rPr>
            <w:b/>
            <w:bCs/>
            <w:color w:val="0000FF"/>
            <w:sz w:val="28"/>
            <w:szCs w:val="28"/>
            <w:u w:val="single"/>
            <w:rtl/>
          </w:rPr>
          <w:cr/>
        </w:r>
      </w:hyperlink>
    </w:p>
    <w:p w14:paraId="0EE7BB49" w14:textId="77777777" w:rsidR="00EA36E4" w:rsidRDefault="00EA36E4" w:rsidP="00EA36E4">
      <w:pPr>
        <w:spacing w:line="360" w:lineRule="auto"/>
        <w:ind w:left="720" w:hanging="720"/>
        <w:jc w:val="both"/>
        <w:rPr>
          <w:rtl/>
        </w:rPr>
      </w:pPr>
      <w:r>
        <w:rPr>
          <w:rFonts w:hint="cs"/>
          <w:rtl/>
        </w:rPr>
        <w:t>5.</w:t>
      </w:r>
      <w:r>
        <w:rPr>
          <w:rFonts w:hint="cs"/>
          <w:rtl/>
        </w:rPr>
        <w:tab/>
        <w:t xml:space="preserve">בשלב הטיעונים לעונש, הנאשם בחר לצרף לתיק זה את </w:t>
      </w:r>
      <w:hyperlink r:id="rId20" w:history="1">
        <w:r w:rsidR="00B60172" w:rsidRPr="00B60172">
          <w:rPr>
            <w:color w:val="0000FF"/>
            <w:u w:val="single"/>
            <w:rtl/>
          </w:rPr>
          <w:t>ת"פ 68017-06-20</w:t>
        </w:r>
      </w:hyperlink>
      <w:r>
        <w:rPr>
          <w:rFonts w:hint="cs"/>
          <w:rtl/>
        </w:rPr>
        <w:t xml:space="preserve"> של בית משפט השלום ברמלה. מדובר בכתב אישום מתוקן לפיו ביום 20.12.19 בשעה 02:20, או בסמוך לכך, בתחומי העיר לוד החזיק הנאשם בסם מסוכן מסוג </w:t>
      </w:r>
      <w:r>
        <w:rPr>
          <w:rFonts w:hint="cs"/>
        </w:rPr>
        <w:t>MDMA</w:t>
      </w:r>
      <w:r>
        <w:rPr>
          <w:rFonts w:hint="cs"/>
          <w:rtl/>
        </w:rPr>
        <w:t xml:space="preserve"> במשקל 0.9134 ובנוסף 5 טבליות מסוג </w:t>
      </w:r>
      <w:r>
        <w:rPr>
          <w:rFonts w:hint="cs"/>
        </w:rPr>
        <w:t>MDMA</w:t>
      </w:r>
      <w:r>
        <w:rPr>
          <w:rFonts w:hint="cs"/>
          <w:rtl/>
        </w:rPr>
        <w:t xml:space="preserve">. הנאשם הורשע בעבירה של החזקת סם לצריכה עצמית לפי </w:t>
      </w:r>
      <w:hyperlink r:id="rId21" w:history="1">
        <w:r w:rsidR="0005640F" w:rsidRPr="0005640F">
          <w:rPr>
            <w:rStyle w:val="Hyperlink"/>
            <w:rFonts w:hint="eastAsia"/>
            <w:rtl/>
          </w:rPr>
          <w:t>סעיפים</w:t>
        </w:r>
        <w:r w:rsidR="0005640F" w:rsidRPr="0005640F">
          <w:rPr>
            <w:rStyle w:val="Hyperlink"/>
            <w:rtl/>
          </w:rPr>
          <w:t xml:space="preserve"> 7(א)</w:t>
        </w:r>
      </w:hyperlink>
      <w:r>
        <w:rPr>
          <w:rFonts w:hint="cs"/>
          <w:rtl/>
        </w:rPr>
        <w:t xml:space="preserve"> ו-</w:t>
      </w:r>
      <w:hyperlink r:id="rId22" w:history="1">
        <w:r w:rsidR="0005640F" w:rsidRPr="0005640F">
          <w:rPr>
            <w:rStyle w:val="Hyperlink"/>
            <w:rtl/>
          </w:rPr>
          <w:t>7(ג)</w:t>
        </w:r>
      </w:hyperlink>
      <w:r>
        <w:rPr>
          <w:rFonts w:hint="cs"/>
          <w:rtl/>
        </w:rPr>
        <w:t xml:space="preserve"> סיפא ל</w:t>
      </w:r>
      <w:hyperlink r:id="rId23" w:history="1">
        <w:r w:rsidR="00B60172" w:rsidRPr="00B60172">
          <w:rPr>
            <w:color w:val="0000FF"/>
            <w:u w:val="single"/>
            <w:rtl/>
          </w:rPr>
          <w:t>פקודת הסמים המסוכנים</w:t>
        </w:r>
      </w:hyperlink>
      <w:r>
        <w:rPr>
          <w:rFonts w:hint="cs"/>
          <w:rtl/>
        </w:rPr>
        <w:t xml:space="preserve"> [נוסח חדש] התשל"ג </w:t>
      </w:r>
      <w:r>
        <w:rPr>
          <w:rtl/>
        </w:rPr>
        <w:t>–</w:t>
      </w:r>
      <w:r>
        <w:rPr>
          <w:rFonts w:hint="cs"/>
          <w:rtl/>
        </w:rPr>
        <w:t xml:space="preserve"> 1973. </w:t>
      </w:r>
    </w:p>
    <w:p w14:paraId="6B08A952" w14:textId="77777777" w:rsidR="00EA36E4" w:rsidRDefault="00EA36E4" w:rsidP="00EA36E4">
      <w:pPr>
        <w:spacing w:line="360" w:lineRule="auto"/>
        <w:ind w:left="720" w:hanging="720"/>
        <w:rPr>
          <w:rtl/>
        </w:rPr>
      </w:pPr>
    </w:p>
    <w:p w14:paraId="4654ABC5" w14:textId="77777777" w:rsidR="00EA36E4" w:rsidRPr="007C4984" w:rsidRDefault="00EA36E4" w:rsidP="00EA36E4">
      <w:pPr>
        <w:spacing w:line="360" w:lineRule="auto"/>
        <w:ind w:left="720" w:hanging="720"/>
        <w:rPr>
          <w:b/>
          <w:bCs/>
          <w:sz w:val="28"/>
          <w:szCs w:val="28"/>
          <w:u w:val="single"/>
          <w:rtl/>
        </w:rPr>
      </w:pPr>
      <w:r w:rsidRPr="007C4984">
        <w:rPr>
          <w:rFonts w:hint="cs"/>
          <w:b/>
          <w:bCs/>
          <w:sz w:val="28"/>
          <w:szCs w:val="28"/>
          <w:u w:val="single"/>
          <w:rtl/>
        </w:rPr>
        <w:t>טענות הצדדים לעונש</w:t>
      </w:r>
    </w:p>
    <w:p w14:paraId="394E7D82" w14:textId="77777777" w:rsidR="00EA36E4" w:rsidRDefault="00EA36E4" w:rsidP="00EA36E4">
      <w:pPr>
        <w:spacing w:line="360" w:lineRule="auto"/>
        <w:ind w:left="720" w:hanging="720"/>
        <w:jc w:val="both"/>
        <w:rPr>
          <w:rtl/>
        </w:rPr>
      </w:pPr>
    </w:p>
    <w:p w14:paraId="1331AF02" w14:textId="77777777" w:rsidR="00EA36E4" w:rsidRDefault="00EA36E4" w:rsidP="00EA36E4">
      <w:pPr>
        <w:spacing w:line="360" w:lineRule="auto"/>
        <w:ind w:left="720"/>
        <w:jc w:val="both"/>
        <w:rPr>
          <w:rtl/>
        </w:rPr>
      </w:pPr>
      <w:r>
        <w:rPr>
          <w:rFonts w:hint="cs"/>
          <w:rtl/>
        </w:rPr>
        <w:lastRenderedPageBreak/>
        <w:t>6.</w:t>
      </w:r>
      <w:r>
        <w:rPr>
          <w:rFonts w:hint="cs"/>
          <w:rtl/>
        </w:rPr>
        <w:tab/>
        <w:t>בא כוח המאשימה טענה שיש להתייחס לכל אחד מהאישומים שב-</w:t>
      </w:r>
      <w:hyperlink r:id="rId24" w:history="1">
        <w:r w:rsidR="00B60172" w:rsidRPr="00B60172">
          <w:rPr>
            <w:color w:val="0000FF"/>
            <w:u w:val="single"/>
            <w:rtl/>
          </w:rPr>
          <w:t>ת"פ 56373-03-17</w:t>
        </w:r>
      </w:hyperlink>
      <w:r>
        <w:rPr>
          <w:rFonts w:hint="cs"/>
          <w:rtl/>
        </w:rPr>
        <w:t xml:space="preserve"> כאירוע העומד בפני עצמו ולכן מתחם העונש ההולם לכל אחד מהאירועים הללו נע בין 6 ועד 18 חודשי מאסר בפועל. בנוסף, טענה שלגבי העבירה של החזקת סם שלא לצריכה עצמית ב-</w:t>
      </w:r>
      <w:hyperlink r:id="rId25" w:history="1">
        <w:r w:rsidR="00B60172" w:rsidRPr="00B60172">
          <w:rPr>
            <w:color w:val="0000FF"/>
            <w:u w:val="single"/>
            <w:rtl/>
          </w:rPr>
          <w:t>ת"פ</w:t>
        </w:r>
        <w:r w:rsidR="00B60172" w:rsidRPr="00B60172">
          <w:rPr>
            <w:color w:val="0000FF"/>
            <w:u w:val="single"/>
            <w:rtl/>
          </w:rPr>
          <w:cr/>
          <w:t>68017-06-20</w:t>
        </w:r>
      </w:hyperlink>
      <w:r>
        <w:rPr>
          <w:rFonts w:hint="cs"/>
          <w:rtl/>
        </w:rPr>
        <w:t xml:space="preserve"> נע בין מאסר על תנאי ועד 10 חודשי מאסר בפועל. בנוסף, הפנתה לרישום הפלילי של הנאשם (ת/5) ואשר כולל 8 הרשעות קודמות בעבירות אלימות ועבירות רכוש. לחובתו של הנאשם מאסר על תנאי שקיימת מחלוקת בין הצדדים האם הוא חל בנסיבות העניין, או לא, ועל כך אדון בפרק נפרד. </w:t>
      </w:r>
    </w:p>
    <w:p w14:paraId="74139DD7" w14:textId="77777777" w:rsidR="00EA36E4" w:rsidRDefault="00EA36E4" w:rsidP="00EA36E4">
      <w:pPr>
        <w:spacing w:line="360" w:lineRule="auto"/>
        <w:ind w:left="720" w:hanging="720"/>
        <w:jc w:val="both"/>
        <w:rPr>
          <w:rtl/>
        </w:rPr>
      </w:pPr>
    </w:p>
    <w:p w14:paraId="2F9B3133" w14:textId="77777777" w:rsidR="00EA36E4" w:rsidRDefault="00EA36E4" w:rsidP="00EA36E4">
      <w:pPr>
        <w:spacing w:line="360" w:lineRule="auto"/>
        <w:ind w:left="720"/>
        <w:jc w:val="both"/>
        <w:rPr>
          <w:rtl/>
        </w:rPr>
      </w:pPr>
      <w:r>
        <w:rPr>
          <w:rFonts w:hint="cs"/>
          <w:rtl/>
        </w:rPr>
        <w:t>7.</w:t>
      </w:r>
      <w:r>
        <w:rPr>
          <w:rFonts w:hint="cs"/>
          <w:rtl/>
        </w:rPr>
        <w:tab/>
        <w:t xml:space="preserve">בא כוח הנאשם טען שלנאשם יש רקע פסיכיאטרי ויש לראות את העבירות מושא </w:t>
      </w:r>
      <w:hyperlink r:id="rId26" w:history="1">
        <w:r w:rsidR="00B60172" w:rsidRPr="00B60172">
          <w:rPr>
            <w:color w:val="0000FF"/>
            <w:u w:val="single"/>
            <w:rtl/>
          </w:rPr>
          <w:t>ת"פ</w:t>
        </w:r>
        <w:r w:rsidR="00B60172" w:rsidRPr="00B60172">
          <w:rPr>
            <w:color w:val="0000FF"/>
            <w:u w:val="single"/>
            <w:rtl/>
          </w:rPr>
          <w:cr/>
          <w:t>56373-03-17</w:t>
        </w:r>
      </w:hyperlink>
      <w:r>
        <w:rPr>
          <w:rFonts w:hint="cs"/>
          <w:rtl/>
        </w:rPr>
        <w:t xml:space="preserve"> כעבירות שבוצעו בקרבה לסייג לאחריות פלילית, דבר שמחייב הפחתה מגבולות מתחם העונש ההולם. בנוסף, הפנה לנסיבותיו האישיות של הנאשם, שהוא דר רחוב, ללא מסגרת תמיכה משפחתית ומתקיים מקצבה של המוסד לביטוח לאומי. כמו כן, טען שהמאסר על תנאי שניתן בעבר בעניינו אינו חל על העבירות מושא גזר הדין. </w:t>
      </w:r>
    </w:p>
    <w:p w14:paraId="6FBB412C" w14:textId="77777777" w:rsidR="00EA36E4" w:rsidRDefault="00EA36E4" w:rsidP="00EA36E4">
      <w:pPr>
        <w:spacing w:line="360" w:lineRule="auto"/>
        <w:ind w:left="720" w:hanging="720"/>
        <w:jc w:val="both"/>
        <w:rPr>
          <w:rtl/>
        </w:rPr>
      </w:pPr>
    </w:p>
    <w:p w14:paraId="7DC03868" w14:textId="77777777" w:rsidR="00EA36E4" w:rsidRPr="00C4783A" w:rsidRDefault="00EA36E4" w:rsidP="00EA36E4">
      <w:pPr>
        <w:spacing w:line="360" w:lineRule="auto"/>
        <w:ind w:left="720" w:hanging="720"/>
        <w:jc w:val="both"/>
        <w:rPr>
          <w:b/>
          <w:bCs/>
          <w:sz w:val="28"/>
          <w:szCs w:val="28"/>
          <w:u w:val="single"/>
          <w:rtl/>
        </w:rPr>
      </w:pPr>
      <w:r w:rsidRPr="00C4783A">
        <w:rPr>
          <w:rFonts w:hint="cs"/>
          <w:b/>
          <w:bCs/>
          <w:sz w:val="28"/>
          <w:szCs w:val="28"/>
          <w:u w:val="single"/>
          <w:rtl/>
        </w:rPr>
        <w:t>הטענה שהעבירות ב</w:t>
      </w:r>
      <w:hyperlink r:id="rId27" w:history="1">
        <w:r w:rsidR="00B60172" w:rsidRPr="00B60172">
          <w:rPr>
            <w:b/>
            <w:bCs/>
            <w:color w:val="0000FF"/>
            <w:sz w:val="28"/>
            <w:szCs w:val="28"/>
            <w:u w:val="single"/>
            <w:rtl/>
          </w:rPr>
          <w:t>ת"פ 56373-03-17</w:t>
        </w:r>
      </w:hyperlink>
      <w:r w:rsidRPr="00C4783A">
        <w:rPr>
          <w:rFonts w:hint="cs"/>
          <w:b/>
          <w:bCs/>
          <w:sz w:val="28"/>
          <w:szCs w:val="28"/>
          <w:u w:val="single"/>
          <w:rtl/>
        </w:rPr>
        <w:t xml:space="preserve"> בוצעו בקרבה לסייג לאחריות פלילית</w:t>
      </w:r>
    </w:p>
    <w:p w14:paraId="5240DEB3" w14:textId="77777777" w:rsidR="00EA36E4" w:rsidRDefault="00EA36E4" w:rsidP="00EA36E4">
      <w:pPr>
        <w:spacing w:line="360" w:lineRule="auto"/>
        <w:ind w:left="720" w:hanging="720"/>
        <w:jc w:val="both"/>
        <w:rPr>
          <w:rtl/>
        </w:rPr>
      </w:pPr>
    </w:p>
    <w:p w14:paraId="1DAC48AE" w14:textId="77777777" w:rsidR="00EA36E4" w:rsidRDefault="00EA36E4" w:rsidP="00EA36E4">
      <w:pPr>
        <w:spacing w:line="360" w:lineRule="auto"/>
        <w:ind w:left="720" w:hanging="720"/>
        <w:jc w:val="both"/>
        <w:rPr>
          <w:rtl/>
        </w:rPr>
      </w:pPr>
      <w:r>
        <w:rPr>
          <w:rFonts w:hint="cs"/>
          <w:rtl/>
        </w:rPr>
        <w:t>8.</w:t>
      </w:r>
      <w:r>
        <w:rPr>
          <w:rFonts w:hint="cs"/>
          <w:rtl/>
        </w:rPr>
        <w:tab/>
        <w:t>הטענה של ההגנה שעבירות האיומים שפורטו ב</w:t>
      </w:r>
      <w:hyperlink r:id="rId28" w:history="1">
        <w:r w:rsidR="00B60172" w:rsidRPr="00B60172">
          <w:rPr>
            <w:color w:val="0000FF"/>
            <w:u w:val="single"/>
            <w:rtl/>
          </w:rPr>
          <w:t>ת"פ 56373-03-17</w:t>
        </w:r>
      </w:hyperlink>
      <w:r>
        <w:rPr>
          <w:rFonts w:hint="cs"/>
          <w:rtl/>
        </w:rPr>
        <w:t xml:space="preserve"> בוצעו בקרבה לסייג לאחריות פלילית ולכן יש להפחית מגבולות מתחם העונש ההולם לגביהן, דינה להידחות. </w:t>
      </w:r>
    </w:p>
    <w:p w14:paraId="756CF1E8" w14:textId="77777777" w:rsidR="00EA36E4" w:rsidRDefault="00EA36E4" w:rsidP="00EA36E4">
      <w:pPr>
        <w:spacing w:line="360" w:lineRule="auto"/>
        <w:ind w:left="720" w:hanging="720"/>
        <w:jc w:val="both"/>
        <w:rPr>
          <w:rtl/>
        </w:rPr>
      </w:pPr>
    </w:p>
    <w:p w14:paraId="6F89420C" w14:textId="77777777" w:rsidR="00EA36E4" w:rsidRDefault="00EA36E4" w:rsidP="00EA36E4">
      <w:pPr>
        <w:spacing w:line="360" w:lineRule="auto"/>
        <w:ind w:left="720" w:hanging="720"/>
        <w:jc w:val="both"/>
        <w:rPr>
          <w:rtl/>
        </w:rPr>
      </w:pPr>
      <w:r>
        <w:rPr>
          <w:rFonts w:hint="cs"/>
          <w:rtl/>
        </w:rPr>
        <w:t>9.</w:t>
      </w:r>
      <w:r>
        <w:rPr>
          <w:rFonts w:hint="cs"/>
          <w:rtl/>
        </w:rPr>
        <w:tab/>
        <w:t xml:space="preserve">אומנם, עבירת האיומים באישום הראשון בוצעה בסמוך לשחרורו מבית החולים עקב אשפוז פסיכיאטרי ועבירת האיומים שבאישום השני בוצעה ביום שלאחר מכן. עם זאת, הנאשם לא הוכיח את טענתו שעבירות אלה בוצעו בקרבה לסייג לאחריות פלילית עקב אי שפיות הדעת. </w:t>
      </w:r>
    </w:p>
    <w:p w14:paraId="7FB7AE6E" w14:textId="77777777" w:rsidR="00EA36E4" w:rsidRDefault="00EA36E4" w:rsidP="00EA36E4">
      <w:pPr>
        <w:spacing w:line="360" w:lineRule="auto"/>
        <w:ind w:left="720" w:hanging="720"/>
        <w:jc w:val="both"/>
        <w:rPr>
          <w:rtl/>
        </w:rPr>
      </w:pPr>
    </w:p>
    <w:p w14:paraId="44ABBDB4" w14:textId="77777777" w:rsidR="00EA36E4" w:rsidRDefault="00EA36E4" w:rsidP="00EA36E4">
      <w:pPr>
        <w:spacing w:line="360" w:lineRule="auto"/>
        <w:ind w:left="720" w:hanging="720"/>
        <w:jc w:val="both"/>
        <w:rPr>
          <w:rtl/>
        </w:rPr>
      </w:pPr>
      <w:r>
        <w:rPr>
          <w:rFonts w:hint="cs"/>
          <w:rtl/>
        </w:rPr>
        <w:t>10.</w:t>
      </w:r>
      <w:r>
        <w:rPr>
          <w:rFonts w:hint="cs"/>
          <w:rtl/>
        </w:rPr>
        <w:tab/>
        <w:t xml:space="preserve">יוזכר, הנאשם כפר בעובדות שני האישומים ונשמעו הראיות עד תום. הנאשם לא טען שעומדת לו הגנה של "אי שפיות הדעת" לפי </w:t>
      </w:r>
      <w:hyperlink r:id="rId29" w:history="1">
        <w:r w:rsidR="0005640F" w:rsidRPr="0005640F">
          <w:rPr>
            <w:rStyle w:val="Hyperlink"/>
            <w:rFonts w:hint="eastAsia"/>
            <w:rtl/>
          </w:rPr>
          <w:t>סעיף</w:t>
        </w:r>
        <w:r w:rsidR="0005640F" w:rsidRPr="0005640F">
          <w:rPr>
            <w:rStyle w:val="Hyperlink"/>
            <w:rtl/>
          </w:rPr>
          <w:t xml:space="preserve"> 34ח</w:t>
        </w:r>
      </w:hyperlink>
      <w:r>
        <w:rPr>
          <w:rFonts w:hint="cs"/>
          <w:rtl/>
        </w:rPr>
        <w:t xml:space="preserve"> ל</w:t>
      </w:r>
      <w:hyperlink r:id="rId30" w:history="1">
        <w:r w:rsidR="00B60172" w:rsidRPr="00B60172">
          <w:rPr>
            <w:color w:val="0000FF"/>
            <w:u w:val="single"/>
            <w:rtl/>
          </w:rPr>
          <w:t>חוק העונשין</w:t>
        </w:r>
      </w:hyperlink>
      <w:r>
        <w:rPr>
          <w:rFonts w:hint="cs"/>
          <w:rtl/>
        </w:rPr>
        <w:t xml:space="preserve">, אלא טען שעומדת לו טענת "שכרות" לפי </w:t>
      </w:r>
      <w:hyperlink r:id="rId31" w:history="1">
        <w:r w:rsidR="0005640F" w:rsidRPr="0005640F">
          <w:rPr>
            <w:rStyle w:val="Hyperlink"/>
            <w:rFonts w:hint="eastAsia"/>
            <w:rtl/>
          </w:rPr>
          <w:t>סעיף</w:t>
        </w:r>
        <w:r w:rsidR="0005640F" w:rsidRPr="0005640F">
          <w:rPr>
            <w:rStyle w:val="Hyperlink"/>
            <w:rtl/>
          </w:rPr>
          <w:t xml:space="preserve"> 34ט</w:t>
        </w:r>
      </w:hyperlink>
      <w:r>
        <w:rPr>
          <w:rFonts w:hint="cs"/>
          <w:rtl/>
        </w:rPr>
        <w:t xml:space="preserve"> לחוק העונשין. הטענה שמתקיים הסייג של "שכרות" עקב נטילה של תרופות פסיכיאטריות נדונה בהרחבה בהכרעת הדין ונדחתה. </w:t>
      </w:r>
    </w:p>
    <w:p w14:paraId="0B997318" w14:textId="77777777" w:rsidR="00EA36E4" w:rsidRDefault="00EA36E4" w:rsidP="00EA36E4">
      <w:pPr>
        <w:spacing w:line="360" w:lineRule="auto"/>
        <w:ind w:left="720" w:hanging="720"/>
        <w:jc w:val="both"/>
        <w:rPr>
          <w:rtl/>
        </w:rPr>
      </w:pPr>
    </w:p>
    <w:p w14:paraId="18E104E3" w14:textId="77777777" w:rsidR="00EA36E4" w:rsidRDefault="00EA36E4" w:rsidP="00EA36E4">
      <w:pPr>
        <w:spacing w:line="360" w:lineRule="auto"/>
        <w:ind w:left="720" w:hanging="720"/>
        <w:jc w:val="both"/>
        <w:rPr>
          <w:rtl/>
        </w:rPr>
      </w:pPr>
      <w:r>
        <w:rPr>
          <w:rFonts w:hint="cs"/>
          <w:rtl/>
        </w:rPr>
        <w:t>11.</w:t>
      </w:r>
      <w:r>
        <w:rPr>
          <w:rFonts w:hint="cs"/>
          <w:rtl/>
        </w:rPr>
        <w:tab/>
        <w:t>יתר על כן, התקבלה חוות דעת פסיכיאטרית בעניינו של הנאשם מיום 29.1.18 ובה נקבע שלנאשם היתה כשירות מהותית ודיונית לעמוד לדין. בעמוד 2 לחוות הדעת נאמרו הדברים הבאים ואשר מתייחסים למועד שחרורו מבית החולים בעת ביצוע עבירת האיומים שבאישום הראשון:</w:t>
      </w:r>
    </w:p>
    <w:p w14:paraId="0B852F8A" w14:textId="77777777" w:rsidR="00EA36E4" w:rsidRDefault="00EA36E4" w:rsidP="00EA36E4">
      <w:pPr>
        <w:spacing w:line="360" w:lineRule="auto"/>
        <w:ind w:left="720" w:hanging="720"/>
        <w:jc w:val="both"/>
        <w:rPr>
          <w:rtl/>
        </w:rPr>
      </w:pPr>
    </w:p>
    <w:p w14:paraId="0F7D8805" w14:textId="77777777" w:rsidR="00EA36E4" w:rsidRDefault="00EA36E4" w:rsidP="00EA36E4">
      <w:pPr>
        <w:spacing w:line="360" w:lineRule="auto"/>
        <w:ind w:left="2160"/>
        <w:jc w:val="both"/>
        <w:rPr>
          <w:rtl/>
        </w:rPr>
      </w:pPr>
      <w:r>
        <w:rPr>
          <w:rFonts w:hint="cs"/>
          <w:rtl/>
        </w:rPr>
        <w:t xml:space="preserve">"על פי הרשומה הרפואית בעניינו מיום זה (29/12/16), שחרורו מהמחלקה נידון במסגרת וועדה פסיכיאטרית מחוזית, לאור התנגדות משפחתו לשחרורו מאשפוז. בעניינו נכתב (ע"י ד"ר זאנה יקירביץ, מנהלת המחלקה): </w:t>
      </w:r>
    </w:p>
    <w:p w14:paraId="5DD7D4D9" w14:textId="77777777" w:rsidR="00EA36E4" w:rsidRDefault="00EA36E4" w:rsidP="00EA36E4">
      <w:pPr>
        <w:spacing w:line="360" w:lineRule="auto"/>
        <w:ind w:left="2160"/>
        <w:jc w:val="both"/>
        <w:rPr>
          <w:rtl/>
        </w:rPr>
      </w:pPr>
      <w:r>
        <w:rPr>
          <w:rFonts w:hint="cs"/>
          <w:rtl/>
        </w:rPr>
        <w:t xml:space="preserve">"בוועדה התרשמו מקיום של קווי אישיות אנטי סוציאליים, </w:t>
      </w:r>
      <w:r w:rsidRPr="009B30FC">
        <w:rPr>
          <w:rFonts w:hint="cs"/>
          <w:u w:val="single"/>
          <w:rtl/>
        </w:rPr>
        <w:t>ללא תכנים פסיכוטיים</w:t>
      </w:r>
      <w:r>
        <w:rPr>
          <w:rFonts w:hint="cs"/>
          <w:rtl/>
        </w:rPr>
        <w:t>. התקבלה החלטה של פסיכיאטר מחוזי לשחררו. בימים האחרונים בלטו בצורה ניכרת התנהגות נצלנית, עבריינית, דרש תשומת לב רבה, היה מניפולטיבי, התייחס למטופלים ולצוות בצורה לא מכבדת ... הרושם שהמשך שהותו במחלקה מזיקה גם לו וגם למטופלים אחרים."</w:t>
      </w:r>
    </w:p>
    <w:p w14:paraId="3C0D690A" w14:textId="77777777" w:rsidR="00EA36E4" w:rsidRDefault="00EA36E4" w:rsidP="00EA36E4">
      <w:pPr>
        <w:spacing w:line="360" w:lineRule="auto"/>
        <w:ind w:left="2160"/>
        <w:jc w:val="both"/>
        <w:rPr>
          <w:rtl/>
        </w:rPr>
      </w:pPr>
    </w:p>
    <w:p w14:paraId="69838729" w14:textId="77777777" w:rsidR="00EA36E4" w:rsidRPr="00B05847" w:rsidRDefault="00EA36E4" w:rsidP="00EA36E4">
      <w:pPr>
        <w:spacing w:line="360" w:lineRule="auto"/>
        <w:ind w:left="2160"/>
        <w:jc w:val="both"/>
        <w:rPr>
          <w:rtl/>
        </w:rPr>
      </w:pPr>
      <w:r>
        <w:rPr>
          <w:rFonts w:hint="cs"/>
          <w:rtl/>
        </w:rPr>
        <w:t>(ההדגשה במקור)</w:t>
      </w:r>
    </w:p>
    <w:p w14:paraId="75E52AA0" w14:textId="77777777" w:rsidR="00EA36E4" w:rsidRPr="00B05847" w:rsidRDefault="00EA36E4" w:rsidP="00EA36E4">
      <w:pPr>
        <w:rPr>
          <w:rtl/>
        </w:rPr>
      </w:pPr>
    </w:p>
    <w:p w14:paraId="73A12A31" w14:textId="77777777" w:rsidR="00EA36E4" w:rsidRDefault="00EA36E4" w:rsidP="00EA36E4">
      <w:pPr>
        <w:spacing w:line="360" w:lineRule="auto"/>
        <w:ind w:left="720" w:hanging="720"/>
        <w:jc w:val="both"/>
        <w:rPr>
          <w:rtl/>
        </w:rPr>
      </w:pPr>
      <w:r>
        <w:rPr>
          <w:rFonts w:hint="cs"/>
          <w:rtl/>
        </w:rPr>
        <w:t>12.</w:t>
      </w:r>
      <w:r>
        <w:rPr>
          <w:rFonts w:hint="cs"/>
          <w:rtl/>
        </w:rPr>
        <w:tab/>
        <w:t xml:space="preserve">יתר על כן, בעמוד 3 לחוות הדעת הפסיכיאטרית מיום 29.1.18, נאמרו הדברים הבאים, שגם הם מתייחסים למצבו של הנאשם בסמוך למועד ביצוע עבירת האיומים באישום הראשון: </w:t>
      </w:r>
    </w:p>
    <w:p w14:paraId="08DC9390" w14:textId="77777777" w:rsidR="00EA36E4" w:rsidRDefault="00EA36E4" w:rsidP="00EA36E4">
      <w:pPr>
        <w:spacing w:line="360" w:lineRule="auto"/>
        <w:jc w:val="both"/>
        <w:rPr>
          <w:rtl/>
        </w:rPr>
      </w:pPr>
    </w:p>
    <w:p w14:paraId="1115B53C" w14:textId="77777777" w:rsidR="00EA36E4" w:rsidRDefault="00EA36E4" w:rsidP="00EA36E4">
      <w:pPr>
        <w:spacing w:line="360" w:lineRule="auto"/>
        <w:ind w:left="2160"/>
        <w:jc w:val="both"/>
        <w:rPr>
          <w:rtl/>
        </w:rPr>
      </w:pPr>
      <w:r>
        <w:rPr>
          <w:rFonts w:hint="cs"/>
          <w:rtl/>
        </w:rPr>
        <w:t xml:space="preserve">"במכתב סיכום האשפוז (חתום ע"י ד"ר זאנה יקירביץ, 29/12/16) שמתאר את מהלך האשפוז, נכתב בעניינו כדלקמן: "... התקשה לקבל גבולות וכללים של המסגרת ... יצא לחופשה ... שתה אלכוהול, השתמש בסמים, התנהג בצורה אלימה על פי דיווח של המשפחה ... חזר למחלקה ... היה קולני, דרשני, חסר שקט ... בני המשפחה פנו לפסיכיאטר המחוזי עם התנגדות לשחרור. הם תיארו התנהגות מאיימת כלפיהם בהיותו שיכור ... </w:t>
      </w:r>
      <w:r w:rsidRPr="00951DEE">
        <w:rPr>
          <w:rFonts w:hint="cs"/>
          <w:u w:val="single"/>
          <w:rtl/>
        </w:rPr>
        <w:t>בבדיקתו היום ... אין מחשבות שווא, אינו נראה הלוצ</w:t>
      </w:r>
      <w:r>
        <w:rPr>
          <w:rFonts w:hint="cs"/>
          <w:u w:val="single"/>
          <w:rtl/>
        </w:rPr>
        <w:t>י</w:t>
      </w:r>
      <w:r w:rsidRPr="00951DEE">
        <w:rPr>
          <w:rFonts w:hint="cs"/>
          <w:u w:val="single"/>
          <w:rtl/>
        </w:rPr>
        <w:t>נט</w:t>
      </w:r>
      <w:r>
        <w:rPr>
          <w:rFonts w:hint="cs"/>
          <w:u w:val="single"/>
          <w:rtl/>
        </w:rPr>
        <w:t>ו</w:t>
      </w:r>
      <w:r w:rsidRPr="00951DEE">
        <w:rPr>
          <w:rFonts w:hint="cs"/>
          <w:u w:val="single"/>
          <w:rtl/>
        </w:rPr>
        <w:t>רי...</w:t>
      </w:r>
      <w:r>
        <w:rPr>
          <w:rFonts w:hint="cs"/>
          <w:rtl/>
        </w:rPr>
        <w:t xml:space="preserve"> מבקש להשתחרר ... אינו רואה כל בעיה בשימוש בסמים ... </w:t>
      </w:r>
      <w:r w:rsidRPr="00951DEE">
        <w:rPr>
          <w:rFonts w:hint="cs"/>
          <w:u w:val="single"/>
          <w:rtl/>
        </w:rPr>
        <w:t>בבדיקות חוזרות לא התרשמנו מקיום של מצב פסיכוטי</w:t>
      </w:r>
      <w:r>
        <w:rPr>
          <w:rFonts w:hint="cs"/>
          <w:rtl/>
        </w:rPr>
        <w:t xml:space="preserve">, אלא דפוסי התנהגות אימפולסיביים ... </w:t>
      </w:r>
      <w:r w:rsidRPr="00951DEE">
        <w:rPr>
          <w:rFonts w:hint="cs"/>
          <w:u w:val="single"/>
          <w:rtl/>
        </w:rPr>
        <w:t>אין כל סיבה להמשך אשפוז במחלקה הפסיכיאטרית</w:t>
      </w:r>
      <w:r>
        <w:rPr>
          <w:rFonts w:hint="cs"/>
          <w:rtl/>
        </w:rPr>
        <w:t xml:space="preserve"> ... בדומה לאשפוזיו הקודמים, במהלך האשפוז ניכרו סימנים של התנהגות אימפולסיבית, מגמתית, נצלנית עם סף גירוי נמוך ...". </w:t>
      </w:r>
    </w:p>
    <w:p w14:paraId="08D681F0" w14:textId="77777777" w:rsidR="00EA36E4" w:rsidRDefault="00EA36E4" w:rsidP="00EA36E4">
      <w:pPr>
        <w:spacing w:line="360" w:lineRule="auto"/>
        <w:ind w:left="2160"/>
        <w:jc w:val="both"/>
        <w:rPr>
          <w:rtl/>
        </w:rPr>
      </w:pPr>
      <w:r>
        <w:rPr>
          <w:rFonts w:hint="cs"/>
          <w:rtl/>
        </w:rPr>
        <w:t xml:space="preserve">אבחנותיו במסגרת המסמך הנ"ל היו כדלקמן: שימוש לרעה בסמים ובחומרים פסיכו </w:t>
      </w:r>
      <w:r>
        <w:rPr>
          <w:rtl/>
        </w:rPr>
        <w:t>–</w:t>
      </w:r>
      <w:r>
        <w:rPr>
          <w:rFonts w:hint="cs"/>
          <w:rtl/>
        </w:rPr>
        <w:t xml:space="preserve"> אקטיביים וכן הפרעת אישיות אנטי </w:t>
      </w:r>
      <w:r>
        <w:rPr>
          <w:rtl/>
        </w:rPr>
        <w:t>–</w:t>
      </w:r>
      <w:r>
        <w:rPr>
          <w:rFonts w:hint="cs"/>
          <w:rtl/>
        </w:rPr>
        <w:t xml:space="preserve"> סוציאלית." </w:t>
      </w:r>
    </w:p>
    <w:p w14:paraId="28437E13" w14:textId="77777777" w:rsidR="00EA36E4" w:rsidRDefault="00EA36E4" w:rsidP="00EA36E4">
      <w:pPr>
        <w:spacing w:line="360" w:lineRule="auto"/>
        <w:ind w:left="2160"/>
        <w:jc w:val="both"/>
        <w:rPr>
          <w:rtl/>
        </w:rPr>
      </w:pPr>
    </w:p>
    <w:p w14:paraId="404866FC" w14:textId="77777777" w:rsidR="00EA36E4" w:rsidRDefault="00EA36E4" w:rsidP="00EA36E4">
      <w:pPr>
        <w:spacing w:line="360" w:lineRule="auto"/>
        <w:ind w:left="2160"/>
        <w:jc w:val="both"/>
        <w:rPr>
          <w:rtl/>
        </w:rPr>
      </w:pPr>
      <w:r>
        <w:rPr>
          <w:rFonts w:hint="cs"/>
          <w:rtl/>
        </w:rPr>
        <w:t>(ההדגשות במקור)</w:t>
      </w:r>
    </w:p>
    <w:p w14:paraId="34A3A159" w14:textId="77777777" w:rsidR="00EA36E4" w:rsidRDefault="00EA36E4" w:rsidP="00EA36E4">
      <w:pPr>
        <w:spacing w:line="360" w:lineRule="auto"/>
        <w:jc w:val="both"/>
        <w:rPr>
          <w:rtl/>
        </w:rPr>
      </w:pPr>
    </w:p>
    <w:p w14:paraId="047197F8" w14:textId="77777777" w:rsidR="00EA36E4" w:rsidRDefault="00EA36E4" w:rsidP="00EA36E4">
      <w:pPr>
        <w:spacing w:line="360" w:lineRule="auto"/>
        <w:ind w:left="720" w:hanging="720"/>
        <w:jc w:val="both"/>
        <w:rPr>
          <w:rtl/>
        </w:rPr>
      </w:pPr>
      <w:r>
        <w:rPr>
          <w:rFonts w:hint="cs"/>
          <w:rtl/>
        </w:rPr>
        <w:t>13.</w:t>
      </w:r>
      <w:r>
        <w:rPr>
          <w:rFonts w:hint="cs"/>
          <w:rtl/>
        </w:rPr>
        <w:tab/>
        <w:t xml:space="preserve">הדברים שהובאו לעיל מתוך חוות הדעת הפסיכיאטרית מיום 29.1.18 ואשר מצטטים את סיכום האשפוז בעניינו מיום 29.12.16, קרי מועד ביצוע עבירת האיומים כלפי האח של בית החולים בעת שחרורו מאשפוזו, מדברים בעד עצמם. די בהם על מנת לדחות את טענתו של הנאשם שבעת ביצוע עבירת האיומים באישום הראשון ובעת ביצוע עבירת האיומים באישום השני, היה במצב של קרבה לסייג של אחריות פלילית. </w:t>
      </w:r>
    </w:p>
    <w:p w14:paraId="14DFC742" w14:textId="77777777" w:rsidR="00EA36E4" w:rsidRDefault="00EA36E4" w:rsidP="00EA36E4">
      <w:pPr>
        <w:spacing w:line="360" w:lineRule="auto"/>
        <w:ind w:left="720" w:hanging="720"/>
        <w:jc w:val="both"/>
        <w:rPr>
          <w:rtl/>
        </w:rPr>
      </w:pPr>
    </w:p>
    <w:p w14:paraId="67EBF15C" w14:textId="77777777" w:rsidR="00EA36E4" w:rsidRPr="00E22CDD" w:rsidRDefault="00EA36E4" w:rsidP="00EA36E4">
      <w:pPr>
        <w:spacing w:line="360" w:lineRule="auto"/>
        <w:ind w:left="720" w:hanging="720"/>
        <w:jc w:val="both"/>
        <w:rPr>
          <w:b/>
          <w:bCs/>
          <w:sz w:val="28"/>
          <w:szCs w:val="28"/>
          <w:u w:val="single"/>
          <w:rtl/>
        </w:rPr>
      </w:pPr>
      <w:r w:rsidRPr="00E22CDD">
        <w:rPr>
          <w:rFonts w:hint="cs"/>
          <w:b/>
          <w:bCs/>
          <w:sz w:val="28"/>
          <w:szCs w:val="28"/>
          <w:u w:val="single"/>
          <w:rtl/>
        </w:rPr>
        <w:t xml:space="preserve">הטענה של הנאשם שהמאסר על תנאי לא חל </w:t>
      </w:r>
    </w:p>
    <w:p w14:paraId="61975413" w14:textId="77777777" w:rsidR="00EA36E4" w:rsidRDefault="00EA36E4" w:rsidP="00EA36E4">
      <w:pPr>
        <w:spacing w:line="360" w:lineRule="auto"/>
        <w:ind w:left="720" w:hanging="720"/>
        <w:jc w:val="both"/>
        <w:rPr>
          <w:rtl/>
        </w:rPr>
      </w:pPr>
    </w:p>
    <w:p w14:paraId="05814E33" w14:textId="77777777" w:rsidR="00EA36E4" w:rsidRDefault="00EA36E4" w:rsidP="00EA36E4">
      <w:pPr>
        <w:spacing w:line="360" w:lineRule="auto"/>
        <w:ind w:left="720" w:hanging="720"/>
        <w:jc w:val="both"/>
        <w:rPr>
          <w:rtl/>
        </w:rPr>
      </w:pPr>
      <w:r>
        <w:rPr>
          <w:rFonts w:hint="cs"/>
          <w:rtl/>
        </w:rPr>
        <w:t>14.</w:t>
      </w:r>
      <w:r>
        <w:rPr>
          <w:rFonts w:hint="cs"/>
          <w:rtl/>
        </w:rPr>
        <w:tab/>
        <w:t xml:space="preserve">במסגרת </w:t>
      </w:r>
      <w:hyperlink r:id="rId32" w:history="1">
        <w:r w:rsidR="00B60172" w:rsidRPr="00B60172">
          <w:rPr>
            <w:color w:val="0000FF"/>
            <w:u w:val="single"/>
            <w:rtl/>
          </w:rPr>
          <w:t>תפ"ח (מחוזי מרכז) 66174-09-14</w:t>
        </w:r>
      </w:hyperlink>
      <w:r>
        <w:rPr>
          <w:rFonts w:hint="cs"/>
          <w:rtl/>
        </w:rPr>
        <w:t xml:space="preserve"> מיום 8.2.16, ניתן גזר דין בעניינו של הנאשם עקב הרשעתו בעבירות של הטרדה מינית והתנכלות וכן תקיפה הגורמת חבלה. הושת על הנאשם, בין השאר, מאסר על תנאי שנוסח כדלקמן (להלן </w:t>
      </w:r>
      <w:r>
        <w:rPr>
          <w:rtl/>
        </w:rPr>
        <w:t>–</w:t>
      </w:r>
      <w:r>
        <w:rPr>
          <w:rFonts w:hint="cs"/>
          <w:rtl/>
        </w:rPr>
        <w:t xml:space="preserve"> </w:t>
      </w:r>
      <w:r w:rsidRPr="00E22CDD">
        <w:rPr>
          <w:rFonts w:hint="cs"/>
          <w:b/>
          <w:bCs/>
          <w:rtl/>
        </w:rPr>
        <w:t>המאסר על תנאי</w:t>
      </w:r>
      <w:r>
        <w:rPr>
          <w:rFonts w:hint="cs"/>
          <w:rtl/>
        </w:rPr>
        <w:t xml:space="preserve">): </w:t>
      </w:r>
    </w:p>
    <w:p w14:paraId="4CA1A037" w14:textId="77777777" w:rsidR="00EA36E4" w:rsidRDefault="00EA36E4" w:rsidP="00EA36E4">
      <w:pPr>
        <w:spacing w:line="360" w:lineRule="auto"/>
        <w:ind w:left="720" w:hanging="720"/>
        <w:jc w:val="both"/>
        <w:rPr>
          <w:rtl/>
        </w:rPr>
      </w:pPr>
    </w:p>
    <w:p w14:paraId="6F8C45D4" w14:textId="77777777" w:rsidR="00EA36E4" w:rsidRDefault="00EA36E4" w:rsidP="00EA36E4">
      <w:pPr>
        <w:spacing w:line="360" w:lineRule="auto"/>
        <w:ind w:left="2160"/>
        <w:jc w:val="both"/>
        <w:rPr>
          <w:rtl/>
        </w:rPr>
      </w:pPr>
      <w:r>
        <w:rPr>
          <w:rFonts w:hint="cs"/>
          <w:rtl/>
        </w:rPr>
        <w:t xml:space="preserve">"4 חודשי מאסר על תנאי, התנאי הוא שהנאשם לא יעבור תוך שלוש שנים מהיום אחת מהעבירות שבהן הורשע וכן כל עבירת מין, או </w:t>
      </w:r>
      <w:r w:rsidRPr="009523C8">
        <w:rPr>
          <w:rFonts w:hint="cs"/>
          <w:u w:val="single"/>
          <w:rtl/>
        </w:rPr>
        <w:t>עבירת אלימות כלפי הגוף</w:t>
      </w:r>
      <w:r>
        <w:rPr>
          <w:rFonts w:hint="cs"/>
          <w:rtl/>
        </w:rPr>
        <w:t>".</w:t>
      </w:r>
    </w:p>
    <w:p w14:paraId="735FCCC6" w14:textId="77777777" w:rsidR="00EA36E4" w:rsidRDefault="00EA36E4" w:rsidP="00EA36E4">
      <w:pPr>
        <w:spacing w:line="360" w:lineRule="auto"/>
        <w:ind w:left="2160"/>
        <w:jc w:val="both"/>
        <w:rPr>
          <w:rtl/>
        </w:rPr>
      </w:pPr>
    </w:p>
    <w:p w14:paraId="3D3FC463" w14:textId="77777777" w:rsidR="00EA36E4" w:rsidRPr="00B05847" w:rsidRDefault="00EA36E4" w:rsidP="00EA36E4">
      <w:pPr>
        <w:spacing w:line="360" w:lineRule="auto"/>
        <w:ind w:left="2160"/>
        <w:jc w:val="both"/>
        <w:rPr>
          <w:rtl/>
        </w:rPr>
      </w:pPr>
      <w:r>
        <w:rPr>
          <w:rFonts w:hint="cs"/>
          <w:rtl/>
        </w:rPr>
        <w:t>(ההדגשה שלי, ה'א'ש')</w:t>
      </w:r>
    </w:p>
    <w:p w14:paraId="525DD890" w14:textId="77777777" w:rsidR="00EA36E4" w:rsidRDefault="00EA36E4" w:rsidP="00EA36E4">
      <w:pPr>
        <w:jc w:val="both"/>
        <w:rPr>
          <w:rtl/>
        </w:rPr>
      </w:pPr>
      <w:r>
        <w:rPr>
          <w:rtl/>
        </w:rPr>
        <w:tab/>
      </w:r>
    </w:p>
    <w:p w14:paraId="7549FAE7" w14:textId="77777777" w:rsidR="00EA36E4" w:rsidRDefault="00EA36E4" w:rsidP="00EA36E4">
      <w:pPr>
        <w:spacing w:line="360" w:lineRule="auto"/>
        <w:ind w:left="720" w:hanging="720"/>
        <w:jc w:val="both"/>
        <w:rPr>
          <w:rtl/>
        </w:rPr>
      </w:pPr>
      <w:r>
        <w:rPr>
          <w:rFonts w:hint="cs"/>
          <w:rtl/>
        </w:rPr>
        <w:t>15.</w:t>
      </w:r>
      <w:r>
        <w:rPr>
          <w:rFonts w:hint="cs"/>
          <w:rtl/>
        </w:rPr>
        <w:tab/>
        <w:t xml:space="preserve">המאשימה טענה שהרשעתו של הנאשם בשתי עבירות אלימות בשני מועדים שונים וזאת במסגרת </w:t>
      </w:r>
      <w:hyperlink r:id="rId33" w:history="1">
        <w:r w:rsidR="00B60172" w:rsidRPr="00B60172">
          <w:rPr>
            <w:color w:val="0000FF"/>
            <w:u w:val="single"/>
            <w:rtl/>
          </w:rPr>
          <w:t>ת"פ 56373-03-17</w:t>
        </w:r>
      </w:hyperlink>
      <w:r>
        <w:rPr>
          <w:rFonts w:hint="cs"/>
          <w:rtl/>
        </w:rPr>
        <w:t xml:space="preserve">, עושה את המאסר על תנאי שהובא לעיל לחב הפעלה. לעומת זאת, ההגנה טענה שהמאסר על תנאי מתייחס ל"עבירת אלימות כלפי הגוף", קרי אלימות פיזית ממש על ידי תקיפת גופו של אדם, ולא איומים לפגוע בגוף. </w:t>
      </w:r>
    </w:p>
    <w:p w14:paraId="322B7405" w14:textId="77777777" w:rsidR="00EA36E4" w:rsidRDefault="00EA36E4" w:rsidP="00EA36E4">
      <w:pPr>
        <w:spacing w:line="360" w:lineRule="auto"/>
        <w:ind w:left="720" w:hanging="720"/>
        <w:jc w:val="both"/>
        <w:rPr>
          <w:rtl/>
        </w:rPr>
      </w:pPr>
    </w:p>
    <w:p w14:paraId="480EA049" w14:textId="77777777" w:rsidR="00EA36E4" w:rsidRDefault="00EA36E4" w:rsidP="00EA36E4">
      <w:pPr>
        <w:spacing w:line="360" w:lineRule="auto"/>
        <w:ind w:left="720" w:hanging="720"/>
        <w:jc w:val="both"/>
        <w:rPr>
          <w:rtl/>
        </w:rPr>
      </w:pPr>
      <w:r>
        <w:rPr>
          <w:rFonts w:hint="cs"/>
          <w:rtl/>
        </w:rPr>
        <w:t>16.</w:t>
      </w:r>
      <w:r>
        <w:rPr>
          <w:rFonts w:hint="cs"/>
          <w:rtl/>
        </w:rPr>
        <w:tab/>
        <w:t xml:space="preserve">טענת ההגנה דינה להידחות והנני קובע כי המאסר על תנאי הוא אכן חב הפעלה, כפי שטענה המאשימה. </w:t>
      </w:r>
    </w:p>
    <w:p w14:paraId="7427DA65" w14:textId="77777777" w:rsidR="00EA36E4" w:rsidRDefault="00EA36E4" w:rsidP="00EA36E4">
      <w:pPr>
        <w:spacing w:line="360" w:lineRule="auto"/>
        <w:ind w:left="720" w:hanging="720"/>
        <w:jc w:val="both"/>
        <w:rPr>
          <w:rtl/>
        </w:rPr>
      </w:pPr>
    </w:p>
    <w:p w14:paraId="37F258A4" w14:textId="77777777" w:rsidR="00EA36E4" w:rsidRDefault="00EA36E4" w:rsidP="00EA36E4">
      <w:pPr>
        <w:spacing w:line="360" w:lineRule="auto"/>
        <w:ind w:left="720" w:hanging="720"/>
        <w:jc w:val="both"/>
        <w:rPr>
          <w:rtl/>
        </w:rPr>
      </w:pPr>
      <w:r>
        <w:rPr>
          <w:rFonts w:hint="cs"/>
          <w:rtl/>
        </w:rPr>
        <w:t>17.</w:t>
      </w:r>
      <w:r>
        <w:rPr>
          <w:rFonts w:hint="cs"/>
          <w:rtl/>
        </w:rPr>
        <w:tab/>
      </w:r>
      <w:r>
        <w:rPr>
          <w:rtl/>
        </w:rPr>
        <w:t>הלכה מושרשת וידועה היא שהמבחן לתחולתו של מאסר על תנאי הוא מבחן מהותי ענייני ולא מבחן טכני פורמאלי.</w:t>
      </w:r>
      <w:r>
        <w:rPr>
          <w:rFonts w:hint="cs"/>
          <w:rtl/>
        </w:rPr>
        <w:t xml:space="preserve"> במקרה שבפני, על פניו, ברור שיש להפעיל את המאסר על תנאי. כידוע, כבר נקבע בפסיקה כי בעת שניתן מאסר על תנאי לגבי "עבירת אלימות", הדבר כולל בתוכו גם "עבירת איומים". כמו כן, נקבע: "</w:t>
      </w:r>
      <w:r w:rsidRPr="00E22CDD">
        <w:rPr>
          <w:rFonts w:hint="cs"/>
          <w:b/>
          <w:bCs/>
          <w:rtl/>
        </w:rPr>
        <w:t xml:space="preserve">כי שימוש בכח לשם פגיעה בגופו של אחר, או איום לעשות שימוש בכח שכזה, הם מן המעשים המצויים בגרעינו של אותו </w:t>
      </w:r>
      <w:r w:rsidRPr="00567C57">
        <w:rPr>
          <w:rFonts w:hint="cs"/>
          <w:b/>
          <w:bCs/>
          <w:rtl/>
        </w:rPr>
        <w:t>מושג</w:t>
      </w:r>
      <w:r>
        <w:rPr>
          <w:rFonts w:hint="cs"/>
          <w:b/>
          <w:bCs/>
          <w:rtl/>
        </w:rPr>
        <w:t xml:space="preserve"> </w:t>
      </w:r>
      <w:r w:rsidRPr="00567C57">
        <w:rPr>
          <w:rFonts w:hint="cs"/>
          <w:i/>
          <w:iCs/>
          <w:rtl/>
        </w:rPr>
        <w:t xml:space="preserve"> [האלימות </w:t>
      </w:r>
      <w:r w:rsidRPr="00567C57">
        <w:rPr>
          <w:i/>
          <w:iCs/>
          <w:rtl/>
        </w:rPr>
        <w:t>–</w:t>
      </w:r>
      <w:r w:rsidRPr="00567C57">
        <w:rPr>
          <w:rFonts w:hint="cs"/>
          <w:i/>
          <w:iCs/>
          <w:rtl/>
        </w:rPr>
        <w:t xml:space="preserve"> ה'</w:t>
      </w:r>
      <w:r>
        <w:rPr>
          <w:rFonts w:hint="cs"/>
          <w:i/>
          <w:iCs/>
          <w:rtl/>
        </w:rPr>
        <w:t>א</w:t>
      </w:r>
      <w:r w:rsidRPr="00567C57">
        <w:rPr>
          <w:rFonts w:hint="cs"/>
          <w:i/>
          <w:iCs/>
          <w:rtl/>
        </w:rPr>
        <w:t>'ש'].</w:t>
      </w:r>
      <w:r w:rsidRPr="00E22CDD">
        <w:rPr>
          <w:rFonts w:hint="cs"/>
          <w:b/>
          <w:bCs/>
          <w:rtl/>
        </w:rPr>
        <w:t xml:space="preserve"> פלוני, המגלה בדיבורו רצון לחנוק בזרועותיו לחנוק אחר </w:t>
      </w:r>
      <w:r w:rsidRPr="00E22CDD">
        <w:rPr>
          <w:b/>
          <w:bCs/>
          <w:rtl/>
        </w:rPr>
        <w:t>–</w:t>
      </w:r>
      <w:r w:rsidRPr="00E22CDD">
        <w:rPr>
          <w:rFonts w:hint="cs"/>
          <w:b/>
          <w:bCs/>
          <w:rtl/>
        </w:rPr>
        <w:t xml:space="preserve"> וכך עשה המבקש שבפני </w:t>
      </w:r>
      <w:r w:rsidRPr="00E22CDD">
        <w:rPr>
          <w:b/>
          <w:bCs/>
          <w:rtl/>
        </w:rPr>
        <w:t>–</w:t>
      </w:r>
      <w:r w:rsidRPr="00E22CDD">
        <w:rPr>
          <w:rFonts w:hint="cs"/>
          <w:b/>
          <w:bCs/>
          <w:rtl/>
        </w:rPr>
        <w:t xml:space="preserve"> נוהג לפי כל דעה מנהג אלים</w:t>
      </w:r>
      <w:r>
        <w:rPr>
          <w:rFonts w:hint="cs"/>
          <w:rtl/>
        </w:rPr>
        <w:t>" (</w:t>
      </w:r>
      <w:hyperlink r:id="rId34" w:history="1">
        <w:r w:rsidR="00B60172" w:rsidRPr="00B60172">
          <w:rPr>
            <w:color w:val="0000FF"/>
            <w:u w:val="single"/>
            <w:rtl/>
          </w:rPr>
          <w:t>רע"פ 8188/09</w:t>
        </w:r>
      </w:hyperlink>
      <w:r>
        <w:rPr>
          <w:rFonts w:hint="cs"/>
          <w:rtl/>
        </w:rPr>
        <w:t xml:space="preserve"> </w:t>
      </w:r>
      <w:r w:rsidRPr="004255BC">
        <w:rPr>
          <w:rFonts w:hint="cs"/>
          <w:b/>
          <w:bCs/>
          <w:rtl/>
        </w:rPr>
        <w:t>דבורה נ' מדינת ישראל</w:t>
      </w:r>
      <w:r>
        <w:rPr>
          <w:rFonts w:hint="cs"/>
          <w:rtl/>
        </w:rPr>
        <w:t xml:space="preserve">, פורסם בנבו, 25.10.09, פסקה 4 להחלטתו של כבוד השופט לוי). </w:t>
      </w:r>
    </w:p>
    <w:p w14:paraId="673F6078" w14:textId="77777777" w:rsidR="00EA36E4" w:rsidRDefault="00EA36E4" w:rsidP="00EA36E4">
      <w:pPr>
        <w:spacing w:line="360" w:lineRule="auto"/>
        <w:ind w:left="720" w:hanging="720"/>
        <w:jc w:val="both"/>
        <w:rPr>
          <w:rtl/>
        </w:rPr>
      </w:pPr>
    </w:p>
    <w:p w14:paraId="0564D415" w14:textId="77777777" w:rsidR="00EA36E4" w:rsidRDefault="00EA36E4" w:rsidP="00EA36E4">
      <w:pPr>
        <w:spacing w:line="360" w:lineRule="auto"/>
        <w:ind w:left="720" w:hanging="720"/>
        <w:jc w:val="both"/>
        <w:rPr>
          <w:rtl/>
        </w:rPr>
      </w:pPr>
      <w:r>
        <w:rPr>
          <w:rFonts w:hint="cs"/>
          <w:rtl/>
        </w:rPr>
        <w:t>18.</w:t>
      </w:r>
      <w:r>
        <w:rPr>
          <w:rFonts w:hint="cs"/>
          <w:rtl/>
        </w:rPr>
        <w:tab/>
        <w:t xml:space="preserve">במסגרת </w:t>
      </w:r>
      <w:hyperlink r:id="rId35" w:history="1">
        <w:r w:rsidR="00B60172" w:rsidRPr="00B60172">
          <w:rPr>
            <w:color w:val="0000FF"/>
            <w:u w:val="single"/>
            <w:rtl/>
          </w:rPr>
          <w:t>ת"פ 56373-03-17</w:t>
        </w:r>
      </w:hyperlink>
      <w:r>
        <w:rPr>
          <w:rFonts w:hint="cs"/>
          <w:rtl/>
        </w:rPr>
        <w:t xml:space="preserve"> הנאשם איים באישום הראשון לפגוע </w:t>
      </w:r>
      <w:r w:rsidRPr="0059118A">
        <w:rPr>
          <w:rFonts w:hint="cs"/>
          <w:u w:val="single"/>
          <w:rtl/>
        </w:rPr>
        <w:t>בגופו</w:t>
      </w:r>
      <w:r>
        <w:rPr>
          <w:rFonts w:hint="cs"/>
          <w:rtl/>
        </w:rPr>
        <w:t xml:space="preserve"> של האח שעבד בבית החולים, ובאישום השני, איים לפגוע </w:t>
      </w:r>
      <w:r w:rsidRPr="0059118A">
        <w:rPr>
          <w:rFonts w:hint="cs"/>
          <w:u w:val="single"/>
          <w:rtl/>
        </w:rPr>
        <w:t>בגופם</w:t>
      </w:r>
      <w:r>
        <w:rPr>
          <w:rFonts w:hint="cs"/>
          <w:rtl/>
        </w:rPr>
        <w:t xml:space="preserve"> של השוטרים שבאו לעצור אותו. אילו היה מאיים לפגוע </w:t>
      </w:r>
      <w:r w:rsidRPr="00B60645">
        <w:rPr>
          <w:rFonts w:hint="cs"/>
          <w:u w:val="single"/>
          <w:rtl/>
        </w:rPr>
        <w:t>ברכושם</w:t>
      </w:r>
      <w:r>
        <w:rPr>
          <w:rFonts w:hint="cs"/>
          <w:rtl/>
        </w:rPr>
        <w:t xml:space="preserve">, או </w:t>
      </w:r>
      <w:r w:rsidRPr="00B60645">
        <w:rPr>
          <w:rFonts w:hint="cs"/>
          <w:u w:val="single"/>
          <w:rtl/>
        </w:rPr>
        <w:t>בשמם הטוב</w:t>
      </w:r>
      <w:r>
        <w:rPr>
          <w:rFonts w:hint="cs"/>
          <w:u w:val="single"/>
          <w:rtl/>
        </w:rPr>
        <w:t>,</w:t>
      </w:r>
      <w:r w:rsidRPr="00B60645">
        <w:rPr>
          <w:rFonts w:hint="cs"/>
          <w:rtl/>
        </w:rPr>
        <w:t xml:space="preserve"> בלבד</w:t>
      </w:r>
      <w:r>
        <w:rPr>
          <w:rFonts w:hint="cs"/>
          <w:rtl/>
        </w:rPr>
        <w:t xml:space="preserve">, ייתכן שניתן היה לטעון שהמאסר על תנאי לא חל, אך זה לא המקרה. </w:t>
      </w:r>
    </w:p>
    <w:p w14:paraId="0828E01B" w14:textId="77777777" w:rsidR="00EA36E4" w:rsidRDefault="00EA36E4" w:rsidP="00EA36E4">
      <w:pPr>
        <w:spacing w:line="360" w:lineRule="auto"/>
        <w:ind w:left="720" w:hanging="720"/>
        <w:jc w:val="both"/>
        <w:rPr>
          <w:rtl/>
        </w:rPr>
      </w:pPr>
    </w:p>
    <w:p w14:paraId="232A214F" w14:textId="77777777" w:rsidR="00EA36E4" w:rsidRDefault="00EA36E4" w:rsidP="00EA36E4">
      <w:pPr>
        <w:spacing w:line="360" w:lineRule="auto"/>
        <w:ind w:left="720" w:hanging="720"/>
        <w:jc w:val="both"/>
        <w:rPr>
          <w:rtl/>
        </w:rPr>
      </w:pPr>
      <w:r>
        <w:rPr>
          <w:rFonts w:hint="cs"/>
          <w:rtl/>
        </w:rPr>
        <w:t>19.</w:t>
      </w:r>
      <w:r>
        <w:rPr>
          <w:rFonts w:hint="cs"/>
          <w:rtl/>
        </w:rPr>
        <w:tab/>
        <w:t>כידוע, הפסיקה נתנה לביטוי שנהוג לכלול במאסרים על תנאי "</w:t>
      </w:r>
      <w:r w:rsidRPr="00E22CDD">
        <w:rPr>
          <w:rFonts w:hint="cs"/>
          <w:b/>
          <w:bCs/>
          <w:rtl/>
        </w:rPr>
        <w:t>שלא יעבור עבירת אלימות</w:t>
      </w:r>
      <w:r>
        <w:rPr>
          <w:rFonts w:hint="cs"/>
          <w:rtl/>
        </w:rPr>
        <w:t xml:space="preserve">", פרשנות מהותית ומרחיבה. ראו למשל: </w:t>
      </w:r>
    </w:p>
    <w:p w14:paraId="224CA1B4" w14:textId="77777777" w:rsidR="00EA36E4" w:rsidRDefault="00EA36E4" w:rsidP="00EA36E4">
      <w:pPr>
        <w:spacing w:line="360" w:lineRule="auto"/>
        <w:ind w:left="720" w:hanging="720"/>
        <w:jc w:val="both"/>
        <w:rPr>
          <w:rtl/>
        </w:rPr>
      </w:pPr>
    </w:p>
    <w:p w14:paraId="70E42D3C" w14:textId="77777777" w:rsidR="00EA36E4" w:rsidRDefault="00EA36E4" w:rsidP="00EA36E4">
      <w:pPr>
        <w:spacing w:line="360" w:lineRule="auto"/>
        <w:ind w:left="1440" w:hanging="720"/>
        <w:jc w:val="both"/>
      </w:pPr>
      <w:r>
        <w:rPr>
          <w:rFonts w:hint="cs"/>
          <w:rtl/>
        </w:rPr>
        <w:t>א.</w:t>
      </w:r>
      <w:r>
        <w:rPr>
          <w:rFonts w:hint="cs"/>
          <w:rtl/>
        </w:rPr>
        <w:tab/>
      </w:r>
      <w:hyperlink r:id="rId36" w:history="1">
        <w:r w:rsidR="00B60172" w:rsidRPr="00B60172">
          <w:rPr>
            <w:color w:val="0000FF"/>
            <w:u w:val="single"/>
            <w:rtl/>
          </w:rPr>
          <w:t>ע"פ 6420/10</w:t>
        </w:r>
      </w:hyperlink>
      <w:r>
        <w:rPr>
          <w:rtl/>
        </w:rPr>
        <w:t xml:space="preserve"> </w:t>
      </w:r>
      <w:r>
        <w:rPr>
          <w:b/>
          <w:bCs/>
          <w:rtl/>
        </w:rPr>
        <w:t xml:space="preserve">סלסנר נגד מדינת ישראל </w:t>
      </w:r>
      <w:r>
        <w:rPr>
          <w:rtl/>
        </w:rPr>
        <w:t xml:space="preserve">(פורסם בנבו, 23.8.11). באותו מקרה, הושת על המערער בעבר מאסר על תנאי שבו נאמר </w:t>
      </w:r>
      <w:r>
        <w:rPr>
          <w:u w:val="single"/>
          <w:rtl/>
        </w:rPr>
        <w:t>"שלא יעבור כל עבירת אלימות</w:t>
      </w:r>
      <w:r>
        <w:rPr>
          <w:rtl/>
        </w:rPr>
        <w:t xml:space="preserve">".  במהלך תקופת התנאי הנאשם ביצע עבירת שוד לפי </w:t>
      </w:r>
      <w:hyperlink r:id="rId37" w:history="1">
        <w:r w:rsidR="0005640F" w:rsidRPr="0005640F">
          <w:rPr>
            <w:rStyle w:val="Hyperlink"/>
            <w:rtl/>
          </w:rPr>
          <w:t>סעיף 402(א)</w:t>
        </w:r>
      </w:hyperlink>
      <w:r>
        <w:rPr>
          <w:rtl/>
        </w:rPr>
        <w:t xml:space="preserve"> ל</w:t>
      </w:r>
      <w:hyperlink r:id="rId38" w:history="1">
        <w:r w:rsidR="00B60172" w:rsidRPr="00B60172">
          <w:rPr>
            <w:color w:val="0000FF"/>
            <w:u w:val="single"/>
            <w:rtl/>
          </w:rPr>
          <w:t>חוק העונשין</w:t>
        </w:r>
      </w:hyperlink>
      <w:r>
        <w:rPr>
          <w:rtl/>
        </w:rPr>
        <w:t xml:space="preserve"> ואשר נאמר בו "הגונב דבר, ובשעת מעשה או בתכוף לפניו או לאחריו מבצע או </w:t>
      </w:r>
      <w:r>
        <w:rPr>
          <w:u w:val="single"/>
          <w:rtl/>
        </w:rPr>
        <w:t>מאיים</w:t>
      </w:r>
      <w:r>
        <w:rPr>
          <w:rtl/>
        </w:rPr>
        <w:t xml:space="preserve"> לבצע מעשה אלימות באדם...".  וכאן עלתה השאלה האם איום לבצע אלימות הוא בגדר עבירת אלימות.  בית המשפט העליון השיב על שאלה זו בחיוב תוך הפעלת המבחן המהותי. </w:t>
      </w:r>
    </w:p>
    <w:p w14:paraId="7CA8557F" w14:textId="77777777" w:rsidR="00EA36E4" w:rsidRDefault="00EA36E4" w:rsidP="00EA36E4">
      <w:pPr>
        <w:spacing w:line="360" w:lineRule="auto"/>
        <w:ind w:left="1440" w:hanging="720"/>
        <w:jc w:val="both"/>
        <w:rPr>
          <w:rtl/>
        </w:rPr>
      </w:pPr>
    </w:p>
    <w:p w14:paraId="60E4EF55" w14:textId="77777777" w:rsidR="00EA36E4" w:rsidRDefault="00EA36E4" w:rsidP="00EA36E4">
      <w:pPr>
        <w:spacing w:line="360" w:lineRule="auto"/>
        <w:ind w:left="1440" w:hanging="720"/>
        <w:jc w:val="both"/>
        <w:rPr>
          <w:rtl/>
        </w:rPr>
      </w:pPr>
      <w:r>
        <w:rPr>
          <w:rFonts w:hint="cs"/>
          <w:rtl/>
        </w:rPr>
        <w:t>ב</w:t>
      </w:r>
      <w:r>
        <w:rPr>
          <w:rtl/>
        </w:rPr>
        <w:t>.</w:t>
      </w:r>
      <w:r>
        <w:rPr>
          <w:rtl/>
        </w:rPr>
        <w:tab/>
      </w:r>
      <w:hyperlink r:id="rId39" w:history="1">
        <w:r w:rsidR="00B60172" w:rsidRPr="00B60172">
          <w:rPr>
            <w:color w:val="0000FF"/>
            <w:u w:val="single"/>
            <w:rtl/>
          </w:rPr>
          <w:t>רע"פ 6352/12</w:t>
        </w:r>
      </w:hyperlink>
      <w:r>
        <w:rPr>
          <w:rtl/>
        </w:rPr>
        <w:t xml:space="preserve"> </w:t>
      </w:r>
      <w:r>
        <w:rPr>
          <w:b/>
          <w:bCs/>
          <w:rtl/>
        </w:rPr>
        <w:t>סעדה נגד מדינת ישראל</w:t>
      </w:r>
      <w:r>
        <w:rPr>
          <w:rtl/>
        </w:rPr>
        <w:t xml:space="preserve"> (פורסם בנבו, 23.9.12). באותו מקרה, המבקש הורשע בעבר ובמסגרת גזר הדין  הוטל עליו מאסר על תנאי שקבע "לא יעבור עבירה שיש בה יסוד של אלימות והיא פשע". במהלך תקופת התנאי ביצע,  בין השאר, עבירה של חבלה במזיד ברכב. כאן עלתה השאלה האם העבירה של חבלה במזיד ברכב היא עבירה שיש בה יסוד של אלימות. בית המשפט העליון השיב על שאלה זו בחיוב וקבע שאלימות נגד רכוש גם היא אלימות. ליישום נוסף של הלכה זו, ראו </w:t>
      </w:r>
      <w:hyperlink r:id="rId40" w:history="1">
        <w:r w:rsidR="00B60172" w:rsidRPr="00B60172">
          <w:rPr>
            <w:color w:val="0000FF"/>
            <w:u w:val="single"/>
            <w:rtl/>
          </w:rPr>
          <w:t>רע"פ 4606/16</w:t>
        </w:r>
      </w:hyperlink>
      <w:r>
        <w:rPr>
          <w:rtl/>
        </w:rPr>
        <w:t xml:space="preserve"> </w:t>
      </w:r>
      <w:r>
        <w:rPr>
          <w:b/>
          <w:bCs/>
          <w:rtl/>
        </w:rPr>
        <w:t>מסרי נ' מדינת ישראל</w:t>
      </w:r>
      <w:r>
        <w:rPr>
          <w:rtl/>
        </w:rPr>
        <w:t xml:space="preserve"> (פורסם בנבו, 18.4.18), פסקה 15 להחלטתו של כבוד השופט קרא. </w:t>
      </w:r>
    </w:p>
    <w:p w14:paraId="49BE7602" w14:textId="77777777" w:rsidR="00EA36E4" w:rsidRDefault="00EA36E4" w:rsidP="00EA36E4">
      <w:pPr>
        <w:spacing w:line="360" w:lineRule="auto"/>
        <w:ind w:left="1440" w:hanging="720"/>
        <w:jc w:val="both"/>
        <w:rPr>
          <w:rtl/>
        </w:rPr>
      </w:pPr>
    </w:p>
    <w:p w14:paraId="2AC1F44F" w14:textId="77777777" w:rsidR="00EA36E4" w:rsidRDefault="00EA36E4" w:rsidP="00EA36E4">
      <w:pPr>
        <w:spacing w:line="360" w:lineRule="auto"/>
        <w:ind w:left="1440" w:hanging="720"/>
        <w:jc w:val="both"/>
        <w:rPr>
          <w:rtl/>
        </w:rPr>
      </w:pPr>
      <w:r>
        <w:rPr>
          <w:rFonts w:hint="cs"/>
          <w:rtl/>
        </w:rPr>
        <w:t>ג.</w:t>
      </w:r>
      <w:r>
        <w:rPr>
          <w:rtl/>
        </w:rPr>
        <w:tab/>
      </w:r>
      <w:hyperlink r:id="rId41" w:history="1">
        <w:r w:rsidR="00B60172" w:rsidRPr="00B60172">
          <w:rPr>
            <w:color w:val="0000FF"/>
            <w:u w:val="single"/>
            <w:rtl/>
          </w:rPr>
          <w:t>ע"פ 308/06</w:t>
        </w:r>
      </w:hyperlink>
      <w:r>
        <w:rPr>
          <w:rtl/>
        </w:rPr>
        <w:t xml:space="preserve"> </w:t>
      </w:r>
      <w:r>
        <w:rPr>
          <w:b/>
          <w:bCs/>
          <w:rtl/>
        </w:rPr>
        <w:t>מדינת ישראל נ' סבן</w:t>
      </w:r>
      <w:r>
        <w:rPr>
          <w:rtl/>
        </w:rPr>
        <w:t xml:space="preserve"> (פורסם בנבו, 15.5.06). במקרה זה, בעבר הושת על המשיב מאסר על תנאי בגין </w:t>
      </w:r>
      <w:r>
        <w:rPr>
          <w:u w:val="single"/>
          <w:rtl/>
        </w:rPr>
        <w:t>כל עבירת אלימות מסוג פשע</w:t>
      </w:r>
      <w:r>
        <w:rPr>
          <w:rtl/>
        </w:rPr>
        <w:t xml:space="preserve">. לימים, במהלך תקופת התנאי, ביצע עבירה של סיכון חיי אדם בנתיב תחבורה והועמד לדין בבית המשפט המחוזי. בית המשפט המחוזי קבע שהמאסר על תנאי לא חל. המדינה ערערה לבית המשפט העליון, הערעור התקבל, ונקבע שיש להפעיל את התנאי בשל קיומו של יסוד של אלימות בעבירה של סיכון חיי אדם בנתיב תחבורה. </w:t>
      </w:r>
    </w:p>
    <w:p w14:paraId="6DC63C69" w14:textId="77777777" w:rsidR="00EA36E4" w:rsidRDefault="00EA36E4" w:rsidP="00EA36E4">
      <w:pPr>
        <w:spacing w:line="360" w:lineRule="auto"/>
        <w:ind w:left="720" w:hanging="720"/>
        <w:jc w:val="both"/>
        <w:rPr>
          <w:rtl/>
        </w:rPr>
      </w:pPr>
    </w:p>
    <w:p w14:paraId="69086D72" w14:textId="77777777" w:rsidR="00EA36E4" w:rsidRPr="00F00CF1" w:rsidRDefault="00EA36E4" w:rsidP="00EA36E4">
      <w:pPr>
        <w:spacing w:line="360" w:lineRule="auto"/>
        <w:ind w:left="720" w:hanging="720"/>
        <w:jc w:val="both"/>
        <w:rPr>
          <w:b/>
          <w:bCs/>
          <w:sz w:val="28"/>
          <w:szCs w:val="28"/>
          <w:u w:val="single"/>
          <w:rtl/>
        </w:rPr>
      </w:pPr>
      <w:r w:rsidRPr="00F00CF1">
        <w:rPr>
          <w:rFonts w:hint="cs"/>
          <w:b/>
          <w:bCs/>
          <w:sz w:val="28"/>
          <w:szCs w:val="28"/>
          <w:u w:val="single"/>
          <w:rtl/>
        </w:rPr>
        <w:t xml:space="preserve">מתחם העונש ההולם לגבי שתי עבירות האיומים </w:t>
      </w:r>
    </w:p>
    <w:p w14:paraId="035B9E70" w14:textId="77777777" w:rsidR="00EA36E4" w:rsidRPr="00B60645" w:rsidRDefault="00EA36E4" w:rsidP="00EA36E4">
      <w:pPr>
        <w:spacing w:line="360" w:lineRule="auto"/>
        <w:ind w:left="720" w:hanging="720"/>
        <w:jc w:val="both"/>
        <w:rPr>
          <w:rtl/>
        </w:rPr>
      </w:pPr>
    </w:p>
    <w:p w14:paraId="6CD9D101" w14:textId="77777777" w:rsidR="00EA36E4" w:rsidRDefault="00EA36E4" w:rsidP="00EA36E4">
      <w:pPr>
        <w:spacing w:line="360" w:lineRule="auto"/>
        <w:ind w:left="720" w:hanging="720"/>
        <w:jc w:val="both"/>
        <w:rPr>
          <w:rtl/>
        </w:rPr>
      </w:pPr>
      <w:r>
        <w:rPr>
          <w:rFonts w:hint="cs"/>
          <w:rtl/>
        </w:rPr>
        <w:t>20.</w:t>
      </w:r>
      <w:r>
        <w:rPr>
          <w:rFonts w:hint="cs"/>
          <w:rtl/>
        </w:rPr>
        <w:tab/>
        <w:t>מקובלת עליי טענת ההגנה שיש לקבוע מתחם עונש הולם אחד לגבי שתי עבירות האיומים שמופיעות ב</w:t>
      </w:r>
      <w:hyperlink r:id="rId42" w:history="1">
        <w:r w:rsidR="00B60172" w:rsidRPr="00B60172">
          <w:rPr>
            <w:color w:val="0000FF"/>
            <w:u w:val="single"/>
            <w:rtl/>
          </w:rPr>
          <w:t>ת"פ 56373-03-17</w:t>
        </w:r>
      </w:hyperlink>
      <w:r>
        <w:rPr>
          <w:rFonts w:hint="cs"/>
          <w:rtl/>
        </w:rPr>
        <w:t xml:space="preserve">, וזאת בשל הזיקה ההדוקה שבין שני האירועים. באישום הראשון, מדובר באיומים על אח בבית חולים ובאישום השני מדובר באיום על שוטרים שבאו לעצור אותו בעקבות האישום הראשון. </w:t>
      </w:r>
    </w:p>
    <w:p w14:paraId="7B33F48B" w14:textId="77777777" w:rsidR="00EA36E4" w:rsidRDefault="00EA36E4" w:rsidP="00EA36E4">
      <w:pPr>
        <w:spacing w:line="360" w:lineRule="auto"/>
        <w:ind w:left="720" w:hanging="720"/>
        <w:jc w:val="both"/>
        <w:rPr>
          <w:rtl/>
        </w:rPr>
      </w:pPr>
    </w:p>
    <w:p w14:paraId="133968F7" w14:textId="77777777" w:rsidR="00EA36E4" w:rsidRDefault="00EA36E4" w:rsidP="00EA36E4">
      <w:pPr>
        <w:spacing w:line="360" w:lineRule="auto"/>
        <w:ind w:left="720" w:hanging="720"/>
        <w:jc w:val="both"/>
        <w:rPr>
          <w:rtl/>
        </w:rPr>
      </w:pPr>
      <w:r>
        <w:rPr>
          <w:rFonts w:hint="cs"/>
          <w:rtl/>
        </w:rPr>
        <w:t>21.</w:t>
      </w:r>
      <w:r>
        <w:rPr>
          <w:rFonts w:hint="cs"/>
          <w:rtl/>
        </w:rPr>
        <w:tab/>
        <w:t>בפסיקה נקבע "</w:t>
      </w:r>
      <w:r w:rsidRPr="00567C57">
        <w:rPr>
          <w:rFonts w:hint="cs"/>
          <w:b/>
          <w:bCs/>
          <w:rtl/>
        </w:rPr>
        <w:t>שבעת שמדובר באיומים שמושמעים כלפי שוטרים המבצעים את תפקידם כדין, יש להחמיר בענישה וכי אל מול אלימות שכזו המכרסמת ביסודות חברתנו הדמוקרטית יש לנקוט בענישה מרתיעה מאחורי סורג ובריח</w:t>
      </w:r>
      <w:r>
        <w:rPr>
          <w:rFonts w:hint="cs"/>
          <w:rtl/>
        </w:rPr>
        <w:t>" (</w:t>
      </w:r>
      <w:hyperlink r:id="rId43" w:history="1">
        <w:r w:rsidR="00B60172" w:rsidRPr="00B60172">
          <w:rPr>
            <w:color w:val="0000FF"/>
            <w:u w:val="single"/>
            <w:rtl/>
          </w:rPr>
          <w:t>רע"פ 1922/11</w:t>
        </w:r>
      </w:hyperlink>
      <w:r>
        <w:rPr>
          <w:rFonts w:hint="cs"/>
          <w:rtl/>
        </w:rPr>
        <w:t xml:space="preserve"> </w:t>
      </w:r>
      <w:r w:rsidRPr="008B0849">
        <w:rPr>
          <w:rFonts w:hint="cs"/>
          <w:b/>
          <w:bCs/>
          <w:rtl/>
        </w:rPr>
        <w:t>רחמימוב נ' מדינת ישראל</w:t>
      </w:r>
      <w:r>
        <w:rPr>
          <w:rFonts w:hint="cs"/>
          <w:rtl/>
        </w:rPr>
        <w:t xml:space="preserve">, (פורסם בנבו, 17.3.11), החלטתו של כבוד השופט גובראן). </w:t>
      </w:r>
    </w:p>
    <w:p w14:paraId="1C7C97EF" w14:textId="77777777" w:rsidR="00EA36E4" w:rsidRDefault="00EA36E4" w:rsidP="00EA36E4">
      <w:pPr>
        <w:spacing w:line="360" w:lineRule="auto"/>
        <w:ind w:left="720" w:hanging="720"/>
        <w:jc w:val="both"/>
        <w:rPr>
          <w:rtl/>
        </w:rPr>
      </w:pPr>
    </w:p>
    <w:p w14:paraId="72DD7B3F" w14:textId="77777777" w:rsidR="00EA36E4" w:rsidRDefault="00EA36E4" w:rsidP="00EA36E4">
      <w:pPr>
        <w:spacing w:line="360" w:lineRule="auto"/>
        <w:ind w:left="720" w:hanging="720"/>
        <w:jc w:val="both"/>
        <w:rPr>
          <w:rtl/>
        </w:rPr>
      </w:pPr>
      <w:r>
        <w:rPr>
          <w:rFonts w:hint="cs"/>
          <w:rtl/>
        </w:rPr>
        <w:t>22.</w:t>
      </w:r>
      <w:r>
        <w:rPr>
          <w:rFonts w:hint="cs"/>
          <w:rtl/>
        </w:rPr>
        <w:tab/>
        <w:t xml:space="preserve">לדברים דומים לגבי הצורך להחמיר בענישתם של מי שמאיימים על </w:t>
      </w:r>
      <w:r w:rsidRPr="009A24B5">
        <w:rPr>
          <w:rFonts w:hint="cs"/>
          <w:u w:val="single"/>
          <w:rtl/>
        </w:rPr>
        <w:t>שוטרים ועובדי ציבור</w:t>
      </w:r>
      <w:r>
        <w:rPr>
          <w:rFonts w:hint="cs"/>
          <w:rtl/>
        </w:rPr>
        <w:t>, וזאת בדרך של השתת מאסרים מאחורי סורג ובריח, ראו גם דבריו של כבוד השופט רובינשטיין ב-</w:t>
      </w:r>
      <w:hyperlink r:id="rId44" w:history="1">
        <w:r w:rsidR="00B60172" w:rsidRPr="00B60172">
          <w:rPr>
            <w:color w:val="0000FF"/>
            <w:u w:val="single"/>
            <w:rtl/>
          </w:rPr>
          <w:t>רע"פ 2019/11</w:t>
        </w:r>
      </w:hyperlink>
      <w:r>
        <w:rPr>
          <w:rFonts w:hint="cs"/>
          <w:rtl/>
        </w:rPr>
        <w:t xml:space="preserve"> </w:t>
      </w:r>
      <w:r w:rsidRPr="0079762C">
        <w:rPr>
          <w:rFonts w:hint="cs"/>
          <w:b/>
          <w:bCs/>
          <w:rtl/>
        </w:rPr>
        <w:t>מיארה נ' מדינת ישראל</w:t>
      </w:r>
      <w:r>
        <w:rPr>
          <w:rFonts w:hint="cs"/>
          <w:rtl/>
        </w:rPr>
        <w:t xml:space="preserve"> (פורסם בנבו, 22.3.11) פסקה ז'; וגם </w:t>
      </w:r>
      <w:hyperlink r:id="rId45" w:history="1">
        <w:r w:rsidR="00B60172" w:rsidRPr="00B60172">
          <w:rPr>
            <w:color w:val="0000FF"/>
            <w:u w:val="single"/>
            <w:rtl/>
          </w:rPr>
          <w:t>רע"פ 1648/14</w:t>
        </w:r>
      </w:hyperlink>
      <w:r>
        <w:rPr>
          <w:rFonts w:hint="cs"/>
          <w:rtl/>
        </w:rPr>
        <w:t xml:space="preserve"> </w:t>
      </w:r>
      <w:r w:rsidRPr="0079762C">
        <w:rPr>
          <w:rFonts w:hint="cs"/>
          <w:b/>
          <w:bCs/>
          <w:rtl/>
        </w:rPr>
        <w:t>יפרח נ' מדינת ישראל</w:t>
      </w:r>
      <w:r>
        <w:rPr>
          <w:rFonts w:hint="cs"/>
          <w:rtl/>
        </w:rPr>
        <w:t xml:space="preserve"> (פורסם בנבו, 8.4.14), פסקה 10 להחלטתו של כבוד השופט שוהם.</w:t>
      </w:r>
    </w:p>
    <w:p w14:paraId="35CE0E68" w14:textId="77777777" w:rsidR="00EA36E4" w:rsidRDefault="00EA36E4" w:rsidP="00EA36E4">
      <w:pPr>
        <w:spacing w:line="360" w:lineRule="auto"/>
        <w:ind w:left="720" w:hanging="720"/>
        <w:jc w:val="both"/>
        <w:rPr>
          <w:rtl/>
        </w:rPr>
      </w:pPr>
    </w:p>
    <w:p w14:paraId="3D0B82A0" w14:textId="77777777" w:rsidR="00EA36E4" w:rsidRDefault="00EA36E4" w:rsidP="00EA36E4">
      <w:pPr>
        <w:spacing w:line="360" w:lineRule="auto"/>
        <w:ind w:left="720" w:hanging="720"/>
        <w:jc w:val="both"/>
        <w:rPr>
          <w:rtl/>
        </w:rPr>
      </w:pPr>
      <w:r>
        <w:rPr>
          <w:rFonts w:hint="cs"/>
          <w:rtl/>
        </w:rPr>
        <w:t>23.</w:t>
      </w:r>
      <w:r>
        <w:rPr>
          <w:rFonts w:hint="cs"/>
          <w:rtl/>
        </w:rPr>
        <w:tab/>
        <w:t xml:space="preserve">מעבר לכך, קיימת חומרה משל עצמה בהשמעת דברי איום ותקיפה של </w:t>
      </w:r>
      <w:r w:rsidRPr="009A24B5">
        <w:rPr>
          <w:rFonts w:hint="cs"/>
          <w:u w:val="single"/>
          <w:rtl/>
        </w:rPr>
        <w:t>עובדי רפואה</w:t>
      </w:r>
      <w:r>
        <w:rPr>
          <w:rFonts w:hint="cs"/>
          <w:rtl/>
        </w:rPr>
        <w:t>, כגון רופאים ואחים, בעת מילוי תפקידם הרפואי. כך למשל ב-</w:t>
      </w:r>
      <w:hyperlink r:id="rId46" w:history="1">
        <w:r w:rsidR="00B60172" w:rsidRPr="00B60172">
          <w:rPr>
            <w:color w:val="0000FF"/>
            <w:u w:val="single"/>
            <w:rtl/>
          </w:rPr>
          <w:t>ע"פ 7220/19</w:t>
        </w:r>
      </w:hyperlink>
      <w:r>
        <w:rPr>
          <w:rFonts w:hint="cs"/>
          <w:rtl/>
        </w:rPr>
        <w:t xml:space="preserve"> </w:t>
      </w:r>
      <w:r w:rsidRPr="0079762C">
        <w:rPr>
          <w:rFonts w:hint="cs"/>
          <w:b/>
          <w:bCs/>
          <w:rtl/>
        </w:rPr>
        <w:t>זגורי נ' מדינת ישראל</w:t>
      </w:r>
      <w:r>
        <w:rPr>
          <w:rFonts w:hint="cs"/>
          <w:rtl/>
        </w:rPr>
        <w:t xml:space="preserve"> (פורסם בנבו, 6.2.20) בפסקה 13, כבוד השופטת וילנר קבעה את הדברים הבאים:</w:t>
      </w:r>
    </w:p>
    <w:p w14:paraId="7D9EFB9A" w14:textId="77777777" w:rsidR="00EA36E4" w:rsidRDefault="00EA36E4" w:rsidP="00EA36E4">
      <w:pPr>
        <w:spacing w:line="360" w:lineRule="auto"/>
        <w:ind w:left="720" w:hanging="720"/>
        <w:jc w:val="both"/>
        <w:rPr>
          <w:rtl/>
        </w:rPr>
      </w:pPr>
    </w:p>
    <w:p w14:paraId="57274E16" w14:textId="77777777" w:rsidR="00EA36E4" w:rsidRDefault="00EA36E4" w:rsidP="00EA36E4">
      <w:pPr>
        <w:spacing w:line="360" w:lineRule="auto"/>
        <w:ind w:left="2880"/>
        <w:jc w:val="both"/>
        <w:rPr>
          <w:rtl/>
        </w:rPr>
      </w:pPr>
      <w:r>
        <w:rPr>
          <w:rFonts w:hint="cs"/>
          <w:rtl/>
        </w:rPr>
        <w:t xml:space="preserve">"אם לא די באמור עד כה, הרי שבענייננו חומרתן של העבירות אשר ביצע המערער מקבלת משנה תוקף אף נוכח העובדה כי האלימות והאיומים המתוארים לעיל, הופנו כלפי צוות רפואי </w:t>
      </w:r>
      <w:r>
        <w:rPr>
          <w:rtl/>
        </w:rPr>
        <w:t>–</w:t>
      </w:r>
      <w:r>
        <w:rPr>
          <w:rFonts w:hint="cs"/>
          <w:rtl/>
        </w:rPr>
        <w:t xml:space="preserve"> רופא ואח </w:t>
      </w:r>
      <w:r>
        <w:rPr>
          <w:rtl/>
        </w:rPr>
        <w:t>–</w:t>
      </w:r>
      <w:r>
        <w:rPr>
          <w:rFonts w:hint="cs"/>
          <w:rtl/>
        </w:rPr>
        <w:t xml:space="preserve"> בעת מילוי תפקידם. בהקשר זה, ראוי לציין כי אין להשלים עם מצב בו אנשי צוות רפואי, האמונים על צרכיו החיוניים של הציבור, יחושו כי הם מאוימים או ימצאו עצמם מוכים ומותקפים על ידי מטופל או בני משפחתו בעת שהם עושים את מלאכתם נאמנה". </w:t>
      </w:r>
    </w:p>
    <w:p w14:paraId="19EB87AC" w14:textId="77777777" w:rsidR="00EA36E4" w:rsidRDefault="00EA36E4" w:rsidP="00EA36E4">
      <w:pPr>
        <w:spacing w:line="360" w:lineRule="auto"/>
        <w:ind w:left="720" w:hanging="720"/>
        <w:jc w:val="both"/>
        <w:rPr>
          <w:rtl/>
        </w:rPr>
      </w:pPr>
    </w:p>
    <w:p w14:paraId="7BC0979D" w14:textId="77777777" w:rsidR="00EA36E4" w:rsidRDefault="00EA36E4" w:rsidP="00EA36E4">
      <w:pPr>
        <w:spacing w:line="360" w:lineRule="auto"/>
        <w:ind w:left="720" w:hanging="720"/>
        <w:jc w:val="both"/>
        <w:rPr>
          <w:rtl/>
        </w:rPr>
      </w:pPr>
      <w:r>
        <w:rPr>
          <w:rFonts w:hint="cs"/>
          <w:rtl/>
        </w:rPr>
        <w:tab/>
        <w:t xml:space="preserve">בהמשך, באותה פסקה, נקבע גם כי: </w:t>
      </w:r>
    </w:p>
    <w:p w14:paraId="268562D7" w14:textId="77777777" w:rsidR="00EA36E4" w:rsidRDefault="00EA36E4" w:rsidP="00EA36E4">
      <w:pPr>
        <w:spacing w:line="360" w:lineRule="auto"/>
        <w:ind w:left="720" w:hanging="720"/>
        <w:jc w:val="both"/>
        <w:rPr>
          <w:rtl/>
        </w:rPr>
      </w:pPr>
    </w:p>
    <w:p w14:paraId="662D8EDF" w14:textId="77777777" w:rsidR="00EA36E4" w:rsidRDefault="00EA36E4" w:rsidP="00EA36E4">
      <w:pPr>
        <w:spacing w:line="360" w:lineRule="auto"/>
        <w:ind w:left="2880"/>
        <w:jc w:val="both"/>
        <w:rPr>
          <w:rtl/>
        </w:rPr>
      </w:pPr>
      <w:r>
        <w:rPr>
          <w:rFonts w:hint="cs"/>
          <w:rtl/>
        </w:rPr>
        <w:t xml:space="preserve">"עוד יצוין כי מעשה אלימות או איומים המופנים כלפי צוות רפואי הניצבים על משמרתם, אינם פוגעים "רק" בקורבן העבירה מושא התקיפה או האיומים, כי אם בשלומם של החולים כולם (ראו גם: </w:t>
      </w:r>
      <w:hyperlink r:id="rId47" w:history="1">
        <w:r w:rsidR="00B60172" w:rsidRPr="00B60172">
          <w:rPr>
            <w:color w:val="0000FF"/>
            <w:u w:val="single"/>
            <w:rtl/>
          </w:rPr>
          <w:t>ע"פ 3036/92</w:t>
        </w:r>
      </w:hyperlink>
      <w:r>
        <w:rPr>
          <w:rFonts w:hint="cs"/>
          <w:rtl/>
        </w:rPr>
        <w:t xml:space="preserve"> </w:t>
      </w:r>
      <w:r w:rsidRPr="009A24B5">
        <w:rPr>
          <w:rFonts w:hint="cs"/>
          <w:b/>
          <w:bCs/>
          <w:rtl/>
        </w:rPr>
        <w:t>חמודה נ' מדינת ישראל</w:t>
      </w:r>
      <w:r>
        <w:rPr>
          <w:rFonts w:hint="cs"/>
          <w:rtl/>
        </w:rPr>
        <w:t xml:space="preserve">, פסקה 6 (24.11.1992)). </w:t>
      </w:r>
      <w:r w:rsidRPr="009A24B5">
        <w:rPr>
          <w:rFonts w:hint="cs"/>
          <w:u w:val="single"/>
          <w:rtl/>
        </w:rPr>
        <w:t xml:space="preserve">מעשים אלה מחייבים אפוא ענישה מחמירה </w:t>
      </w:r>
      <w:r w:rsidRPr="009A24B5">
        <w:rPr>
          <w:u w:val="single"/>
          <w:rtl/>
        </w:rPr>
        <w:t>–</w:t>
      </w:r>
      <w:r w:rsidRPr="009A24B5">
        <w:rPr>
          <w:rFonts w:hint="cs"/>
          <w:u w:val="single"/>
          <w:rtl/>
        </w:rPr>
        <w:t xml:space="preserve"> אשר תבטא גמול</w:t>
      </w:r>
      <w:r>
        <w:rPr>
          <w:rFonts w:hint="cs"/>
          <w:rtl/>
        </w:rPr>
        <w:t xml:space="preserve"> </w:t>
      </w:r>
      <w:r w:rsidRPr="009A24B5">
        <w:rPr>
          <w:rFonts w:hint="cs"/>
          <w:u w:val="single"/>
          <w:rtl/>
        </w:rPr>
        <w:t>ראוי בגין הפגיעות האמורות, וכן תשמש כאמצעי להרתעת הרבים מפני ביצועם</w:t>
      </w:r>
      <w:r>
        <w:rPr>
          <w:rFonts w:hint="cs"/>
          <w:rtl/>
        </w:rPr>
        <w:t xml:space="preserve">. זאת בייחוד על רקע המציאות בימינו בה נוכחים אנו לצערנו כי איומים על רופאים ואחיות ואף תקיפתם של אנשי צוות רפואי </w:t>
      </w:r>
      <w:r>
        <w:rPr>
          <w:rtl/>
        </w:rPr>
        <w:t>–</w:t>
      </w:r>
      <w:r>
        <w:rPr>
          <w:rFonts w:hint="cs"/>
          <w:rtl/>
        </w:rPr>
        <w:t xml:space="preserve"> הינם חזון נפרץ."</w:t>
      </w:r>
    </w:p>
    <w:p w14:paraId="7CCEE6C3" w14:textId="77777777" w:rsidR="00EA36E4" w:rsidRDefault="00EA36E4" w:rsidP="00EA36E4">
      <w:pPr>
        <w:spacing w:line="360" w:lineRule="auto"/>
        <w:ind w:left="2880"/>
        <w:jc w:val="both"/>
        <w:rPr>
          <w:rtl/>
        </w:rPr>
      </w:pPr>
    </w:p>
    <w:p w14:paraId="2877BA4E" w14:textId="77777777" w:rsidR="00EA36E4" w:rsidRDefault="00EA36E4" w:rsidP="00EA36E4">
      <w:pPr>
        <w:spacing w:line="360" w:lineRule="auto"/>
        <w:ind w:left="2880"/>
        <w:jc w:val="both"/>
        <w:rPr>
          <w:rtl/>
        </w:rPr>
      </w:pPr>
      <w:r>
        <w:rPr>
          <w:rFonts w:hint="cs"/>
          <w:rtl/>
        </w:rPr>
        <w:t xml:space="preserve">(ההדגשות שלי </w:t>
      </w:r>
      <w:r>
        <w:rPr>
          <w:rtl/>
        </w:rPr>
        <w:t>–</w:t>
      </w:r>
      <w:r>
        <w:rPr>
          <w:rFonts w:hint="cs"/>
          <w:rtl/>
        </w:rPr>
        <w:t xml:space="preserve"> ה'א'ש')</w:t>
      </w:r>
    </w:p>
    <w:p w14:paraId="143318BB" w14:textId="77777777" w:rsidR="00EA36E4" w:rsidRDefault="00EA36E4" w:rsidP="00EA36E4">
      <w:pPr>
        <w:spacing w:line="360" w:lineRule="auto"/>
        <w:jc w:val="both"/>
        <w:rPr>
          <w:rtl/>
        </w:rPr>
      </w:pPr>
    </w:p>
    <w:p w14:paraId="074881F9" w14:textId="77777777" w:rsidR="00EA36E4" w:rsidRDefault="00EA36E4" w:rsidP="00EA36E4">
      <w:pPr>
        <w:spacing w:line="360" w:lineRule="auto"/>
        <w:ind w:left="720" w:hanging="720"/>
        <w:jc w:val="both"/>
        <w:rPr>
          <w:rtl/>
        </w:rPr>
      </w:pPr>
      <w:r>
        <w:rPr>
          <w:rFonts w:hint="cs"/>
          <w:rtl/>
        </w:rPr>
        <w:t>24.</w:t>
      </w:r>
      <w:r>
        <w:rPr>
          <w:rFonts w:hint="cs"/>
          <w:rtl/>
        </w:rPr>
        <w:tab/>
        <w:t xml:space="preserve">לפסיקה נוספת של בית המשפט העליון, ראו כדלקמן: </w:t>
      </w:r>
    </w:p>
    <w:p w14:paraId="03AEDE3D" w14:textId="77777777" w:rsidR="00EA36E4" w:rsidRDefault="00EA36E4" w:rsidP="00EA36E4">
      <w:pPr>
        <w:spacing w:line="360" w:lineRule="auto"/>
        <w:ind w:left="720" w:hanging="720"/>
        <w:jc w:val="both"/>
        <w:rPr>
          <w:rtl/>
        </w:rPr>
      </w:pPr>
    </w:p>
    <w:p w14:paraId="66908726" w14:textId="77777777" w:rsidR="00EA36E4" w:rsidRDefault="00EA36E4" w:rsidP="00EA36E4">
      <w:pPr>
        <w:spacing w:line="360" w:lineRule="auto"/>
        <w:ind w:left="1440" w:hanging="720"/>
        <w:jc w:val="both"/>
        <w:rPr>
          <w:rtl/>
        </w:rPr>
      </w:pPr>
      <w:r>
        <w:rPr>
          <w:rFonts w:hint="cs"/>
          <w:rtl/>
        </w:rPr>
        <w:t>א.</w:t>
      </w:r>
      <w:r>
        <w:rPr>
          <w:rFonts w:hint="cs"/>
          <w:rtl/>
        </w:rPr>
        <w:tab/>
      </w:r>
      <w:hyperlink r:id="rId48" w:history="1">
        <w:r w:rsidR="00B60172" w:rsidRPr="00B60172">
          <w:rPr>
            <w:color w:val="0000FF"/>
            <w:u w:val="single"/>
            <w:rtl/>
          </w:rPr>
          <w:t>ע"פ 3877/12</w:t>
        </w:r>
      </w:hyperlink>
      <w:r>
        <w:rPr>
          <w:rFonts w:hint="cs"/>
          <w:rtl/>
        </w:rPr>
        <w:t xml:space="preserve"> </w:t>
      </w:r>
      <w:r w:rsidRPr="009A24B5">
        <w:rPr>
          <w:rFonts w:hint="cs"/>
          <w:b/>
          <w:bCs/>
          <w:rtl/>
        </w:rPr>
        <w:t>אבו גוש נ' מדינת ישראל</w:t>
      </w:r>
      <w:r>
        <w:rPr>
          <w:rFonts w:hint="cs"/>
          <w:rtl/>
        </w:rPr>
        <w:t xml:space="preserve"> (פורסם בנבו, 9.1.13). במקרה זה המערער איים על רופא בקופת חולים ודרש שייתן לו סך של 200 ₪ וגם אישור מחלה. הושתו עליו שנתיים מאסר בפועל. ערעורו לבית המשפט העליון נדחה. </w:t>
      </w:r>
    </w:p>
    <w:p w14:paraId="519DB776" w14:textId="77777777" w:rsidR="00EA36E4" w:rsidRDefault="00EA36E4" w:rsidP="00EA36E4">
      <w:pPr>
        <w:spacing w:line="360" w:lineRule="auto"/>
        <w:ind w:left="720" w:hanging="720"/>
        <w:jc w:val="both"/>
        <w:rPr>
          <w:rtl/>
        </w:rPr>
      </w:pPr>
    </w:p>
    <w:p w14:paraId="2A9410F8" w14:textId="77777777" w:rsidR="00EA36E4" w:rsidRDefault="00EA36E4" w:rsidP="00EA36E4">
      <w:pPr>
        <w:spacing w:line="360" w:lineRule="auto"/>
        <w:ind w:left="1440" w:hanging="720"/>
        <w:jc w:val="both"/>
        <w:rPr>
          <w:rtl/>
        </w:rPr>
      </w:pPr>
      <w:r>
        <w:rPr>
          <w:rFonts w:hint="cs"/>
          <w:rtl/>
        </w:rPr>
        <w:t>ב.</w:t>
      </w:r>
      <w:r>
        <w:rPr>
          <w:rtl/>
        </w:rPr>
        <w:tab/>
      </w:r>
      <w:r>
        <w:rPr>
          <w:rFonts w:hint="cs"/>
          <w:rtl/>
        </w:rPr>
        <w:t>ראו גם את הפסיקה שלהלן שעניינה תקיפה של רופא ואח. אומנם מדובר במקרים חמורים יותר מהמקרה שבפני, אך הם מבטאים את הרוח שנושבת מהפסיקה בדבר החובה שמוטלת על בתי המשפט להגן על צוות רפואי במילוי תפקידו על ידי החמרה בענישתם של אלה שפוגעים בהם (</w:t>
      </w:r>
      <w:hyperlink r:id="rId49" w:history="1">
        <w:r w:rsidR="00B60172" w:rsidRPr="00B60172">
          <w:rPr>
            <w:color w:val="0000FF"/>
            <w:u w:val="single"/>
            <w:rtl/>
          </w:rPr>
          <w:t>רע"פ 3695/20</w:t>
        </w:r>
      </w:hyperlink>
      <w:r>
        <w:rPr>
          <w:rFonts w:hint="cs"/>
          <w:rtl/>
        </w:rPr>
        <w:t xml:space="preserve"> </w:t>
      </w:r>
      <w:r w:rsidRPr="00E9461D">
        <w:rPr>
          <w:rFonts w:hint="cs"/>
          <w:b/>
          <w:bCs/>
          <w:rtl/>
        </w:rPr>
        <w:t>חן נ' מדינת ישראל</w:t>
      </w:r>
      <w:r>
        <w:rPr>
          <w:rFonts w:hint="cs"/>
          <w:rtl/>
        </w:rPr>
        <w:t xml:space="preserve"> (פורסם בנבו, 22.6.20); </w:t>
      </w:r>
      <w:hyperlink r:id="rId50" w:history="1">
        <w:r w:rsidR="00B60172" w:rsidRPr="00B60172">
          <w:rPr>
            <w:color w:val="0000FF"/>
            <w:u w:val="single"/>
            <w:rtl/>
          </w:rPr>
          <w:t>רע"פ 5458/12</w:t>
        </w:r>
      </w:hyperlink>
      <w:r>
        <w:rPr>
          <w:rFonts w:hint="cs"/>
          <w:rtl/>
        </w:rPr>
        <w:t xml:space="preserve"> </w:t>
      </w:r>
      <w:r w:rsidRPr="00E9461D">
        <w:rPr>
          <w:rFonts w:hint="cs"/>
          <w:b/>
          <w:bCs/>
          <w:rtl/>
        </w:rPr>
        <w:t>ליכטמן נ' מדינת ישראל</w:t>
      </w:r>
      <w:r>
        <w:rPr>
          <w:rFonts w:hint="cs"/>
          <w:rtl/>
        </w:rPr>
        <w:t xml:space="preserve"> (פורסם בנבו, 15.7.12); </w:t>
      </w:r>
      <w:hyperlink r:id="rId51" w:history="1">
        <w:r w:rsidR="00B60172" w:rsidRPr="00B60172">
          <w:rPr>
            <w:color w:val="0000FF"/>
            <w:u w:val="single"/>
            <w:rtl/>
          </w:rPr>
          <w:t>ע"פ 3036/92</w:t>
        </w:r>
      </w:hyperlink>
      <w:r>
        <w:rPr>
          <w:rFonts w:hint="cs"/>
          <w:rtl/>
        </w:rPr>
        <w:t xml:space="preserve"> </w:t>
      </w:r>
      <w:r w:rsidRPr="009A24B5">
        <w:rPr>
          <w:rFonts w:hint="cs"/>
          <w:b/>
          <w:bCs/>
          <w:rtl/>
        </w:rPr>
        <w:t xml:space="preserve">חמודה נ' מדינת ישראל </w:t>
      </w:r>
      <w:r>
        <w:rPr>
          <w:rFonts w:hint="cs"/>
          <w:rtl/>
        </w:rPr>
        <w:t xml:space="preserve">(פורסם בנבו, 24.11.92); </w:t>
      </w:r>
      <w:hyperlink r:id="rId52" w:history="1">
        <w:r w:rsidR="00B60172" w:rsidRPr="00B60172">
          <w:rPr>
            <w:color w:val="0000FF"/>
            <w:u w:val="single"/>
            <w:rtl/>
          </w:rPr>
          <w:t>ע"פ 2712/09</w:t>
        </w:r>
      </w:hyperlink>
      <w:r>
        <w:rPr>
          <w:rFonts w:hint="cs"/>
          <w:rtl/>
        </w:rPr>
        <w:t xml:space="preserve"> </w:t>
      </w:r>
      <w:r w:rsidRPr="009A24B5">
        <w:rPr>
          <w:rFonts w:hint="cs"/>
          <w:b/>
          <w:bCs/>
          <w:rtl/>
        </w:rPr>
        <w:t>שמילוב נ' מדינת ישראל</w:t>
      </w:r>
      <w:r>
        <w:rPr>
          <w:rFonts w:hint="cs"/>
          <w:rtl/>
        </w:rPr>
        <w:t xml:space="preserve"> (פורסם בנבו, 18.11.09). </w:t>
      </w:r>
    </w:p>
    <w:p w14:paraId="0D5BD18A" w14:textId="77777777" w:rsidR="00EA36E4" w:rsidRDefault="00EA36E4" w:rsidP="00EA36E4">
      <w:pPr>
        <w:spacing w:line="360" w:lineRule="auto"/>
        <w:ind w:left="720" w:hanging="720"/>
        <w:jc w:val="both"/>
        <w:rPr>
          <w:rtl/>
        </w:rPr>
      </w:pPr>
    </w:p>
    <w:p w14:paraId="16824DA3" w14:textId="77777777" w:rsidR="00EA36E4" w:rsidRDefault="00EA36E4" w:rsidP="00EA36E4">
      <w:pPr>
        <w:spacing w:line="360" w:lineRule="auto"/>
        <w:ind w:left="720" w:hanging="720"/>
        <w:jc w:val="both"/>
        <w:rPr>
          <w:rtl/>
        </w:rPr>
      </w:pPr>
      <w:r>
        <w:rPr>
          <w:rFonts w:hint="cs"/>
          <w:rtl/>
        </w:rPr>
        <w:t>25.</w:t>
      </w:r>
      <w:r>
        <w:rPr>
          <w:rFonts w:hint="cs"/>
          <w:rtl/>
        </w:rPr>
        <w:tab/>
        <w:t>לאחר עיון בכל הפסיקה שצוטטה לעיל, הנני קובע שמתחם העונש ההולם בגין שתי עבירות האיומים שמופיעים ב</w:t>
      </w:r>
      <w:hyperlink r:id="rId53" w:history="1">
        <w:r w:rsidR="00B60172" w:rsidRPr="00B60172">
          <w:rPr>
            <w:color w:val="0000FF"/>
            <w:u w:val="single"/>
            <w:rtl/>
          </w:rPr>
          <w:t>ת"פ 56373-03-17</w:t>
        </w:r>
      </w:hyperlink>
      <w:r>
        <w:rPr>
          <w:rFonts w:hint="cs"/>
          <w:rtl/>
        </w:rPr>
        <w:t xml:space="preserve"> נע בין 6 ועד 18 חודשי מאסר בפועל, בצירוף מאסר על תנאי וקנס. </w:t>
      </w:r>
    </w:p>
    <w:p w14:paraId="1FE92A07" w14:textId="77777777" w:rsidR="00EA36E4" w:rsidRDefault="00EA36E4" w:rsidP="00EA36E4">
      <w:pPr>
        <w:spacing w:line="360" w:lineRule="auto"/>
        <w:ind w:left="720" w:hanging="720"/>
        <w:jc w:val="both"/>
        <w:rPr>
          <w:rtl/>
        </w:rPr>
      </w:pPr>
    </w:p>
    <w:p w14:paraId="4EFE10C7" w14:textId="77777777" w:rsidR="00EA36E4" w:rsidRPr="00FF1580" w:rsidRDefault="00EA36E4" w:rsidP="00EA36E4">
      <w:pPr>
        <w:spacing w:line="360" w:lineRule="auto"/>
        <w:ind w:left="720" w:hanging="720"/>
        <w:jc w:val="both"/>
        <w:rPr>
          <w:b/>
          <w:bCs/>
          <w:sz w:val="28"/>
          <w:szCs w:val="28"/>
          <w:u w:val="single"/>
          <w:rtl/>
        </w:rPr>
      </w:pPr>
      <w:r w:rsidRPr="00FF1580">
        <w:rPr>
          <w:rFonts w:hint="cs"/>
          <w:b/>
          <w:bCs/>
          <w:sz w:val="28"/>
          <w:szCs w:val="28"/>
          <w:u w:val="single"/>
          <w:rtl/>
        </w:rPr>
        <w:t xml:space="preserve">מתחם העונש ההולם </w:t>
      </w:r>
      <w:r>
        <w:rPr>
          <w:rFonts w:hint="cs"/>
          <w:b/>
          <w:bCs/>
          <w:sz w:val="28"/>
          <w:szCs w:val="28"/>
          <w:u w:val="single"/>
          <w:rtl/>
        </w:rPr>
        <w:t xml:space="preserve">לגבי </w:t>
      </w:r>
      <w:r w:rsidRPr="00FF1580">
        <w:rPr>
          <w:rFonts w:hint="cs"/>
          <w:b/>
          <w:bCs/>
          <w:sz w:val="28"/>
          <w:szCs w:val="28"/>
          <w:u w:val="single"/>
          <w:rtl/>
        </w:rPr>
        <w:t xml:space="preserve">העבירה של החזקת סם לצריכה עצמית </w:t>
      </w:r>
    </w:p>
    <w:p w14:paraId="03D69204" w14:textId="77777777" w:rsidR="00EA36E4" w:rsidRDefault="00EA36E4" w:rsidP="00EA36E4">
      <w:pPr>
        <w:spacing w:line="360" w:lineRule="auto"/>
        <w:ind w:left="720" w:hanging="720"/>
        <w:jc w:val="both"/>
        <w:rPr>
          <w:rtl/>
        </w:rPr>
      </w:pPr>
    </w:p>
    <w:p w14:paraId="59AC5042" w14:textId="77777777" w:rsidR="00EA36E4" w:rsidRDefault="00EA36E4" w:rsidP="00EA36E4">
      <w:pPr>
        <w:spacing w:line="360" w:lineRule="auto"/>
        <w:ind w:left="720" w:hanging="720"/>
        <w:jc w:val="both"/>
        <w:rPr>
          <w:rtl/>
        </w:rPr>
      </w:pPr>
      <w:r>
        <w:rPr>
          <w:rFonts w:hint="cs"/>
          <w:rtl/>
        </w:rPr>
        <w:t>26.</w:t>
      </w:r>
      <w:r>
        <w:rPr>
          <w:rtl/>
        </w:rPr>
        <w:tab/>
      </w:r>
      <w:r>
        <w:rPr>
          <w:rFonts w:hint="cs"/>
          <w:rtl/>
        </w:rPr>
        <w:t xml:space="preserve">מתחם העונש ההולם שהוצע על ידי המאשימה, החל ממאסר על תנאי ועד 10 חודשי מאסר בפועל, הוא מתחם הגיוני וסביר ומתיישב היטב עם הפסיקה של בית המשפט העליון ובכוונתי </w:t>
      </w:r>
    </w:p>
    <w:p w14:paraId="428FE5A5" w14:textId="77777777" w:rsidR="00EA36E4" w:rsidRDefault="00EA36E4" w:rsidP="00EA36E4">
      <w:pPr>
        <w:spacing w:line="360" w:lineRule="auto"/>
        <w:ind w:firstLine="720"/>
        <w:jc w:val="both"/>
        <w:rPr>
          <w:rtl/>
        </w:rPr>
      </w:pPr>
      <w:r>
        <w:rPr>
          <w:rFonts w:hint="cs"/>
          <w:rtl/>
        </w:rPr>
        <w:t xml:space="preserve">אמצו. </w:t>
      </w:r>
    </w:p>
    <w:p w14:paraId="2569B379" w14:textId="77777777" w:rsidR="00EA36E4" w:rsidRDefault="00EA36E4" w:rsidP="00EA36E4">
      <w:pPr>
        <w:spacing w:line="360" w:lineRule="auto"/>
        <w:jc w:val="both"/>
        <w:rPr>
          <w:rtl/>
        </w:rPr>
      </w:pPr>
    </w:p>
    <w:p w14:paraId="6316FC33" w14:textId="77777777" w:rsidR="00EA36E4" w:rsidRPr="00FF1580" w:rsidRDefault="00EA36E4" w:rsidP="00EA36E4">
      <w:pPr>
        <w:spacing w:line="360" w:lineRule="auto"/>
        <w:jc w:val="both"/>
        <w:rPr>
          <w:b/>
          <w:bCs/>
          <w:sz w:val="28"/>
          <w:szCs w:val="28"/>
          <w:u w:val="single"/>
          <w:rtl/>
        </w:rPr>
      </w:pPr>
      <w:r w:rsidRPr="00FF1580">
        <w:rPr>
          <w:rFonts w:hint="cs"/>
          <w:b/>
          <w:bCs/>
          <w:sz w:val="28"/>
          <w:szCs w:val="28"/>
          <w:u w:val="single"/>
          <w:rtl/>
        </w:rPr>
        <w:t>העונש המתאים בתוך מתחם העונש ההולם</w:t>
      </w:r>
    </w:p>
    <w:p w14:paraId="03D6292A" w14:textId="77777777" w:rsidR="00EA36E4" w:rsidRDefault="00EA36E4" w:rsidP="00EA36E4">
      <w:pPr>
        <w:spacing w:line="360" w:lineRule="auto"/>
        <w:jc w:val="both"/>
        <w:rPr>
          <w:rtl/>
        </w:rPr>
      </w:pPr>
    </w:p>
    <w:p w14:paraId="49F5F4AB" w14:textId="77777777" w:rsidR="00EA36E4" w:rsidRDefault="00EA36E4" w:rsidP="00EA36E4">
      <w:pPr>
        <w:spacing w:line="360" w:lineRule="auto"/>
        <w:ind w:left="720" w:hanging="720"/>
        <w:jc w:val="both"/>
        <w:rPr>
          <w:rtl/>
        </w:rPr>
      </w:pPr>
      <w:r>
        <w:rPr>
          <w:rFonts w:hint="cs"/>
          <w:rtl/>
        </w:rPr>
        <w:t>27.</w:t>
      </w:r>
      <w:r>
        <w:rPr>
          <w:rFonts w:hint="cs"/>
          <w:rtl/>
        </w:rPr>
        <w:tab/>
        <w:t xml:space="preserve">בעת קביעת העונש המתאים בתוך מתחמי העונש ההולם שנקבעו לעיל,  לקחתי בחשבון </w:t>
      </w:r>
      <w:r w:rsidRPr="00FF1580">
        <w:rPr>
          <w:rFonts w:hint="cs"/>
          <w:u w:val="single"/>
          <w:rtl/>
        </w:rPr>
        <w:t>לקולא</w:t>
      </w:r>
      <w:r>
        <w:rPr>
          <w:rFonts w:hint="cs"/>
          <w:rtl/>
        </w:rPr>
        <w:t xml:space="preserve"> את הנתונים הבאים: העובדה שהנאשם הוא דר רחוב, לא עובד, נעדר תמיכה משפחתית ומתקיים מקצבה של המוסד לביטוח לאומי; באשר ל-</w:t>
      </w:r>
      <w:hyperlink r:id="rId54" w:history="1">
        <w:r w:rsidR="00B60172" w:rsidRPr="00B60172">
          <w:rPr>
            <w:color w:val="0000FF"/>
            <w:u w:val="single"/>
            <w:rtl/>
          </w:rPr>
          <w:t>ת"פ 68017-06-20</w:t>
        </w:r>
      </w:hyperlink>
      <w:r>
        <w:rPr>
          <w:rFonts w:hint="cs"/>
          <w:rtl/>
        </w:rPr>
        <w:t xml:space="preserve"> שעניינו עבירה של החזקת סם לצריכה עצמית, לקחתי בחשבון את הודייתו של הנאשם והחיסכון בזמן שיפוטי. </w:t>
      </w:r>
    </w:p>
    <w:p w14:paraId="7BB817BD" w14:textId="77777777" w:rsidR="00EA36E4" w:rsidRDefault="00EA36E4" w:rsidP="00EA36E4">
      <w:pPr>
        <w:spacing w:line="360" w:lineRule="auto"/>
        <w:ind w:left="720" w:hanging="720"/>
        <w:jc w:val="both"/>
        <w:rPr>
          <w:rtl/>
        </w:rPr>
      </w:pPr>
    </w:p>
    <w:p w14:paraId="6073A2C5" w14:textId="77777777" w:rsidR="00EA36E4" w:rsidRDefault="00EA36E4" w:rsidP="00EA36E4">
      <w:pPr>
        <w:spacing w:line="360" w:lineRule="auto"/>
        <w:ind w:left="720" w:hanging="720"/>
        <w:jc w:val="both"/>
        <w:rPr>
          <w:rtl/>
        </w:rPr>
      </w:pPr>
      <w:r>
        <w:rPr>
          <w:rFonts w:hint="cs"/>
          <w:rtl/>
        </w:rPr>
        <w:t>28.</w:t>
      </w:r>
      <w:r>
        <w:rPr>
          <w:rFonts w:hint="cs"/>
          <w:rtl/>
        </w:rPr>
        <w:tab/>
        <w:t xml:space="preserve">כמו כן,  לקחתי בחשבון </w:t>
      </w:r>
      <w:r w:rsidRPr="00FF1580">
        <w:rPr>
          <w:rFonts w:hint="cs"/>
          <w:u w:val="single"/>
          <w:rtl/>
        </w:rPr>
        <w:t>לחומרא</w:t>
      </w:r>
      <w:r>
        <w:rPr>
          <w:rFonts w:hint="cs"/>
          <w:rtl/>
        </w:rPr>
        <w:t xml:space="preserve"> את הרישום הפלילי של הנאשם הכולל 8 הרשעות קודמות בעבירות אלימות וגם נדון מספר פעמים לעונשי מאסר בפועל לתקופות משמעותיות. </w:t>
      </w:r>
    </w:p>
    <w:p w14:paraId="4F385C2C" w14:textId="77777777" w:rsidR="00EA36E4" w:rsidRDefault="00EA36E4" w:rsidP="00EA36E4">
      <w:pPr>
        <w:spacing w:line="360" w:lineRule="auto"/>
        <w:ind w:left="720" w:hanging="720"/>
        <w:jc w:val="both"/>
        <w:rPr>
          <w:rtl/>
        </w:rPr>
      </w:pPr>
    </w:p>
    <w:p w14:paraId="4034E072" w14:textId="77777777" w:rsidR="00EA36E4" w:rsidRDefault="00EA36E4" w:rsidP="00EA36E4">
      <w:pPr>
        <w:spacing w:line="360" w:lineRule="auto"/>
        <w:ind w:left="720" w:hanging="720"/>
        <w:jc w:val="both"/>
        <w:rPr>
          <w:rtl/>
        </w:rPr>
      </w:pPr>
      <w:r>
        <w:rPr>
          <w:rFonts w:hint="cs"/>
          <w:rtl/>
        </w:rPr>
        <w:t>29.</w:t>
      </w:r>
      <w:r>
        <w:rPr>
          <w:rFonts w:hint="cs"/>
          <w:rtl/>
        </w:rPr>
        <w:tab/>
        <w:t xml:space="preserve">לסיכום, הנני משית על הנאשם את העונשים הבאים: </w:t>
      </w:r>
    </w:p>
    <w:p w14:paraId="479354CC" w14:textId="77777777" w:rsidR="00EA36E4" w:rsidRDefault="00EA36E4" w:rsidP="00EA36E4">
      <w:pPr>
        <w:spacing w:line="360" w:lineRule="auto"/>
        <w:ind w:left="720" w:hanging="720"/>
        <w:jc w:val="both"/>
        <w:rPr>
          <w:rtl/>
        </w:rPr>
      </w:pPr>
    </w:p>
    <w:p w14:paraId="7A28F8B6" w14:textId="77777777" w:rsidR="00EA36E4" w:rsidRDefault="00EA36E4" w:rsidP="00EA36E4">
      <w:pPr>
        <w:spacing w:line="360" w:lineRule="auto"/>
        <w:ind w:left="1440" w:hanging="720"/>
        <w:jc w:val="both"/>
        <w:rPr>
          <w:rtl/>
        </w:rPr>
      </w:pPr>
      <w:r>
        <w:rPr>
          <w:rFonts w:hint="cs"/>
          <w:rtl/>
        </w:rPr>
        <w:t>א.</w:t>
      </w:r>
      <w:r>
        <w:rPr>
          <w:rFonts w:hint="cs"/>
          <w:rtl/>
        </w:rPr>
        <w:tab/>
        <w:t xml:space="preserve">8 חודשי מאסר בפועל. </w:t>
      </w:r>
    </w:p>
    <w:p w14:paraId="10DA5FD2" w14:textId="77777777" w:rsidR="00EA36E4" w:rsidRDefault="00EA36E4" w:rsidP="00EA36E4">
      <w:pPr>
        <w:spacing w:line="360" w:lineRule="auto"/>
        <w:ind w:left="1440" w:hanging="720"/>
        <w:jc w:val="both"/>
        <w:rPr>
          <w:rtl/>
        </w:rPr>
      </w:pPr>
    </w:p>
    <w:p w14:paraId="249ABEF4" w14:textId="77777777" w:rsidR="00EA36E4" w:rsidRDefault="00EA36E4" w:rsidP="00EA36E4">
      <w:pPr>
        <w:spacing w:line="360" w:lineRule="auto"/>
        <w:ind w:left="1440" w:hanging="720"/>
        <w:jc w:val="both"/>
        <w:rPr>
          <w:rtl/>
        </w:rPr>
      </w:pPr>
      <w:r>
        <w:rPr>
          <w:rFonts w:hint="cs"/>
          <w:rtl/>
        </w:rPr>
        <w:t>ב.</w:t>
      </w:r>
      <w:r>
        <w:rPr>
          <w:rFonts w:hint="cs"/>
          <w:rtl/>
        </w:rPr>
        <w:tab/>
        <w:t xml:space="preserve">הנני מפעיל את המאסר המותנה של 4 חודשים שהושתו על הנאשם במסגרת </w:t>
      </w:r>
      <w:hyperlink r:id="rId55" w:history="1">
        <w:r w:rsidR="00B60172" w:rsidRPr="00B60172">
          <w:rPr>
            <w:color w:val="0000FF"/>
            <w:u w:val="single"/>
            <w:rtl/>
          </w:rPr>
          <w:t>תפ"ח (מחוזי מרכז) 66174-09-14</w:t>
        </w:r>
      </w:hyperlink>
      <w:r>
        <w:rPr>
          <w:rFonts w:hint="cs"/>
          <w:rtl/>
        </w:rPr>
        <w:t xml:space="preserve">, מיום 8.2.16, וזאת במצטבר לעונש שהושת לעיל. </w:t>
      </w:r>
    </w:p>
    <w:p w14:paraId="5F9C4AF0" w14:textId="77777777" w:rsidR="00EA36E4" w:rsidRDefault="00EA36E4" w:rsidP="00EA36E4">
      <w:pPr>
        <w:spacing w:line="360" w:lineRule="auto"/>
        <w:ind w:left="1440"/>
        <w:jc w:val="both"/>
        <w:rPr>
          <w:b/>
          <w:bCs/>
          <w:rtl/>
        </w:rPr>
      </w:pPr>
    </w:p>
    <w:p w14:paraId="09F3D127" w14:textId="77777777" w:rsidR="00EA36E4" w:rsidRPr="00B94C74" w:rsidRDefault="00EA36E4" w:rsidP="00EA36E4">
      <w:pPr>
        <w:spacing w:line="360" w:lineRule="auto"/>
        <w:ind w:left="1440"/>
        <w:jc w:val="both"/>
        <w:rPr>
          <w:b/>
          <w:bCs/>
          <w:rtl/>
        </w:rPr>
      </w:pPr>
      <w:r w:rsidRPr="00B94C74">
        <w:rPr>
          <w:rFonts w:hint="cs"/>
          <w:b/>
          <w:bCs/>
          <w:rtl/>
        </w:rPr>
        <w:t>סה"כ ירצה הנאשם 1</w:t>
      </w:r>
      <w:r>
        <w:rPr>
          <w:rFonts w:hint="cs"/>
          <w:b/>
          <w:bCs/>
          <w:rtl/>
        </w:rPr>
        <w:t>2</w:t>
      </w:r>
      <w:r w:rsidRPr="00B94C74">
        <w:rPr>
          <w:rFonts w:hint="cs"/>
          <w:b/>
          <w:bCs/>
          <w:rtl/>
        </w:rPr>
        <w:t xml:space="preserve"> חודשי מאסר בפועל בניכוי ימי מעצרו מיום 30.12.16 ועד</w:t>
      </w:r>
      <w:r>
        <w:rPr>
          <w:rFonts w:hint="cs"/>
          <w:b/>
          <w:bCs/>
          <w:rtl/>
        </w:rPr>
        <w:t xml:space="preserve"> ליום </w:t>
      </w:r>
      <w:r w:rsidRPr="00B94C74">
        <w:rPr>
          <w:rFonts w:hint="cs"/>
          <w:b/>
          <w:bCs/>
          <w:rtl/>
        </w:rPr>
        <w:t>2.1.17</w:t>
      </w:r>
      <w:r>
        <w:rPr>
          <w:rFonts w:hint="cs"/>
          <w:b/>
          <w:bCs/>
          <w:rtl/>
        </w:rPr>
        <w:t>, ואשר נוגעים ל-</w:t>
      </w:r>
      <w:hyperlink r:id="rId56" w:history="1">
        <w:r w:rsidR="00B60172" w:rsidRPr="00B60172">
          <w:rPr>
            <w:b/>
            <w:bCs/>
            <w:color w:val="0000FF"/>
            <w:u w:val="single"/>
            <w:rtl/>
          </w:rPr>
          <w:t>ת"פ 56373-03-17</w:t>
        </w:r>
      </w:hyperlink>
      <w:r>
        <w:rPr>
          <w:rFonts w:hint="cs"/>
          <w:b/>
          <w:bCs/>
          <w:rtl/>
        </w:rPr>
        <w:t>.</w:t>
      </w:r>
    </w:p>
    <w:p w14:paraId="69AB7139" w14:textId="77777777" w:rsidR="00EA36E4" w:rsidRDefault="00EA36E4" w:rsidP="00EA36E4">
      <w:pPr>
        <w:spacing w:line="360" w:lineRule="auto"/>
        <w:ind w:left="1440" w:hanging="720"/>
        <w:jc w:val="both"/>
        <w:rPr>
          <w:rtl/>
        </w:rPr>
      </w:pPr>
    </w:p>
    <w:p w14:paraId="7123906A" w14:textId="77777777" w:rsidR="00EA36E4" w:rsidRDefault="00EA36E4" w:rsidP="00EA36E4">
      <w:pPr>
        <w:spacing w:line="360" w:lineRule="auto"/>
        <w:ind w:left="1440" w:hanging="720"/>
        <w:jc w:val="both"/>
        <w:rPr>
          <w:rtl/>
        </w:rPr>
      </w:pPr>
      <w:r>
        <w:rPr>
          <w:rFonts w:hint="cs"/>
          <w:rtl/>
        </w:rPr>
        <w:t>ג.</w:t>
      </w:r>
      <w:r>
        <w:rPr>
          <w:rFonts w:hint="cs"/>
          <w:rtl/>
        </w:rPr>
        <w:tab/>
        <w:t xml:space="preserve">5 חודשי מאסר על תנאי והתנאי הוא שבמשך 3 שנים ממועד שחרורו, לא יבצע עבירת אלימות, או עבירה כלשהי לפי </w:t>
      </w:r>
      <w:hyperlink r:id="rId57" w:history="1">
        <w:r w:rsidR="00B60172" w:rsidRPr="00B60172">
          <w:rPr>
            <w:color w:val="0000FF"/>
            <w:u w:val="single"/>
            <w:rtl/>
          </w:rPr>
          <w:t>פקודת הסמים המסוכנים</w:t>
        </w:r>
      </w:hyperlink>
      <w:r>
        <w:rPr>
          <w:rFonts w:hint="cs"/>
          <w:rtl/>
        </w:rPr>
        <w:t xml:space="preserve">. </w:t>
      </w:r>
    </w:p>
    <w:p w14:paraId="7C68243F" w14:textId="77777777" w:rsidR="00EA36E4" w:rsidRDefault="00EA36E4" w:rsidP="00EA36E4">
      <w:pPr>
        <w:spacing w:line="360" w:lineRule="auto"/>
        <w:jc w:val="both"/>
        <w:rPr>
          <w:rtl/>
        </w:rPr>
      </w:pPr>
    </w:p>
    <w:p w14:paraId="42437AE6" w14:textId="77777777" w:rsidR="00EA36E4" w:rsidRDefault="00EA36E4" w:rsidP="00EA36E4">
      <w:pPr>
        <w:spacing w:line="360" w:lineRule="auto"/>
        <w:ind w:left="720" w:hanging="720"/>
        <w:jc w:val="both"/>
        <w:rPr>
          <w:rtl/>
        </w:rPr>
      </w:pPr>
      <w:r>
        <w:rPr>
          <w:rFonts w:hint="cs"/>
          <w:rtl/>
        </w:rPr>
        <w:t>30.</w:t>
      </w:r>
      <w:r>
        <w:rPr>
          <w:rFonts w:hint="cs"/>
          <w:rtl/>
        </w:rPr>
        <w:tab/>
        <w:t xml:space="preserve">לאור העובדה שהנאשם הוא דר רחוב ונעדר אמצעים כלכליים כלשהם, לא מצאתי לנכון להשית עליו קנס כספי. </w:t>
      </w:r>
    </w:p>
    <w:p w14:paraId="31CEA6B1" w14:textId="77777777" w:rsidR="00EA36E4" w:rsidRDefault="00EA36E4" w:rsidP="00EA36E4">
      <w:pPr>
        <w:spacing w:line="360" w:lineRule="auto"/>
        <w:jc w:val="both"/>
        <w:rPr>
          <w:rtl/>
        </w:rPr>
      </w:pPr>
    </w:p>
    <w:p w14:paraId="5FDDA5AC" w14:textId="77777777" w:rsidR="00EA36E4" w:rsidRDefault="00EA36E4" w:rsidP="00EA36E4">
      <w:pPr>
        <w:spacing w:line="360" w:lineRule="auto"/>
        <w:jc w:val="both"/>
        <w:rPr>
          <w:rtl/>
        </w:rPr>
      </w:pPr>
      <w:r>
        <w:rPr>
          <w:rFonts w:hint="cs"/>
          <w:rtl/>
        </w:rPr>
        <w:t xml:space="preserve">זכות ערעור תוך 45 ימים. </w:t>
      </w:r>
    </w:p>
    <w:p w14:paraId="55299B5D" w14:textId="77777777" w:rsidR="00EA36E4" w:rsidRPr="00B05847" w:rsidRDefault="00EA36E4" w:rsidP="00EA36E4">
      <w:pPr>
        <w:jc w:val="both"/>
        <w:rPr>
          <w:rtl/>
        </w:rPr>
      </w:pPr>
    </w:p>
    <w:p w14:paraId="383A1D7F" w14:textId="77777777" w:rsidR="00EA36E4" w:rsidRPr="00B60172" w:rsidRDefault="00B60172" w:rsidP="00EA36E4">
      <w:pPr>
        <w:jc w:val="both"/>
        <w:rPr>
          <w:color w:val="FFFFFF"/>
          <w:sz w:val="2"/>
          <w:szCs w:val="2"/>
          <w:rtl/>
        </w:rPr>
      </w:pPr>
      <w:r w:rsidRPr="00B60172">
        <w:rPr>
          <w:color w:val="FFFFFF"/>
          <w:sz w:val="2"/>
          <w:szCs w:val="2"/>
          <w:rtl/>
        </w:rPr>
        <w:t>5129371</w:t>
      </w:r>
    </w:p>
    <w:p w14:paraId="288A5B64" w14:textId="77777777" w:rsidR="00EA36E4" w:rsidRDefault="00B60172" w:rsidP="00EA36E4">
      <w:pPr>
        <w:jc w:val="both"/>
        <w:rPr>
          <w:rFonts w:cs="FrankRuehl"/>
          <w:sz w:val="28"/>
          <w:szCs w:val="28"/>
          <w:rtl/>
        </w:rPr>
      </w:pPr>
      <w:bookmarkStart w:id="8" w:name="Nitan"/>
      <w:r w:rsidRPr="00B60172">
        <w:rPr>
          <w:rFonts w:ascii="Arial" w:hAnsi="Arial"/>
          <w:color w:val="FFFFFF"/>
          <w:sz w:val="2"/>
          <w:szCs w:val="2"/>
          <w:rtl/>
        </w:rPr>
        <w:t>54678313</w:t>
      </w:r>
      <w:r>
        <w:rPr>
          <w:rFonts w:ascii="Arial" w:hAnsi="Arial"/>
          <w:rtl/>
        </w:rPr>
        <w:t xml:space="preserve">ניתן היום,  א' כסלו תשפ"א, 17 נובמבר 2020, במעמד הצדדים. </w:t>
      </w:r>
      <w:bookmarkEnd w:id="8"/>
    </w:p>
    <w:p w14:paraId="5EE0E564" w14:textId="77777777" w:rsidR="00EA36E4" w:rsidRDefault="00EA36E4" w:rsidP="00B60172">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4CD13E7" w14:textId="77777777" w:rsidR="00EA36E4" w:rsidRDefault="00EA36E4" w:rsidP="00EA36E4">
      <w:pPr>
        <w:jc w:val="both"/>
        <w:rPr>
          <w:rFonts w:ascii="Arial" w:hAnsi="Arial" w:cs="FrankRuehl"/>
          <w:sz w:val="28"/>
          <w:szCs w:val="28"/>
          <w:rtl/>
        </w:rPr>
      </w:pPr>
    </w:p>
    <w:p w14:paraId="7A81784E" w14:textId="77777777" w:rsidR="00EA36E4" w:rsidRDefault="00EA36E4" w:rsidP="00EA36E4">
      <w:pPr>
        <w:jc w:val="both"/>
        <w:rPr>
          <w:rFonts w:cs="FrankRuehl"/>
          <w:sz w:val="28"/>
          <w:szCs w:val="28"/>
          <w:rtl/>
        </w:rPr>
      </w:pPr>
    </w:p>
    <w:p w14:paraId="53F13E0C" w14:textId="77777777" w:rsidR="00EA36E4" w:rsidRPr="0005640F" w:rsidRDefault="0005640F" w:rsidP="00EA36E4">
      <w:pPr>
        <w:pStyle w:val="a3"/>
        <w:jc w:val="both"/>
        <w:rPr>
          <w:color w:val="FFFFFF"/>
          <w:sz w:val="2"/>
          <w:szCs w:val="2"/>
          <w:rtl/>
        </w:rPr>
      </w:pPr>
      <w:r w:rsidRPr="0005640F">
        <w:rPr>
          <w:color w:val="FFFFFF"/>
          <w:sz w:val="2"/>
          <w:szCs w:val="2"/>
          <w:rtl/>
        </w:rPr>
        <w:t>5129371</w:t>
      </w:r>
    </w:p>
    <w:p w14:paraId="68E639FC" w14:textId="77777777" w:rsidR="005007B0" w:rsidRPr="0005640F" w:rsidRDefault="0005640F" w:rsidP="00B60172">
      <w:pPr>
        <w:keepNext/>
        <w:rPr>
          <w:rFonts w:ascii="David" w:hAnsi="David"/>
          <w:color w:val="FFFFFF"/>
          <w:sz w:val="2"/>
          <w:szCs w:val="2"/>
          <w:rtl/>
        </w:rPr>
      </w:pPr>
      <w:r w:rsidRPr="0005640F">
        <w:rPr>
          <w:rFonts w:ascii="David" w:hAnsi="David"/>
          <w:color w:val="FFFFFF"/>
          <w:sz w:val="2"/>
          <w:szCs w:val="2"/>
          <w:rtl/>
        </w:rPr>
        <w:t>54678313</w:t>
      </w:r>
    </w:p>
    <w:p w14:paraId="634B5A67" w14:textId="77777777" w:rsidR="00B60172" w:rsidRPr="00B60172" w:rsidRDefault="00B60172" w:rsidP="00B60172">
      <w:pPr>
        <w:keepNext/>
        <w:rPr>
          <w:rFonts w:ascii="David" w:hAnsi="David"/>
          <w:color w:val="000000"/>
          <w:sz w:val="22"/>
          <w:szCs w:val="22"/>
          <w:rtl/>
        </w:rPr>
      </w:pPr>
      <w:r w:rsidRPr="00B60172">
        <w:rPr>
          <w:rFonts w:ascii="David" w:hAnsi="David"/>
          <w:color w:val="000000"/>
          <w:sz w:val="22"/>
          <w:szCs w:val="22"/>
          <w:rtl/>
        </w:rPr>
        <w:t>הישאם אבו שחאדה 54678313</w:t>
      </w:r>
    </w:p>
    <w:p w14:paraId="5CD803CC" w14:textId="77777777" w:rsidR="00B60172" w:rsidRDefault="00B60172" w:rsidP="00B60172">
      <w:pPr>
        <w:rPr>
          <w:rFonts w:hint="cs"/>
        </w:rPr>
      </w:pPr>
      <w:r w:rsidRPr="00B60172">
        <w:rPr>
          <w:color w:val="000000"/>
          <w:rtl/>
        </w:rPr>
        <w:t>נוסח מסמך זה כפוף לשינויי ניסוח ועריכה</w:t>
      </w:r>
      <w:r w:rsidR="005C5396">
        <w:rPr>
          <w:rFonts w:hint="cs"/>
          <w:rtl/>
        </w:rPr>
        <w:t xml:space="preserve"> </w:t>
      </w:r>
    </w:p>
    <w:p w14:paraId="661695E7" w14:textId="77777777" w:rsidR="00B60172" w:rsidRDefault="00B60172" w:rsidP="00B60172">
      <w:pPr>
        <w:rPr>
          <w:rtl/>
        </w:rPr>
      </w:pPr>
    </w:p>
    <w:p w14:paraId="0B81B53C" w14:textId="77777777" w:rsidR="00B60172" w:rsidRDefault="00B60172" w:rsidP="00B60172">
      <w:pPr>
        <w:jc w:val="center"/>
        <w:rPr>
          <w:color w:val="0000FF"/>
          <w:u w:val="single"/>
        </w:rPr>
      </w:pPr>
      <w:hyperlink r:id="rId58" w:history="1">
        <w:r>
          <w:rPr>
            <w:color w:val="0000FF"/>
            <w:u w:val="single"/>
            <w:rtl/>
          </w:rPr>
          <w:t>בעניין עריכה ושינויים במסמכי פסיקה, חקיקה ועוד באתר נבו – הקש כאן</w:t>
        </w:r>
      </w:hyperlink>
    </w:p>
    <w:p w14:paraId="0A126B02" w14:textId="77777777" w:rsidR="0005640F" w:rsidRPr="0005640F" w:rsidRDefault="0005640F" w:rsidP="0005640F">
      <w:pPr>
        <w:keepNext/>
        <w:rPr>
          <w:rFonts w:ascii="David" w:hAnsi="David"/>
          <w:color w:val="000000"/>
          <w:sz w:val="22"/>
          <w:szCs w:val="22"/>
          <w:rtl/>
        </w:rPr>
      </w:pPr>
    </w:p>
    <w:sectPr w:rsidR="0005640F" w:rsidRPr="0005640F" w:rsidSect="0005640F">
      <w:headerReference w:type="even" r:id="rId59"/>
      <w:headerReference w:type="default" r:id="rId60"/>
      <w:footerReference w:type="even" r:id="rId61"/>
      <w:footerReference w:type="default" r:id="rId6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FA421A" w14:textId="77777777" w:rsidR="00DF7F23" w:rsidRDefault="00DF7F23" w:rsidP="00BC544E">
      <w:r>
        <w:separator/>
      </w:r>
    </w:p>
  </w:endnote>
  <w:endnote w:type="continuationSeparator" w:id="0">
    <w:p w14:paraId="4D32A00F" w14:textId="77777777" w:rsidR="00DF7F23" w:rsidRDefault="00DF7F23" w:rsidP="00BC5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9173C5" w14:textId="77777777" w:rsidR="0005640F" w:rsidRDefault="0005640F" w:rsidP="0005640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C131B17" w14:textId="77777777" w:rsidR="00503158" w:rsidRPr="0005640F" w:rsidRDefault="0005640F" w:rsidP="0005640F">
    <w:pPr>
      <w:pStyle w:val="a5"/>
      <w:pBdr>
        <w:top w:val="single" w:sz="4" w:space="1" w:color="auto"/>
        <w:between w:val="single" w:sz="4" w:space="0" w:color="auto"/>
      </w:pBdr>
      <w:spacing w:after="60"/>
      <w:jc w:val="center"/>
      <w:rPr>
        <w:rFonts w:ascii="FrankRuehl" w:hAnsi="FrankRuehl" w:cs="FrankRuehl"/>
        <w:color w:val="000000"/>
      </w:rPr>
    </w:pPr>
    <w:r w:rsidRPr="0005640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8070A" w14:textId="77777777" w:rsidR="0005640F" w:rsidRDefault="0005640F" w:rsidP="0005640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56F50">
      <w:rPr>
        <w:rFonts w:ascii="FrankRuehl" w:hAnsi="FrankRuehl" w:cs="FrankRuehl"/>
        <w:noProof/>
        <w:rtl/>
      </w:rPr>
      <w:t>1</w:t>
    </w:r>
    <w:r>
      <w:rPr>
        <w:rFonts w:ascii="FrankRuehl" w:hAnsi="FrankRuehl" w:cs="FrankRuehl"/>
        <w:rtl/>
      </w:rPr>
      <w:fldChar w:fldCharType="end"/>
    </w:r>
  </w:p>
  <w:p w14:paraId="5E42ED03" w14:textId="77777777" w:rsidR="00503158" w:rsidRPr="0005640F" w:rsidRDefault="0005640F" w:rsidP="0005640F">
    <w:pPr>
      <w:pStyle w:val="a5"/>
      <w:pBdr>
        <w:top w:val="single" w:sz="4" w:space="1" w:color="auto"/>
        <w:between w:val="single" w:sz="4" w:space="0" w:color="auto"/>
      </w:pBdr>
      <w:spacing w:after="60"/>
      <w:jc w:val="center"/>
      <w:rPr>
        <w:rFonts w:ascii="FrankRuehl" w:hAnsi="FrankRuehl" w:cs="FrankRuehl"/>
        <w:color w:val="000000"/>
      </w:rPr>
    </w:pPr>
    <w:r w:rsidRPr="0005640F">
      <w:rPr>
        <w:rFonts w:ascii="FrankRuehl" w:hAnsi="FrankRuehl" w:cs="FrankRuehl"/>
        <w:color w:val="000000"/>
      </w:rPr>
      <w:pict w14:anchorId="63B0F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39D471" w14:textId="77777777" w:rsidR="00DF7F23" w:rsidRDefault="00DF7F23" w:rsidP="00BC544E">
      <w:r>
        <w:separator/>
      </w:r>
    </w:p>
  </w:footnote>
  <w:footnote w:type="continuationSeparator" w:id="0">
    <w:p w14:paraId="3E2C290E" w14:textId="77777777" w:rsidR="00DF7F23" w:rsidRDefault="00DF7F23" w:rsidP="00BC5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7E1F5" w14:textId="77777777" w:rsidR="00B60172" w:rsidRPr="0005640F" w:rsidRDefault="0005640F" w:rsidP="0005640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56373-03-17</w:t>
    </w:r>
    <w:r>
      <w:rPr>
        <w:rFonts w:ascii="David" w:hAnsi="David"/>
        <w:color w:val="000000"/>
        <w:sz w:val="22"/>
        <w:szCs w:val="22"/>
        <w:rtl/>
      </w:rPr>
      <w:tab/>
      <w:t xml:space="preserve"> מדינת ישראל נ' יהודה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A8326" w14:textId="77777777" w:rsidR="00B60172" w:rsidRPr="0005640F" w:rsidRDefault="0005640F" w:rsidP="0005640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56373-03-17</w:t>
    </w:r>
    <w:r>
      <w:rPr>
        <w:rFonts w:ascii="David" w:hAnsi="David"/>
        <w:color w:val="000000"/>
        <w:sz w:val="22"/>
        <w:szCs w:val="22"/>
        <w:rtl/>
      </w:rPr>
      <w:tab/>
      <w:t xml:space="preserve"> מדינת ישראל נ' יהודה כהן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A36E4"/>
    <w:rsid w:val="0005640F"/>
    <w:rsid w:val="001828B4"/>
    <w:rsid w:val="003A33AF"/>
    <w:rsid w:val="003E4F4A"/>
    <w:rsid w:val="005007B0"/>
    <w:rsid w:val="00503158"/>
    <w:rsid w:val="005C5396"/>
    <w:rsid w:val="00956F50"/>
    <w:rsid w:val="009D634D"/>
    <w:rsid w:val="009F23A4"/>
    <w:rsid w:val="00B60172"/>
    <w:rsid w:val="00B63787"/>
    <w:rsid w:val="00BC544E"/>
    <w:rsid w:val="00BF1AE7"/>
    <w:rsid w:val="00DF7F23"/>
    <w:rsid w:val="00E17F46"/>
    <w:rsid w:val="00EA36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1DA205D"/>
  <w15:chartTrackingRefBased/>
  <w15:docId w15:val="{6FF99588-4B05-4688-B804-5452B30FA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A36E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A36E4"/>
    <w:pPr>
      <w:tabs>
        <w:tab w:val="center" w:pos="4153"/>
        <w:tab w:val="right" w:pos="8306"/>
      </w:tabs>
    </w:pPr>
  </w:style>
  <w:style w:type="character" w:customStyle="1" w:styleId="a4">
    <w:name w:val="כותרת עליונה תו"/>
    <w:link w:val="a3"/>
    <w:rsid w:val="00EA36E4"/>
    <w:rPr>
      <w:rFonts w:ascii="Times New Roman" w:eastAsia="Times New Roman" w:hAnsi="Times New Roman" w:cs="David"/>
      <w:sz w:val="24"/>
      <w:szCs w:val="24"/>
    </w:rPr>
  </w:style>
  <w:style w:type="paragraph" w:styleId="a5">
    <w:name w:val="footer"/>
    <w:basedOn w:val="a"/>
    <w:link w:val="a6"/>
    <w:rsid w:val="00EA36E4"/>
    <w:pPr>
      <w:tabs>
        <w:tab w:val="center" w:pos="4153"/>
        <w:tab w:val="right" w:pos="8306"/>
      </w:tabs>
    </w:pPr>
  </w:style>
  <w:style w:type="character" w:customStyle="1" w:styleId="a6">
    <w:name w:val="כותרת תחתונה תו"/>
    <w:link w:val="a5"/>
    <w:rsid w:val="00EA36E4"/>
    <w:rPr>
      <w:rFonts w:ascii="Times New Roman" w:eastAsia="Times New Roman" w:hAnsi="Times New Roman" w:cs="David"/>
      <w:sz w:val="24"/>
      <w:szCs w:val="24"/>
    </w:rPr>
  </w:style>
  <w:style w:type="table" w:styleId="a7">
    <w:name w:val="Table Grid"/>
    <w:basedOn w:val="a1"/>
    <w:rsid w:val="00EA36E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A36E4"/>
  </w:style>
  <w:style w:type="character" w:styleId="Hyperlink">
    <w:name w:val="Hyperlink"/>
    <w:rsid w:val="00B601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2357080" TargetMode="External"/><Relationship Id="rId39" Type="http://schemas.openxmlformats.org/officeDocument/2006/relationships/hyperlink" Target="http://www.nevo.co.il/case/5594340" TargetMode="External"/><Relationship Id="rId21" Type="http://schemas.openxmlformats.org/officeDocument/2006/relationships/hyperlink" Target="http://www.nevo.co.il/law/4216/7.a" TargetMode="External"/><Relationship Id="rId34" Type="http://schemas.openxmlformats.org/officeDocument/2006/relationships/hyperlink" Target="http://www.nevo.co.il/case/6123025" TargetMode="External"/><Relationship Id="rId42" Type="http://schemas.openxmlformats.org/officeDocument/2006/relationships/hyperlink" Target="http://www.nevo.co.il/case/22357080" TargetMode="External"/><Relationship Id="rId47" Type="http://schemas.openxmlformats.org/officeDocument/2006/relationships/hyperlink" Target="http://www.nevo.co.il/case/17918261" TargetMode="External"/><Relationship Id="rId50" Type="http://schemas.openxmlformats.org/officeDocument/2006/relationships/hyperlink" Target="http://www.nevo.co.il/case/5590305" TargetMode="External"/><Relationship Id="rId55" Type="http://schemas.openxmlformats.org/officeDocument/2006/relationships/hyperlink" Target="http://www.nevo.co.il/case/18076738" TargetMode="External"/><Relationship Id="rId63" Type="http://schemas.openxmlformats.org/officeDocument/2006/relationships/fontTable" Target="fontTable.xml"/><Relationship Id="rId7" Type="http://schemas.openxmlformats.org/officeDocument/2006/relationships/hyperlink" Target="http://www.nevo.co.il/law/70301/34h"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9" Type="http://schemas.openxmlformats.org/officeDocument/2006/relationships/hyperlink" Target="http://www.nevo.co.il/law/70301/34h" TargetMode="External"/><Relationship Id="rId11" Type="http://schemas.openxmlformats.org/officeDocument/2006/relationships/hyperlink" Target="http://www.nevo.co.il/law/4216" TargetMode="External"/><Relationship Id="rId24" Type="http://schemas.openxmlformats.org/officeDocument/2006/relationships/hyperlink" Target="http://www.nevo.co.il/case/22357080" TargetMode="External"/><Relationship Id="rId32" Type="http://schemas.openxmlformats.org/officeDocument/2006/relationships/hyperlink" Target="http://www.nevo.co.il/case/18076738" TargetMode="External"/><Relationship Id="rId37" Type="http://schemas.openxmlformats.org/officeDocument/2006/relationships/hyperlink" Target="http://www.nevo.co.il/law/70301/402.a" TargetMode="External"/><Relationship Id="rId40" Type="http://schemas.openxmlformats.org/officeDocument/2006/relationships/hyperlink" Target="http://www.nevo.co.il/case/21475180" TargetMode="External"/><Relationship Id="rId45" Type="http://schemas.openxmlformats.org/officeDocument/2006/relationships/hyperlink" Target="http://www.nevo.co.il/case/13022923" TargetMode="External"/><Relationship Id="rId53" Type="http://schemas.openxmlformats.org/officeDocument/2006/relationships/hyperlink" Target="http://www.nevo.co.il/case/22357080" TargetMode="External"/><Relationship Id="rId58" Type="http://schemas.openxmlformats.org/officeDocument/2006/relationships/hyperlink" Target="http://www.nevo.co.il/advertisements/nevo-100.doc" TargetMode="External"/><Relationship Id="rId5" Type="http://schemas.openxmlformats.org/officeDocument/2006/relationships/endnotes" Target="endnotes.xml"/><Relationship Id="rId61" Type="http://schemas.openxmlformats.org/officeDocument/2006/relationships/footer" Target="footer1.xml"/><Relationship Id="rId19" Type="http://schemas.openxmlformats.org/officeDocument/2006/relationships/hyperlink" Target="http://www.nevo.co.il/case/26797246" TargetMode="External"/><Relationship Id="rId14" Type="http://schemas.openxmlformats.org/officeDocument/2006/relationships/hyperlink" Target="http://www.nevo.co.il/case/22357080" TargetMode="External"/><Relationship Id="rId22" Type="http://schemas.openxmlformats.org/officeDocument/2006/relationships/hyperlink" Target="http://www.nevo.co.il/law/4216/7.c" TargetMode="External"/><Relationship Id="rId27" Type="http://schemas.openxmlformats.org/officeDocument/2006/relationships/hyperlink" Target="http://www.nevo.co.il/case/22357080"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2357080" TargetMode="External"/><Relationship Id="rId43" Type="http://schemas.openxmlformats.org/officeDocument/2006/relationships/hyperlink" Target="http://www.nevo.co.il/case/5799917" TargetMode="External"/><Relationship Id="rId48" Type="http://schemas.openxmlformats.org/officeDocument/2006/relationships/hyperlink" Target="http://www.nevo.co.il/case/5585346" TargetMode="External"/><Relationship Id="rId56" Type="http://schemas.openxmlformats.org/officeDocument/2006/relationships/hyperlink" Target="http://www.nevo.co.il/case/22357080" TargetMode="External"/><Relationship Id="rId64" Type="http://schemas.openxmlformats.org/officeDocument/2006/relationships/theme" Target="theme/theme1.xml"/><Relationship Id="rId8" Type="http://schemas.openxmlformats.org/officeDocument/2006/relationships/hyperlink" Target="http://www.nevo.co.il/law/70301/34i" TargetMode="External"/><Relationship Id="rId51" Type="http://schemas.openxmlformats.org/officeDocument/2006/relationships/hyperlink" Target="http://www.nevo.co.il/case/17918261" TargetMode="External"/><Relationship Id="rId3" Type="http://schemas.openxmlformats.org/officeDocument/2006/relationships/webSettings" Target="webSettings.xml"/><Relationship Id="rId12" Type="http://schemas.openxmlformats.org/officeDocument/2006/relationships/hyperlink" Target="http://www.nevo.co.il/law/4216/7.a" TargetMode="External"/><Relationship Id="rId17" Type="http://schemas.openxmlformats.org/officeDocument/2006/relationships/hyperlink" Target="http://www.nevo.co.il/law/70301/192" TargetMode="External"/><Relationship Id="rId25" Type="http://schemas.openxmlformats.org/officeDocument/2006/relationships/hyperlink" Target="http://www.nevo.co.il/case/26797246" TargetMode="External"/><Relationship Id="rId33" Type="http://schemas.openxmlformats.org/officeDocument/2006/relationships/hyperlink" Target="http://www.nevo.co.il/case/22357080"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26146659" TargetMode="External"/><Relationship Id="rId59" Type="http://schemas.openxmlformats.org/officeDocument/2006/relationships/header" Target="header1.xml"/><Relationship Id="rId20" Type="http://schemas.openxmlformats.org/officeDocument/2006/relationships/hyperlink" Target="http://www.nevo.co.il/case/26797246" TargetMode="External"/><Relationship Id="rId41" Type="http://schemas.openxmlformats.org/officeDocument/2006/relationships/hyperlink" Target="http://www.nevo.co.il/case/5691883" TargetMode="External"/><Relationship Id="rId54" Type="http://schemas.openxmlformats.org/officeDocument/2006/relationships/hyperlink" Target="http://www.nevo.co.il/case/26797246" TargetMode="External"/><Relationship Id="rId62"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192" TargetMode="External"/><Relationship Id="rId23" Type="http://schemas.openxmlformats.org/officeDocument/2006/relationships/hyperlink" Target="http://www.nevo.co.il/law/4216" TargetMode="External"/><Relationship Id="rId28" Type="http://schemas.openxmlformats.org/officeDocument/2006/relationships/hyperlink" Target="http://www.nevo.co.il/case/22357080" TargetMode="External"/><Relationship Id="rId36" Type="http://schemas.openxmlformats.org/officeDocument/2006/relationships/hyperlink" Target="http://www.nevo.co.il/case/6065628" TargetMode="External"/><Relationship Id="rId49" Type="http://schemas.openxmlformats.org/officeDocument/2006/relationships/hyperlink" Target="http://www.nevo.co.il/case/26744128" TargetMode="External"/><Relationship Id="rId57" Type="http://schemas.openxmlformats.org/officeDocument/2006/relationships/hyperlink" Target="http://www.nevo.co.il/law/4216" TargetMode="External"/><Relationship Id="rId10" Type="http://schemas.openxmlformats.org/officeDocument/2006/relationships/hyperlink" Target="http://www.nevo.co.il/law/70301/402.a" TargetMode="External"/><Relationship Id="rId31" Type="http://schemas.openxmlformats.org/officeDocument/2006/relationships/hyperlink" Target="http://www.nevo.co.il/law/70301/34i" TargetMode="External"/><Relationship Id="rId44" Type="http://schemas.openxmlformats.org/officeDocument/2006/relationships/hyperlink" Target="http://www.nevo.co.il/case/5806584" TargetMode="External"/><Relationship Id="rId52" Type="http://schemas.openxmlformats.org/officeDocument/2006/relationships/hyperlink" Target="http://www.nevo.co.il/case/5852209" TargetMode="External"/><Relationship Id="rId6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19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2770</Words>
  <Characters>13854</Characters>
  <Application>Microsoft Office Word</Application>
  <DocSecurity>0</DocSecurity>
  <Lines>115</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16591</CharactersWithSpaces>
  <SharedDoc>false</SharedDoc>
  <HLinks>
    <vt:vector size="318" baseType="variant">
      <vt:variant>
        <vt:i4>393283</vt:i4>
      </vt:variant>
      <vt:variant>
        <vt:i4>156</vt:i4>
      </vt:variant>
      <vt:variant>
        <vt:i4>0</vt:i4>
      </vt:variant>
      <vt:variant>
        <vt:i4>5</vt:i4>
      </vt:variant>
      <vt:variant>
        <vt:lpwstr>http://www.nevo.co.il/advertisements/nevo-100.doc</vt:lpwstr>
      </vt:variant>
      <vt:variant>
        <vt:lpwstr/>
      </vt:variant>
      <vt:variant>
        <vt:i4>8257637</vt:i4>
      </vt:variant>
      <vt:variant>
        <vt:i4>153</vt:i4>
      </vt:variant>
      <vt:variant>
        <vt:i4>0</vt:i4>
      </vt:variant>
      <vt:variant>
        <vt:i4>5</vt:i4>
      </vt:variant>
      <vt:variant>
        <vt:lpwstr>http://www.nevo.co.il/law/4216</vt:lpwstr>
      </vt:variant>
      <vt:variant>
        <vt:lpwstr/>
      </vt:variant>
      <vt:variant>
        <vt:i4>4063347</vt:i4>
      </vt:variant>
      <vt:variant>
        <vt:i4>150</vt:i4>
      </vt:variant>
      <vt:variant>
        <vt:i4>0</vt:i4>
      </vt:variant>
      <vt:variant>
        <vt:i4>5</vt:i4>
      </vt:variant>
      <vt:variant>
        <vt:lpwstr>http://www.nevo.co.il/case/22357080</vt:lpwstr>
      </vt:variant>
      <vt:variant>
        <vt:lpwstr/>
      </vt:variant>
      <vt:variant>
        <vt:i4>3407996</vt:i4>
      </vt:variant>
      <vt:variant>
        <vt:i4>147</vt:i4>
      </vt:variant>
      <vt:variant>
        <vt:i4>0</vt:i4>
      </vt:variant>
      <vt:variant>
        <vt:i4>5</vt:i4>
      </vt:variant>
      <vt:variant>
        <vt:lpwstr>http://www.nevo.co.il/case/18076738</vt:lpwstr>
      </vt:variant>
      <vt:variant>
        <vt:lpwstr/>
      </vt:variant>
      <vt:variant>
        <vt:i4>3539065</vt:i4>
      </vt:variant>
      <vt:variant>
        <vt:i4>144</vt:i4>
      </vt:variant>
      <vt:variant>
        <vt:i4>0</vt:i4>
      </vt:variant>
      <vt:variant>
        <vt:i4>5</vt:i4>
      </vt:variant>
      <vt:variant>
        <vt:lpwstr>http://www.nevo.co.il/case/26797246</vt:lpwstr>
      </vt:variant>
      <vt:variant>
        <vt:lpwstr/>
      </vt:variant>
      <vt:variant>
        <vt:i4>4063347</vt:i4>
      </vt:variant>
      <vt:variant>
        <vt:i4>141</vt:i4>
      </vt:variant>
      <vt:variant>
        <vt:i4>0</vt:i4>
      </vt:variant>
      <vt:variant>
        <vt:i4>5</vt:i4>
      </vt:variant>
      <vt:variant>
        <vt:lpwstr>http://www.nevo.co.il/case/22357080</vt:lpwstr>
      </vt:variant>
      <vt:variant>
        <vt:lpwstr/>
      </vt:variant>
      <vt:variant>
        <vt:i4>3866750</vt:i4>
      </vt:variant>
      <vt:variant>
        <vt:i4>138</vt:i4>
      </vt:variant>
      <vt:variant>
        <vt:i4>0</vt:i4>
      </vt:variant>
      <vt:variant>
        <vt:i4>5</vt:i4>
      </vt:variant>
      <vt:variant>
        <vt:lpwstr>http://www.nevo.co.il/case/5852209</vt:lpwstr>
      </vt:variant>
      <vt:variant>
        <vt:lpwstr/>
      </vt:variant>
      <vt:variant>
        <vt:i4>3539056</vt:i4>
      </vt:variant>
      <vt:variant>
        <vt:i4>135</vt:i4>
      </vt:variant>
      <vt:variant>
        <vt:i4>0</vt:i4>
      </vt:variant>
      <vt:variant>
        <vt:i4>5</vt:i4>
      </vt:variant>
      <vt:variant>
        <vt:lpwstr>http://www.nevo.co.il/case/17918261</vt:lpwstr>
      </vt:variant>
      <vt:variant>
        <vt:lpwstr/>
      </vt:variant>
      <vt:variant>
        <vt:i4>3801201</vt:i4>
      </vt:variant>
      <vt:variant>
        <vt:i4>132</vt:i4>
      </vt:variant>
      <vt:variant>
        <vt:i4>0</vt:i4>
      </vt:variant>
      <vt:variant>
        <vt:i4>5</vt:i4>
      </vt:variant>
      <vt:variant>
        <vt:lpwstr>http://www.nevo.co.il/case/5590305</vt:lpwstr>
      </vt:variant>
      <vt:variant>
        <vt:lpwstr/>
      </vt:variant>
      <vt:variant>
        <vt:i4>3342455</vt:i4>
      </vt:variant>
      <vt:variant>
        <vt:i4>129</vt:i4>
      </vt:variant>
      <vt:variant>
        <vt:i4>0</vt:i4>
      </vt:variant>
      <vt:variant>
        <vt:i4>5</vt:i4>
      </vt:variant>
      <vt:variant>
        <vt:lpwstr>http://www.nevo.co.il/case/26744128</vt:lpwstr>
      </vt:variant>
      <vt:variant>
        <vt:lpwstr/>
      </vt:variant>
      <vt:variant>
        <vt:i4>3670128</vt:i4>
      </vt:variant>
      <vt:variant>
        <vt:i4>126</vt:i4>
      </vt:variant>
      <vt:variant>
        <vt:i4>0</vt:i4>
      </vt:variant>
      <vt:variant>
        <vt:i4>5</vt:i4>
      </vt:variant>
      <vt:variant>
        <vt:lpwstr>http://www.nevo.co.il/case/5585346</vt:lpwstr>
      </vt:variant>
      <vt:variant>
        <vt:lpwstr/>
      </vt:variant>
      <vt:variant>
        <vt:i4>3539056</vt:i4>
      </vt:variant>
      <vt:variant>
        <vt:i4>123</vt:i4>
      </vt:variant>
      <vt:variant>
        <vt:i4>0</vt:i4>
      </vt:variant>
      <vt:variant>
        <vt:i4>5</vt:i4>
      </vt:variant>
      <vt:variant>
        <vt:lpwstr>http://www.nevo.co.il/case/17918261</vt:lpwstr>
      </vt:variant>
      <vt:variant>
        <vt:lpwstr/>
      </vt:variant>
      <vt:variant>
        <vt:i4>3145840</vt:i4>
      </vt:variant>
      <vt:variant>
        <vt:i4>120</vt:i4>
      </vt:variant>
      <vt:variant>
        <vt:i4>0</vt:i4>
      </vt:variant>
      <vt:variant>
        <vt:i4>5</vt:i4>
      </vt:variant>
      <vt:variant>
        <vt:lpwstr>http://www.nevo.co.il/case/26146659</vt:lpwstr>
      </vt:variant>
      <vt:variant>
        <vt:lpwstr/>
      </vt:variant>
      <vt:variant>
        <vt:i4>3211388</vt:i4>
      </vt:variant>
      <vt:variant>
        <vt:i4>117</vt:i4>
      </vt:variant>
      <vt:variant>
        <vt:i4>0</vt:i4>
      </vt:variant>
      <vt:variant>
        <vt:i4>5</vt:i4>
      </vt:variant>
      <vt:variant>
        <vt:lpwstr>http://www.nevo.co.il/case/13022923</vt:lpwstr>
      </vt:variant>
      <vt:variant>
        <vt:lpwstr/>
      </vt:variant>
      <vt:variant>
        <vt:i4>3407986</vt:i4>
      </vt:variant>
      <vt:variant>
        <vt:i4>114</vt:i4>
      </vt:variant>
      <vt:variant>
        <vt:i4>0</vt:i4>
      </vt:variant>
      <vt:variant>
        <vt:i4>5</vt:i4>
      </vt:variant>
      <vt:variant>
        <vt:lpwstr>http://www.nevo.co.il/case/5806584</vt:lpwstr>
      </vt:variant>
      <vt:variant>
        <vt:lpwstr/>
      </vt:variant>
      <vt:variant>
        <vt:i4>3276923</vt:i4>
      </vt:variant>
      <vt:variant>
        <vt:i4>111</vt:i4>
      </vt:variant>
      <vt:variant>
        <vt:i4>0</vt:i4>
      </vt:variant>
      <vt:variant>
        <vt:i4>5</vt:i4>
      </vt:variant>
      <vt:variant>
        <vt:lpwstr>http://www.nevo.co.il/case/5799917</vt:lpwstr>
      </vt:variant>
      <vt:variant>
        <vt:lpwstr/>
      </vt:variant>
      <vt:variant>
        <vt:i4>4063347</vt:i4>
      </vt:variant>
      <vt:variant>
        <vt:i4>108</vt:i4>
      </vt:variant>
      <vt:variant>
        <vt:i4>0</vt:i4>
      </vt:variant>
      <vt:variant>
        <vt:i4>5</vt:i4>
      </vt:variant>
      <vt:variant>
        <vt:lpwstr>http://www.nevo.co.il/case/22357080</vt:lpwstr>
      </vt:variant>
      <vt:variant>
        <vt:lpwstr/>
      </vt:variant>
      <vt:variant>
        <vt:i4>3604603</vt:i4>
      </vt:variant>
      <vt:variant>
        <vt:i4>105</vt:i4>
      </vt:variant>
      <vt:variant>
        <vt:i4>0</vt:i4>
      </vt:variant>
      <vt:variant>
        <vt:i4>5</vt:i4>
      </vt:variant>
      <vt:variant>
        <vt:lpwstr>http://www.nevo.co.il/case/5691883</vt:lpwstr>
      </vt:variant>
      <vt:variant>
        <vt:lpwstr/>
      </vt:variant>
      <vt:variant>
        <vt:i4>3866739</vt:i4>
      </vt:variant>
      <vt:variant>
        <vt:i4>102</vt:i4>
      </vt:variant>
      <vt:variant>
        <vt:i4>0</vt:i4>
      </vt:variant>
      <vt:variant>
        <vt:i4>5</vt:i4>
      </vt:variant>
      <vt:variant>
        <vt:lpwstr>http://www.nevo.co.il/case/21475180</vt:lpwstr>
      </vt:variant>
      <vt:variant>
        <vt:lpwstr/>
      </vt:variant>
      <vt:variant>
        <vt:i4>4128881</vt:i4>
      </vt:variant>
      <vt:variant>
        <vt:i4>99</vt:i4>
      </vt:variant>
      <vt:variant>
        <vt:i4>0</vt:i4>
      </vt:variant>
      <vt:variant>
        <vt:i4>5</vt:i4>
      </vt:variant>
      <vt:variant>
        <vt:lpwstr>http://www.nevo.co.il/case/5594340</vt:lpwstr>
      </vt:variant>
      <vt:variant>
        <vt:lpwstr/>
      </vt:variant>
      <vt:variant>
        <vt:i4>7995492</vt:i4>
      </vt:variant>
      <vt:variant>
        <vt:i4>96</vt:i4>
      </vt:variant>
      <vt:variant>
        <vt:i4>0</vt:i4>
      </vt:variant>
      <vt:variant>
        <vt:i4>5</vt:i4>
      </vt:variant>
      <vt:variant>
        <vt:lpwstr>http://www.nevo.co.il/law/70301</vt:lpwstr>
      </vt:variant>
      <vt:variant>
        <vt:lpwstr/>
      </vt:variant>
      <vt:variant>
        <vt:i4>4915283</vt:i4>
      </vt:variant>
      <vt:variant>
        <vt:i4>93</vt:i4>
      </vt:variant>
      <vt:variant>
        <vt:i4>0</vt:i4>
      </vt:variant>
      <vt:variant>
        <vt:i4>5</vt:i4>
      </vt:variant>
      <vt:variant>
        <vt:lpwstr>http://www.nevo.co.il/law/70301/402.a</vt:lpwstr>
      </vt:variant>
      <vt:variant>
        <vt:lpwstr/>
      </vt:variant>
      <vt:variant>
        <vt:i4>4063347</vt:i4>
      </vt:variant>
      <vt:variant>
        <vt:i4>90</vt:i4>
      </vt:variant>
      <vt:variant>
        <vt:i4>0</vt:i4>
      </vt:variant>
      <vt:variant>
        <vt:i4>5</vt:i4>
      </vt:variant>
      <vt:variant>
        <vt:lpwstr>http://www.nevo.co.il/case/6065628</vt:lpwstr>
      </vt:variant>
      <vt:variant>
        <vt:lpwstr/>
      </vt:variant>
      <vt:variant>
        <vt:i4>4063347</vt:i4>
      </vt:variant>
      <vt:variant>
        <vt:i4>87</vt:i4>
      </vt:variant>
      <vt:variant>
        <vt:i4>0</vt:i4>
      </vt:variant>
      <vt:variant>
        <vt:i4>5</vt:i4>
      </vt:variant>
      <vt:variant>
        <vt:lpwstr>http://www.nevo.co.il/case/22357080</vt:lpwstr>
      </vt:variant>
      <vt:variant>
        <vt:lpwstr/>
      </vt:variant>
      <vt:variant>
        <vt:i4>3211380</vt:i4>
      </vt:variant>
      <vt:variant>
        <vt:i4>84</vt:i4>
      </vt:variant>
      <vt:variant>
        <vt:i4>0</vt:i4>
      </vt:variant>
      <vt:variant>
        <vt:i4>5</vt:i4>
      </vt:variant>
      <vt:variant>
        <vt:lpwstr>http://www.nevo.co.il/case/6123025</vt:lpwstr>
      </vt:variant>
      <vt:variant>
        <vt:lpwstr/>
      </vt:variant>
      <vt:variant>
        <vt:i4>4063347</vt:i4>
      </vt:variant>
      <vt:variant>
        <vt:i4>81</vt:i4>
      </vt:variant>
      <vt:variant>
        <vt:i4>0</vt:i4>
      </vt:variant>
      <vt:variant>
        <vt:i4>5</vt:i4>
      </vt:variant>
      <vt:variant>
        <vt:lpwstr>http://www.nevo.co.il/case/22357080</vt:lpwstr>
      </vt:variant>
      <vt:variant>
        <vt:lpwstr/>
      </vt:variant>
      <vt:variant>
        <vt:i4>3407996</vt:i4>
      </vt:variant>
      <vt:variant>
        <vt:i4>78</vt:i4>
      </vt:variant>
      <vt:variant>
        <vt:i4>0</vt:i4>
      </vt:variant>
      <vt:variant>
        <vt:i4>5</vt:i4>
      </vt:variant>
      <vt:variant>
        <vt:lpwstr>http://www.nevo.co.il/case/18076738</vt:lpwstr>
      </vt:variant>
      <vt:variant>
        <vt:lpwstr/>
      </vt:variant>
      <vt:variant>
        <vt:i4>6357094</vt:i4>
      </vt:variant>
      <vt:variant>
        <vt:i4>75</vt:i4>
      </vt:variant>
      <vt:variant>
        <vt:i4>0</vt:i4>
      </vt:variant>
      <vt:variant>
        <vt:i4>5</vt:i4>
      </vt:variant>
      <vt:variant>
        <vt:lpwstr>http://www.nevo.co.il/law/70301/34i</vt:lpwstr>
      </vt:variant>
      <vt:variant>
        <vt:lpwstr/>
      </vt:variant>
      <vt:variant>
        <vt:i4>7995492</vt:i4>
      </vt:variant>
      <vt:variant>
        <vt:i4>72</vt:i4>
      </vt:variant>
      <vt:variant>
        <vt:i4>0</vt:i4>
      </vt:variant>
      <vt:variant>
        <vt:i4>5</vt:i4>
      </vt:variant>
      <vt:variant>
        <vt:lpwstr>http://www.nevo.co.il/law/70301</vt:lpwstr>
      </vt:variant>
      <vt:variant>
        <vt:lpwstr/>
      </vt:variant>
      <vt:variant>
        <vt:i4>6357094</vt:i4>
      </vt:variant>
      <vt:variant>
        <vt:i4>69</vt:i4>
      </vt:variant>
      <vt:variant>
        <vt:i4>0</vt:i4>
      </vt:variant>
      <vt:variant>
        <vt:i4>5</vt:i4>
      </vt:variant>
      <vt:variant>
        <vt:lpwstr>http://www.nevo.co.il/law/70301/34h</vt:lpwstr>
      </vt:variant>
      <vt:variant>
        <vt:lpwstr/>
      </vt:variant>
      <vt:variant>
        <vt:i4>4063347</vt:i4>
      </vt:variant>
      <vt:variant>
        <vt:i4>66</vt:i4>
      </vt:variant>
      <vt:variant>
        <vt:i4>0</vt:i4>
      </vt:variant>
      <vt:variant>
        <vt:i4>5</vt:i4>
      </vt:variant>
      <vt:variant>
        <vt:lpwstr>http://www.nevo.co.il/case/22357080</vt:lpwstr>
      </vt:variant>
      <vt:variant>
        <vt:lpwstr/>
      </vt:variant>
      <vt:variant>
        <vt:i4>4063347</vt:i4>
      </vt:variant>
      <vt:variant>
        <vt:i4>63</vt:i4>
      </vt:variant>
      <vt:variant>
        <vt:i4>0</vt:i4>
      </vt:variant>
      <vt:variant>
        <vt:i4>5</vt:i4>
      </vt:variant>
      <vt:variant>
        <vt:lpwstr>http://www.nevo.co.il/case/22357080</vt:lpwstr>
      </vt:variant>
      <vt:variant>
        <vt:lpwstr/>
      </vt:variant>
      <vt:variant>
        <vt:i4>4063347</vt:i4>
      </vt:variant>
      <vt:variant>
        <vt:i4>60</vt:i4>
      </vt:variant>
      <vt:variant>
        <vt:i4>0</vt:i4>
      </vt:variant>
      <vt:variant>
        <vt:i4>5</vt:i4>
      </vt:variant>
      <vt:variant>
        <vt:lpwstr>http://www.nevo.co.il/case/22357080</vt:lpwstr>
      </vt:variant>
      <vt:variant>
        <vt:lpwstr/>
      </vt:variant>
      <vt:variant>
        <vt:i4>3539065</vt:i4>
      </vt:variant>
      <vt:variant>
        <vt:i4>57</vt:i4>
      </vt:variant>
      <vt:variant>
        <vt:i4>0</vt:i4>
      </vt:variant>
      <vt:variant>
        <vt:i4>5</vt:i4>
      </vt:variant>
      <vt:variant>
        <vt:lpwstr>http://www.nevo.co.il/case/26797246</vt:lpwstr>
      </vt:variant>
      <vt:variant>
        <vt:lpwstr/>
      </vt:variant>
      <vt:variant>
        <vt:i4>4063347</vt:i4>
      </vt:variant>
      <vt:variant>
        <vt:i4>54</vt:i4>
      </vt:variant>
      <vt:variant>
        <vt:i4>0</vt:i4>
      </vt:variant>
      <vt:variant>
        <vt:i4>5</vt:i4>
      </vt:variant>
      <vt:variant>
        <vt:lpwstr>http://www.nevo.co.il/case/22357080</vt:lpwstr>
      </vt:variant>
      <vt:variant>
        <vt:lpwstr/>
      </vt:variant>
      <vt:variant>
        <vt:i4>8257637</vt:i4>
      </vt:variant>
      <vt:variant>
        <vt:i4>51</vt:i4>
      </vt:variant>
      <vt:variant>
        <vt:i4>0</vt:i4>
      </vt:variant>
      <vt:variant>
        <vt:i4>5</vt:i4>
      </vt:variant>
      <vt:variant>
        <vt:lpwstr>http://www.nevo.co.il/law/4216</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3539065</vt:i4>
      </vt:variant>
      <vt:variant>
        <vt:i4>42</vt:i4>
      </vt:variant>
      <vt:variant>
        <vt:i4>0</vt:i4>
      </vt:variant>
      <vt:variant>
        <vt:i4>5</vt:i4>
      </vt:variant>
      <vt:variant>
        <vt:lpwstr>http://www.nevo.co.il/case/26797246</vt:lpwstr>
      </vt:variant>
      <vt:variant>
        <vt:lpwstr/>
      </vt:variant>
      <vt:variant>
        <vt:i4>3539065</vt:i4>
      </vt:variant>
      <vt:variant>
        <vt:i4>39</vt:i4>
      </vt:variant>
      <vt:variant>
        <vt:i4>0</vt:i4>
      </vt:variant>
      <vt:variant>
        <vt:i4>5</vt:i4>
      </vt:variant>
      <vt:variant>
        <vt:lpwstr>http://www.nevo.co.il/case/26797246</vt:lpwstr>
      </vt:variant>
      <vt:variant>
        <vt:lpwstr/>
      </vt:variant>
      <vt:variant>
        <vt:i4>7995492</vt:i4>
      </vt:variant>
      <vt:variant>
        <vt:i4>36</vt:i4>
      </vt:variant>
      <vt:variant>
        <vt:i4>0</vt:i4>
      </vt:variant>
      <vt:variant>
        <vt:i4>5</vt:i4>
      </vt:variant>
      <vt:variant>
        <vt:lpwstr>http://www.nevo.co.il/law/70301</vt:lpwstr>
      </vt:variant>
      <vt:variant>
        <vt:lpwstr/>
      </vt:variant>
      <vt:variant>
        <vt:i4>7077988</vt:i4>
      </vt:variant>
      <vt:variant>
        <vt:i4>33</vt:i4>
      </vt:variant>
      <vt:variant>
        <vt:i4>0</vt:i4>
      </vt:variant>
      <vt:variant>
        <vt:i4>5</vt:i4>
      </vt:variant>
      <vt:variant>
        <vt:lpwstr>http://www.nevo.co.il/law/70301/192</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7077988</vt:i4>
      </vt:variant>
      <vt:variant>
        <vt:i4>27</vt:i4>
      </vt:variant>
      <vt:variant>
        <vt:i4>0</vt:i4>
      </vt:variant>
      <vt:variant>
        <vt:i4>5</vt:i4>
      </vt:variant>
      <vt:variant>
        <vt:lpwstr>http://www.nevo.co.il/law/70301/192</vt:lpwstr>
      </vt:variant>
      <vt:variant>
        <vt:lpwstr/>
      </vt:variant>
      <vt:variant>
        <vt:i4>4063347</vt:i4>
      </vt:variant>
      <vt:variant>
        <vt:i4>24</vt:i4>
      </vt:variant>
      <vt:variant>
        <vt:i4>0</vt:i4>
      </vt:variant>
      <vt:variant>
        <vt:i4>5</vt:i4>
      </vt:variant>
      <vt:variant>
        <vt:lpwstr>http://www.nevo.co.il/case/22357080</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4915283</vt:i4>
      </vt:variant>
      <vt:variant>
        <vt:i4>12</vt:i4>
      </vt:variant>
      <vt:variant>
        <vt:i4>0</vt:i4>
      </vt:variant>
      <vt:variant>
        <vt:i4>5</vt:i4>
      </vt:variant>
      <vt:variant>
        <vt:lpwstr>http://www.nevo.co.il/law/70301/402.a</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6357094</vt:i4>
      </vt:variant>
      <vt:variant>
        <vt:i4>6</vt:i4>
      </vt:variant>
      <vt:variant>
        <vt:i4>0</vt:i4>
      </vt:variant>
      <vt:variant>
        <vt:i4>5</vt:i4>
      </vt:variant>
      <vt:variant>
        <vt:lpwstr>http://www.nevo.co.il/law/70301/34i</vt:lpwstr>
      </vt:variant>
      <vt:variant>
        <vt:lpwstr/>
      </vt:variant>
      <vt:variant>
        <vt:i4>6357094</vt:i4>
      </vt:variant>
      <vt:variant>
        <vt:i4>3</vt:i4>
      </vt:variant>
      <vt:variant>
        <vt:i4>0</vt:i4>
      </vt:variant>
      <vt:variant>
        <vt:i4>5</vt:i4>
      </vt:variant>
      <vt:variant>
        <vt:lpwstr>http://www.nevo.co.il/law/70301/34h</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2025-04-22T23:21:00Z</dcterms:created>
  <dcterms:modified xsi:type="dcterms:W3CDTF">2025-04-22T23:21:00Z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56373;68017</vt:lpwstr>
  </property>
  <property fmtid="{D5CDD505-2E9C-101B-9397-08002B2CF9AE}" pid="6" name="NEWPARTB">
    <vt:lpwstr>03;06</vt:lpwstr>
  </property>
  <property fmtid="{D5CDD505-2E9C-101B-9397-08002B2CF9AE}" pid="7" name="NEWPARTC">
    <vt:lpwstr>17;20</vt:lpwstr>
  </property>
  <property fmtid="{D5CDD505-2E9C-101B-9397-08002B2CF9AE}" pid="8" name="APPELLANT">
    <vt:lpwstr>מדינת ישראל</vt:lpwstr>
  </property>
  <property fmtid="{D5CDD505-2E9C-101B-9397-08002B2CF9AE}" pid="9" name="APPELLEE">
    <vt:lpwstr>יהודה כהן</vt:lpwstr>
  </property>
  <property fmtid="{D5CDD505-2E9C-101B-9397-08002B2CF9AE}" pid="10" name="LAWYER">
    <vt:lpwstr>עדי בן חיים;הישאם קבלאן; משה אלון</vt:lpwstr>
  </property>
  <property fmtid="{D5CDD505-2E9C-101B-9397-08002B2CF9AE}" pid="11" name="JUDGE">
    <vt:lpwstr>הישאם אבו שחאדה</vt:lpwstr>
  </property>
  <property fmtid="{D5CDD505-2E9C-101B-9397-08002B2CF9AE}" pid="12" name="CITY">
    <vt:lpwstr>רמ'</vt:lpwstr>
  </property>
  <property fmtid="{D5CDD505-2E9C-101B-9397-08002B2CF9AE}" pid="13" name="DATE">
    <vt:lpwstr>20201117</vt:lpwstr>
  </property>
  <property fmtid="{D5CDD505-2E9C-101B-9397-08002B2CF9AE}" pid="14" name="TYPE_N_DATE">
    <vt:lpwstr>38020201117</vt:lpwstr>
  </property>
  <property fmtid="{D5CDD505-2E9C-101B-9397-08002B2CF9AE}" pid="15" name="WORDNUMPAGES">
    <vt:lpwstr>9</vt:lpwstr>
  </property>
  <property fmtid="{D5CDD505-2E9C-101B-9397-08002B2CF9AE}" pid="16" name="TYPE_ABS_DATE">
    <vt:lpwstr>380020201117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22357080:10;26797246:4;18076738:2;6123025;6065628;5594340;21475180;5691883;5799917;5806584;13022923;26146659;17918261:2;5585346;26744128;5590305;5852209</vt:lpwstr>
  </property>
  <property fmtid="{D5CDD505-2E9C-101B-9397-08002B2CF9AE}" pid="36" name="LAWLISTTMP1">
    <vt:lpwstr>70301/192:2;034h;034i;402.a</vt:lpwstr>
  </property>
  <property fmtid="{D5CDD505-2E9C-101B-9397-08002B2CF9AE}" pid="37" name="LAWLISTTMP2">
    <vt:lpwstr>4216/007.a;007.c</vt:lpwstr>
  </property>
</Properties>
</file>