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95A8E" w:rsidRPr="00BB45A6" w14:paraId="1F76CC2F" w14:textId="77777777" w:rsidTr="0039632E">
        <w:trPr>
          <w:trHeight w:hRule="exact" w:val="418"/>
          <w:jc w:val="center"/>
        </w:trPr>
        <w:tc>
          <w:tcPr>
            <w:tcW w:w="8721" w:type="dxa"/>
            <w:gridSpan w:val="2"/>
          </w:tcPr>
          <w:p w14:paraId="7D46C815" w14:textId="77777777" w:rsidR="00E95A8E" w:rsidRPr="00BB45A6" w:rsidRDefault="00E95A8E" w:rsidP="006410DF">
            <w:pPr>
              <w:pStyle w:val="a3"/>
              <w:jc w:val="center"/>
              <w:rPr>
                <w:rFonts w:ascii="Tahoma" w:hAnsi="Tahoma"/>
                <w:color w:val="000080"/>
                <w:sz w:val="32"/>
                <w:szCs w:val="32"/>
                <w:rtl/>
              </w:rPr>
            </w:pPr>
            <w:bookmarkStart w:id="0" w:name="LastJudge"/>
            <w:r w:rsidRPr="00BB45A6">
              <w:rPr>
                <w:rFonts w:ascii="Tahoma" w:hAnsi="Tahoma"/>
                <w:b/>
                <w:bCs/>
                <w:color w:val="000080"/>
                <w:sz w:val="32"/>
                <w:szCs w:val="32"/>
                <w:rtl/>
              </w:rPr>
              <w:t>בית משפט השלום בתל אביב - יפו</w:t>
            </w:r>
          </w:p>
        </w:tc>
      </w:tr>
      <w:tr w:rsidR="00E95A8E" w:rsidRPr="00BB45A6" w14:paraId="0C942E32" w14:textId="77777777" w:rsidTr="0039632E">
        <w:trPr>
          <w:trHeight w:val="337"/>
          <w:jc w:val="center"/>
        </w:trPr>
        <w:tc>
          <w:tcPr>
            <w:tcW w:w="5054" w:type="dxa"/>
          </w:tcPr>
          <w:p w14:paraId="2B83F8F9" w14:textId="77777777" w:rsidR="00E95A8E" w:rsidRPr="00BB45A6" w:rsidRDefault="00E95A8E" w:rsidP="006410DF">
            <w:pPr>
              <w:rPr>
                <w:sz w:val="26"/>
                <w:szCs w:val="26"/>
                <w:rtl/>
              </w:rPr>
            </w:pPr>
            <w:r w:rsidRPr="00BB45A6">
              <w:rPr>
                <w:sz w:val="26"/>
                <w:szCs w:val="26"/>
                <w:rtl/>
              </w:rPr>
              <w:t>ת"פ</w:t>
            </w:r>
            <w:r w:rsidRPr="00BB45A6">
              <w:rPr>
                <w:rFonts w:hint="cs"/>
                <w:sz w:val="26"/>
                <w:szCs w:val="26"/>
                <w:rtl/>
              </w:rPr>
              <w:t xml:space="preserve"> </w:t>
            </w:r>
            <w:r w:rsidRPr="00BB45A6">
              <w:rPr>
                <w:sz w:val="26"/>
                <w:szCs w:val="26"/>
                <w:rtl/>
              </w:rPr>
              <w:t>56678-03-17</w:t>
            </w:r>
            <w:r w:rsidRPr="00BB45A6">
              <w:rPr>
                <w:rFonts w:hint="cs"/>
                <w:sz w:val="26"/>
                <w:szCs w:val="26"/>
                <w:rtl/>
              </w:rPr>
              <w:t xml:space="preserve"> </w:t>
            </w:r>
            <w:r w:rsidRPr="00BB45A6">
              <w:rPr>
                <w:sz w:val="26"/>
                <w:szCs w:val="26"/>
                <w:rtl/>
              </w:rPr>
              <w:t>מדינת ישראל נ' יוסף ואח'</w:t>
            </w:r>
          </w:p>
        </w:tc>
        <w:tc>
          <w:tcPr>
            <w:tcW w:w="3667" w:type="dxa"/>
          </w:tcPr>
          <w:p w14:paraId="00F33064" w14:textId="77777777" w:rsidR="00E95A8E" w:rsidRPr="00BB45A6" w:rsidRDefault="00E95A8E" w:rsidP="006410DF">
            <w:pPr>
              <w:pStyle w:val="a3"/>
              <w:jc w:val="right"/>
              <w:rPr>
                <w:rFonts w:cs="FrankRuehl"/>
                <w:sz w:val="28"/>
                <w:szCs w:val="28"/>
                <w:rtl/>
              </w:rPr>
            </w:pPr>
          </w:p>
        </w:tc>
      </w:tr>
    </w:tbl>
    <w:p w14:paraId="2BBCDAAE" w14:textId="77777777" w:rsidR="00E95A8E" w:rsidRPr="00BB45A6" w:rsidRDefault="00E95A8E" w:rsidP="00E95A8E">
      <w:pPr>
        <w:pStyle w:val="a3"/>
        <w:rPr>
          <w:rtl/>
        </w:rPr>
      </w:pPr>
      <w:r w:rsidRPr="00BB45A6">
        <w:rPr>
          <w:rFonts w:hint="cs"/>
          <w:rtl/>
        </w:rPr>
        <w:t xml:space="preserve"> </w:t>
      </w:r>
    </w:p>
    <w:p w14:paraId="071E1221" w14:textId="77777777" w:rsidR="00E95A8E" w:rsidRPr="00BB45A6" w:rsidRDefault="00E95A8E" w:rsidP="00E95A8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06"/>
        <w:gridCol w:w="3383"/>
      </w:tblGrid>
      <w:tr w:rsidR="00E95A8E" w:rsidRPr="00BB45A6" w14:paraId="3CD0F3E1" w14:textId="77777777" w:rsidTr="00E95A8E">
        <w:trPr>
          <w:trHeight w:val="295"/>
          <w:jc w:val="center"/>
        </w:trPr>
        <w:tc>
          <w:tcPr>
            <w:tcW w:w="8820" w:type="dxa"/>
            <w:gridSpan w:val="3"/>
            <w:tcBorders>
              <w:top w:val="nil"/>
              <w:left w:val="nil"/>
              <w:bottom w:val="nil"/>
              <w:right w:val="nil"/>
            </w:tcBorders>
            <w:shd w:val="clear" w:color="auto" w:fill="auto"/>
          </w:tcPr>
          <w:p w14:paraId="27AA2DB4" w14:textId="77777777" w:rsidR="00E95A8E" w:rsidRPr="00BB45A6" w:rsidRDefault="00E95A8E" w:rsidP="00E95A8E">
            <w:pPr>
              <w:jc w:val="both"/>
              <w:rPr>
                <w:sz w:val="26"/>
                <w:szCs w:val="26"/>
                <w:rtl/>
              </w:rPr>
            </w:pPr>
            <w:r w:rsidRPr="00BB45A6">
              <w:rPr>
                <w:rFonts w:ascii="Arial" w:hAnsi="Arial" w:hint="cs"/>
                <w:b/>
                <w:bCs/>
                <w:sz w:val="26"/>
                <w:szCs w:val="26"/>
                <w:rtl/>
              </w:rPr>
              <w:t>ל</w:t>
            </w:r>
            <w:r w:rsidRPr="00BB45A6">
              <w:rPr>
                <w:rFonts w:ascii="Arial" w:hAnsi="Arial"/>
                <w:b/>
                <w:bCs/>
                <w:sz w:val="26"/>
                <w:szCs w:val="26"/>
                <w:rtl/>
              </w:rPr>
              <w:t xml:space="preserve">פני </w:t>
            </w:r>
            <w:r w:rsidRPr="00BB45A6">
              <w:rPr>
                <w:rFonts w:ascii="Arial" w:hAnsi="Arial" w:hint="cs"/>
                <w:b/>
                <w:bCs/>
                <w:sz w:val="26"/>
                <w:szCs w:val="26"/>
                <w:rtl/>
              </w:rPr>
              <w:t>כבוד ה</w:t>
            </w:r>
            <w:r w:rsidRPr="00BB45A6">
              <w:rPr>
                <w:rFonts w:ascii="Arial" w:hAnsi="Arial"/>
                <w:b/>
                <w:bCs/>
                <w:sz w:val="26"/>
                <w:szCs w:val="26"/>
                <w:rtl/>
              </w:rPr>
              <w:t>שופט</w:t>
            </w:r>
            <w:r w:rsidRPr="00BB45A6">
              <w:rPr>
                <w:rFonts w:ascii="Arial" w:hAnsi="Arial" w:hint="cs"/>
                <w:b/>
                <w:bCs/>
                <w:sz w:val="26"/>
                <w:szCs w:val="26"/>
                <w:rtl/>
              </w:rPr>
              <w:t xml:space="preserve">  </w:t>
            </w:r>
            <w:r w:rsidRPr="00BB45A6">
              <w:rPr>
                <w:rFonts w:ascii="Arial" w:hAnsi="Arial"/>
                <w:b/>
                <w:bCs/>
                <w:sz w:val="26"/>
                <w:szCs w:val="26"/>
                <w:rtl/>
              </w:rPr>
              <w:t>עידו דרויאן-גמליאל</w:t>
            </w:r>
          </w:p>
          <w:p w14:paraId="46A82CF1" w14:textId="77777777" w:rsidR="00E95A8E" w:rsidRPr="00BB45A6" w:rsidRDefault="00E95A8E" w:rsidP="00E95A8E">
            <w:pPr>
              <w:jc w:val="both"/>
              <w:rPr>
                <w:rFonts w:ascii="Arial" w:hAnsi="Arial"/>
                <w:b/>
                <w:bCs/>
                <w:sz w:val="26"/>
                <w:szCs w:val="26"/>
              </w:rPr>
            </w:pPr>
          </w:p>
        </w:tc>
      </w:tr>
      <w:tr w:rsidR="00E95A8E" w:rsidRPr="00BB45A6" w14:paraId="42CAFFCA" w14:textId="77777777" w:rsidTr="00E95A8E">
        <w:trPr>
          <w:trHeight w:val="355"/>
          <w:jc w:val="center"/>
        </w:trPr>
        <w:tc>
          <w:tcPr>
            <w:tcW w:w="885" w:type="dxa"/>
            <w:tcBorders>
              <w:top w:val="nil"/>
              <w:left w:val="nil"/>
              <w:bottom w:val="nil"/>
              <w:right w:val="nil"/>
            </w:tcBorders>
            <w:shd w:val="clear" w:color="auto" w:fill="auto"/>
          </w:tcPr>
          <w:p w14:paraId="3728C41F" w14:textId="77777777" w:rsidR="00E95A8E" w:rsidRPr="00BB45A6" w:rsidRDefault="00E95A8E" w:rsidP="00E95A8E">
            <w:pPr>
              <w:jc w:val="both"/>
              <w:rPr>
                <w:rFonts w:ascii="Arial" w:hAnsi="Arial"/>
                <w:b/>
                <w:bCs/>
                <w:sz w:val="26"/>
                <w:szCs w:val="26"/>
              </w:rPr>
            </w:pPr>
            <w:bookmarkStart w:id="1" w:name="FirstAppellant"/>
            <w:bookmarkStart w:id="2" w:name="FirstLawyer"/>
            <w:r w:rsidRPr="00BB45A6">
              <w:rPr>
                <w:rFonts w:ascii="Arial" w:hAnsi="Arial" w:hint="cs"/>
                <w:b/>
                <w:bCs/>
                <w:sz w:val="26"/>
                <w:szCs w:val="26"/>
                <w:rtl/>
              </w:rPr>
              <w:t>ה</w:t>
            </w:r>
            <w:r w:rsidRPr="00BB45A6">
              <w:rPr>
                <w:rFonts w:ascii="Arial" w:hAnsi="Arial"/>
                <w:b/>
                <w:bCs/>
                <w:sz w:val="26"/>
                <w:szCs w:val="26"/>
                <w:rtl/>
              </w:rPr>
              <w:t>מאשימה</w:t>
            </w:r>
          </w:p>
        </w:tc>
        <w:tc>
          <w:tcPr>
            <w:tcW w:w="4384" w:type="dxa"/>
            <w:tcBorders>
              <w:top w:val="nil"/>
              <w:left w:val="nil"/>
              <w:bottom w:val="nil"/>
              <w:right w:val="nil"/>
            </w:tcBorders>
            <w:shd w:val="clear" w:color="auto" w:fill="auto"/>
          </w:tcPr>
          <w:p w14:paraId="31F8BABF" w14:textId="77777777" w:rsidR="00E95A8E" w:rsidRPr="00BB45A6" w:rsidRDefault="00E95A8E" w:rsidP="006410DF">
            <w:pPr>
              <w:rPr>
                <w:b/>
                <w:bCs/>
                <w:sz w:val="26"/>
                <w:szCs w:val="26"/>
                <w:rtl/>
              </w:rPr>
            </w:pPr>
            <w:r w:rsidRPr="00BB45A6">
              <w:rPr>
                <w:rFonts w:ascii="Arial" w:hAnsi="Arial"/>
                <w:b/>
                <w:bCs/>
                <w:sz w:val="26"/>
                <w:szCs w:val="26"/>
                <w:rtl/>
              </w:rPr>
              <w:t>מדינת ישראל</w:t>
            </w:r>
          </w:p>
          <w:p w14:paraId="2E20F0ED" w14:textId="77777777" w:rsidR="00E95A8E" w:rsidRPr="00BB45A6" w:rsidRDefault="00E95A8E" w:rsidP="006410DF">
            <w:pPr>
              <w:rPr>
                <w:sz w:val="26"/>
                <w:szCs w:val="26"/>
              </w:rPr>
            </w:pPr>
            <w:r w:rsidRPr="00BB45A6">
              <w:rPr>
                <w:rFonts w:hint="cs"/>
                <w:sz w:val="26"/>
                <w:szCs w:val="26"/>
                <w:rtl/>
              </w:rPr>
              <w:t>ע"י ב"כ עוה"ד אטיה, הרצוג וחבר</w:t>
            </w:r>
          </w:p>
        </w:tc>
        <w:tc>
          <w:tcPr>
            <w:tcW w:w="3551" w:type="dxa"/>
            <w:tcBorders>
              <w:top w:val="nil"/>
              <w:left w:val="nil"/>
              <w:bottom w:val="nil"/>
              <w:right w:val="nil"/>
            </w:tcBorders>
            <w:shd w:val="clear" w:color="auto" w:fill="auto"/>
          </w:tcPr>
          <w:p w14:paraId="40C78F23" w14:textId="77777777" w:rsidR="00E95A8E" w:rsidRPr="00BB45A6" w:rsidRDefault="00E95A8E" w:rsidP="00E95A8E">
            <w:pPr>
              <w:jc w:val="both"/>
              <w:rPr>
                <w:rFonts w:ascii="Arial" w:hAnsi="Arial"/>
                <w:sz w:val="26"/>
                <w:szCs w:val="26"/>
              </w:rPr>
            </w:pPr>
          </w:p>
        </w:tc>
      </w:tr>
      <w:bookmarkEnd w:id="1"/>
      <w:bookmarkEnd w:id="2"/>
      <w:tr w:rsidR="00E95A8E" w:rsidRPr="00BB45A6" w14:paraId="535C732F" w14:textId="77777777" w:rsidTr="00E95A8E">
        <w:trPr>
          <w:trHeight w:val="373"/>
          <w:jc w:val="center"/>
        </w:trPr>
        <w:tc>
          <w:tcPr>
            <w:tcW w:w="885" w:type="dxa"/>
            <w:tcBorders>
              <w:top w:val="nil"/>
              <w:left w:val="nil"/>
              <w:bottom w:val="nil"/>
              <w:right w:val="nil"/>
            </w:tcBorders>
            <w:shd w:val="clear" w:color="auto" w:fill="auto"/>
          </w:tcPr>
          <w:p w14:paraId="00C3CC91" w14:textId="77777777" w:rsidR="00E95A8E" w:rsidRPr="00BB45A6" w:rsidRDefault="00E95A8E" w:rsidP="00E95A8E">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728B8487" w14:textId="77777777" w:rsidR="00E95A8E" w:rsidRPr="00BB45A6" w:rsidRDefault="00E95A8E" w:rsidP="00E95A8E">
            <w:pPr>
              <w:jc w:val="center"/>
              <w:rPr>
                <w:rFonts w:ascii="Arial" w:hAnsi="Arial"/>
                <w:b/>
                <w:bCs/>
                <w:sz w:val="26"/>
                <w:szCs w:val="26"/>
                <w:rtl/>
              </w:rPr>
            </w:pPr>
          </w:p>
          <w:p w14:paraId="6D68358A" w14:textId="77777777" w:rsidR="00E95A8E" w:rsidRPr="00BB45A6" w:rsidRDefault="00E95A8E" w:rsidP="00E95A8E">
            <w:pPr>
              <w:jc w:val="center"/>
              <w:rPr>
                <w:rFonts w:ascii="Arial" w:hAnsi="Arial"/>
                <w:b/>
                <w:bCs/>
                <w:sz w:val="26"/>
                <w:szCs w:val="26"/>
                <w:rtl/>
              </w:rPr>
            </w:pPr>
            <w:r w:rsidRPr="00BB45A6">
              <w:rPr>
                <w:rFonts w:ascii="Arial" w:hAnsi="Arial"/>
                <w:b/>
                <w:bCs/>
                <w:sz w:val="26"/>
                <w:szCs w:val="26"/>
                <w:rtl/>
              </w:rPr>
              <w:t>נגד</w:t>
            </w:r>
          </w:p>
          <w:p w14:paraId="51DAD64F" w14:textId="77777777" w:rsidR="00E95A8E" w:rsidRPr="00BB45A6" w:rsidRDefault="00E95A8E" w:rsidP="00E95A8E">
            <w:pPr>
              <w:jc w:val="both"/>
              <w:rPr>
                <w:rFonts w:ascii="Arial" w:hAnsi="Arial"/>
                <w:sz w:val="26"/>
                <w:szCs w:val="26"/>
              </w:rPr>
            </w:pPr>
          </w:p>
        </w:tc>
      </w:tr>
      <w:tr w:rsidR="00E95A8E" w:rsidRPr="00BB45A6" w14:paraId="1E627D4D" w14:textId="77777777" w:rsidTr="00E95A8E">
        <w:trPr>
          <w:trHeight w:val="355"/>
          <w:jc w:val="center"/>
        </w:trPr>
        <w:tc>
          <w:tcPr>
            <w:tcW w:w="885" w:type="dxa"/>
            <w:tcBorders>
              <w:top w:val="nil"/>
              <w:left w:val="nil"/>
              <w:bottom w:val="nil"/>
              <w:right w:val="nil"/>
            </w:tcBorders>
            <w:shd w:val="clear" w:color="auto" w:fill="auto"/>
          </w:tcPr>
          <w:p w14:paraId="1CBBADCA" w14:textId="77777777" w:rsidR="00E95A8E" w:rsidRPr="00BB45A6" w:rsidRDefault="00E95A8E" w:rsidP="006410DF">
            <w:pPr>
              <w:rPr>
                <w:rFonts w:ascii="Arial" w:hAnsi="Arial"/>
                <w:b/>
                <w:bCs/>
                <w:sz w:val="26"/>
                <w:szCs w:val="26"/>
                <w:rtl/>
              </w:rPr>
            </w:pPr>
            <w:r w:rsidRPr="00BB45A6">
              <w:rPr>
                <w:rFonts w:ascii="Arial" w:hAnsi="Arial" w:hint="cs"/>
                <w:b/>
                <w:bCs/>
                <w:sz w:val="26"/>
                <w:szCs w:val="26"/>
                <w:rtl/>
              </w:rPr>
              <w:t>ה</w:t>
            </w:r>
            <w:r w:rsidRPr="00BB45A6">
              <w:rPr>
                <w:rFonts w:ascii="Arial" w:hAnsi="Arial"/>
                <w:b/>
                <w:bCs/>
                <w:sz w:val="26"/>
                <w:szCs w:val="26"/>
                <w:rtl/>
              </w:rPr>
              <w:t>נאשם</w:t>
            </w:r>
          </w:p>
        </w:tc>
        <w:tc>
          <w:tcPr>
            <w:tcW w:w="4384" w:type="dxa"/>
            <w:tcBorders>
              <w:top w:val="nil"/>
              <w:left w:val="nil"/>
              <w:bottom w:val="nil"/>
              <w:right w:val="nil"/>
            </w:tcBorders>
            <w:shd w:val="clear" w:color="auto" w:fill="auto"/>
          </w:tcPr>
          <w:p w14:paraId="6706DE72" w14:textId="77777777" w:rsidR="00E95A8E" w:rsidRPr="00BB45A6" w:rsidRDefault="00E95A8E" w:rsidP="006410DF">
            <w:pPr>
              <w:rPr>
                <w:b/>
                <w:bCs/>
                <w:sz w:val="26"/>
                <w:szCs w:val="26"/>
                <w:rtl/>
              </w:rPr>
            </w:pPr>
            <w:r w:rsidRPr="00BB45A6">
              <w:rPr>
                <w:rFonts w:ascii="Arial" w:hAnsi="Arial"/>
                <w:b/>
                <w:bCs/>
                <w:sz w:val="26"/>
                <w:szCs w:val="26"/>
                <w:rtl/>
              </w:rPr>
              <w:t>יצחק יוסף</w:t>
            </w:r>
          </w:p>
          <w:p w14:paraId="0D90A0DF" w14:textId="77777777" w:rsidR="00E95A8E" w:rsidRPr="00BB45A6" w:rsidRDefault="00E95A8E" w:rsidP="006410DF">
            <w:r w:rsidRPr="00BB45A6">
              <w:rPr>
                <w:rFonts w:hint="cs"/>
                <w:sz w:val="26"/>
                <w:szCs w:val="26"/>
                <w:rtl/>
              </w:rPr>
              <w:t xml:space="preserve">ע"י ב"כ עו"ד פרי </w:t>
            </w:r>
          </w:p>
          <w:p w14:paraId="00783C3E" w14:textId="77777777" w:rsidR="00E95A8E" w:rsidRPr="00BB45A6" w:rsidRDefault="00E95A8E" w:rsidP="006410DF">
            <w:pPr>
              <w:rPr>
                <w:sz w:val="26"/>
                <w:szCs w:val="26"/>
                <w:rtl/>
              </w:rPr>
            </w:pPr>
          </w:p>
        </w:tc>
        <w:tc>
          <w:tcPr>
            <w:tcW w:w="3551" w:type="dxa"/>
            <w:tcBorders>
              <w:top w:val="nil"/>
              <w:left w:val="nil"/>
              <w:bottom w:val="nil"/>
              <w:right w:val="nil"/>
            </w:tcBorders>
            <w:shd w:val="clear" w:color="auto" w:fill="auto"/>
          </w:tcPr>
          <w:p w14:paraId="1FABD6F7" w14:textId="77777777" w:rsidR="00E95A8E" w:rsidRPr="00BB45A6" w:rsidRDefault="00E95A8E" w:rsidP="00E95A8E">
            <w:pPr>
              <w:jc w:val="right"/>
              <w:rPr>
                <w:rFonts w:ascii="Arial" w:hAnsi="Arial"/>
                <w:sz w:val="26"/>
                <w:szCs w:val="26"/>
              </w:rPr>
            </w:pPr>
          </w:p>
        </w:tc>
      </w:tr>
    </w:tbl>
    <w:p w14:paraId="436DC176" w14:textId="77777777" w:rsidR="0028273B" w:rsidRDefault="0028273B" w:rsidP="00E95A8E">
      <w:pPr>
        <w:rPr>
          <w:rtl/>
        </w:rPr>
      </w:pPr>
      <w:bookmarkStart w:id="3" w:name="LawTable"/>
      <w:bookmarkEnd w:id="3"/>
    </w:p>
    <w:p w14:paraId="64A39CD3" w14:textId="77777777" w:rsidR="0028273B" w:rsidRPr="0028273B" w:rsidRDefault="0028273B" w:rsidP="0028273B">
      <w:pPr>
        <w:spacing w:after="120" w:line="240" w:lineRule="exact"/>
        <w:ind w:left="283" w:hanging="283"/>
        <w:jc w:val="both"/>
        <w:rPr>
          <w:rFonts w:ascii="FrankRuehl" w:hAnsi="FrankRuehl" w:cs="FrankRuehl"/>
          <w:rtl/>
        </w:rPr>
      </w:pPr>
    </w:p>
    <w:p w14:paraId="73C441C9" w14:textId="77777777" w:rsidR="0028273B" w:rsidRPr="0028273B" w:rsidRDefault="0028273B" w:rsidP="0028273B">
      <w:pPr>
        <w:spacing w:after="120" w:line="240" w:lineRule="exact"/>
        <w:ind w:left="283" w:hanging="283"/>
        <w:jc w:val="both"/>
        <w:rPr>
          <w:rFonts w:ascii="FrankRuehl" w:hAnsi="FrankRuehl" w:cs="FrankRuehl"/>
          <w:rtl/>
        </w:rPr>
      </w:pPr>
      <w:r w:rsidRPr="0028273B">
        <w:rPr>
          <w:rFonts w:ascii="FrankRuehl" w:hAnsi="FrankRuehl" w:cs="FrankRuehl"/>
          <w:rtl/>
        </w:rPr>
        <w:t xml:space="preserve">חקיקה שאוזכרה: </w:t>
      </w:r>
    </w:p>
    <w:p w14:paraId="4B1CB4E1" w14:textId="77777777" w:rsidR="0028273B" w:rsidRPr="0028273B" w:rsidRDefault="0028273B" w:rsidP="0028273B">
      <w:pPr>
        <w:spacing w:after="120" w:line="240" w:lineRule="exact"/>
        <w:ind w:left="283" w:hanging="283"/>
        <w:jc w:val="both"/>
        <w:rPr>
          <w:rFonts w:ascii="FrankRuehl" w:hAnsi="FrankRuehl" w:cs="FrankRuehl"/>
          <w:color w:val="0000FF"/>
          <w:u w:val="single"/>
          <w:rtl/>
        </w:rPr>
      </w:pPr>
      <w:hyperlink r:id="rId7" w:history="1">
        <w:r w:rsidRPr="0028273B">
          <w:rPr>
            <w:rStyle w:val="Hyperlink"/>
            <w:rFonts w:ascii="FrankRuehl" w:hAnsi="FrankRuehl" w:cs="FrankRuehl"/>
            <w:rtl/>
          </w:rPr>
          <w:t>פקודת הסמים המסוכנים [נוסח חדש], תשל"ג-1973</w:t>
        </w:r>
      </w:hyperlink>
      <w:r w:rsidRPr="0028273B">
        <w:rPr>
          <w:rFonts w:ascii="FrankRuehl" w:hAnsi="FrankRuehl" w:cs="FrankRuehl"/>
          <w:color w:val="0000FF"/>
          <w:u w:val="single"/>
          <w:rtl/>
        </w:rPr>
        <w:t xml:space="preserve">: סע'  </w:t>
      </w:r>
      <w:hyperlink r:id="rId8" w:history="1">
        <w:r w:rsidRPr="0028273B">
          <w:rPr>
            <w:rStyle w:val="Hyperlink"/>
            <w:rFonts w:ascii="FrankRuehl" w:hAnsi="FrankRuehl" w:cs="FrankRuehl"/>
          </w:rPr>
          <w:t>6</w:t>
        </w:r>
      </w:hyperlink>
      <w:r w:rsidRPr="0028273B">
        <w:rPr>
          <w:rFonts w:ascii="FrankRuehl" w:hAnsi="FrankRuehl" w:cs="FrankRuehl"/>
          <w:color w:val="0000FF"/>
          <w:u w:val="single"/>
          <w:rtl/>
        </w:rPr>
        <w:t xml:space="preserve">, </w:t>
      </w:r>
      <w:hyperlink r:id="rId9" w:history="1">
        <w:r w:rsidRPr="0028273B">
          <w:rPr>
            <w:rStyle w:val="Hyperlink"/>
            <w:rFonts w:ascii="FrankRuehl" w:hAnsi="FrankRuehl" w:cs="FrankRuehl"/>
          </w:rPr>
          <w:t>7(</w:t>
        </w:r>
        <w:r w:rsidRPr="0028273B">
          <w:rPr>
            <w:rStyle w:val="Hyperlink"/>
            <w:rFonts w:ascii="FrankRuehl" w:hAnsi="FrankRuehl" w:cs="FrankRuehl"/>
            <w:rtl/>
          </w:rPr>
          <w:t>א</w:t>
        </w:r>
        <w:r w:rsidRPr="0028273B">
          <w:rPr>
            <w:rStyle w:val="Hyperlink"/>
            <w:rFonts w:ascii="FrankRuehl" w:hAnsi="FrankRuehl" w:cs="FrankRuehl"/>
          </w:rPr>
          <w:t>)</w:t>
        </w:r>
      </w:hyperlink>
      <w:r w:rsidRPr="0028273B">
        <w:rPr>
          <w:rFonts w:ascii="FrankRuehl" w:hAnsi="FrankRuehl" w:cs="FrankRuehl"/>
          <w:color w:val="0000FF"/>
          <w:u w:val="single"/>
          <w:rtl/>
        </w:rPr>
        <w:t xml:space="preserve">, </w:t>
      </w:r>
      <w:hyperlink r:id="rId10" w:history="1">
        <w:r w:rsidRPr="0028273B">
          <w:rPr>
            <w:rStyle w:val="Hyperlink"/>
            <w:rFonts w:ascii="FrankRuehl" w:hAnsi="FrankRuehl" w:cs="FrankRuehl"/>
          </w:rPr>
          <w:t>7(</w:t>
        </w:r>
        <w:r w:rsidRPr="0028273B">
          <w:rPr>
            <w:rStyle w:val="Hyperlink"/>
            <w:rFonts w:ascii="FrankRuehl" w:hAnsi="FrankRuehl" w:cs="FrankRuehl"/>
            <w:rtl/>
          </w:rPr>
          <w:t>ג</w:t>
        </w:r>
        <w:r w:rsidRPr="0028273B">
          <w:rPr>
            <w:rStyle w:val="Hyperlink"/>
            <w:rFonts w:ascii="FrankRuehl" w:hAnsi="FrankRuehl" w:cs="FrankRuehl"/>
          </w:rPr>
          <w:t>)</w:t>
        </w:r>
      </w:hyperlink>
      <w:r w:rsidRPr="0028273B">
        <w:rPr>
          <w:rFonts w:ascii="FrankRuehl" w:hAnsi="FrankRuehl" w:cs="FrankRuehl"/>
          <w:color w:val="0000FF"/>
          <w:u w:val="single"/>
          <w:rtl/>
        </w:rPr>
        <w:t xml:space="preserve">, </w:t>
      </w:r>
      <w:hyperlink r:id="rId11" w:history="1">
        <w:r w:rsidRPr="0028273B">
          <w:rPr>
            <w:rStyle w:val="Hyperlink"/>
            <w:rFonts w:ascii="FrankRuehl" w:hAnsi="FrankRuehl" w:cs="FrankRuehl"/>
          </w:rPr>
          <w:t>10</w:t>
        </w:r>
      </w:hyperlink>
    </w:p>
    <w:p w14:paraId="2753F521" w14:textId="77777777" w:rsidR="0028273B" w:rsidRPr="0028273B" w:rsidRDefault="0028273B" w:rsidP="0028273B">
      <w:pPr>
        <w:spacing w:after="120" w:line="240" w:lineRule="exact"/>
        <w:ind w:left="283" w:hanging="283"/>
        <w:jc w:val="both"/>
        <w:rPr>
          <w:rFonts w:ascii="FrankRuehl" w:hAnsi="FrankRuehl" w:cs="FrankRuehl"/>
          <w:rtl/>
        </w:rPr>
      </w:pPr>
    </w:p>
    <w:p w14:paraId="5AEFC136" w14:textId="77777777" w:rsidR="0028273B" w:rsidRPr="0028273B" w:rsidRDefault="0028273B" w:rsidP="00E95A8E">
      <w:pPr>
        <w:rPr>
          <w:rtl/>
        </w:rPr>
      </w:pPr>
      <w:bookmarkStart w:id="4" w:name="LawTable_End"/>
      <w:bookmarkEnd w:id="4"/>
    </w:p>
    <w:p w14:paraId="3AD426BC" w14:textId="77777777" w:rsidR="0039632E" w:rsidRDefault="0039632E" w:rsidP="00E95A8E">
      <w:pPr>
        <w:rPr>
          <w:rtl/>
        </w:rPr>
      </w:pPr>
    </w:p>
    <w:p w14:paraId="77DEC645" w14:textId="77777777" w:rsidR="0039632E" w:rsidRPr="0039632E" w:rsidRDefault="0039632E" w:rsidP="0039632E">
      <w:pPr>
        <w:spacing w:after="120" w:line="240" w:lineRule="exact"/>
        <w:ind w:left="283" w:hanging="283"/>
        <w:jc w:val="both"/>
        <w:rPr>
          <w:rFonts w:ascii="FrankRuehl" w:hAnsi="FrankRuehl" w:cs="FrankRuehl"/>
          <w:rtl/>
        </w:rPr>
      </w:pPr>
    </w:p>
    <w:p w14:paraId="38694C50" w14:textId="77777777" w:rsidR="0039632E" w:rsidRPr="0039632E" w:rsidRDefault="0039632E" w:rsidP="0039632E">
      <w:pPr>
        <w:spacing w:after="120" w:line="240" w:lineRule="exact"/>
        <w:ind w:left="283" w:hanging="283"/>
        <w:jc w:val="both"/>
        <w:rPr>
          <w:rFonts w:ascii="FrankRuehl" w:hAnsi="FrankRuehl" w:cs="FrankRuehl"/>
          <w:rtl/>
        </w:rPr>
      </w:pPr>
      <w:r w:rsidRPr="0039632E">
        <w:rPr>
          <w:rFonts w:ascii="FrankRuehl" w:hAnsi="FrankRuehl" w:cs="FrankRuehl"/>
          <w:rtl/>
        </w:rPr>
        <w:t xml:space="preserve">חקיקה שאוזכרה: </w:t>
      </w:r>
    </w:p>
    <w:p w14:paraId="3AA16DA8" w14:textId="77777777" w:rsidR="0039632E" w:rsidRPr="0039632E" w:rsidRDefault="0039632E" w:rsidP="0039632E">
      <w:pPr>
        <w:spacing w:after="120" w:line="240" w:lineRule="exact"/>
        <w:ind w:left="283" w:hanging="283"/>
        <w:jc w:val="both"/>
        <w:rPr>
          <w:rFonts w:ascii="FrankRuehl" w:hAnsi="FrankRuehl" w:cs="FrankRuehl"/>
          <w:rtl/>
        </w:rPr>
      </w:pPr>
      <w:hyperlink r:id="rId12" w:history="1">
        <w:r w:rsidRPr="0039632E">
          <w:rPr>
            <w:rFonts w:ascii="FrankRuehl" w:hAnsi="FrankRuehl" w:cs="FrankRuehl"/>
            <w:color w:val="0000FF"/>
            <w:u w:val="single"/>
            <w:rtl/>
          </w:rPr>
          <w:t>פקודת הסמים המסוכנים [נוסח חדש], תשל"ג-1973</w:t>
        </w:r>
      </w:hyperlink>
      <w:r w:rsidRPr="0039632E">
        <w:rPr>
          <w:rFonts w:ascii="FrankRuehl" w:hAnsi="FrankRuehl" w:cs="FrankRuehl"/>
          <w:rtl/>
        </w:rPr>
        <w:t xml:space="preserve">: סע'  </w:t>
      </w:r>
      <w:hyperlink r:id="rId13" w:history="1">
        <w:r w:rsidRPr="0039632E">
          <w:rPr>
            <w:rFonts w:ascii="FrankRuehl" w:hAnsi="FrankRuehl" w:cs="FrankRuehl"/>
            <w:color w:val="0000FF"/>
            <w:u w:val="single"/>
            <w:rtl/>
          </w:rPr>
          <w:t>6</w:t>
        </w:r>
      </w:hyperlink>
      <w:r w:rsidRPr="0039632E">
        <w:rPr>
          <w:rFonts w:ascii="FrankRuehl" w:hAnsi="FrankRuehl" w:cs="FrankRuehl"/>
          <w:rtl/>
        </w:rPr>
        <w:t xml:space="preserve">, </w:t>
      </w:r>
      <w:hyperlink r:id="rId14" w:history="1">
        <w:r w:rsidRPr="0039632E">
          <w:rPr>
            <w:rFonts w:ascii="FrankRuehl" w:hAnsi="FrankRuehl" w:cs="FrankRuehl"/>
            <w:color w:val="0000FF"/>
            <w:u w:val="single"/>
            <w:rtl/>
          </w:rPr>
          <w:t>7(א)</w:t>
        </w:r>
      </w:hyperlink>
      <w:r w:rsidRPr="0039632E">
        <w:rPr>
          <w:rFonts w:ascii="FrankRuehl" w:hAnsi="FrankRuehl" w:cs="FrankRuehl"/>
          <w:rtl/>
        </w:rPr>
        <w:t xml:space="preserve">, </w:t>
      </w:r>
      <w:hyperlink r:id="rId15" w:history="1">
        <w:r w:rsidRPr="0039632E">
          <w:rPr>
            <w:rFonts w:ascii="FrankRuehl" w:hAnsi="FrankRuehl" w:cs="FrankRuehl"/>
            <w:color w:val="0000FF"/>
            <w:u w:val="single"/>
            <w:rtl/>
          </w:rPr>
          <w:t>7(ג)</w:t>
        </w:r>
      </w:hyperlink>
      <w:r w:rsidRPr="0039632E">
        <w:rPr>
          <w:rFonts w:ascii="FrankRuehl" w:hAnsi="FrankRuehl" w:cs="FrankRuehl"/>
          <w:rtl/>
        </w:rPr>
        <w:t xml:space="preserve">, </w:t>
      </w:r>
      <w:hyperlink r:id="rId16" w:history="1">
        <w:r w:rsidRPr="0039632E">
          <w:rPr>
            <w:rFonts w:ascii="FrankRuehl" w:hAnsi="FrankRuehl" w:cs="FrankRuehl"/>
            <w:color w:val="0000FF"/>
            <w:u w:val="single"/>
            <w:rtl/>
          </w:rPr>
          <w:t>10</w:t>
        </w:r>
      </w:hyperlink>
    </w:p>
    <w:p w14:paraId="5DF8A2A4" w14:textId="77777777" w:rsidR="00BB45A6" w:rsidRPr="00BB45A6" w:rsidRDefault="00BB45A6" w:rsidP="00E95A8E">
      <w:pPr>
        <w:rPr>
          <w:rtl/>
        </w:rPr>
      </w:pPr>
    </w:p>
    <w:p w14:paraId="26845AE6" w14:textId="77777777" w:rsidR="00E95A8E" w:rsidRPr="00BB45A6" w:rsidRDefault="00E95A8E" w:rsidP="00E95A8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95A8E" w14:paraId="2940AD69" w14:textId="77777777" w:rsidTr="00E95A8E">
        <w:trPr>
          <w:trHeight w:val="355"/>
          <w:jc w:val="center"/>
        </w:trPr>
        <w:tc>
          <w:tcPr>
            <w:tcW w:w="8820" w:type="dxa"/>
            <w:tcBorders>
              <w:top w:val="nil"/>
              <w:left w:val="nil"/>
              <w:bottom w:val="nil"/>
              <w:right w:val="nil"/>
            </w:tcBorders>
            <w:shd w:val="clear" w:color="auto" w:fill="auto"/>
          </w:tcPr>
          <w:p w14:paraId="3EA003EB" w14:textId="77777777" w:rsidR="00BB45A6" w:rsidRPr="00BB45A6" w:rsidRDefault="00BB45A6" w:rsidP="00BB45A6">
            <w:pPr>
              <w:jc w:val="center"/>
              <w:rPr>
                <w:rFonts w:ascii="Arial" w:hAnsi="Arial"/>
                <w:b/>
                <w:bCs/>
                <w:sz w:val="28"/>
                <w:szCs w:val="28"/>
                <w:u w:val="single"/>
                <w:rtl/>
              </w:rPr>
            </w:pPr>
            <w:bookmarkStart w:id="5" w:name="PsakDin" w:colFirst="0" w:colLast="0"/>
            <w:bookmarkEnd w:id="0"/>
            <w:r w:rsidRPr="00BB45A6">
              <w:rPr>
                <w:rFonts w:ascii="Arial" w:hAnsi="Arial"/>
                <w:b/>
                <w:bCs/>
                <w:sz w:val="28"/>
                <w:szCs w:val="28"/>
                <w:u w:val="single"/>
                <w:rtl/>
              </w:rPr>
              <w:t>גזר דין</w:t>
            </w:r>
          </w:p>
          <w:p w14:paraId="1BC32A76" w14:textId="77777777" w:rsidR="00E95A8E" w:rsidRPr="00BB45A6" w:rsidRDefault="00E95A8E" w:rsidP="00BB45A6">
            <w:pPr>
              <w:jc w:val="center"/>
              <w:rPr>
                <w:rFonts w:ascii="Arial" w:hAnsi="Arial"/>
                <w:bCs/>
                <w:sz w:val="28"/>
                <w:szCs w:val="28"/>
                <w:u w:val="single"/>
                <w:rtl/>
              </w:rPr>
            </w:pPr>
          </w:p>
        </w:tc>
      </w:tr>
      <w:bookmarkEnd w:id="5"/>
    </w:tbl>
    <w:p w14:paraId="314965FE" w14:textId="77777777" w:rsidR="00E95A8E" w:rsidRDefault="00E95A8E" w:rsidP="00E95A8E">
      <w:pPr>
        <w:spacing w:line="360" w:lineRule="auto"/>
        <w:jc w:val="both"/>
        <w:rPr>
          <w:rFonts w:ascii="Arial" w:hAnsi="Arial"/>
          <w:rtl/>
        </w:rPr>
      </w:pPr>
    </w:p>
    <w:p w14:paraId="67DA9ABC" w14:textId="77777777" w:rsidR="00E95A8E" w:rsidRDefault="00E95A8E" w:rsidP="00E95A8E">
      <w:pPr>
        <w:spacing w:line="360" w:lineRule="auto"/>
        <w:jc w:val="both"/>
        <w:rPr>
          <w:rFonts w:ascii="Arial" w:hAnsi="Arial"/>
          <w:rtl/>
        </w:rPr>
      </w:pPr>
    </w:p>
    <w:p w14:paraId="486F19DA" w14:textId="77777777" w:rsidR="00E95A8E" w:rsidRPr="006C0A2F" w:rsidRDefault="00E95A8E" w:rsidP="00E95A8E">
      <w:pPr>
        <w:spacing w:line="360" w:lineRule="auto"/>
        <w:jc w:val="both"/>
        <w:rPr>
          <w:rFonts w:ascii="Arial" w:hAnsi="Arial"/>
          <w:b/>
          <w:bCs/>
          <w:u w:val="single"/>
          <w:rtl/>
        </w:rPr>
      </w:pPr>
      <w:r w:rsidRPr="006C0A2F">
        <w:rPr>
          <w:rFonts w:ascii="Arial" w:hAnsi="Arial" w:hint="cs"/>
          <w:b/>
          <w:bCs/>
          <w:u w:val="single"/>
          <w:rtl/>
        </w:rPr>
        <w:t>השתלשלות ההליך:</w:t>
      </w:r>
    </w:p>
    <w:p w14:paraId="693FAE30" w14:textId="77777777" w:rsidR="00E95A8E" w:rsidRDefault="00E95A8E" w:rsidP="00E95A8E">
      <w:pPr>
        <w:pStyle w:val="a9"/>
        <w:numPr>
          <w:ilvl w:val="0"/>
          <w:numId w:val="1"/>
        </w:numPr>
        <w:spacing w:line="360" w:lineRule="auto"/>
        <w:jc w:val="both"/>
        <w:rPr>
          <w:rFonts w:ascii="Arial" w:hAnsi="Arial"/>
        </w:rPr>
      </w:pPr>
      <w:bookmarkStart w:id="6" w:name="ABSTRACT_START"/>
      <w:bookmarkEnd w:id="6"/>
      <w:r>
        <w:rPr>
          <w:rFonts w:ascii="Arial" w:hAnsi="Arial" w:hint="cs"/>
          <w:rtl/>
        </w:rPr>
        <w:t>ביום 11.6.17, במסגרת הסדר טיעון דיוני ללא הסכמה עונשית, הודה הנאשם בכתב אישום מתוקן והורשע בעבירות הבאות:</w:t>
      </w:r>
    </w:p>
    <w:p w14:paraId="4B0A5A27" w14:textId="77777777" w:rsidR="00E95A8E" w:rsidRPr="006C0A2F" w:rsidRDefault="00E95A8E" w:rsidP="00E95A8E">
      <w:pPr>
        <w:pStyle w:val="a9"/>
        <w:numPr>
          <w:ilvl w:val="1"/>
          <w:numId w:val="2"/>
        </w:numPr>
        <w:spacing w:line="360" w:lineRule="auto"/>
        <w:jc w:val="both"/>
        <w:rPr>
          <w:rFonts w:ascii="Arial" w:hAnsi="Arial"/>
        </w:rPr>
      </w:pPr>
      <w:r w:rsidRPr="006C0A2F">
        <w:rPr>
          <w:rFonts w:ascii="Arial" w:hAnsi="Arial" w:hint="cs"/>
          <w:rtl/>
        </w:rPr>
        <w:t xml:space="preserve">גידול סם מסוכן, לפי </w:t>
      </w:r>
      <w:hyperlink r:id="rId17" w:history="1">
        <w:r w:rsidR="0039632E" w:rsidRPr="0039632E">
          <w:rPr>
            <w:rFonts w:ascii="Arial" w:hAnsi="Arial"/>
            <w:color w:val="0000FF"/>
            <w:u w:val="single"/>
            <w:rtl/>
          </w:rPr>
          <w:t>סעיף 6</w:t>
        </w:r>
      </w:hyperlink>
      <w:r w:rsidRPr="006C0A2F">
        <w:rPr>
          <w:rFonts w:ascii="Arial" w:hAnsi="Arial" w:hint="cs"/>
          <w:rtl/>
        </w:rPr>
        <w:t xml:space="preserve"> ל</w:t>
      </w:r>
      <w:hyperlink r:id="rId18" w:history="1">
        <w:r w:rsidR="00BB45A6" w:rsidRPr="00BB45A6">
          <w:rPr>
            <w:rFonts w:ascii="Arial" w:hAnsi="Arial"/>
            <w:color w:val="0000FF"/>
            <w:u w:val="single"/>
            <w:rtl/>
          </w:rPr>
          <w:t>פקודת הסמים המסוכנים</w:t>
        </w:r>
      </w:hyperlink>
      <w:r w:rsidRPr="006C0A2F">
        <w:rPr>
          <w:rFonts w:ascii="Arial" w:hAnsi="Arial" w:hint="cs"/>
          <w:rtl/>
        </w:rPr>
        <w:t>;</w:t>
      </w:r>
    </w:p>
    <w:p w14:paraId="67316787" w14:textId="77777777" w:rsidR="00E95A8E" w:rsidRPr="006C0A2F" w:rsidRDefault="00E95A8E" w:rsidP="00E95A8E">
      <w:pPr>
        <w:pStyle w:val="a9"/>
        <w:numPr>
          <w:ilvl w:val="1"/>
          <w:numId w:val="2"/>
        </w:numPr>
        <w:spacing w:line="360" w:lineRule="auto"/>
        <w:jc w:val="both"/>
        <w:rPr>
          <w:rFonts w:ascii="Arial" w:hAnsi="Arial"/>
          <w:rtl/>
        </w:rPr>
      </w:pPr>
      <w:r w:rsidRPr="006C0A2F">
        <w:rPr>
          <w:rFonts w:ascii="Arial" w:hAnsi="Arial" w:hint="cs"/>
          <w:rtl/>
        </w:rPr>
        <w:t>החזקת סם מסו</w:t>
      </w:r>
      <w:r>
        <w:rPr>
          <w:rFonts w:ascii="Arial" w:hAnsi="Arial" w:hint="cs"/>
          <w:rtl/>
        </w:rPr>
        <w:t xml:space="preserve">כן שלא לצריכה עצמית, לפי </w:t>
      </w:r>
      <w:hyperlink r:id="rId19" w:history="1">
        <w:r w:rsidR="0039632E" w:rsidRPr="0039632E">
          <w:rPr>
            <w:rFonts w:ascii="Arial" w:hAnsi="Arial"/>
            <w:color w:val="0000FF"/>
            <w:u w:val="single"/>
            <w:rtl/>
          </w:rPr>
          <w:t>סעיף 7(א)</w:t>
        </w:r>
      </w:hyperlink>
      <w:r>
        <w:rPr>
          <w:rFonts w:ascii="Arial" w:hAnsi="Arial" w:hint="cs"/>
          <w:rtl/>
        </w:rPr>
        <w:t xml:space="preserve"> בצירוף </w:t>
      </w:r>
      <w:hyperlink r:id="rId20" w:history="1">
        <w:r w:rsidR="0039632E" w:rsidRPr="0039632E">
          <w:rPr>
            <w:rFonts w:ascii="Arial" w:hAnsi="Arial"/>
            <w:color w:val="0000FF"/>
            <w:u w:val="single"/>
            <w:rtl/>
          </w:rPr>
          <w:t>סעיף 7(ג)</w:t>
        </w:r>
      </w:hyperlink>
      <w:r>
        <w:rPr>
          <w:rFonts w:ascii="Arial" w:hAnsi="Arial" w:hint="cs"/>
          <w:rtl/>
        </w:rPr>
        <w:t xml:space="preserve"> רישא לפקודה</w:t>
      </w:r>
      <w:r w:rsidRPr="006C0A2F">
        <w:rPr>
          <w:rFonts w:ascii="Arial" w:hAnsi="Arial" w:hint="cs"/>
          <w:rtl/>
        </w:rPr>
        <w:t>;</w:t>
      </w:r>
    </w:p>
    <w:p w14:paraId="6D5D8C51" w14:textId="77777777" w:rsidR="00E95A8E" w:rsidRPr="006C0A2F" w:rsidRDefault="00E95A8E" w:rsidP="00E95A8E">
      <w:pPr>
        <w:pStyle w:val="a9"/>
        <w:numPr>
          <w:ilvl w:val="1"/>
          <w:numId w:val="2"/>
        </w:numPr>
        <w:spacing w:line="360" w:lineRule="auto"/>
        <w:jc w:val="both"/>
        <w:rPr>
          <w:rFonts w:ascii="Arial" w:hAnsi="Arial"/>
          <w:rtl/>
        </w:rPr>
      </w:pPr>
      <w:r w:rsidRPr="006C0A2F">
        <w:rPr>
          <w:rFonts w:ascii="Arial" w:hAnsi="Arial" w:hint="cs"/>
          <w:rtl/>
        </w:rPr>
        <w:t>החזקת כלים להכנת סם שלא לצריכה עצמית</w:t>
      </w:r>
      <w:r>
        <w:rPr>
          <w:rFonts w:ascii="Arial" w:hAnsi="Arial" w:hint="cs"/>
          <w:rtl/>
        </w:rPr>
        <w:t xml:space="preserve">, לפי </w:t>
      </w:r>
      <w:hyperlink r:id="rId21" w:history="1">
        <w:r w:rsidR="0039632E" w:rsidRPr="0039632E">
          <w:rPr>
            <w:rFonts w:ascii="Arial" w:hAnsi="Arial"/>
            <w:color w:val="0000FF"/>
            <w:u w:val="single"/>
            <w:rtl/>
          </w:rPr>
          <w:t>סעיף 10</w:t>
        </w:r>
      </w:hyperlink>
      <w:r>
        <w:rPr>
          <w:rFonts w:ascii="Arial" w:hAnsi="Arial" w:hint="cs"/>
          <w:rtl/>
        </w:rPr>
        <w:t xml:space="preserve"> רישא לפקודה;</w:t>
      </w:r>
    </w:p>
    <w:p w14:paraId="38DCFD4E" w14:textId="77777777" w:rsidR="00E95A8E" w:rsidRDefault="00E95A8E" w:rsidP="00E95A8E">
      <w:pPr>
        <w:pStyle w:val="a9"/>
        <w:numPr>
          <w:ilvl w:val="0"/>
          <w:numId w:val="1"/>
        </w:numPr>
        <w:spacing w:line="360" w:lineRule="auto"/>
        <w:jc w:val="both"/>
        <w:rPr>
          <w:rFonts w:ascii="Arial" w:hAnsi="Arial"/>
        </w:rPr>
      </w:pPr>
      <w:r>
        <w:rPr>
          <w:rFonts w:ascii="Arial" w:hAnsi="Arial" w:hint="cs"/>
          <w:rtl/>
        </w:rPr>
        <w:t>בין מועד הכרעת הדין לבין מועדו של גזר דין זה נפערה תהום-זמן חריגה, ששורשה בהתנהגותו של הנאשם, כמתועד בחוות דעתו של הממונה על עבודות שירות ובפרוטוקולים.</w:t>
      </w:r>
    </w:p>
    <w:p w14:paraId="10EE792C" w14:textId="77777777" w:rsidR="00E95A8E" w:rsidRDefault="00E95A8E" w:rsidP="00E95A8E">
      <w:pPr>
        <w:pStyle w:val="a9"/>
        <w:numPr>
          <w:ilvl w:val="0"/>
          <w:numId w:val="1"/>
        </w:numPr>
        <w:spacing w:line="360" w:lineRule="auto"/>
        <w:jc w:val="both"/>
        <w:rPr>
          <w:rFonts w:ascii="Arial" w:hAnsi="Arial"/>
        </w:rPr>
      </w:pPr>
      <w:r>
        <w:rPr>
          <w:rFonts w:ascii="Arial" w:hAnsi="Arial" w:hint="cs"/>
          <w:rtl/>
        </w:rPr>
        <w:lastRenderedPageBreak/>
        <w:t>הנאשם הופנה לשירות המבחן והתקבל בעניינו תסקיר מיום 24.10.17: עמדותיו של הנאשם לא איפשרו שילובו בטיפול או חיוב בשל"צ, והשירות נמנע מהמלצה שיקומית-טיפולית.</w:t>
      </w:r>
    </w:p>
    <w:p w14:paraId="27AB4CAD" w14:textId="77777777" w:rsidR="00E95A8E" w:rsidRDefault="00E95A8E" w:rsidP="00E95A8E">
      <w:pPr>
        <w:pStyle w:val="a9"/>
        <w:numPr>
          <w:ilvl w:val="0"/>
          <w:numId w:val="1"/>
        </w:numPr>
        <w:spacing w:line="360" w:lineRule="auto"/>
        <w:jc w:val="both"/>
        <w:rPr>
          <w:rFonts w:ascii="Arial" w:hAnsi="Arial"/>
        </w:rPr>
      </w:pPr>
      <w:r>
        <w:rPr>
          <w:rFonts w:ascii="Arial" w:hAnsi="Arial" w:hint="cs"/>
          <w:rtl/>
        </w:rPr>
        <w:t>עוד לפניי שלוש חווֹת דעת של הממונה על עבודות השירות מיום 28.12.17, מיום 27.2.18 ומיום 30.12.18, לפיהן נמצא הנאשם כלא-כשיר לריצוי מאסר בעבודות שירות. בהודעות הממונה מיום 7.10.18 ומיום 30.12.18 נמסר כי בבדיקות שתן שנערכו לנאשם התגלו עקבות קנאביס, שהנאשם צורך בהיתר עקב מצב רפואי, אך גם עקבות "אקסטזי". בנוסף, לא המציא הנאשם חוות דעת פסיכיאטרית נחוצה (בדיון אחרון הוצג "סיכום מידע פסיכיאטרי" מיום 14.10.18, מסומן נע/1, שלא הוצג לממונה, וכן מרשם עדכני לתרופה, מסומן נע/2).</w:t>
      </w:r>
    </w:p>
    <w:p w14:paraId="71A94B75" w14:textId="77777777" w:rsidR="00E95A8E" w:rsidRDefault="00E95A8E" w:rsidP="00E95A8E">
      <w:pPr>
        <w:pStyle w:val="a9"/>
        <w:numPr>
          <w:ilvl w:val="0"/>
          <w:numId w:val="1"/>
        </w:numPr>
        <w:spacing w:line="360" w:lineRule="auto"/>
        <w:jc w:val="both"/>
        <w:rPr>
          <w:rFonts w:ascii="Arial" w:hAnsi="Arial"/>
        </w:rPr>
      </w:pPr>
      <w:r>
        <w:rPr>
          <w:rFonts w:ascii="Arial" w:hAnsi="Arial" w:hint="cs"/>
          <w:rtl/>
        </w:rPr>
        <w:t>ביום 01.01.19 השלימו הצדדים טיעוניהם:</w:t>
      </w:r>
    </w:p>
    <w:p w14:paraId="06C0B3B4" w14:textId="77777777" w:rsidR="00E95A8E" w:rsidRDefault="00E95A8E" w:rsidP="00E95A8E">
      <w:pPr>
        <w:spacing w:line="360" w:lineRule="auto"/>
        <w:ind w:left="360"/>
        <w:jc w:val="both"/>
        <w:rPr>
          <w:rFonts w:ascii="Arial" w:hAnsi="Arial"/>
          <w:rtl/>
        </w:rPr>
      </w:pPr>
      <w:r>
        <w:rPr>
          <w:rFonts w:ascii="Arial" w:hAnsi="Arial" w:hint="cs"/>
          <w:rtl/>
        </w:rPr>
        <w:t>התביעה טענה למתחם עונשי הולם ממספר חודשי מאסר שניתן לרצותם בעבודות שירות ועד ל-18 חודשי מאסר, ועתרה לעונש של חמישה חודשי מאסר, וכן למאסר מותנה, קנס ופסילת רישיון נהיגה;</w:t>
      </w:r>
    </w:p>
    <w:p w14:paraId="29BABEF5" w14:textId="77777777" w:rsidR="00E95A8E" w:rsidRPr="00613DC9" w:rsidRDefault="00E95A8E" w:rsidP="00E95A8E">
      <w:pPr>
        <w:spacing w:line="360" w:lineRule="auto"/>
        <w:ind w:left="360"/>
        <w:jc w:val="both"/>
        <w:rPr>
          <w:rFonts w:ascii="Arial" w:hAnsi="Arial"/>
          <w:rtl/>
        </w:rPr>
      </w:pPr>
      <w:r>
        <w:rPr>
          <w:rFonts w:ascii="Arial" w:hAnsi="Arial" w:hint="cs"/>
          <w:rtl/>
        </w:rPr>
        <w:t>ההגנה עתרה לביטול ההרשעה ולחיוב הנאשם בשל"צ;</w:t>
      </w:r>
    </w:p>
    <w:p w14:paraId="7C3C8A2D" w14:textId="77777777" w:rsidR="00E95A8E" w:rsidRDefault="00E95A8E" w:rsidP="00E95A8E">
      <w:pPr>
        <w:spacing w:line="360" w:lineRule="auto"/>
        <w:jc w:val="both"/>
        <w:rPr>
          <w:rtl/>
        </w:rPr>
      </w:pPr>
      <w:bookmarkStart w:id="7" w:name="ABSTRACT_END"/>
      <w:bookmarkEnd w:id="7"/>
    </w:p>
    <w:p w14:paraId="398DE3FF" w14:textId="77777777" w:rsidR="00E95A8E" w:rsidRPr="00613DC9" w:rsidRDefault="00E95A8E" w:rsidP="00E95A8E">
      <w:pPr>
        <w:spacing w:line="360" w:lineRule="auto"/>
        <w:jc w:val="both"/>
        <w:rPr>
          <w:b/>
          <w:bCs/>
          <w:u w:val="single"/>
          <w:rtl/>
        </w:rPr>
      </w:pPr>
      <w:r>
        <w:rPr>
          <w:rFonts w:hint="cs"/>
          <w:b/>
          <w:bCs/>
          <w:u w:val="single"/>
          <w:rtl/>
        </w:rPr>
        <w:t>מעשי הנאשם:</w:t>
      </w:r>
    </w:p>
    <w:p w14:paraId="13708D06" w14:textId="77777777" w:rsidR="00E95A8E" w:rsidRDefault="00E95A8E" w:rsidP="00E95A8E">
      <w:pPr>
        <w:pStyle w:val="a9"/>
        <w:numPr>
          <w:ilvl w:val="0"/>
          <w:numId w:val="3"/>
        </w:numPr>
        <w:spacing w:line="360" w:lineRule="auto"/>
        <w:jc w:val="both"/>
      </w:pPr>
      <w:r>
        <w:rPr>
          <w:rFonts w:hint="cs"/>
          <w:rtl/>
        </w:rPr>
        <w:t xml:space="preserve">במשך שלוש שנים עד ליום מעצרו 9.8.16, גידל הנאשם בדירת מגוריו קנבוס, ב"מעבדה" שהקים בחדר מחדרי הדירה, בו התקין והחזיק כלים לגידול הסם, ובהם ספקי כוח, גופי חימום, מיכלים שונים, משקל אלקטרוני ותאורת </w:t>
      </w:r>
      <w:r>
        <w:rPr>
          <w:rFonts w:hint="cs"/>
        </w:rPr>
        <w:t>LED</w:t>
      </w:r>
      <w:r>
        <w:rPr>
          <w:rFonts w:hint="cs"/>
          <w:rtl/>
        </w:rPr>
        <w:t>.</w:t>
      </w:r>
    </w:p>
    <w:p w14:paraId="5FDEDB6C" w14:textId="77777777" w:rsidR="00E95A8E" w:rsidRDefault="00E95A8E" w:rsidP="00E95A8E">
      <w:pPr>
        <w:pStyle w:val="a9"/>
        <w:numPr>
          <w:ilvl w:val="0"/>
          <w:numId w:val="3"/>
        </w:numPr>
        <w:spacing w:line="360" w:lineRule="auto"/>
        <w:jc w:val="both"/>
      </w:pPr>
      <w:r>
        <w:rPr>
          <w:rFonts w:hint="cs"/>
          <w:rtl/>
        </w:rPr>
        <w:t>ביום המעצר גידל הנאשם במעבדה שבעה שתילי קנבוס במשקל כולל של 2.21 גרם נטו, ועוד גידל באדנית שהותקנה בארון קנבוס במשקל של 806.78 גרם נטו.</w:t>
      </w:r>
    </w:p>
    <w:p w14:paraId="03949993" w14:textId="77777777" w:rsidR="00E95A8E" w:rsidRDefault="00E95A8E" w:rsidP="00E95A8E">
      <w:pPr>
        <w:pStyle w:val="a9"/>
        <w:numPr>
          <w:ilvl w:val="0"/>
          <w:numId w:val="3"/>
        </w:numPr>
        <w:spacing w:line="360" w:lineRule="auto"/>
        <w:jc w:val="both"/>
      </w:pPr>
      <w:r>
        <w:rPr>
          <w:rFonts w:hint="cs"/>
          <w:rtl/>
        </w:rPr>
        <w:t>באותו יום נתפס בדירה קנבוס במשקל של 3.33 גרם נטו, שהנאשם החזיק שלא לצריכה עצמית.</w:t>
      </w:r>
    </w:p>
    <w:p w14:paraId="76D45FFC" w14:textId="77777777" w:rsidR="00E95A8E" w:rsidRDefault="00E95A8E" w:rsidP="00E95A8E">
      <w:pPr>
        <w:spacing w:line="360" w:lineRule="auto"/>
        <w:jc w:val="both"/>
      </w:pPr>
    </w:p>
    <w:p w14:paraId="4C73409B" w14:textId="77777777" w:rsidR="00E95A8E" w:rsidRDefault="00E95A8E" w:rsidP="00E95A8E">
      <w:pPr>
        <w:spacing w:line="360" w:lineRule="auto"/>
        <w:jc w:val="both"/>
        <w:rPr>
          <w:rtl/>
        </w:rPr>
      </w:pPr>
      <w:r>
        <w:rPr>
          <w:rFonts w:hint="cs"/>
          <w:b/>
          <w:bCs/>
          <w:u w:val="single"/>
          <w:rtl/>
        </w:rPr>
        <w:t>דחיית עתירתה של ההגנה לביטול ההרשעה:</w:t>
      </w:r>
    </w:p>
    <w:p w14:paraId="7C825019" w14:textId="77777777" w:rsidR="00E95A8E" w:rsidRPr="005975A3" w:rsidRDefault="00E95A8E" w:rsidP="00E95A8E">
      <w:pPr>
        <w:numPr>
          <w:ilvl w:val="0"/>
          <w:numId w:val="5"/>
        </w:numPr>
        <w:spacing w:line="360" w:lineRule="auto"/>
        <w:contextualSpacing/>
        <w:jc w:val="both"/>
        <w:rPr>
          <w:rFonts w:ascii="Arial" w:hAnsi="Arial"/>
        </w:rPr>
      </w:pPr>
      <w:r w:rsidRPr="005975A3">
        <w:rPr>
          <w:rFonts w:ascii="Arial" w:hAnsi="Arial"/>
          <w:rtl/>
        </w:rPr>
        <w:t>ההגנה עותרת לאימוץ המלצתו של שירות המבחן ולבטל את הרשעתו של הנאשם, מחשש לפגיעה תעסוקתית: הנאשם מועסק כמורה וכמרצה</w:t>
      </w:r>
      <w:r>
        <w:rPr>
          <w:rFonts w:ascii="Arial" w:hAnsi="Arial" w:hint="cs"/>
          <w:rtl/>
        </w:rPr>
        <w:t xml:space="preserve"> לפיזיקה ולמתמטיקה</w:t>
      </w:r>
      <w:r w:rsidRPr="005975A3">
        <w:rPr>
          <w:rFonts w:ascii="Arial" w:hAnsi="Arial"/>
          <w:rtl/>
        </w:rPr>
        <w:t xml:space="preserve"> ב</w:t>
      </w:r>
      <w:r>
        <w:rPr>
          <w:rFonts w:ascii="Arial" w:hAnsi="Arial" w:hint="cs"/>
          <w:rtl/>
        </w:rPr>
        <w:t>ְאוניברסיטה ובמ</w:t>
      </w:r>
      <w:r w:rsidRPr="005975A3">
        <w:rPr>
          <w:rFonts w:ascii="Arial" w:hAnsi="Arial"/>
          <w:rtl/>
        </w:rPr>
        <w:t>כלל</w:t>
      </w:r>
      <w:r>
        <w:rPr>
          <w:rFonts w:ascii="Arial" w:hAnsi="Arial" w:hint="cs"/>
          <w:rtl/>
        </w:rPr>
        <w:t>ות</w:t>
      </w:r>
      <w:r w:rsidRPr="005975A3">
        <w:rPr>
          <w:rFonts w:ascii="Arial" w:hAnsi="Arial"/>
          <w:rtl/>
        </w:rPr>
        <w:t xml:space="preserve">, והרשעתו עלולה לסכן את המשך העסקתו. </w:t>
      </w:r>
    </w:p>
    <w:p w14:paraId="2E47CE76" w14:textId="77777777" w:rsidR="00E95A8E" w:rsidRPr="005975A3" w:rsidRDefault="00E95A8E" w:rsidP="00E95A8E">
      <w:pPr>
        <w:numPr>
          <w:ilvl w:val="0"/>
          <w:numId w:val="5"/>
        </w:numPr>
        <w:spacing w:line="360" w:lineRule="auto"/>
        <w:contextualSpacing/>
        <w:jc w:val="both"/>
      </w:pPr>
      <w:r w:rsidRPr="005975A3">
        <w:rPr>
          <w:rtl/>
        </w:rPr>
        <w:t xml:space="preserve">הלכת </w:t>
      </w:r>
      <w:r w:rsidRPr="005975A3">
        <w:rPr>
          <w:b/>
          <w:bCs/>
          <w:rtl/>
        </w:rPr>
        <w:t>כתב</w:t>
      </w:r>
      <w:r w:rsidRPr="005975A3">
        <w:rPr>
          <w:rtl/>
        </w:rPr>
        <w:t xml:space="preserve"> הידועה (</w:t>
      </w:r>
      <w:hyperlink r:id="rId22" w:history="1">
        <w:r w:rsidR="00BB45A6" w:rsidRPr="00BB45A6">
          <w:rPr>
            <w:color w:val="0000FF"/>
            <w:u w:val="single"/>
            <w:rtl/>
          </w:rPr>
          <w:t>ע"פ 2083/96</w:t>
        </w:r>
      </w:hyperlink>
      <w:r w:rsidRPr="005975A3">
        <w:rPr>
          <w:rtl/>
        </w:rPr>
        <w:t xml:space="preserve"> </w:t>
      </w:r>
      <w:r w:rsidRPr="005975A3">
        <w:rPr>
          <w:b/>
          <w:bCs/>
          <w:rtl/>
        </w:rPr>
        <w:t>כתב נ' מ.י.</w:t>
      </w:r>
      <w:r w:rsidRPr="005975A3">
        <w:rPr>
          <w:rtl/>
        </w:rPr>
        <w:t xml:space="preserve"> (1997)) שאושררה שוב ושוב על-ידי בית המשפט העליון, קובעת כי ביטול הרשעה או הימנעות מהרשעה הם חריגים לכלל הקובע כי מי שביצע עבירה, יורשע. שימוש באמצעים חריגים אלו מחייב קיומם של שני תנאים מצטברים – פגיעה חמורה הצפויה לשיקום הנאשם, וטיב העבירה מאפשר לוותר על ההרשעה.</w:t>
      </w:r>
    </w:p>
    <w:p w14:paraId="13C8569E" w14:textId="77777777" w:rsidR="00E95A8E" w:rsidRDefault="00E95A8E" w:rsidP="00E95A8E">
      <w:pPr>
        <w:numPr>
          <w:ilvl w:val="0"/>
          <w:numId w:val="5"/>
        </w:numPr>
        <w:spacing w:line="360" w:lineRule="auto"/>
        <w:contextualSpacing/>
        <w:jc w:val="both"/>
        <w:rPr>
          <w:rFonts w:ascii="Arial" w:hAnsi="Arial"/>
        </w:rPr>
      </w:pPr>
      <w:r w:rsidRPr="005975A3">
        <w:rPr>
          <w:rtl/>
        </w:rPr>
        <w:t>בית המשפט העליון קבע לא-פעם, כי קיומה של</w:t>
      </w:r>
      <w:r>
        <w:rPr>
          <w:rFonts w:hint="cs"/>
          <w:i/>
          <w:iCs/>
          <w:rtl/>
        </w:rPr>
        <w:t xml:space="preserve"> </w:t>
      </w:r>
      <w:r w:rsidRPr="005975A3">
        <w:rPr>
          <w:i/>
          <w:iCs/>
          <w:rtl/>
        </w:rPr>
        <w:t>אפשרות</w:t>
      </w:r>
      <w:r w:rsidRPr="005975A3">
        <w:rPr>
          <w:rtl/>
        </w:rPr>
        <w:t xml:space="preserve"> לפגיעה תעסוקתית אינ</w:t>
      </w:r>
      <w:r>
        <w:rPr>
          <w:rFonts w:hint="cs"/>
          <w:rtl/>
        </w:rPr>
        <w:t>ה</w:t>
      </w:r>
      <w:r w:rsidRPr="005975A3">
        <w:rPr>
          <w:rtl/>
        </w:rPr>
        <w:t xml:space="preserve"> נחשב</w:t>
      </w:r>
      <w:r>
        <w:rPr>
          <w:rFonts w:hint="cs"/>
          <w:rtl/>
        </w:rPr>
        <w:t>ת</w:t>
      </w:r>
      <w:r w:rsidRPr="005975A3">
        <w:rPr>
          <w:rtl/>
        </w:rPr>
        <w:t xml:space="preserve"> כפגיעה חמורה וק</w:t>
      </w:r>
      <w:r>
        <w:rPr>
          <w:rtl/>
        </w:rPr>
        <w:t>ונקרטית בשיקום הנאשם</w:t>
      </w:r>
      <w:r>
        <w:rPr>
          <w:rFonts w:hint="cs"/>
          <w:rtl/>
        </w:rPr>
        <w:t xml:space="preserve">. כך בוודאי במקרה דנן, בו לא הובאה כל ראיה בדבר מהות הסכנה ומידת ודאותה </w:t>
      </w:r>
      <w:r>
        <w:rPr>
          <w:rtl/>
        </w:rPr>
        <w:t>–</w:t>
      </w:r>
      <w:r>
        <w:rPr>
          <w:rFonts w:hint="cs"/>
          <w:rtl/>
        </w:rPr>
        <w:t xml:space="preserve"> למעשה, לא ברור כלל אם המוסדות המעסיקים את הנאשם מודעים להליך הפלילי נגדו, אם הנאשם חייב בגילוי עניין זה, ואם ינקטו באמצעי </w:t>
      </w:r>
      <w:r>
        <w:rPr>
          <w:rFonts w:hint="cs"/>
          <w:rtl/>
        </w:rPr>
        <w:lastRenderedPageBreak/>
        <w:t>הדרסטי של פיטוריו גם אם ייווד</w:t>
      </w:r>
      <w:r>
        <w:rPr>
          <w:rFonts w:hint="eastAsia"/>
          <w:rtl/>
        </w:rPr>
        <w:t>ע</w:t>
      </w:r>
      <w:r>
        <w:rPr>
          <w:rFonts w:hint="cs"/>
          <w:rtl/>
        </w:rPr>
        <w:t xml:space="preserve"> להם דבר ההרשעה. ועוד אוסיף, כי </w:t>
      </w:r>
      <w:r w:rsidRPr="005975A3">
        <w:rPr>
          <w:rFonts w:ascii="Arial" w:hAnsi="Arial"/>
          <w:rtl/>
        </w:rPr>
        <w:t>לא ברור כלל אם אכן צפויה פגיעה תעסוקתית בנאשם מעצם ההרשעה: אפשר ולא ייפגע כלל, ואפשר שהיה נפגע בשל עצם עיסוקו בסם, ולאו דווקא בשל התווית של אופן סיום ההליך.</w:t>
      </w:r>
    </w:p>
    <w:p w14:paraId="07AFA566" w14:textId="77777777" w:rsidR="00E95A8E" w:rsidRPr="005975A3" w:rsidRDefault="00E95A8E" w:rsidP="00E95A8E">
      <w:pPr>
        <w:numPr>
          <w:ilvl w:val="0"/>
          <w:numId w:val="5"/>
        </w:numPr>
        <w:spacing w:line="360" w:lineRule="auto"/>
        <w:contextualSpacing/>
        <w:jc w:val="both"/>
        <w:rPr>
          <w:rFonts w:ascii="Arial" w:hAnsi="Arial"/>
        </w:rPr>
      </w:pPr>
      <w:r>
        <w:rPr>
          <w:rFonts w:ascii="Arial" w:hAnsi="Arial" w:hint="cs"/>
          <w:rtl/>
        </w:rPr>
        <w:t>שירות המבחן נמנע מהמלצה שיקומית בעניינו של הנאשם, מחמת סירובו להשתלב בטיפול או-אף לבצע של"צ. למעשה, הנאשם אינו מכיר בבעייתיות שבשימושו בסמים, ובדיקות שתן שנערכו לו העידו כי הוא המשיך בצריכת הסם גם לאחר הרשעתו והפנייתו לשירות המבחן, ולפני קבלת ההיתר לקנבוס רפואי. מצב דברים זה ודאי שאינו מאפשר בחירה באפיק עונשי-שיקומי.</w:t>
      </w:r>
    </w:p>
    <w:p w14:paraId="7868DDCB" w14:textId="77777777" w:rsidR="00E95A8E" w:rsidRDefault="00E95A8E" w:rsidP="00E95A8E">
      <w:pPr>
        <w:numPr>
          <w:ilvl w:val="0"/>
          <w:numId w:val="5"/>
        </w:numPr>
        <w:spacing w:line="360" w:lineRule="auto"/>
        <w:contextualSpacing/>
        <w:jc w:val="both"/>
        <w:rPr>
          <w:rFonts w:ascii="Arial" w:hAnsi="Arial"/>
        </w:rPr>
      </w:pPr>
      <w:r w:rsidRPr="005975A3">
        <w:rPr>
          <w:rFonts w:ascii="Arial" w:hAnsi="Arial"/>
          <w:rtl/>
        </w:rPr>
        <w:t>עתירת ההגנה נדחית, וההרשעה תעמוד על כנה.</w:t>
      </w:r>
    </w:p>
    <w:p w14:paraId="6A11A73C" w14:textId="77777777" w:rsidR="00E95A8E" w:rsidRDefault="00E95A8E" w:rsidP="00E95A8E">
      <w:pPr>
        <w:spacing w:line="360" w:lineRule="auto"/>
        <w:contextualSpacing/>
        <w:jc w:val="both"/>
        <w:rPr>
          <w:rFonts w:ascii="Arial" w:hAnsi="Arial"/>
          <w:rtl/>
        </w:rPr>
      </w:pPr>
    </w:p>
    <w:p w14:paraId="4249979E" w14:textId="77777777" w:rsidR="00E95A8E" w:rsidRDefault="00E95A8E" w:rsidP="00E95A8E">
      <w:pPr>
        <w:spacing w:line="360" w:lineRule="auto"/>
        <w:jc w:val="both"/>
        <w:rPr>
          <w:rtl/>
        </w:rPr>
      </w:pPr>
      <w:r>
        <w:rPr>
          <w:rFonts w:hint="cs"/>
          <w:b/>
          <w:bCs/>
          <w:u w:val="single"/>
          <w:rtl/>
        </w:rPr>
        <w:t xml:space="preserve">נסיבות העבירות </w:t>
      </w:r>
      <w:r>
        <w:rPr>
          <w:b/>
          <w:bCs/>
          <w:u w:val="single"/>
          <w:rtl/>
        </w:rPr>
        <w:t>–</w:t>
      </w:r>
      <w:r>
        <w:rPr>
          <w:rFonts w:hint="cs"/>
          <w:b/>
          <w:bCs/>
          <w:u w:val="single"/>
          <w:rtl/>
        </w:rPr>
        <w:t xml:space="preserve"> קביעת מתחם העונש ההולם:</w:t>
      </w:r>
    </w:p>
    <w:p w14:paraId="1C4A54AE" w14:textId="77777777" w:rsidR="00E95A8E" w:rsidRDefault="00E95A8E" w:rsidP="00E95A8E">
      <w:pPr>
        <w:pStyle w:val="a9"/>
        <w:numPr>
          <w:ilvl w:val="0"/>
          <w:numId w:val="4"/>
        </w:numPr>
        <w:spacing w:line="360" w:lineRule="auto"/>
        <w:jc w:val="both"/>
      </w:pPr>
      <w:r>
        <w:rPr>
          <w:rFonts w:hint="cs"/>
          <w:rtl/>
        </w:rPr>
        <w:t>מעשי הנאשם התפרסו על פני תקופה ממושכת של שלוש שנים, אך ניתן לראות בכלל מעשיו "אירוע עבירה" אחד, לנוכח הקשר ההדוק בין המעשים הנלמד מאחדות האמצעים, הכוונה והמטרה (</w:t>
      </w:r>
      <w:hyperlink r:id="rId23" w:history="1">
        <w:r w:rsidR="00BB45A6" w:rsidRPr="00BB45A6">
          <w:rPr>
            <w:color w:val="0000FF"/>
            <w:u w:val="single"/>
            <w:rtl/>
          </w:rPr>
          <w:t>ע"פ 4910/13</w:t>
        </w:r>
      </w:hyperlink>
      <w:r w:rsidRPr="007879C1">
        <w:rPr>
          <w:rtl/>
        </w:rPr>
        <w:t xml:space="preserve"> </w:t>
      </w:r>
      <w:r w:rsidRPr="00A351F8">
        <w:rPr>
          <w:b/>
          <w:bCs/>
          <w:rtl/>
        </w:rPr>
        <w:t>ג'אבר נ' מ.י.</w:t>
      </w:r>
      <w:r w:rsidRPr="007879C1">
        <w:rPr>
          <w:rtl/>
        </w:rPr>
        <w:t xml:space="preserve"> (2014)</w:t>
      </w:r>
      <w:r>
        <w:rPr>
          <w:rFonts w:hint="cs"/>
          <w:rtl/>
        </w:rPr>
        <w:t xml:space="preserve">, </w:t>
      </w:r>
      <w:r>
        <w:rPr>
          <w:rtl/>
        </w:rPr>
        <w:t>דברי הש' ברק-ארז, פסקאות 5-6</w:t>
      </w:r>
      <w:r>
        <w:rPr>
          <w:rFonts w:hint="cs"/>
          <w:rtl/>
        </w:rPr>
        <w:t>,</w:t>
      </w:r>
      <w:r w:rsidRPr="007879C1">
        <w:rPr>
          <w:rtl/>
        </w:rPr>
        <w:t xml:space="preserve"> ודברי הש' פוגלמן, פסקה 2).</w:t>
      </w:r>
      <w:r>
        <w:rPr>
          <w:rFonts w:hint="cs"/>
          <w:rtl/>
        </w:rPr>
        <w:t xml:space="preserve"> מתחם העונש ההולם ייקבע אפוא כאחד.</w:t>
      </w:r>
    </w:p>
    <w:p w14:paraId="6A9F473D" w14:textId="77777777" w:rsidR="00E95A8E" w:rsidRDefault="00E95A8E" w:rsidP="00E95A8E">
      <w:pPr>
        <w:pStyle w:val="a9"/>
        <w:numPr>
          <w:ilvl w:val="0"/>
          <w:numId w:val="4"/>
        </w:numPr>
        <w:spacing w:line="360" w:lineRule="auto"/>
        <w:jc w:val="both"/>
        <w:rPr>
          <w:rtl/>
        </w:rPr>
      </w:pPr>
      <w:r>
        <w:rPr>
          <w:rtl/>
        </w:rPr>
        <w:t xml:space="preserve">פגיעתם של הסמים בחברה אינה נקודתית, אלא משתרעת על מרחבים וזמנים עצומים, החל מהפגיעה במשתמש ובמשפחתו, וכלה באזרחים התמימים הנפגעים מצרכני הסם המבצעים עבירות רכוש ואלימות. זאת אף טרם שנזכיר את מימונם של ארגוני פשיעה וטרור על ידי העיסוק בסם. עם זאת, אין הדברים אמורים באותה מידת חומרה כאשר מדובר בסם מסוג קנבוס, המוכר בפסיקה כסם "קל", וכאשר מדובר בגידול של כמות </w:t>
      </w:r>
      <w:r>
        <w:rPr>
          <w:rFonts w:hint="cs"/>
          <w:rtl/>
        </w:rPr>
        <w:t>הפחותה אף מקילוגרם אחד</w:t>
      </w:r>
      <w:r>
        <w:rPr>
          <w:rtl/>
        </w:rPr>
        <w:t>. מדובר בעביר</w:t>
      </w:r>
      <w:r>
        <w:rPr>
          <w:rFonts w:hint="cs"/>
          <w:rtl/>
        </w:rPr>
        <w:t>ות</w:t>
      </w:r>
      <w:r>
        <w:rPr>
          <w:rtl/>
        </w:rPr>
        <w:t xml:space="preserve"> מתוכננ</w:t>
      </w:r>
      <w:r>
        <w:rPr>
          <w:rFonts w:hint="cs"/>
          <w:rtl/>
        </w:rPr>
        <w:t>ו</w:t>
      </w:r>
      <w:r>
        <w:rPr>
          <w:rtl/>
        </w:rPr>
        <w:t>ת שבוצע</w:t>
      </w:r>
      <w:r>
        <w:rPr>
          <w:rFonts w:hint="cs"/>
          <w:rtl/>
        </w:rPr>
        <w:t>ו</w:t>
      </w:r>
      <w:r>
        <w:rPr>
          <w:rtl/>
        </w:rPr>
        <w:t xml:space="preserve"> לאורך זמן, תוך השקעת מחשבה ומשאבים, </w:t>
      </w:r>
      <w:r>
        <w:rPr>
          <w:rFonts w:hint="cs"/>
          <w:rtl/>
        </w:rPr>
        <w:t>ו</w:t>
      </w:r>
      <w:r>
        <w:rPr>
          <w:rtl/>
        </w:rPr>
        <w:t xml:space="preserve">באשר למניעי הנאשם, אינני מקבל כל מניע אחר, חוץ מהמניע הרגיל – רצון להשתמש בסם ולהפיצו תמורת טובת הנאה. </w:t>
      </w:r>
    </w:p>
    <w:p w14:paraId="7B7CD98E" w14:textId="77777777" w:rsidR="00E95A8E" w:rsidRPr="00826199" w:rsidRDefault="00E95A8E" w:rsidP="00E95A8E">
      <w:pPr>
        <w:numPr>
          <w:ilvl w:val="0"/>
          <w:numId w:val="4"/>
        </w:numPr>
        <w:spacing w:line="360" w:lineRule="auto"/>
        <w:contextualSpacing/>
        <w:jc w:val="both"/>
        <w:rPr>
          <w:rFonts w:cs="Times New Roman"/>
        </w:rPr>
      </w:pPr>
      <w:r>
        <w:rPr>
          <w:rtl/>
        </w:rPr>
        <w:t xml:space="preserve">עיון בפסיקה מלמד כי החזקת קנבוס וגידולו בכמויות </w:t>
      </w:r>
      <w:r>
        <w:rPr>
          <w:rFonts w:hint="cs"/>
          <w:rtl/>
        </w:rPr>
        <w:t xml:space="preserve">דומות, גוררים ענישה מחמירה של מאסר, בין בכליאה ובין בעבודות שירות, לפי העניין: </w:t>
      </w:r>
      <w:r>
        <w:rPr>
          <w:rtl/>
        </w:rPr>
        <w:t>ב</w:t>
      </w:r>
      <w:hyperlink r:id="rId24" w:history="1">
        <w:r w:rsidR="00BB45A6" w:rsidRPr="00BB45A6">
          <w:rPr>
            <w:color w:val="0000FF"/>
            <w:u w:val="single"/>
            <w:rtl/>
          </w:rPr>
          <w:t>רע"פ 8374/06</w:t>
        </w:r>
      </w:hyperlink>
      <w:r>
        <w:rPr>
          <w:rtl/>
        </w:rPr>
        <w:t xml:space="preserve"> </w:t>
      </w:r>
      <w:r w:rsidRPr="008200E9">
        <w:rPr>
          <w:b/>
          <w:bCs/>
          <w:rtl/>
        </w:rPr>
        <w:t>גילילוב נ' מ</w:t>
      </w:r>
      <w:r w:rsidRPr="008200E9">
        <w:rPr>
          <w:rFonts w:hint="cs"/>
          <w:b/>
          <w:bCs/>
          <w:rtl/>
        </w:rPr>
        <w:t>.י.</w:t>
      </w:r>
      <w:r>
        <w:rPr>
          <w:rtl/>
        </w:rPr>
        <w:t xml:space="preserve"> (2006), נגזר עונש של 5 חודשי מאסר בעבודות שירות על נאשם שהחזיק כ- 870 גרם חשיש</w:t>
      </w:r>
      <w:r>
        <w:rPr>
          <w:rFonts w:hint="cs"/>
          <w:rtl/>
        </w:rPr>
        <w:t>;</w:t>
      </w:r>
      <w:r>
        <w:rPr>
          <w:rtl/>
        </w:rPr>
        <w:t xml:space="preserve">  ב</w:t>
      </w:r>
      <w:hyperlink r:id="rId25" w:history="1">
        <w:r w:rsidR="00BB45A6" w:rsidRPr="00BB45A6">
          <w:rPr>
            <w:color w:val="0000FF"/>
            <w:u w:val="single"/>
            <w:rtl/>
          </w:rPr>
          <w:t>רע"פ 10423/09</w:t>
        </w:r>
      </w:hyperlink>
      <w:r>
        <w:rPr>
          <w:rtl/>
        </w:rPr>
        <w:t xml:space="preserve"> </w:t>
      </w:r>
      <w:r w:rsidRPr="008200E9">
        <w:rPr>
          <w:b/>
          <w:bCs/>
          <w:rtl/>
        </w:rPr>
        <w:t>שורר נ' מ</w:t>
      </w:r>
      <w:r w:rsidRPr="008200E9">
        <w:rPr>
          <w:rFonts w:hint="cs"/>
          <w:b/>
          <w:bCs/>
          <w:rtl/>
        </w:rPr>
        <w:t>.י.</w:t>
      </w:r>
      <w:r>
        <w:rPr>
          <w:rtl/>
        </w:rPr>
        <w:t xml:space="preserve"> (2010), נגזר עונש של 6 חודשי מאסר בעבודות שירות על נאשם שהחזיק כ- 575 גרם חשיש</w:t>
      </w:r>
      <w:r>
        <w:rPr>
          <w:rFonts w:hint="cs"/>
          <w:rtl/>
        </w:rPr>
        <w:t>;</w:t>
      </w:r>
      <w:r>
        <w:rPr>
          <w:rtl/>
        </w:rPr>
        <w:t xml:space="preserve"> </w:t>
      </w:r>
      <w:r>
        <w:rPr>
          <w:rFonts w:hint="cs"/>
          <w:rtl/>
        </w:rPr>
        <w:t>ב</w:t>
      </w:r>
      <w:hyperlink r:id="rId26" w:history="1">
        <w:r w:rsidR="00BB45A6" w:rsidRPr="00BB45A6">
          <w:rPr>
            <w:color w:val="0000FF"/>
            <w:u w:val="single"/>
            <w:rtl/>
          </w:rPr>
          <w:t>ת"פ 11642-03-15</w:t>
        </w:r>
      </w:hyperlink>
      <w:r>
        <w:rPr>
          <w:rFonts w:hint="cs"/>
          <w:rtl/>
        </w:rPr>
        <w:t xml:space="preserve"> </w:t>
      </w:r>
      <w:r w:rsidRPr="008200E9">
        <w:rPr>
          <w:rFonts w:hint="cs"/>
          <w:b/>
          <w:bCs/>
          <w:rtl/>
        </w:rPr>
        <w:t xml:space="preserve">מ.י. נ' </w:t>
      </w:r>
      <w:r w:rsidRPr="00D61968">
        <w:rPr>
          <w:rFonts w:hint="cs"/>
          <w:b/>
          <w:bCs/>
          <w:rtl/>
        </w:rPr>
        <w:t>קורוטקין</w:t>
      </w:r>
      <w:r>
        <w:rPr>
          <w:rFonts w:hint="cs"/>
          <w:rtl/>
        </w:rPr>
        <w:t xml:space="preserve"> (2016) </w:t>
      </w:r>
      <w:r w:rsidRPr="008200E9">
        <w:rPr>
          <w:rFonts w:hint="cs"/>
          <w:rtl/>
        </w:rPr>
        <w:t>נקבע</w:t>
      </w:r>
      <w:r>
        <w:rPr>
          <w:rFonts w:hint="cs"/>
          <w:rtl/>
        </w:rPr>
        <w:t xml:space="preserve"> כי מתחם העונש ההולם בעניינו של נאשם שהורשע בגידול 520 גרם נטו קנבוס</w:t>
      </w:r>
      <w:r>
        <w:rPr>
          <w:rtl/>
        </w:rPr>
        <w:t>, נע בין 4 חודשי מאסר בעבודות שירות לבין 8 חודשי מאסר</w:t>
      </w:r>
      <w:r>
        <w:rPr>
          <w:rFonts w:hint="cs"/>
          <w:rtl/>
        </w:rPr>
        <w:t xml:space="preserve">; </w:t>
      </w:r>
      <w:r>
        <w:rPr>
          <w:rtl/>
        </w:rPr>
        <w:t>ב</w:t>
      </w:r>
      <w:hyperlink r:id="rId27" w:history="1">
        <w:r w:rsidR="00BB45A6" w:rsidRPr="00BB45A6">
          <w:rPr>
            <w:color w:val="0000FF"/>
            <w:u w:val="single"/>
            <w:rtl/>
          </w:rPr>
          <w:t>ת"פ 39579-01-14</w:t>
        </w:r>
      </w:hyperlink>
      <w:r>
        <w:rPr>
          <w:rtl/>
        </w:rPr>
        <w:t xml:space="preserve"> </w:t>
      </w:r>
      <w:r w:rsidRPr="008200E9">
        <w:rPr>
          <w:rFonts w:hint="cs"/>
          <w:b/>
          <w:bCs/>
          <w:rtl/>
        </w:rPr>
        <w:t>מ.י.</w:t>
      </w:r>
      <w:r w:rsidRPr="008200E9">
        <w:rPr>
          <w:b/>
          <w:bCs/>
          <w:rtl/>
        </w:rPr>
        <w:t xml:space="preserve"> נ' צ'רנו</w:t>
      </w:r>
      <w:r>
        <w:rPr>
          <w:rtl/>
        </w:rPr>
        <w:t xml:space="preserve"> (2015) נקבע כי מתחם העונש ההולם בעניינו של נאשם שהורשע בגידול קנבוס במשקל כולל של 746 גרם, נע בין 4 חודשי מאסר בעבודות שירות לבין 8 חודשי מאסר</w:t>
      </w:r>
      <w:r>
        <w:rPr>
          <w:rFonts w:hint="cs"/>
          <w:rtl/>
        </w:rPr>
        <w:t>;</w:t>
      </w:r>
      <w:r>
        <w:rPr>
          <w:rtl/>
        </w:rPr>
        <w:t xml:space="preserve"> בדומה, נגזר על נאשם ב</w:t>
      </w:r>
      <w:hyperlink r:id="rId28" w:history="1">
        <w:r w:rsidR="00BB45A6" w:rsidRPr="00BB45A6">
          <w:rPr>
            <w:color w:val="0000FF"/>
            <w:u w:val="single"/>
            <w:rtl/>
          </w:rPr>
          <w:t>ת"פ 764-04-09</w:t>
        </w:r>
      </w:hyperlink>
      <w:r>
        <w:rPr>
          <w:rtl/>
        </w:rPr>
        <w:t xml:space="preserve"> </w:t>
      </w:r>
      <w:r w:rsidRPr="008200E9">
        <w:rPr>
          <w:b/>
          <w:bCs/>
          <w:rtl/>
        </w:rPr>
        <w:t>מ</w:t>
      </w:r>
      <w:r w:rsidRPr="008200E9">
        <w:rPr>
          <w:rFonts w:hint="cs"/>
          <w:b/>
          <w:bCs/>
          <w:rtl/>
        </w:rPr>
        <w:t>.י.</w:t>
      </w:r>
      <w:r w:rsidRPr="008200E9">
        <w:rPr>
          <w:b/>
          <w:bCs/>
          <w:rtl/>
        </w:rPr>
        <w:t xml:space="preserve"> נ' מורינו</w:t>
      </w:r>
      <w:r>
        <w:rPr>
          <w:rtl/>
        </w:rPr>
        <w:t xml:space="preserve"> (2009), עונש של 6 חודשי מאסר בעבודות שירות, בגין החזקת כ- 540 גרם חשיש</w:t>
      </w:r>
      <w:r w:rsidRPr="00826199">
        <w:rPr>
          <w:rFonts w:hint="cs"/>
          <w:rtl/>
        </w:rPr>
        <w:t xml:space="preserve">; עוד ראו למשל </w:t>
      </w:r>
      <w:hyperlink r:id="rId29" w:history="1">
        <w:r w:rsidR="00BB45A6" w:rsidRPr="00BB45A6">
          <w:rPr>
            <w:color w:val="0000FF"/>
            <w:u w:val="single"/>
            <w:rtl/>
          </w:rPr>
          <w:t>רע"פ 4512/15</w:t>
        </w:r>
      </w:hyperlink>
      <w:r w:rsidRPr="00826199">
        <w:rPr>
          <w:rFonts w:hint="cs"/>
          <w:rtl/>
        </w:rPr>
        <w:t xml:space="preserve"> </w:t>
      </w:r>
      <w:r w:rsidRPr="00826199">
        <w:rPr>
          <w:rFonts w:hint="cs"/>
          <w:b/>
          <w:bCs/>
          <w:rtl/>
        </w:rPr>
        <w:t>הרוש נ' מ.י.</w:t>
      </w:r>
      <w:r w:rsidRPr="00826199">
        <w:rPr>
          <w:rFonts w:hint="cs"/>
          <w:rtl/>
        </w:rPr>
        <w:t xml:space="preserve"> (2015), </w:t>
      </w:r>
      <w:hyperlink r:id="rId30" w:history="1">
        <w:r w:rsidR="00BB45A6" w:rsidRPr="00BB45A6">
          <w:rPr>
            <w:color w:val="0000FF"/>
            <w:u w:val="single"/>
            <w:rtl/>
          </w:rPr>
          <w:t>ת"פ 6399-03-17</w:t>
        </w:r>
      </w:hyperlink>
      <w:r w:rsidRPr="00826199">
        <w:rPr>
          <w:rFonts w:hint="cs"/>
          <w:rtl/>
        </w:rPr>
        <w:t xml:space="preserve"> </w:t>
      </w:r>
      <w:r w:rsidRPr="00826199">
        <w:rPr>
          <w:rFonts w:hint="cs"/>
          <w:b/>
          <w:bCs/>
          <w:rtl/>
        </w:rPr>
        <w:t>שאול נ' מ.י.</w:t>
      </w:r>
      <w:r w:rsidRPr="00826199">
        <w:rPr>
          <w:rFonts w:hint="cs"/>
          <w:rtl/>
        </w:rPr>
        <w:t xml:space="preserve"> (2017) ו</w:t>
      </w:r>
      <w:hyperlink r:id="rId31" w:history="1">
        <w:r w:rsidR="00BB45A6" w:rsidRPr="00BB45A6">
          <w:rPr>
            <w:color w:val="0000FF"/>
            <w:u w:val="single"/>
            <w:rtl/>
          </w:rPr>
          <w:t>ת"פ 10430-03-15</w:t>
        </w:r>
      </w:hyperlink>
      <w:r w:rsidRPr="00826199">
        <w:rPr>
          <w:rFonts w:hint="cs"/>
          <w:rtl/>
        </w:rPr>
        <w:t xml:space="preserve"> </w:t>
      </w:r>
      <w:r w:rsidRPr="00826199">
        <w:rPr>
          <w:rFonts w:hint="cs"/>
          <w:b/>
          <w:bCs/>
          <w:rtl/>
        </w:rPr>
        <w:t>מ.י. נ' אברהם</w:t>
      </w:r>
      <w:r w:rsidRPr="00826199">
        <w:rPr>
          <w:rFonts w:hint="cs"/>
          <w:rtl/>
        </w:rPr>
        <w:t xml:space="preserve"> (2016)).</w:t>
      </w:r>
    </w:p>
    <w:p w14:paraId="7FB31A16" w14:textId="77777777" w:rsidR="00E95A8E" w:rsidRDefault="00E95A8E" w:rsidP="00E95A8E">
      <w:pPr>
        <w:pStyle w:val="a9"/>
        <w:numPr>
          <w:ilvl w:val="0"/>
          <w:numId w:val="4"/>
        </w:numPr>
        <w:spacing w:line="360" w:lineRule="auto"/>
        <w:jc w:val="both"/>
      </w:pPr>
      <w:r w:rsidRPr="00826199">
        <w:rPr>
          <w:rFonts w:hint="cs"/>
          <w:rtl/>
        </w:rPr>
        <w:t xml:space="preserve">מתחם העונש שהציעה התביעה, החל במספר חודשי </w:t>
      </w:r>
      <w:r>
        <w:rPr>
          <w:rFonts w:hint="cs"/>
          <w:rtl/>
        </w:rPr>
        <w:t>מאסר שניתן לרצותם בעבודות שירות וכלה ב-18 חודשי מאסר, הולם את מעשי הנאשם ותואם למגמת הפסיקה, ולפיכך יאומץ גם בעניין דנן, לעניין העונש העיקרי.</w:t>
      </w:r>
    </w:p>
    <w:p w14:paraId="14FCC7CA" w14:textId="77777777" w:rsidR="00E95A8E" w:rsidRPr="00A0030F" w:rsidRDefault="00E95A8E" w:rsidP="00E95A8E">
      <w:pPr>
        <w:spacing w:line="360" w:lineRule="auto"/>
        <w:contextualSpacing/>
        <w:jc w:val="both"/>
        <w:rPr>
          <w:rFonts w:ascii="Arial" w:hAnsi="Arial"/>
          <w:rtl/>
        </w:rPr>
      </w:pPr>
    </w:p>
    <w:p w14:paraId="4089455B" w14:textId="77777777" w:rsidR="00E95A8E" w:rsidRPr="005975A3" w:rsidRDefault="00E95A8E" w:rsidP="00E95A8E">
      <w:pPr>
        <w:spacing w:line="360" w:lineRule="auto"/>
        <w:contextualSpacing/>
        <w:jc w:val="both"/>
        <w:rPr>
          <w:rFonts w:ascii="Arial" w:hAnsi="Arial"/>
          <w:rtl/>
        </w:rPr>
      </w:pPr>
      <w:r>
        <w:rPr>
          <w:rFonts w:ascii="Arial" w:hAnsi="Arial" w:hint="cs"/>
          <w:b/>
          <w:bCs/>
          <w:u w:val="single"/>
          <w:rtl/>
        </w:rPr>
        <w:t xml:space="preserve">נסיבות שאינן קשורות בעבירה </w:t>
      </w:r>
      <w:r>
        <w:rPr>
          <w:rFonts w:ascii="Arial" w:hAnsi="Arial"/>
          <w:b/>
          <w:bCs/>
          <w:u w:val="single"/>
          <w:rtl/>
        </w:rPr>
        <w:t>–</w:t>
      </w:r>
      <w:r>
        <w:rPr>
          <w:rFonts w:ascii="Arial" w:hAnsi="Arial" w:hint="cs"/>
          <w:b/>
          <w:bCs/>
          <w:u w:val="single"/>
          <w:rtl/>
        </w:rPr>
        <w:t xml:space="preserve"> קביעת מיקום העונש במתחם:</w:t>
      </w:r>
    </w:p>
    <w:p w14:paraId="6D369E01" w14:textId="77777777" w:rsidR="00E95A8E" w:rsidRDefault="00E95A8E" w:rsidP="00E95A8E">
      <w:pPr>
        <w:pStyle w:val="a9"/>
        <w:numPr>
          <w:ilvl w:val="0"/>
          <w:numId w:val="6"/>
        </w:numPr>
        <w:spacing w:line="360" w:lineRule="auto"/>
        <w:jc w:val="both"/>
        <w:rPr>
          <w:rFonts w:ascii="Arial" w:hAnsi="Arial"/>
        </w:rPr>
      </w:pPr>
      <w:r>
        <w:rPr>
          <w:rFonts w:ascii="Arial" w:hAnsi="Arial" w:hint="cs"/>
          <w:rtl/>
        </w:rPr>
        <w:t>התביעה עתרה בהגינותה למיקום עונשו של הנאשם בתחתית המתחם, והנסיבות אכן מצדיקות את עתירתה לעניין זה.</w:t>
      </w:r>
    </w:p>
    <w:p w14:paraId="6358866B" w14:textId="77777777" w:rsidR="00E95A8E" w:rsidRDefault="00E95A8E" w:rsidP="00E95A8E">
      <w:pPr>
        <w:pStyle w:val="a9"/>
        <w:numPr>
          <w:ilvl w:val="0"/>
          <w:numId w:val="6"/>
        </w:numPr>
        <w:spacing w:line="360" w:lineRule="auto"/>
        <w:jc w:val="both"/>
        <w:rPr>
          <w:rFonts w:ascii="Arial" w:hAnsi="Arial"/>
        </w:rPr>
      </w:pPr>
      <w:r>
        <w:rPr>
          <w:rFonts w:ascii="Arial" w:hAnsi="Arial" w:hint="cs"/>
          <w:rtl/>
        </w:rPr>
        <w:t xml:space="preserve">הנאשם יליד 1974, כבן 43 כיום, נשוי ואב לשני ילדים. מוצא הנאשם במשפחה שסבלה מאלימותו של האב. מסלול חייו של הנאשם ראוי להערכה </w:t>
      </w:r>
      <w:r>
        <w:rPr>
          <w:rFonts w:ascii="Arial" w:hAnsi="Arial"/>
          <w:rtl/>
        </w:rPr>
        <w:t>–</w:t>
      </w:r>
      <w:r>
        <w:rPr>
          <w:rFonts w:ascii="Arial" w:hAnsi="Arial" w:hint="cs"/>
          <w:rtl/>
        </w:rPr>
        <w:t xml:space="preserve"> לאחר סיום לימודיו התגייס לצה"ל ושירת כשבע שנים בחיל הים בתפקידי פיקוד. לאחר שחרורו החל ללמוד בתכנית למצטיינים באוניברסיטת תל-אביב, ואת המסלול האקדמאי סיים בלימודיו לתואר שלישי. הנאשם הוא מרצה למתמטיקה ולפיזיקה באוניברסיטאות ובמכללות, ומפרנס לבדו את משפחתו. כל זאת עשה הנאשם בעודו מתמודד עם הפרעת קשב וריכוז המטופלת תרופתית.</w:t>
      </w:r>
    </w:p>
    <w:p w14:paraId="5629B307" w14:textId="77777777" w:rsidR="00E95A8E" w:rsidRDefault="00E95A8E" w:rsidP="00E95A8E">
      <w:pPr>
        <w:pStyle w:val="a9"/>
        <w:numPr>
          <w:ilvl w:val="0"/>
          <w:numId w:val="6"/>
        </w:numPr>
        <w:spacing w:line="360" w:lineRule="auto"/>
        <w:jc w:val="both"/>
        <w:rPr>
          <w:rFonts w:ascii="Arial" w:hAnsi="Arial"/>
        </w:rPr>
      </w:pPr>
      <w:r>
        <w:rPr>
          <w:rFonts w:ascii="Arial" w:hAnsi="Arial" w:hint="cs"/>
          <w:rtl/>
        </w:rPr>
        <w:t>אין לנאשם הרשעות קודמות או תיקים פתוחים.</w:t>
      </w:r>
    </w:p>
    <w:p w14:paraId="18C5EC8F" w14:textId="77777777" w:rsidR="00E95A8E" w:rsidRDefault="00E95A8E" w:rsidP="00E95A8E">
      <w:pPr>
        <w:pStyle w:val="a9"/>
        <w:numPr>
          <w:ilvl w:val="0"/>
          <w:numId w:val="6"/>
        </w:numPr>
        <w:spacing w:line="360" w:lineRule="auto"/>
        <w:jc w:val="both"/>
        <w:rPr>
          <w:rFonts w:ascii="Arial" w:hAnsi="Arial"/>
        </w:rPr>
      </w:pPr>
      <w:r>
        <w:rPr>
          <w:rFonts w:ascii="Arial" w:hAnsi="Arial" w:hint="cs"/>
          <w:rtl/>
        </w:rPr>
        <w:t>את ביצוע העבירות ייחס הנאשם לעומס רגשי וללחץ נפשי, שהסם שימש לאלחושם. טענה זו נתקלת בקושי העולה מתקופת הגידול הארוכה ומהמשך השימוש בסם גם במהלך ההליך המשפטי, כפי שהראו שתיים מבדיקות השתן שערך שירות המבחן לנאשם, וכפי שהתגלה גם בבדיקות שתן שמסר הנאשם ביום 19.2.18 וביום 02.10.18 לממונה על עבודות השירות. הנאשם נמצא כלא-כשיר לביצוע עבודות שירות מטעם זה של שימוש בסם, בנוסף למחדל מלספק חוות דעת פסיכיאטרית.</w:t>
      </w:r>
    </w:p>
    <w:p w14:paraId="7C10FBB1" w14:textId="77777777" w:rsidR="00E95A8E" w:rsidRPr="001235D8" w:rsidRDefault="00E95A8E" w:rsidP="00E95A8E">
      <w:pPr>
        <w:pStyle w:val="a9"/>
        <w:numPr>
          <w:ilvl w:val="0"/>
          <w:numId w:val="6"/>
        </w:numPr>
        <w:spacing w:line="360" w:lineRule="auto"/>
        <w:jc w:val="both"/>
        <w:rPr>
          <w:rFonts w:ascii="Arial" w:hAnsi="Arial"/>
        </w:rPr>
      </w:pPr>
      <w:r w:rsidRPr="001235D8">
        <w:rPr>
          <w:rFonts w:ascii="Arial" w:hAnsi="Arial" w:hint="cs"/>
          <w:rtl/>
        </w:rPr>
        <w:t>הנאשם פנה אמנם לטיפול נפשי, אך הטיפול אינו מתייחס לשימוש בסם דווקא. כפי שנאמר לעיל, הנאשם אינו מכיר בבעייתיות שבהמשך השימוש בסם, ואף מגלה עוינות לאפשרויות טיפול. לזכות הנאשם יעמדו אלו: הודאתו שחסכה משאבי ציבור</w:t>
      </w:r>
      <w:r>
        <w:rPr>
          <w:rFonts w:ascii="Arial" w:hAnsi="Arial" w:hint="cs"/>
          <w:rtl/>
        </w:rPr>
        <w:t>;</w:t>
      </w:r>
      <w:r w:rsidRPr="001235D8">
        <w:rPr>
          <w:rFonts w:ascii="Arial" w:hAnsi="Arial" w:hint="cs"/>
          <w:rtl/>
        </w:rPr>
        <w:t xml:space="preserve"> נטילת האחריות על מעשיו (א</w:t>
      </w:r>
      <w:r>
        <w:rPr>
          <w:rFonts w:ascii="Arial" w:hAnsi="Arial" w:hint="cs"/>
          <w:rtl/>
        </w:rPr>
        <w:t>ף-אם ללא הפנמה של חומרת האיסור); הקשיים שחווה בילדותו;</w:t>
      </w:r>
      <w:r w:rsidRPr="001235D8">
        <w:rPr>
          <w:rFonts w:ascii="Arial" w:hAnsi="Arial" w:hint="cs"/>
          <w:rtl/>
        </w:rPr>
        <w:t xml:space="preserve"> א</w:t>
      </w:r>
      <w:r>
        <w:rPr>
          <w:rFonts w:ascii="Arial" w:hAnsi="Arial" w:hint="cs"/>
          <w:rtl/>
        </w:rPr>
        <w:t>ורח חייו והישגיו הראויים להערכה;</w:t>
      </w:r>
      <w:r w:rsidRPr="001235D8">
        <w:rPr>
          <w:rFonts w:ascii="Arial" w:hAnsi="Arial" w:hint="cs"/>
          <w:rtl/>
        </w:rPr>
        <w:t xml:space="preserve"> </w:t>
      </w:r>
      <w:r>
        <w:rPr>
          <w:rFonts w:ascii="Arial" w:hAnsi="Arial" w:hint="cs"/>
          <w:rtl/>
        </w:rPr>
        <w:t>היעדרו של עבר פלילי;</w:t>
      </w:r>
      <w:r w:rsidRPr="001235D8">
        <w:rPr>
          <w:rFonts w:ascii="Arial" w:hAnsi="Arial" w:hint="cs"/>
          <w:rtl/>
        </w:rPr>
        <w:t xml:space="preserve"> </w:t>
      </w:r>
      <w:r>
        <w:rPr>
          <w:rFonts w:ascii="Arial" w:hAnsi="Arial" w:hint="cs"/>
          <w:rtl/>
        </w:rPr>
        <w:t xml:space="preserve">הפגיעה שכבר נפגע הנאשם, לדבריו, בקריירה האקדמית שלו; </w:t>
      </w:r>
      <w:r w:rsidRPr="001235D8">
        <w:rPr>
          <w:rFonts w:ascii="Arial" w:hAnsi="Arial" w:hint="cs"/>
          <w:rtl/>
        </w:rPr>
        <w:t xml:space="preserve">והפגיעה הממשית הצפויה בו ובמשפחתו אותה הוא מפרנס לבדו. </w:t>
      </w:r>
    </w:p>
    <w:p w14:paraId="3294BC06" w14:textId="77777777" w:rsidR="00E95A8E" w:rsidRDefault="00E95A8E" w:rsidP="00E95A8E">
      <w:pPr>
        <w:pStyle w:val="a9"/>
        <w:numPr>
          <w:ilvl w:val="0"/>
          <w:numId w:val="6"/>
        </w:numPr>
        <w:spacing w:line="360" w:lineRule="auto"/>
        <w:jc w:val="both"/>
        <w:rPr>
          <w:rFonts w:ascii="Arial" w:hAnsi="Arial"/>
        </w:rPr>
      </w:pPr>
      <w:r w:rsidRPr="001235D8">
        <w:rPr>
          <w:rFonts w:ascii="Arial" w:hAnsi="Arial" w:hint="cs"/>
          <w:rtl/>
        </w:rPr>
        <w:t xml:space="preserve">עונשו העיקרי של הנאשם ייקבע אפוא בתחתית המתחם, ולו ניתן היה </w:t>
      </w:r>
      <w:r w:rsidRPr="001235D8">
        <w:rPr>
          <w:rFonts w:ascii="Arial" w:hAnsi="Arial"/>
          <w:rtl/>
        </w:rPr>
        <w:t>–</w:t>
      </w:r>
      <w:r w:rsidRPr="001235D8">
        <w:rPr>
          <w:rFonts w:ascii="Arial" w:hAnsi="Arial" w:hint="cs"/>
          <w:rtl/>
        </w:rPr>
        <w:t xml:space="preserve"> כמאסר לריצוי בעבודות שירות. </w:t>
      </w:r>
      <w:r>
        <w:rPr>
          <w:rFonts w:ascii="Arial" w:hAnsi="Arial" w:hint="cs"/>
          <w:rtl/>
        </w:rPr>
        <w:t>התנהגותו המכשילה של הנאשם וסירובו להפסיק את השימוש בסמים אסורים מונעות את האפשרות לריצוי המאסר בעבודות שירות. עונשו העיקרי של הנאשם יהא אפוא מאסר קצר לריצוי בכליאה.</w:t>
      </w:r>
    </w:p>
    <w:p w14:paraId="0EFDFC70" w14:textId="77777777" w:rsidR="00E95A8E" w:rsidRPr="001235D8" w:rsidRDefault="00E95A8E" w:rsidP="00E95A8E">
      <w:pPr>
        <w:pStyle w:val="a9"/>
        <w:numPr>
          <w:ilvl w:val="0"/>
          <w:numId w:val="6"/>
        </w:numPr>
        <w:spacing w:line="360" w:lineRule="auto"/>
        <w:jc w:val="both"/>
        <w:rPr>
          <w:rFonts w:ascii="Arial" w:hAnsi="Arial"/>
        </w:rPr>
      </w:pPr>
      <w:r w:rsidRPr="001235D8">
        <w:rPr>
          <w:rFonts w:ascii="Arial" w:hAnsi="Arial" w:hint="cs"/>
          <w:rtl/>
        </w:rPr>
        <w:t xml:space="preserve">לצד עונש זה אקבע עיצומים נוספים </w:t>
      </w:r>
      <w:r w:rsidRPr="001235D8">
        <w:rPr>
          <w:rFonts w:ascii="Arial" w:hAnsi="Arial"/>
          <w:rtl/>
        </w:rPr>
        <w:t>–</w:t>
      </w:r>
      <w:r w:rsidRPr="001235D8">
        <w:rPr>
          <w:rFonts w:ascii="Arial" w:hAnsi="Arial" w:hint="cs"/>
          <w:rtl/>
        </w:rPr>
        <w:t xml:space="preserve"> מאסר מותנה </w:t>
      </w:r>
      <w:r>
        <w:rPr>
          <w:rFonts w:ascii="Arial" w:hAnsi="Arial" w:hint="cs"/>
          <w:rtl/>
        </w:rPr>
        <w:t xml:space="preserve">והתחייבות כספית </w:t>
      </w:r>
      <w:r w:rsidRPr="001235D8">
        <w:rPr>
          <w:rFonts w:ascii="Arial" w:hAnsi="Arial" w:hint="cs"/>
          <w:rtl/>
        </w:rPr>
        <w:t>לתוספת הרתעה, קנס שבקביעתו אתחשב בפגיעת העונש העיקרי בפרנסת המשפחה, ופסילת רישיון נהיגה כמתחייב</w:t>
      </w:r>
      <w:r>
        <w:rPr>
          <w:rFonts w:ascii="Arial" w:hAnsi="Arial" w:hint="cs"/>
          <w:rtl/>
        </w:rPr>
        <w:t xml:space="preserve"> אך לתקופה מינימאלית</w:t>
      </w:r>
      <w:r w:rsidRPr="001235D8">
        <w:rPr>
          <w:rFonts w:ascii="Arial" w:hAnsi="Arial" w:hint="cs"/>
          <w:rtl/>
        </w:rPr>
        <w:t>.</w:t>
      </w:r>
    </w:p>
    <w:p w14:paraId="40CA0863" w14:textId="77777777" w:rsidR="00E95A8E" w:rsidRPr="000A155F" w:rsidRDefault="00E95A8E" w:rsidP="00E95A8E">
      <w:pPr>
        <w:spacing w:line="360" w:lineRule="auto"/>
        <w:jc w:val="both"/>
        <w:rPr>
          <w:rFonts w:ascii="Arial" w:hAnsi="Arial"/>
          <w:rtl/>
        </w:rPr>
      </w:pPr>
    </w:p>
    <w:p w14:paraId="21B0A48B" w14:textId="77777777" w:rsidR="00E95A8E" w:rsidRPr="00DF2626" w:rsidRDefault="00E95A8E" w:rsidP="00E95A8E">
      <w:pPr>
        <w:spacing w:line="360" w:lineRule="auto"/>
        <w:jc w:val="both"/>
        <w:rPr>
          <w:rFonts w:ascii="Arial" w:hAnsi="Arial"/>
          <w:rtl/>
        </w:rPr>
      </w:pPr>
      <w:r>
        <w:rPr>
          <w:rFonts w:ascii="Arial" w:hAnsi="Arial" w:hint="cs"/>
          <w:b/>
          <w:bCs/>
          <w:u w:val="single"/>
          <w:rtl/>
        </w:rPr>
        <w:t>סוף-דבר, אני גוזר על הנאשם את העונשים הבאים:</w:t>
      </w:r>
    </w:p>
    <w:p w14:paraId="10A53587" w14:textId="77777777" w:rsidR="00E95A8E" w:rsidRDefault="00E95A8E" w:rsidP="00E95A8E">
      <w:pPr>
        <w:spacing w:line="360" w:lineRule="auto"/>
        <w:ind w:left="720" w:hanging="720"/>
        <w:jc w:val="both"/>
        <w:rPr>
          <w:rtl/>
        </w:rPr>
      </w:pPr>
      <w:r>
        <w:rPr>
          <w:rFonts w:hint="cs"/>
          <w:rtl/>
        </w:rPr>
        <w:t>א.</w:t>
      </w:r>
      <w:r>
        <w:rPr>
          <w:rFonts w:hint="cs"/>
          <w:rtl/>
        </w:rPr>
        <w:tab/>
        <w:t>מאסר בפועל למשך שלושה חודשים ויום;</w:t>
      </w:r>
    </w:p>
    <w:p w14:paraId="2D032508" w14:textId="77777777" w:rsidR="00E95A8E" w:rsidRDefault="00E95A8E" w:rsidP="00E95A8E">
      <w:pPr>
        <w:spacing w:line="360" w:lineRule="auto"/>
        <w:ind w:left="720" w:hanging="720"/>
        <w:jc w:val="both"/>
        <w:rPr>
          <w:rtl/>
        </w:rPr>
      </w:pPr>
      <w:r>
        <w:rPr>
          <w:rFonts w:hint="cs"/>
          <w:rtl/>
        </w:rPr>
        <w:t>ב.</w:t>
      </w:r>
      <w:r>
        <w:rPr>
          <w:rFonts w:hint="cs"/>
          <w:rtl/>
        </w:rPr>
        <w:tab/>
        <w:t>4 חודשי מאסר על-תנאי למשך שנתיים מיום שחרורו, שלא יעבור עבירת סם שהיא פשע;</w:t>
      </w:r>
    </w:p>
    <w:p w14:paraId="6CB06517" w14:textId="77777777" w:rsidR="00E95A8E" w:rsidRDefault="00E95A8E" w:rsidP="00E95A8E">
      <w:pPr>
        <w:spacing w:line="360" w:lineRule="auto"/>
        <w:ind w:left="720" w:hanging="720"/>
        <w:jc w:val="both"/>
        <w:rPr>
          <w:rtl/>
        </w:rPr>
      </w:pPr>
      <w:r>
        <w:rPr>
          <w:rFonts w:hint="cs"/>
          <w:rtl/>
        </w:rPr>
        <w:t>ג.</w:t>
      </w:r>
      <w:r>
        <w:rPr>
          <w:rFonts w:hint="cs"/>
          <w:rtl/>
        </w:rPr>
        <w:tab/>
        <w:t>קנס בסך 2,000 ₪, או חודש מאסר תמורתו. הקנס ישולם בארבעה תשלומים חודשיים, שווים ורצופים, שהראשון שבהם לא יאוחר מיום 01.02.19, וכשמחדל או עיכוב באחד התשלומים יעמיד מלוא הסך לפירעון מיידי. הקנס יועבר לזכות קרן הסמים;</w:t>
      </w:r>
    </w:p>
    <w:p w14:paraId="4623249B" w14:textId="77777777" w:rsidR="00E95A8E" w:rsidRDefault="00E95A8E" w:rsidP="00E95A8E">
      <w:pPr>
        <w:spacing w:line="360" w:lineRule="auto"/>
        <w:ind w:left="720" w:hanging="720"/>
        <w:jc w:val="both"/>
        <w:rPr>
          <w:rtl/>
        </w:rPr>
      </w:pPr>
      <w:r>
        <w:rPr>
          <w:rFonts w:hint="cs"/>
          <w:rtl/>
        </w:rPr>
        <w:t>ד.</w:t>
      </w:r>
      <w:r>
        <w:rPr>
          <w:rFonts w:hint="cs"/>
          <w:rtl/>
        </w:rPr>
        <w:tab/>
        <w:t>התחייבות בסך 1,000 ₪ למשך שנתיים מיום שחרורו, שלא יעבור עבירת סם שהיא פשע. לא תיחתם ההתחייבות, ייאסר הנאשם למשך חודש ימים;</w:t>
      </w:r>
    </w:p>
    <w:p w14:paraId="4D4034E3" w14:textId="77777777" w:rsidR="00E95A8E" w:rsidRDefault="00E95A8E" w:rsidP="00E95A8E">
      <w:pPr>
        <w:spacing w:line="360" w:lineRule="auto"/>
        <w:ind w:left="720" w:hanging="720"/>
        <w:jc w:val="both"/>
        <w:rPr>
          <w:rtl/>
        </w:rPr>
      </w:pPr>
      <w:r>
        <w:rPr>
          <w:rFonts w:hint="cs"/>
          <w:rtl/>
        </w:rPr>
        <w:t xml:space="preserve">ד. </w:t>
      </w:r>
      <w:r>
        <w:rPr>
          <w:rtl/>
        </w:rPr>
        <w:tab/>
      </w:r>
      <w:r>
        <w:rPr>
          <w:rFonts w:hint="cs"/>
          <w:rtl/>
        </w:rPr>
        <w:t>פסילה מלקבל רישיון נהיגה או לנהוג למשך שלושה חודשים;</w:t>
      </w:r>
    </w:p>
    <w:p w14:paraId="3339B57E" w14:textId="77777777" w:rsidR="00E95A8E" w:rsidRDefault="00E95A8E" w:rsidP="00E95A8E">
      <w:pPr>
        <w:spacing w:line="360" w:lineRule="auto"/>
        <w:ind w:left="720" w:hanging="720"/>
        <w:jc w:val="both"/>
        <w:rPr>
          <w:rtl/>
        </w:rPr>
      </w:pPr>
    </w:p>
    <w:p w14:paraId="47F4721F" w14:textId="77777777" w:rsidR="00E95A8E" w:rsidRPr="0042623C" w:rsidRDefault="00E95A8E" w:rsidP="00E95A8E">
      <w:pPr>
        <w:spacing w:line="360" w:lineRule="auto"/>
        <w:ind w:left="720" w:hanging="720"/>
        <w:jc w:val="both"/>
        <w:rPr>
          <w:b/>
          <w:bCs/>
          <w:u w:val="single"/>
          <w:rtl/>
        </w:rPr>
      </w:pPr>
      <w:r>
        <w:rPr>
          <w:rFonts w:hint="cs"/>
          <w:b/>
          <w:bCs/>
          <w:u w:val="single"/>
          <w:rtl/>
        </w:rPr>
        <w:t>הוראות נלוות:</w:t>
      </w:r>
    </w:p>
    <w:p w14:paraId="07CAF6D1" w14:textId="77777777" w:rsidR="00E95A8E" w:rsidRDefault="00E95A8E" w:rsidP="00E95A8E">
      <w:pPr>
        <w:spacing w:line="360" w:lineRule="auto"/>
        <w:jc w:val="both"/>
        <w:rPr>
          <w:rtl/>
        </w:rPr>
      </w:pPr>
      <w:r>
        <w:rPr>
          <w:rFonts w:hint="cs"/>
          <w:rtl/>
        </w:rPr>
        <w:t>א.</w:t>
      </w:r>
      <w:r>
        <w:rPr>
          <w:rFonts w:hint="cs"/>
          <w:rtl/>
        </w:rPr>
        <w:tab/>
        <w:t>עותקי גזר הדין יועברו לידיעה בלבד לממונה על עבודות השירות ולשירות המבחן;</w:t>
      </w:r>
    </w:p>
    <w:p w14:paraId="106B6474" w14:textId="77777777" w:rsidR="00E95A8E" w:rsidRDefault="00E95A8E" w:rsidP="00E95A8E">
      <w:pPr>
        <w:spacing w:line="360" w:lineRule="auto"/>
        <w:ind w:left="720" w:hanging="720"/>
        <w:jc w:val="both"/>
        <w:rPr>
          <w:rtl/>
        </w:rPr>
      </w:pPr>
      <w:r>
        <w:rPr>
          <w:rFonts w:hint="cs"/>
          <w:rtl/>
        </w:rPr>
        <w:t>ב.</w:t>
      </w:r>
      <w:r>
        <w:rPr>
          <w:rFonts w:hint="cs"/>
          <w:rtl/>
        </w:rPr>
        <w:tab/>
        <w:t>סמים וכלי גידול יושמדו. כל מוצג אחר, פרט לכסף, יועבר להכרעה פרטנית של קצין משטרה;</w:t>
      </w:r>
    </w:p>
    <w:p w14:paraId="02F97649" w14:textId="77777777" w:rsidR="00E95A8E" w:rsidRDefault="00E95A8E" w:rsidP="00E95A8E">
      <w:pPr>
        <w:spacing w:line="360" w:lineRule="auto"/>
        <w:ind w:left="720" w:hanging="720"/>
        <w:jc w:val="both"/>
        <w:rPr>
          <w:rtl/>
        </w:rPr>
      </w:pPr>
      <w:r>
        <w:rPr>
          <w:rFonts w:hint="cs"/>
          <w:rtl/>
        </w:rPr>
        <w:t>ג.</w:t>
      </w:r>
      <w:r>
        <w:rPr>
          <w:rFonts w:hint="cs"/>
          <w:rtl/>
        </w:rPr>
        <w:tab/>
        <w:t>אם הפקיד הנאשם פיקדון בתחנת המשטרה, יושב לו הפיקדון;</w:t>
      </w:r>
    </w:p>
    <w:p w14:paraId="373B6E37" w14:textId="77777777" w:rsidR="00E95A8E" w:rsidRPr="007879C1" w:rsidRDefault="00E95A8E" w:rsidP="00E95A8E">
      <w:pPr>
        <w:spacing w:line="360" w:lineRule="auto"/>
        <w:ind w:left="720" w:hanging="720"/>
        <w:jc w:val="both"/>
      </w:pPr>
    </w:p>
    <w:p w14:paraId="7E000773" w14:textId="77777777" w:rsidR="00E95A8E" w:rsidRDefault="00E95A8E" w:rsidP="00E95A8E">
      <w:pPr>
        <w:spacing w:line="360" w:lineRule="auto"/>
        <w:jc w:val="both"/>
        <w:rPr>
          <w:rtl/>
        </w:rPr>
      </w:pPr>
      <w:r>
        <w:rPr>
          <w:rFonts w:hint="cs"/>
          <w:rtl/>
        </w:rPr>
        <w:t>זכות ערעור לבית המשפט המחוזי תוך 45 יום מהיום.</w:t>
      </w:r>
    </w:p>
    <w:p w14:paraId="622AC4F4" w14:textId="77777777" w:rsidR="00E95A8E" w:rsidRPr="00BB45A6" w:rsidRDefault="00BB45A6" w:rsidP="00E95A8E">
      <w:pPr>
        <w:spacing w:line="360" w:lineRule="auto"/>
        <w:jc w:val="both"/>
        <w:rPr>
          <w:color w:val="FFFFFF"/>
          <w:sz w:val="2"/>
          <w:szCs w:val="2"/>
          <w:rtl/>
        </w:rPr>
      </w:pPr>
      <w:r w:rsidRPr="00BB45A6">
        <w:rPr>
          <w:color w:val="FFFFFF"/>
          <w:sz w:val="2"/>
          <w:szCs w:val="2"/>
          <w:rtl/>
        </w:rPr>
        <w:t>5129371</w:t>
      </w:r>
    </w:p>
    <w:p w14:paraId="1DD2C05A" w14:textId="77777777" w:rsidR="00E95A8E" w:rsidRPr="00250B83" w:rsidRDefault="00BB45A6" w:rsidP="00E95A8E">
      <w:pPr>
        <w:rPr>
          <w:rtl/>
        </w:rPr>
      </w:pPr>
      <w:r w:rsidRPr="00BB45A6">
        <w:rPr>
          <w:rFonts w:ascii="Arial" w:hAnsi="Arial"/>
          <w:color w:val="FFFFFF"/>
          <w:sz w:val="2"/>
          <w:szCs w:val="2"/>
          <w:rtl/>
        </w:rPr>
        <w:t>54678313</w:t>
      </w:r>
      <w:r>
        <w:rPr>
          <w:rFonts w:ascii="Arial" w:hAnsi="Arial"/>
          <w:rtl/>
        </w:rPr>
        <w:t xml:space="preserve">ניתן היום,  כ"ה טבת תשע"ט, 02 ינואר 2019, במעמד הצדדים. </w:t>
      </w:r>
    </w:p>
    <w:p w14:paraId="3929EBE7" w14:textId="77777777" w:rsidR="00E95A8E" w:rsidRPr="00250B83" w:rsidRDefault="00E95A8E" w:rsidP="00E95A8E">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184BC108" w14:textId="77777777" w:rsidR="00E95A8E" w:rsidRPr="00250B83" w:rsidRDefault="00E95A8E" w:rsidP="00E95A8E">
      <w:pPr>
        <w:jc w:val="center"/>
        <w:rPr>
          <w:rFonts w:ascii="Arial" w:hAnsi="Arial"/>
          <w:rtl/>
        </w:rPr>
      </w:pPr>
    </w:p>
    <w:p w14:paraId="2D3907A8" w14:textId="77777777" w:rsidR="00E95A8E" w:rsidRPr="00250B83" w:rsidRDefault="00E95A8E" w:rsidP="00E95A8E">
      <w:pPr>
        <w:rPr>
          <w:rtl/>
        </w:rPr>
      </w:pPr>
    </w:p>
    <w:p w14:paraId="7FE770E6" w14:textId="77777777" w:rsidR="00E95A8E" w:rsidRPr="0039632E" w:rsidRDefault="0039632E" w:rsidP="00E95A8E">
      <w:pPr>
        <w:pStyle w:val="a3"/>
        <w:jc w:val="center"/>
        <w:rPr>
          <w:color w:val="FFFFFF"/>
          <w:sz w:val="2"/>
          <w:szCs w:val="2"/>
          <w:rtl/>
        </w:rPr>
      </w:pPr>
      <w:r w:rsidRPr="0039632E">
        <w:rPr>
          <w:color w:val="FFFFFF"/>
          <w:sz w:val="2"/>
          <w:szCs w:val="2"/>
          <w:rtl/>
        </w:rPr>
        <w:t>5129371</w:t>
      </w:r>
    </w:p>
    <w:p w14:paraId="6CE32296" w14:textId="77777777" w:rsidR="003D2792" w:rsidRPr="0039632E" w:rsidRDefault="0039632E" w:rsidP="00BB45A6">
      <w:pPr>
        <w:keepNext/>
        <w:rPr>
          <w:rFonts w:ascii="David" w:hAnsi="David"/>
          <w:color w:val="FFFFFF"/>
          <w:sz w:val="2"/>
          <w:szCs w:val="2"/>
          <w:rtl/>
        </w:rPr>
      </w:pPr>
      <w:r w:rsidRPr="0039632E">
        <w:rPr>
          <w:rFonts w:ascii="David" w:hAnsi="David"/>
          <w:color w:val="FFFFFF"/>
          <w:sz w:val="2"/>
          <w:szCs w:val="2"/>
          <w:rtl/>
        </w:rPr>
        <w:t>54678313</w:t>
      </w:r>
    </w:p>
    <w:p w14:paraId="60B2B838" w14:textId="77777777" w:rsidR="00BB45A6" w:rsidRPr="00BB45A6" w:rsidRDefault="00BB45A6" w:rsidP="00BB45A6">
      <w:pPr>
        <w:keepNext/>
        <w:rPr>
          <w:rFonts w:ascii="David" w:hAnsi="David"/>
          <w:color w:val="000000"/>
          <w:sz w:val="22"/>
          <w:szCs w:val="22"/>
          <w:rtl/>
        </w:rPr>
      </w:pPr>
      <w:r w:rsidRPr="00BB45A6">
        <w:rPr>
          <w:rFonts w:ascii="David" w:hAnsi="David"/>
          <w:color w:val="000000"/>
          <w:sz w:val="22"/>
          <w:szCs w:val="22"/>
          <w:rtl/>
        </w:rPr>
        <w:t>עידו דרויאן גמליאל 54678313</w:t>
      </w:r>
    </w:p>
    <w:p w14:paraId="4352338E" w14:textId="77777777" w:rsidR="00BB45A6" w:rsidRDefault="00BB45A6" w:rsidP="00BB45A6">
      <w:r w:rsidRPr="00BB45A6">
        <w:rPr>
          <w:color w:val="000000"/>
          <w:rtl/>
        </w:rPr>
        <w:t>נוסח מסמך זה כפוף לשינויי ניסוח ועריכה</w:t>
      </w:r>
    </w:p>
    <w:p w14:paraId="4390A80D" w14:textId="77777777" w:rsidR="00BB45A6" w:rsidRDefault="00BB45A6" w:rsidP="00BB45A6">
      <w:pPr>
        <w:rPr>
          <w:rtl/>
        </w:rPr>
      </w:pPr>
    </w:p>
    <w:p w14:paraId="1F8BCFEB" w14:textId="77777777" w:rsidR="00BB45A6" w:rsidRDefault="00BB45A6" w:rsidP="00BB45A6">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r w:rsidR="00044FDB">
        <w:rPr>
          <w:rFonts w:hint="cs"/>
          <w:color w:val="0000FF"/>
          <w:u w:val="single"/>
          <w:rtl/>
        </w:rPr>
        <w:t xml:space="preserve"> </w:t>
      </w:r>
    </w:p>
    <w:p w14:paraId="51B43200" w14:textId="77777777" w:rsidR="0039632E" w:rsidRPr="0039632E" w:rsidRDefault="0039632E" w:rsidP="0039632E">
      <w:pPr>
        <w:keepNext/>
        <w:rPr>
          <w:rFonts w:ascii="David" w:hAnsi="David"/>
          <w:color w:val="000000"/>
          <w:sz w:val="22"/>
          <w:szCs w:val="22"/>
          <w:rtl/>
        </w:rPr>
      </w:pPr>
    </w:p>
    <w:p w14:paraId="08EF1CB8" w14:textId="77777777" w:rsidR="00BB45A6" w:rsidRPr="00BB45A6" w:rsidRDefault="00BB45A6" w:rsidP="0039632E">
      <w:pPr>
        <w:rPr>
          <w:color w:val="0000FF"/>
          <w:u w:val="single"/>
        </w:rPr>
      </w:pPr>
    </w:p>
    <w:sectPr w:rsidR="00BB45A6" w:rsidRPr="00BB45A6" w:rsidSect="0039632E">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54B86" w14:textId="77777777" w:rsidR="006707C0" w:rsidRDefault="006707C0" w:rsidP="00F21EDF">
      <w:r>
        <w:separator/>
      </w:r>
    </w:p>
  </w:endnote>
  <w:endnote w:type="continuationSeparator" w:id="0">
    <w:p w14:paraId="2ED29B85" w14:textId="77777777" w:rsidR="006707C0" w:rsidRDefault="006707C0" w:rsidP="00F21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19A00" w14:textId="77777777" w:rsidR="0039632E" w:rsidRDefault="0039632E" w:rsidP="0039632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5DDB0CA" w14:textId="77777777" w:rsidR="006410DF" w:rsidRPr="0039632E" w:rsidRDefault="0039632E" w:rsidP="0039632E">
    <w:pPr>
      <w:pStyle w:val="a5"/>
      <w:pBdr>
        <w:top w:val="single" w:sz="4" w:space="1" w:color="auto"/>
        <w:between w:val="single" w:sz="4" w:space="0" w:color="auto"/>
      </w:pBdr>
      <w:spacing w:after="60"/>
      <w:jc w:val="center"/>
      <w:rPr>
        <w:rFonts w:ascii="FrankRuehl" w:hAnsi="FrankRuehl" w:cs="FrankRuehl"/>
        <w:color w:val="000000"/>
      </w:rPr>
    </w:pPr>
    <w:r w:rsidRPr="0039632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0127" w14:textId="77777777" w:rsidR="0039632E" w:rsidRDefault="0039632E" w:rsidP="0039632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77E02">
      <w:rPr>
        <w:rFonts w:ascii="FrankRuehl" w:hAnsi="FrankRuehl" w:cs="FrankRuehl"/>
        <w:noProof/>
        <w:rtl/>
      </w:rPr>
      <w:t>1</w:t>
    </w:r>
    <w:r>
      <w:rPr>
        <w:rFonts w:ascii="FrankRuehl" w:hAnsi="FrankRuehl" w:cs="FrankRuehl"/>
        <w:rtl/>
      </w:rPr>
      <w:fldChar w:fldCharType="end"/>
    </w:r>
  </w:p>
  <w:p w14:paraId="0A5A159B" w14:textId="77777777" w:rsidR="006410DF" w:rsidRPr="0039632E" w:rsidRDefault="0039632E" w:rsidP="0039632E">
    <w:pPr>
      <w:pStyle w:val="a5"/>
      <w:pBdr>
        <w:top w:val="single" w:sz="4" w:space="1" w:color="auto"/>
        <w:between w:val="single" w:sz="4" w:space="0" w:color="auto"/>
      </w:pBdr>
      <w:spacing w:after="60"/>
      <w:jc w:val="center"/>
      <w:rPr>
        <w:rFonts w:ascii="FrankRuehl" w:hAnsi="FrankRuehl" w:cs="FrankRuehl"/>
        <w:color w:val="000000"/>
      </w:rPr>
    </w:pPr>
    <w:r w:rsidRPr="0039632E">
      <w:rPr>
        <w:rFonts w:ascii="FrankRuehl" w:hAnsi="FrankRuehl" w:cs="FrankRuehl"/>
        <w:color w:val="000000"/>
      </w:rPr>
      <w:pict w14:anchorId="7E8AA8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0E9F61" w14:textId="77777777" w:rsidR="006707C0" w:rsidRDefault="006707C0" w:rsidP="00F21EDF">
      <w:r>
        <w:separator/>
      </w:r>
    </w:p>
  </w:footnote>
  <w:footnote w:type="continuationSeparator" w:id="0">
    <w:p w14:paraId="3CF940BB" w14:textId="77777777" w:rsidR="006707C0" w:rsidRDefault="006707C0" w:rsidP="00F21E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0610F" w14:textId="77777777" w:rsidR="00BB45A6" w:rsidRPr="0039632E" w:rsidRDefault="0039632E" w:rsidP="0039632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56678-03-17</w:t>
    </w:r>
    <w:r>
      <w:rPr>
        <w:rFonts w:ascii="David" w:hAnsi="David"/>
        <w:color w:val="000000"/>
        <w:sz w:val="22"/>
        <w:szCs w:val="22"/>
        <w:rtl/>
      </w:rPr>
      <w:tab/>
      <w:t xml:space="preserve"> מדינת ישראל נ' יצחק יוסף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4FD1C" w14:textId="77777777" w:rsidR="00BB45A6" w:rsidRPr="0039632E" w:rsidRDefault="0039632E" w:rsidP="0039632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56678-03-17</w:t>
    </w:r>
    <w:r>
      <w:rPr>
        <w:rFonts w:ascii="David" w:hAnsi="David"/>
        <w:color w:val="000000"/>
        <w:sz w:val="22"/>
        <w:szCs w:val="22"/>
        <w:rtl/>
      </w:rPr>
      <w:tab/>
      <w:t xml:space="preserve"> מדינת ישראל נ' יצחק יוסף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753DE"/>
    <w:multiLevelType w:val="hybridMultilevel"/>
    <w:tmpl w:val="1F263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3F73BA2"/>
    <w:multiLevelType w:val="hybridMultilevel"/>
    <w:tmpl w:val="C59A1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4A055A"/>
    <w:multiLevelType w:val="hybridMultilevel"/>
    <w:tmpl w:val="E5D49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1BB701A"/>
    <w:multiLevelType w:val="hybridMultilevel"/>
    <w:tmpl w:val="3AF056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85353A2"/>
    <w:multiLevelType w:val="hybridMultilevel"/>
    <w:tmpl w:val="5D282626"/>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AB66A16"/>
    <w:multiLevelType w:val="hybridMultilevel"/>
    <w:tmpl w:val="D95C2B16"/>
    <w:lvl w:ilvl="0" w:tplc="0409000F">
      <w:start w:val="1"/>
      <w:numFmt w:val="decimal"/>
      <w:lvlText w:val="%1."/>
      <w:lvlJc w:val="left"/>
      <w:pPr>
        <w:ind w:left="360" w:hanging="360"/>
      </w:pPr>
      <w:rPr>
        <w:rFonts w:cs="Times New Roman"/>
      </w:rPr>
    </w:lvl>
    <w:lvl w:ilvl="1" w:tplc="04090013">
      <w:start w:val="1"/>
      <w:numFmt w:val="hebrew1"/>
      <w:lvlText w:val="%2."/>
      <w:lvlJc w:val="center"/>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1595361571">
    <w:abstractNumId w:val="1"/>
  </w:num>
  <w:num w:numId="2" w16cid:durableId="187254778">
    <w:abstractNumId w:val="4"/>
  </w:num>
  <w:num w:numId="3" w16cid:durableId="147325166">
    <w:abstractNumId w:val="0"/>
  </w:num>
  <w:num w:numId="4" w16cid:durableId="1223760937">
    <w:abstractNumId w:val="3"/>
  </w:num>
  <w:num w:numId="5" w16cid:durableId="232662863">
    <w:abstractNumId w:val="5"/>
  </w:num>
  <w:num w:numId="6" w16cid:durableId="747583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95A8E"/>
    <w:rsid w:val="00044FDB"/>
    <w:rsid w:val="001B5A3B"/>
    <w:rsid w:val="00277E02"/>
    <w:rsid w:val="0028273B"/>
    <w:rsid w:val="0039632E"/>
    <w:rsid w:val="003D2792"/>
    <w:rsid w:val="006410DF"/>
    <w:rsid w:val="006707C0"/>
    <w:rsid w:val="007D1A3D"/>
    <w:rsid w:val="00941CC8"/>
    <w:rsid w:val="00A35159"/>
    <w:rsid w:val="00BB45A6"/>
    <w:rsid w:val="00CC0A9F"/>
    <w:rsid w:val="00E95A8E"/>
    <w:rsid w:val="00F21E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E4451B3"/>
  <w15:chartTrackingRefBased/>
  <w15:docId w15:val="{8D3579C7-EBF4-40DB-8FC2-DCF0ECEF2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5A8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95A8E"/>
    <w:pPr>
      <w:tabs>
        <w:tab w:val="center" w:pos="4153"/>
        <w:tab w:val="right" w:pos="8306"/>
      </w:tabs>
    </w:pPr>
  </w:style>
  <w:style w:type="character" w:customStyle="1" w:styleId="a4">
    <w:name w:val="כותרת עליונה תו"/>
    <w:link w:val="a3"/>
    <w:rsid w:val="00E95A8E"/>
    <w:rPr>
      <w:rFonts w:ascii="Times New Roman" w:eastAsia="Times New Roman" w:hAnsi="Times New Roman" w:cs="David"/>
      <w:sz w:val="24"/>
      <w:szCs w:val="24"/>
    </w:rPr>
  </w:style>
  <w:style w:type="paragraph" w:styleId="a5">
    <w:name w:val="footer"/>
    <w:basedOn w:val="a"/>
    <w:link w:val="a6"/>
    <w:rsid w:val="00E95A8E"/>
    <w:pPr>
      <w:tabs>
        <w:tab w:val="center" w:pos="4153"/>
        <w:tab w:val="right" w:pos="8306"/>
      </w:tabs>
    </w:pPr>
  </w:style>
  <w:style w:type="character" w:customStyle="1" w:styleId="a6">
    <w:name w:val="כותרת תחתונה תו"/>
    <w:link w:val="a5"/>
    <w:rsid w:val="00E95A8E"/>
    <w:rPr>
      <w:rFonts w:ascii="Times New Roman" w:eastAsia="Times New Roman" w:hAnsi="Times New Roman" w:cs="David"/>
      <w:sz w:val="24"/>
      <w:szCs w:val="24"/>
    </w:rPr>
  </w:style>
  <w:style w:type="table" w:styleId="a7">
    <w:name w:val="Table Grid"/>
    <w:basedOn w:val="a1"/>
    <w:rsid w:val="00E95A8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95A8E"/>
  </w:style>
  <w:style w:type="paragraph" w:styleId="a9">
    <w:name w:val="List Paragraph"/>
    <w:basedOn w:val="a"/>
    <w:qFormat/>
    <w:rsid w:val="00E95A8E"/>
    <w:pPr>
      <w:ind w:left="720"/>
      <w:contextualSpacing/>
    </w:pPr>
  </w:style>
  <w:style w:type="character" w:styleId="Hyperlink">
    <w:name w:val="Hyperlink"/>
    <w:rsid w:val="00E95A8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0164993" TargetMode="External"/><Relationship Id="rId21" Type="http://schemas.openxmlformats.org/officeDocument/2006/relationships/hyperlink" Target="http://www.nevo.co.il/law/4216/10"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law/4216/6" TargetMode="External"/><Relationship Id="rId25" Type="http://schemas.openxmlformats.org/officeDocument/2006/relationships/hyperlink" Target="http://www.nevo.co.il/case/6169989"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10" TargetMode="External"/><Relationship Id="rId20" Type="http://schemas.openxmlformats.org/officeDocument/2006/relationships/hyperlink" Target="http://www.nevo.co.il/law/4216/7.c" TargetMode="External"/><Relationship Id="rId29" Type="http://schemas.openxmlformats.org/officeDocument/2006/relationships/hyperlink" Target="http://www.nevo.co.il/case/204024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case/6128041"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13093721" TargetMode="External"/><Relationship Id="rId28" Type="http://schemas.openxmlformats.org/officeDocument/2006/relationships/hyperlink" Target="http://www.nevo.co.il/case/4416812" TargetMode="External"/><Relationship Id="rId36" Type="http://schemas.openxmlformats.org/officeDocument/2006/relationships/footer" Target="footer2.xml"/><Relationship Id="rId10" Type="http://schemas.openxmlformats.org/officeDocument/2006/relationships/hyperlink" Target="http://www.nevo.co.il/law/4216/7.c" TargetMode="External"/><Relationship Id="rId19" Type="http://schemas.openxmlformats.org/officeDocument/2006/relationships/hyperlink" Target="http://www.nevo.co.il/law/4216/7.a" TargetMode="External"/><Relationship Id="rId31" Type="http://schemas.openxmlformats.org/officeDocument/2006/relationships/hyperlink" Target="http://www.nevo.co.il/case/20163834"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5810781" TargetMode="External"/><Relationship Id="rId27" Type="http://schemas.openxmlformats.org/officeDocument/2006/relationships/hyperlink" Target="http://www.nevo.co.il/case/11259455" TargetMode="External"/><Relationship Id="rId30" Type="http://schemas.openxmlformats.org/officeDocument/2006/relationships/hyperlink" Target="http://www.nevo.co.il/case/22289876" TargetMode="External"/><Relationship Id="rId35" Type="http://schemas.openxmlformats.org/officeDocument/2006/relationships/footer" Target="footer1.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1660</Words>
  <Characters>8302</Characters>
  <Application>Microsoft Office Word</Application>
  <DocSecurity>0</DocSecurity>
  <Lines>69</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9943</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3342458</vt:i4>
      </vt:variant>
      <vt:variant>
        <vt:i4>72</vt:i4>
      </vt:variant>
      <vt:variant>
        <vt:i4>0</vt:i4>
      </vt:variant>
      <vt:variant>
        <vt:i4>5</vt:i4>
      </vt:variant>
      <vt:variant>
        <vt:lpwstr>http://www.nevo.co.il/case/20163834</vt:lpwstr>
      </vt:variant>
      <vt:variant>
        <vt:lpwstr/>
      </vt:variant>
      <vt:variant>
        <vt:i4>4063350</vt:i4>
      </vt:variant>
      <vt:variant>
        <vt:i4>69</vt:i4>
      </vt:variant>
      <vt:variant>
        <vt:i4>0</vt:i4>
      </vt:variant>
      <vt:variant>
        <vt:i4>5</vt:i4>
      </vt:variant>
      <vt:variant>
        <vt:lpwstr>http://www.nevo.co.il/case/22289876</vt:lpwstr>
      </vt:variant>
      <vt:variant>
        <vt:lpwstr/>
      </vt:variant>
      <vt:variant>
        <vt:i4>3932272</vt:i4>
      </vt:variant>
      <vt:variant>
        <vt:i4>66</vt:i4>
      </vt:variant>
      <vt:variant>
        <vt:i4>0</vt:i4>
      </vt:variant>
      <vt:variant>
        <vt:i4>5</vt:i4>
      </vt:variant>
      <vt:variant>
        <vt:lpwstr>http://www.nevo.co.il/case/20402486</vt:lpwstr>
      </vt:variant>
      <vt:variant>
        <vt:lpwstr/>
      </vt:variant>
      <vt:variant>
        <vt:i4>4128887</vt:i4>
      </vt:variant>
      <vt:variant>
        <vt:i4>63</vt:i4>
      </vt:variant>
      <vt:variant>
        <vt:i4>0</vt:i4>
      </vt:variant>
      <vt:variant>
        <vt:i4>5</vt:i4>
      </vt:variant>
      <vt:variant>
        <vt:lpwstr>http://www.nevo.co.il/case/4416812</vt:lpwstr>
      </vt:variant>
      <vt:variant>
        <vt:lpwstr/>
      </vt:variant>
      <vt:variant>
        <vt:i4>4128884</vt:i4>
      </vt:variant>
      <vt:variant>
        <vt:i4>60</vt:i4>
      </vt:variant>
      <vt:variant>
        <vt:i4>0</vt:i4>
      </vt:variant>
      <vt:variant>
        <vt:i4>5</vt:i4>
      </vt:variant>
      <vt:variant>
        <vt:lpwstr>http://www.nevo.co.il/case/11259455</vt:lpwstr>
      </vt:variant>
      <vt:variant>
        <vt:lpwstr/>
      </vt:variant>
      <vt:variant>
        <vt:i4>4063355</vt:i4>
      </vt:variant>
      <vt:variant>
        <vt:i4>57</vt:i4>
      </vt:variant>
      <vt:variant>
        <vt:i4>0</vt:i4>
      </vt:variant>
      <vt:variant>
        <vt:i4>5</vt:i4>
      </vt:variant>
      <vt:variant>
        <vt:lpwstr>http://www.nevo.co.il/case/20164993</vt:lpwstr>
      </vt:variant>
      <vt:variant>
        <vt:lpwstr/>
      </vt:variant>
      <vt:variant>
        <vt:i4>3145844</vt:i4>
      </vt:variant>
      <vt:variant>
        <vt:i4>54</vt:i4>
      </vt:variant>
      <vt:variant>
        <vt:i4>0</vt:i4>
      </vt:variant>
      <vt:variant>
        <vt:i4>5</vt:i4>
      </vt:variant>
      <vt:variant>
        <vt:lpwstr>http://www.nevo.co.il/case/6169989</vt:lpwstr>
      </vt:variant>
      <vt:variant>
        <vt:lpwstr/>
      </vt:variant>
      <vt:variant>
        <vt:i4>3473529</vt:i4>
      </vt:variant>
      <vt:variant>
        <vt:i4>51</vt:i4>
      </vt:variant>
      <vt:variant>
        <vt:i4>0</vt:i4>
      </vt:variant>
      <vt:variant>
        <vt:i4>5</vt:i4>
      </vt:variant>
      <vt:variant>
        <vt:lpwstr>http://www.nevo.co.il/case/6128041</vt:lpwstr>
      </vt:variant>
      <vt:variant>
        <vt:lpwstr/>
      </vt:variant>
      <vt:variant>
        <vt:i4>3145849</vt:i4>
      </vt:variant>
      <vt:variant>
        <vt:i4>48</vt:i4>
      </vt:variant>
      <vt:variant>
        <vt:i4>0</vt:i4>
      </vt:variant>
      <vt:variant>
        <vt:i4>5</vt:i4>
      </vt:variant>
      <vt:variant>
        <vt:lpwstr>http://www.nevo.co.il/case/13093721</vt:lpwstr>
      </vt:variant>
      <vt:variant>
        <vt:lpwstr/>
      </vt:variant>
      <vt:variant>
        <vt:i4>3276916</vt:i4>
      </vt:variant>
      <vt:variant>
        <vt:i4>45</vt:i4>
      </vt:variant>
      <vt:variant>
        <vt:i4>0</vt:i4>
      </vt:variant>
      <vt:variant>
        <vt:i4>5</vt:i4>
      </vt:variant>
      <vt:variant>
        <vt:lpwstr>http://www.nevo.co.il/case/5810781</vt:lpwstr>
      </vt:variant>
      <vt:variant>
        <vt:lpwstr/>
      </vt:variant>
      <vt:variant>
        <vt:i4>5177418</vt:i4>
      </vt:variant>
      <vt:variant>
        <vt:i4>42</vt:i4>
      </vt:variant>
      <vt:variant>
        <vt:i4>0</vt:i4>
      </vt:variant>
      <vt:variant>
        <vt:i4>5</vt:i4>
      </vt:variant>
      <vt:variant>
        <vt:lpwstr>http://www.nevo.co.il/law/4216/10</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8257637</vt:i4>
      </vt:variant>
      <vt:variant>
        <vt:i4>33</vt:i4>
      </vt:variant>
      <vt:variant>
        <vt:i4>0</vt:i4>
      </vt:variant>
      <vt:variant>
        <vt:i4>5</vt:i4>
      </vt:variant>
      <vt:variant>
        <vt:lpwstr>http://www.nevo.co.il/law/4216</vt:lpwstr>
      </vt:variant>
      <vt:variant>
        <vt:lpwstr/>
      </vt:variant>
      <vt:variant>
        <vt:i4>4718666</vt:i4>
      </vt:variant>
      <vt:variant>
        <vt:i4>30</vt:i4>
      </vt:variant>
      <vt:variant>
        <vt:i4>0</vt:i4>
      </vt:variant>
      <vt:variant>
        <vt:i4>5</vt:i4>
      </vt:variant>
      <vt:variant>
        <vt:lpwstr>http://www.nevo.co.il/law/4216/6</vt:lpwstr>
      </vt:variant>
      <vt:variant>
        <vt:lpwstr/>
      </vt:variant>
      <vt:variant>
        <vt:i4>5177418</vt:i4>
      </vt:variant>
      <vt:variant>
        <vt:i4>27</vt:i4>
      </vt:variant>
      <vt:variant>
        <vt:i4>0</vt:i4>
      </vt:variant>
      <vt:variant>
        <vt:i4>5</vt:i4>
      </vt:variant>
      <vt:variant>
        <vt:lpwstr>http://www.nevo.co.il/law/4216/10</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4718666</vt:i4>
      </vt:variant>
      <vt:variant>
        <vt:i4>18</vt:i4>
      </vt:variant>
      <vt:variant>
        <vt:i4>0</vt:i4>
      </vt:variant>
      <vt:variant>
        <vt:i4>5</vt:i4>
      </vt:variant>
      <vt:variant>
        <vt:lpwstr>http://www.nevo.co.il/law/4216/6</vt:lpwstr>
      </vt:variant>
      <vt:variant>
        <vt:lpwstr/>
      </vt:variant>
      <vt:variant>
        <vt:i4>8257637</vt:i4>
      </vt:variant>
      <vt:variant>
        <vt:i4>15</vt:i4>
      </vt:variant>
      <vt:variant>
        <vt:i4>0</vt:i4>
      </vt:variant>
      <vt:variant>
        <vt:i4>5</vt:i4>
      </vt:variant>
      <vt:variant>
        <vt:lpwstr>http://www.nevo.co.il/law/4216</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2025-04-22T23:22:00Z</dcterms:created>
  <dcterms:modified xsi:type="dcterms:W3CDTF">2025-04-22T23:22:00Z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56678</vt:lpwstr>
  </property>
  <property fmtid="{D5CDD505-2E9C-101B-9397-08002B2CF9AE}" pid="6" name="NEWPARTB">
    <vt:lpwstr>03</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יצחק יוסף</vt:lpwstr>
  </property>
  <property fmtid="{D5CDD505-2E9C-101B-9397-08002B2CF9AE}" pid="10" name="LAWYER">
    <vt:lpwstr>אטיה;הרצוג;חבר;פרי</vt:lpwstr>
  </property>
  <property fmtid="{D5CDD505-2E9C-101B-9397-08002B2CF9AE}" pid="11" name="JUDGE">
    <vt:lpwstr>עידו דרויאן גמליאל</vt:lpwstr>
  </property>
  <property fmtid="{D5CDD505-2E9C-101B-9397-08002B2CF9AE}" pid="12" name="CITY">
    <vt:lpwstr>ת"א</vt:lpwstr>
  </property>
  <property fmtid="{D5CDD505-2E9C-101B-9397-08002B2CF9AE}" pid="13" name="DATE">
    <vt:lpwstr>20190102</vt:lpwstr>
  </property>
  <property fmtid="{D5CDD505-2E9C-101B-9397-08002B2CF9AE}" pid="14" name="TYPE_N_DATE">
    <vt:lpwstr>38020190102</vt:lpwstr>
  </property>
  <property fmtid="{D5CDD505-2E9C-101B-9397-08002B2CF9AE}" pid="15" name="WORDNUMPAGES">
    <vt:lpwstr>5</vt:lpwstr>
  </property>
  <property fmtid="{D5CDD505-2E9C-101B-9397-08002B2CF9AE}" pid="16" name="TYPE_ABS_DATE">
    <vt:lpwstr>380020190102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5810781;13093721;6128041;6169989;20164993;11259455;4416812;20402486;22289876;20163834</vt:lpwstr>
  </property>
  <property fmtid="{D5CDD505-2E9C-101B-9397-08002B2CF9AE}" pid="36" name="LAWLISTTMP1">
    <vt:lpwstr>4216/006;007.a;007.c;010</vt:lpwstr>
  </property>
</Properties>
</file>