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4"/>
        <w:gridCol w:w="3667"/>
      </w:tblGrid>
      <w:tr w:rsidR="00AF3CDD" w:rsidRPr="000A0B55" w14:paraId="0763DA5A" w14:textId="77777777" w:rsidTr="000928A7">
        <w:trPr>
          <w:trHeight w:hRule="exact" w:val="418"/>
          <w:jc w:val="center"/>
        </w:trPr>
        <w:tc>
          <w:tcPr>
            <w:tcW w:w="8721" w:type="dxa"/>
            <w:gridSpan w:val="2"/>
          </w:tcPr>
          <w:p w14:paraId="2A75E1CA" w14:textId="77777777" w:rsidR="00AF3CDD" w:rsidRPr="000A0B55" w:rsidRDefault="00AF3CDD" w:rsidP="00B76AEA">
            <w:pPr>
              <w:pStyle w:val="a3"/>
              <w:jc w:val="center"/>
              <w:rPr>
                <w:rFonts w:ascii="Tahoma" w:hAnsi="Tahoma"/>
                <w:color w:val="000080"/>
                <w:sz w:val="32"/>
                <w:szCs w:val="32"/>
                <w:rtl/>
              </w:rPr>
            </w:pPr>
            <w:bookmarkStart w:id="0" w:name="LastJudge"/>
            <w:r w:rsidRPr="000A0B55">
              <w:rPr>
                <w:rFonts w:ascii="Tahoma" w:hAnsi="Tahoma"/>
                <w:b/>
                <w:bCs/>
                <w:color w:val="000080"/>
                <w:sz w:val="32"/>
                <w:szCs w:val="32"/>
                <w:rtl/>
              </w:rPr>
              <w:t>בית משפט השלום בתל אביב - יפו</w:t>
            </w:r>
          </w:p>
        </w:tc>
      </w:tr>
      <w:tr w:rsidR="00AF3CDD" w:rsidRPr="000A0B55" w14:paraId="2C610002" w14:textId="77777777" w:rsidTr="000928A7">
        <w:trPr>
          <w:trHeight w:val="337"/>
          <w:jc w:val="center"/>
        </w:trPr>
        <w:tc>
          <w:tcPr>
            <w:tcW w:w="5054" w:type="dxa"/>
          </w:tcPr>
          <w:p w14:paraId="1CBC6B9D" w14:textId="77777777" w:rsidR="00AF3CDD" w:rsidRPr="000A0B55" w:rsidRDefault="00AF3CDD" w:rsidP="00B76AEA">
            <w:pPr>
              <w:rPr>
                <w:sz w:val="26"/>
                <w:szCs w:val="26"/>
                <w:rtl/>
              </w:rPr>
            </w:pPr>
            <w:r w:rsidRPr="000A0B55">
              <w:rPr>
                <w:sz w:val="26"/>
                <w:szCs w:val="26"/>
                <w:rtl/>
              </w:rPr>
              <w:t>ת"פ</w:t>
            </w:r>
            <w:r w:rsidRPr="000A0B55">
              <w:rPr>
                <w:rFonts w:hint="cs"/>
                <w:sz w:val="26"/>
                <w:szCs w:val="26"/>
                <w:rtl/>
              </w:rPr>
              <w:t xml:space="preserve"> </w:t>
            </w:r>
            <w:r w:rsidRPr="000A0B55">
              <w:rPr>
                <w:sz w:val="26"/>
                <w:szCs w:val="26"/>
                <w:rtl/>
              </w:rPr>
              <w:t>6399-03-17</w:t>
            </w:r>
            <w:r w:rsidRPr="000A0B55">
              <w:rPr>
                <w:rFonts w:hint="cs"/>
                <w:sz w:val="26"/>
                <w:szCs w:val="26"/>
                <w:rtl/>
              </w:rPr>
              <w:t xml:space="preserve"> </w:t>
            </w:r>
            <w:r w:rsidRPr="000A0B55">
              <w:rPr>
                <w:sz w:val="26"/>
                <w:szCs w:val="26"/>
                <w:rtl/>
              </w:rPr>
              <w:t>מדינת ישראל נ' שאול</w:t>
            </w:r>
          </w:p>
          <w:p w14:paraId="0379335D" w14:textId="77777777" w:rsidR="00AF3CDD" w:rsidRPr="000A0B55" w:rsidRDefault="00AF3CDD" w:rsidP="00B76AEA">
            <w:pPr>
              <w:pStyle w:val="a3"/>
              <w:rPr>
                <w:rFonts w:cs="FrankRuehl"/>
                <w:sz w:val="28"/>
                <w:szCs w:val="28"/>
                <w:rtl/>
              </w:rPr>
            </w:pPr>
          </w:p>
        </w:tc>
        <w:tc>
          <w:tcPr>
            <w:tcW w:w="3667" w:type="dxa"/>
          </w:tcPr>
          <w:p w14:paraId="5BB43BA5" w14:textId="77777777" w:rsidR="00AF3CDD" w:rsidRPr="000A0B55" w:rsidRDefault="00AF3CDD" w:rsidP="00B76AEA">
            <w:pPr>
              <w:pStyle w:val="a3"/>
              <w:jc w:val="right"/>
              <w:rPr>
                <w:rFonts w:cs="FrankRuehl"/>
                <w:sz w:val="28"/>
                <w:szCs w:val="28"/>
                <w:rtl/>
              </w:rPr>
            </w:pPr>
          </w:p>
        </w:tc>
      </w:tr>
    </w:tbl>
    <w:p w14:paraId="204A291E" w14:textId="77777777" w:rsidR="00AF3CDD" w:rsidRPr="000A0B55" w:rsidRDefault="00AF3CDD" w:rsidP="00AF3CDD">
      <w:pPr>
        <w:pStyle w:val="a3"/>
        <w:rPr>
          <w:rtl/>
        </w:rPr>
      </w:pPr>
      <w:r w:rsidRPr="000A0B55">
        <w:rPr>
          <w:rFonts w:hint="cs"/>
          <w:rtl/>
        </w:rPr>
        <w:t xml:space="preserve"> </w:t>
      </w:r>
    </w:p>
    <w:p w14:paraId="581815F3" w14:textId="77777777" w:rsidR="00AF3CDD" w:rsidRPr="000A0B55" w:rsidRDefault="00AF3CDD" w:rsidP="00AF3CDD">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31"/>
        <w:gridCol w:w="4254"/>
        <w:gridCol w:w="3335"/>
      </w:tblGrid>
      <w:tr w:rsidR="00AF3CDD" w:rsidRPr="000A0B55" w14:paraId="00800188" w14:textId="77777777" w:rsidTr="00AF3CDD">
        <w:trPr>
          <w:trHeight w:val="295"/>
          <w:jc w:val="center"/>
        </w:trPr>
        <w:tc>
          <w:tcPr>
            <w:tcW w:w="1231" w:type="dxa"/>
            <w:tcBorders>
              <w:top w:val="nil"/>
              <w:left w:val="nil"/>
              <w:bottom w:val="nil"/>
              <w:right w:val="nil"/>
            </w:tcBorders>
            <w:shd w:val="clear" w:color="auto" w:fill="auto"/>
          </w:tcPr>
          <w:p w14:paraId="2F0EF201" w14:textId="77777777" w:rsidR="00AF3CDD" w:rsidRPr="000A0B55" w:rsidRDefault="00AF3CDD" w:rsidP="00AF3CDD">
            <w:pPr>
              <w:jc w:val="both"/>
              <w:rPr>
                <w:rFonts w:ascii="Arial" w:hAnsi="Arial"/>
                <w:b/>
                <w:bCs/>
                <w:sz w:val="26"/>
                <w:szCs w:val="26"/>
              </w:rPr>
            </w:pPr>
            <w:r w:rsidRPr="000A0B55">
              <w:rPr>
                <w:rFonts w:ascii="Arial" w:hAnsi="Arial" w:hint="cs"/>
                <w:b/>
                <w:bCs/>
                <w:sz w:val="26"/>
                <w:szCs w:val="26"/>
                <w:rtl/>
              </w:rPr>
              <w:t>ל</w:t>
            </w:r>
            <w:r w:rsidRPr="000A0B55">
              <w:rPr>
                <w:rFonts w:ascii="Arial" w:hAnsi="Arial"/>
                <w:b/>
                <w:bCs/>
                <w:sz w:val="26"/>
                <w:szCs w:val="26"/>
                <w:rtl/>
              </w:rPr>
              <w:t xml:space="preserve">פני </w:t>
            </w:r>
          </w:p>
        </w:tc>
        <w:tc>
          <w:tcPr>
            <w:tcW w:w="7589" w:type="dxa"/>
            <w:gridSpan w:val="2"/>
            <w:tcBorders>
              <w:top w:val="nil"/>
              <w:left w:val="nil"/>
              <w:bottom w:val="nil"/>
              <w:right w:val="nil"/>
            </w:tcBorders>
            <w:shd w:val="clear" w:color="auto" w:fill="auto"/>
          </w:tcPr>
          <w:p w14:paraId="6B66EB53" w14:textId="77777777" w:rsidR="00AF3CDD" w:rsidRPr="000A0B55" w:rsidRDefault="00AF3CDD" w:rsidP="00B76AEA">
            <w:pPr>
              <w:rPr>
                <w:rFonts w:ascii="Arial" w:hAnsi="Arial"/>
                <w:b/>
                <w:bCs/>
                <w:sz w:val="26"/>
                <w:szCs w:val="26"/>
                <w:rtl/>
              </w:rPr>
            </w:pPr>
            <w:r w:rsidRPr="000A0B55">
              <w:rPr>
                <w:rFonts w:ascii="Arial" w:hAnsi="Arial" w:hint="cs"/>
                <w:b/>
                <w:bCs/>
                <w:sz w:val="26"/>
                <w:szCs w:val="26"/>
                <w:rtl/>
              </w:rPr>
              <w:t>כבוד ה</w:t>
            </w:r>
            <w:r w:rsidRPr="000A0B55">
              <w:rPr>
                <w:rFonts w:ascii="Arial" w:hAnsi="Arial"/>
                <w:b/>
                <w:bCs/>
                <w:sz w:val="26"/>
                <w:szCs w:val="26"/>
                <w:rtl/>
              </w:rPr>
              <w:t>שופט</w:t>
            </w:r>
            <w:r w:rsidRPr="000A0B55">
              <w:rPr>
                <w:rFonts w:ascii="Arial" w:hAnsi="Arial" w:hint="cs"/>
                <w:b/>
                <w:bCs/>
                <w:sz w:val="26"/>
                <w:szCs w:val="26"/>
                <w:rtl/>
              </w:rPr>
              <w:t xml:space="preserve">  </w:t>
            </w:r>
            <w:r w:rsidRPr="000A0B55">
              <w:rPr>
                <w:rFonts w:ascii="Arial" w:hAnsi="Arial"/>
                <w:b/>
                <w:bCs/>
                <w:sz w:val="26"/>
                <w:szCs w:val="26"/>
                <w:rtl/>
              </w:rPr>
              <w:t>עידו דרויאן-גמליאל</w:t>
            </w:r>
          </w:p>
          <w:p w14:paraId="665EBC9F" w14:textId="77777777" w:rsidR="00AF3CDD" w:rsidRPr="000A0B55" w:rsidRDefault="00AF3CDD" w:rsidP="00B76AEA">
            <w:pPr>
              <w:rPr>
                <w:sz w:val="26"/>
                <w:szCs w:val="26"/>
                <w:rtl/>
              </w:rPr>
            </w:pPr>
          </w:p>
          <w:p w14:paraId="5B770823" w14:textId="77777777" w:rsidR="00AF3CDD" w:rsidRPr="000A0B55" w:rsidRDefault="00AF3CDD" w:rsidP="00AF3CDD">
            <w:pPr>
              <w:jc w:val="both"/>
              <w:rPr>
                <w:rFonts w:ascii="Arial" w:hAnsi="Arial"/>
                <w:sz w:val="26"/>
                <w:szCs w:val="26"/>
              </w:rPr>
            </w:pPr>
          </w:p>
        </w:tc>
      </w:tr>
      <w:tr w:rsidR="00AF3CDD" w:rsidRPr="000A0B55" w14:paraId="580F6F85" w14:textId="77777777" w:rsidTr="00AF3CDD">
        <w:trPr>
          <w:trHeight w:val="355"/>
          <w:jc w:val="center"/>
        </w:trPr>
        <w:tc>
          <w:tcPr>
            <w:tcW w:w="1231" w:type="dxa"/>
            <w:tcBorders>
              <w:top w:val="nil"/>
              <w:left w:val="nil"/>
              <w:bottom w:val="nil"/>
              <w:right w:val="nil"/>
            </w:tcBorders>
            <w:shd w:val="clear" w:color="auto" w:fill="auto"/>
          </w:tcPr>
          <w:p w14:paraId="49C77794" w14:textId="77777777" w:rsidR="00AF3CDD" w:rsidRPr="000A0B55" w:rsidRDefault="00AF3CDD" w:rsidP="00AF3CDD">
            <w:pPr>
              <w:jc w:val="both"/>
              <w:rPr>
                <w:rFonts w:ascii="Arial" w:hAnsi="Arial"/>
                <w:b/>
                <w:bCs/>
                <w:sz w:val="26"/>
                <w:szCs w:val="26"/>
              </w:rPr>
            </w:pPr>
            <w:bookmarkStart w:id="1" w:name="FirstAppellant"/>
            <w:bookmarkStart w:id="2" w:name="FirstLawyer"/>
            <w:r w:rsidRPr="000A0B55">
              <w:rPr>
                <w:rFonts w:ascii="Arial" w:hAnsi="Arial" w:hint="cs"/>
                <w:b/>
                <w:bCs/>
                <w:sz w:val="26"/>
                <w:szCs w:val="26"/>
                <w:rtl/>
              </w:rPr>
              <w:t>ה</w:t>
            </w:r>
            <w:r w:rsidRPr="000A0B55">
              <w:rPr>
                <w:rFonts w:ascii="Arial" w:hAnsi="Arial"/>
                <w:b/>
                <w:bCs/>
                <w:sz w:val="26"/>
                <w:szCs w:val="26"/>
                <w:rtl/>
              </w:rPr>
              <w:t>מאשימה</w:t>
            </w:r>
          </w:p>
        </w:tc>
        <w:tc>
          <w:tcPr>
            <w:tcW w:w="4254" w:type="dxa"/>
            <w:tcBorders>
              <w:top w:val="nil"/>
              <w:left w:val="nil"/>
              <w:bottom w:val="nil"/>
              <w:right w:val="nil"/>
            </w:tcBorders>
            <w:shd w:val="clear" w:color="auto" w:fill="auto"/>
          </w:tcPr>
          <w:p w14:paraId="044332F3" w14:textId="77777777" w:rsidR="00AF3CDD" w:rsidRPr="000A0B55" w:rsidRDefault="00AF3CDD" w:rsidP="00B76AEA">
            <w:pPr>
              <w:rPr>
                <w:sz w:val="26"/>
                <w:szCs w:val="26"/>
                <w:rtl/>
              </w:rPr>
            </w:pPr>
            <w:r w:rsidRPr="000A0B55">
              <w:rPr>
                <w:rFonts w:ascii="Arial" w:hAnsi="Arial"/>
                <w:b/>
                <w:bCs/>
                <w:sz w:val="26"/>
                <w:szCs w:val="26"/>
                <w:rtl/>
              </w:rPr>
              <w:t>מדינת ישראל</w:t>
            </w:r>
          </w:p>
          <w:p w14:paraId="21064C7A" w14:textId="77777777" w:rsidR="00AF3CDD" w:rsidRPr="000A0B55" w:rsidRDefault="00AF3CDD" w:rsidP="00B76AEA">
            <w:pPr>
              <w:rPr>
                <w:sz w:val="26"/>
                <w:szCs w:val="26"/>
              </w:rPr>
            </w:pPr>
            <w:r w:rsidRPr="000A0B55">
              <w:rPr>
                <w:rFonts w:hint="cs"/>
                <w:sz w:val="26"/>
                <w:szCs w:val="26"/>
                <w:rtl/>
              </w:rPr>
              <w:t>ע"י ב"כ עו"ד חבר ובר-טוב</w:t>
            </w:r>
          </w:p>
        </w:tc>
        <w:tc>
          <w:tcPr>
            <w:tcW w:w="3335" w:type="dxa"/>
            <w:tcBorders>
              <w:top w:val="nil"/>
              <w:left w:val="nil"/>
              <w:bottom w:val="nil"/>
              <w:right w:val="nil"/>
            </w:tcBorders>
            <w:shd w:val="clear" w:color="auto" w:fill="auto"/>
          </w:tcPr>
          <w:p w14:paraId="09B0A0A4" w14:textId="77777777" w:rsidR="00AF3CDD" w:rsidRPr="000A0B55" w:rsidRDefault="00AF3CDD" w:rsidP="00AF3CDD">
            <w:pPr>
              <w:jc w:val="both"/>
              <w:rPr>
                <w:rFonts w:ascii="Arial" w:hAnsi="Arial"/>
                <w:sz w:val="26"/>
                <w:szCs w:val="26"/>
              </w:rPr>
            </w:pPr>
          </w:p>
        </w:tc>
      </w:tr>
      <w:bookmarkEnd w:id="1"/>
      <w:bookmarkEnd w:id="2"/>
      <w:tr w:rsidR="00AF3CDD" w:rsidRPr="000A0B55" w14:paraId="5D1D23D3" w14:textId="77777777" w:rsidTr="00AF3CDD">
        <w:trPr>
          <w:trHeight w:val="355"/>
          <w:jc w:val="center"/>
        </w:trPr>
        <w:tc>
          <w:tcPr>
            <w:tcW w:w="1231" w:type="dxa"/>
            <w:tcBorders>
              <w:top w:val="nil"/>
              <w:left w:val="nil"/>
              <w:bottom w:val="nil"/>
              <w:right w:val="nil"/>
            </w:tcBorders>
            <w:shd w:val="clear" w:color="auto" w:fill="auto"/>
          </w:tcPr>
          <w:p w14:paraId="63362724" w14:textId="77777777" w:rsidR="00AF3CDD" w:rsidRPr="000A0B55" w:rsidRDefault="00AF3CDD" w:rsidP="00AF3CDD">
            <w:pPr>
              <w:jc w:val="both"/>
              <w:rPr>
                <w:rFonts w:ascii="Arial" w:hAnsi="Arial"/>
                <w:sz w:val="26"/>
                <w:szCs w:val="26"/>
                <w:rtl/>
              </w:rPr>
            </w:pPr>
          </w:p>
        </w:tc>
        <w:tc>
          <w:tcPr>
            <w:tcW w:w="4254" w:type="dxa"/>
            <w:tcBorders>
              <w:top w:val="nil"/>
              <w:left w:val="nil"/>
              <w:bottom w:val="nil"/>
              <w:right w:val="nil"/>
            </w:tcBorders>
            <w:shd w:val="clear" w:color="auto" w:fill="auto"/>
          </w:tcPr>
          <w:p w14:paraId="2F888A83" w14:textId="77777777" w:rsidR="00AF3CDD" w:rsidRPr="000A0B55" w:rsidRDefault="00AF3CDD" w:rsidP="00B76AEA">
            <w:pPr>
              <w:rPr>
                <w:rFonts w:ascii="Arial" w:hAnsi="Arial"/>
                <w:sz w:val="26"/>
                <w:szCs w:val="26"/>
                <w:rtl/>
              </w:rPr>
            </w:pPr>
          </w:p>
        </w:tc>
        <w:tc>
          <w:tcPr>
            <w:tcW w:w="3335" w:type="dxa"/>
            <w:tcBorders>
              <w:top w:val="nil"/>
              <w:left w:val="nil"/>
              <w:bottom w:val="nil"/>
              <w:right w:val="nil"/>
            </w:tcBorders>
            <w:shd w:val="clear" w:color="auto" w:fill="auto"/>
          </w:tcPr>
          <w:p w14:paraId="243695CA" w14:textId="77777777" w:rsidR="00AF3CDD" w:rsidRPr="000A0B55" w:rsidRDefault="00AF3CDD" w:rsidP="00AF3CDD">
            <w:pPr>
              <w:jc w:val="right"/>
              <w:rPr>
                <w:rFonts w:ascii="Arial" w:hAnsi="Arial"/>
                <w:sz w:val="26"/>
                <w:szCs w:val="26"/>
                <w:rtl/>
              </w:rPr>
            </w:pPr>
          </w:p>
        </w:tc>
      </w:tr>
      <w:tr w:rsidR="00AF3CDD" w:rsidRPr="000A0B55" w14:paraId="7CF3383B" w14:textId="77777777" w:rsidTr="00AF3CDD">
        <w:trPr>
          <w:trHeight w:val="355"/>
          <w:jc w:val="center"/>
        </w:trPr>
        <w:tc>
          <w:tcPr>
            <w:tcW w:w="1231" w:type="dxa"/>
            <w:tcBorders>
              <w:top w:val="nil"/>
              <w:left w:val="nil"/>
              <w:bottom w:val="nil"/>
              <w:right w:val="nil"/>
            </w:tcBorders>
            <w:shd w:val="clear" w:color="auto" w:fill="auto"/>
          </w:tcPr>
          <w:p w14:paraId="41F42D65" w14:textId="77777777" w:rsidR="00AF3CDD" w:rsidRPr="000A0B55" w:rsidRDefault="00AF3CDD" w:rsidP="00AF3CDD">
            <w:pPr>
              <w:jc w:val="both"/>
              <w:rPr>
                <w:rFonts w:ascii="Arial" w:hAnsi="Arial"/>
                <w:sz w:val="26"/>
                <w:szCs w:val="26"/>
                <w:rtl/>
              </w:rPr>
            </w:pPr>
          </w:p>
        </w:tc>
        <w:tc>
          <w:tcPr>
            <w:tcW w:w="7589" w:type="dxa"/>
            <w:gridSpan w:val="2"/>
            <w:tcBorders>
              <w:top w:val="nil"/>
              <w:left w:val="nil"/>
              <w:bottom w:val="nil"/>
              <w:right w:val="nil"/>
            </w:tcBorders>
            <w:shd w:val="clear" w:color="auto" w:fill="auto"/>
          </w:tcPr>
          <w:p w14:paraId="4F7E4A11" w14:textId="77777777" w:rsidR="00AF3CDD" w:rsidRPr="000A0B55" w:rsidRDefault="00AF3CDD" w:rsidP="00AF3CDD">
            <w:pPr>
              <w:jc w:val="center"/>
              <w:rPr>
                <w:rFonts w:ascii="Arial" w:hAnsi="Arial"/>
                <w:b/>
                <w:bCs/>
                <w:sz w:val="26"/>
                <w:szCs w:val="26"/>
                <w:rtl/>
              </w:rPr>
            </w:pPr>
          </w:p>
          <w:p w14:paraId="3AEC47DE" w14:textId="77777777" w:rsidR="00AF3CDD" w:rsidRPr="000A0B55" w:rsidRDefault="00AF3CDD" w:rsidP="00AF3CDD">
            <w:pPr>
              <w:jc w:val="center"/>
              <w:rPr>
                <w:rFonts w:ascii="Arial" w:hAnsi="Arial"/>
                <w:b/>
                <w:bCs/>
                <w:sz w:val="26"/>
                <w:szCs w:val="26"/>
                <w:rtl/>
              </w:rPr>
            </w:pPr>
            <w:r w:rsidRPr="000A0B55">
              <w:rPr>
                <w:rFonts w:ascii="Arial" w:hAnsi="Arial"/>
                <w:b/>
                <w:bCs/>
                <w:sz w:val="26"/>
                <w:szCs w:val="26"/>
                <w:rtl/>
              </w:rPr>
              <w:t>נגד</w:t>
            </w:r>
          </w:p>
          <w:p w14:paraId="158DD363" w14:textId="77777777" w:rsidR="00AF3CDD" w:rsidRPr="000A0B55" w:rsidRDefault="00AF3CDD" w:rsidP="00AF3CDD">
            <w:pPr>
              <w:jc w:val="both"/>
              <w:rPr>
                <w:rFonts w:ascii="Arial" w:hAnsi="Arial"/>
                <w:sz w:val="26"/>
                <w:szCs w:val="26"/>
              </w:rPr>
            </w:pPr>
          </w:p>
        </w:tc>
      </w:tr>
      <w:tr w:rsidR="00AF3CDD" w:rsidRPr="000A0B55" w14:paraId="3004984B" w14:textId="77777777" w:rsidTr="00AF3CDD">
        <w:trPr>
          <w:trHeight w:val="355"/>
          <w:jc w:val="center"/>
        </w:trPr>
        <w:tc>
          <w:tcPr>
            <w:tcW w:w="1231" w:type="dxa"/>
            <w:tcBorders>
              <w:top w:val="nil"/>
              <w:left w:val="nil"/>
              <w:bottom w:val="nil"/>
              <w:right w:val="nil"/>
            </w:tcBorders>
            <w:shd w:val="clear" w:color="auto" w:fill="auto"/>
          </w:tcPr>
          <w:p w14:paraId="19C12347" w14:textId="77777777" w:rsidR="00AF3CDD" w:rsidRPr="000A0B55" w:rsidRDefault="00AF3CDD" w:rsidP="00B76AEA">
            <w:pPr>
              <w:rPr>
                <w:rFonts w:ascii="Arial" w:hAnsi="Arial"/>
                <w:sz w:val="26"/>
                <w:szCs w:val="26"/>
                <w:rtl/>
              </w:rPr>
            </w:pPr>
            <w:r w:rsidRPr="000A0B55">
              <w:rPr>
                <w:rFonts w:ascii="Arial" w:hAnsi="Arial" w:hint="cs"/>
                <w:b/>
                <w:bCs/>
                <w:sz w:val="26"/>
                <w:szCs w:val="26"/>
                <w:rtl/>
              </w:rPr>
              <w:t>ה</w:t>
            </w:r>
            <w:r w:rsidRPr="000A0B55">
              <w:rPr>
                <w:rFonts w:ascii="Arial" w:hAnsi="Arial"/>
                <w:b/>
                <w:bCs/>
                <w:sz w:val="26"/>
                <w:szCs w:val="26"/>
                <w:rtl/>
              </w:rPr>
              <w:t>נאשמים</w:t>
            </w:r>
          </w:p>
        </w:tc>
        <w:tc>
          <w:tcPr>
            <w:tcW w:w="4254" w:type="dxa"/>
            <w:tcBorders>
              <w:top w:val="nil"/>
              <w:left w:val="nil"/>
              <w:bottom w:val="nil"/>
              <w:right w:val="nil"/>
            </w:tcBorders>
            <w:shd w:val="clear" w:color="auto" w:fill="auto"/>
          </w:tcPr>
          <w:p w14:paraId="21730761" w14:textId="77777777" w:rsidR="00AF3CDD" w:rsidRPr="000A0B55" w:rsidRDefault="00AF3CDD" w:rsidP="00B76AEA">
            <w:pPr>
              <w:rPr>
                <w:sz w:val="26"/>
                <w:szCs w:val="26"/>
                <w:rtl/>
              </w:rPr>
            </w:pPr>
            <w:r w:rsidRPr="000A0B55">
              <w:rPr>
                <w:rFonts w:ascii="Arial" w:hAnsi="Arial"/>
                <w:b/>
                <w:bCs/>
                <w:sz w:val="26"/>
                <w:szCs w:val="26"/>
                <w:rtl/>
              </w:rPr>
              <w:t>אילן שאול</w:t>
            </w:r>
          </w:p>
          <w:p w14:paraId="54EECAA3" w14:textId="77777777" w:rsidR="00AF3CDD" w:rsidRPr="000A0B55" w:rsidRDefault="00AF3CDD" w:rsidP="00B76AEA">
            <w:pPr>
              <w:rPr>
                <w:sz w:val="26"/>
                <w:szCs w:val="26"/>
                <w:rtl/>
              </w:rPr>
            </w:pPr>
            <w:r w:rsidRPr="000A0B55">
              <w:rPr>
                <w:rFonts w:hint="cs"/>
                <w:sz w:val="26"/>
                <w:szCs w:val="26"/>
                <w:rtl/>
              </w:rPr>
              <w:t>ע"י ב"כ עו"ד רובינשטיין</w:t>
            </w:r>
          </w:p>
        </w:tc>
        <w:tc>
          <w:tcPr>
            <w:tcW w:w="3335" w:type="dxa"/>
            <w:tcBorders>
              <w:top w:val="nil"/>
              <w:left w:val="nil"/>
              <w:bottom w:val="nil"/>
              <w:right w:val="nil"/>
            </w:tcBorders>
            <w:shd w:val="clear" w:color="auto" w:fill="auto"/>
          </w:tcPr>
          <w:p w14:paraId="67E0A41B" w14:textId="77777777" w:rsidR="00AF3CDD" w:rsidRPr="000A0B55" w:rsidRDefault="00AF3CDD" w:rsidP="00AF3CDD">
            <w:pPr>
              <w:jc w:val="right"/>
              <w:rPr>
                <w:rFonts w:ascii="Arial" w:hAnsi="Arial"/>
                <w:sz w:val="26"/>
                <w:szCs w:val="26"/>
              </w:rPr>
            </w:pPr>
          </w:p>
        </w:tc>
      </w:tr>
      <w:tr w:rsidR="00AF3CDD" w:rsidRPr="000A0B55" w14:paraId="4FA57F24" w14:textId="77777777" w:rsidTr="00AF3CDD">
        <w:trPr>
          <w:trHeight w:val="355"/>
          <w:jc w:val="center"/>
        </w:trPr>
        <w:tc>
          <w:tcPr>
            <w:tcW w:w="1231" w:type="dxa"/>
            <w:tcBorders>
              <w:top w:val="nil"/>
              <w:left w:val="nil"/>
              <w:bottom w:val="nil"/>
              <w:right w:val="nil"/>
            </w:tcBorders>
            <w:shd w:val="clear" w:color="auto" w:fill="auto"/>
          </w:tcPr>
          <w:p w14:paraId="3B535215" w14:textId="77777777" w:rsidR="00AF3CDD" w:rsidRPr="000A0B55" w:rsidRDefault="00AF3CDD" w:rsidP="00AF3CDD">
            <w:pPr>
              <w:jc w:val="both"/>
              <w:rPr>
                <w:rFonts w:ascii="Arial" w:hAnsi="Arial"/>
                <w:sz w:val="26"/>
                <w:szCs w:val="26"/>
                <w:rtl/>
              </w:rPr>
            </w:pPr>
          </w:p>
        </w:tc>
        <w:tc>
          <w:tcPr>
            <w:tcW w:w="4254" w:type="dxa"/>
            <w:tcBorders>
              <w:top w:val="nil"/>
              <w:left w:val="nil"/>
              <w:bottom w:val="nil"/>
              <w:right w:val="nil"/>
            </w:tcBorders>
            <w:shd w:val="clear" w:color="auto" w:fill="auto"/>
          </w:tcPr>
          <w:p w14:paraId="0680CB7F" w14:textId="77777777" w:rsidR="00AF3CDD" w:rsidRPr="000A0B55" w:rsidRDefault="00AF3CDD" w:rsidP="00B76AEA">
            <w:pPr>
              <w:rPr>
                <w:rFonts w:ascii="Arial" w:hAnsi="Arial"/>
                <w:sz w:val="26"/>
                <w:szCs w:val="26"/>
              </w:rPr>
            </w:pPr>
          </w:p>
        </w:tc>
        <w:tc>
          <w:tcPr>
            <w:tcW w:w="3335" w:type="dxa"/>
            <w:tcBorders>
              <w:top w:val="nil"/>
              <w:left w:val="nil"/>
              <w:bottom w:val="nil"/>
              <w:right w:val="nil"/>
            </w:tcBorders>
            <w:shd w:val="clear" w:color="auto" w:fill="auto"/>
          </w:tcPr>
          <w:p w14:paraId="160B6EC7" w14:textId="77777777" w:rsidR="00AF3CDD" w:rsidRPr="000A0B55" w:rsidRDefault="00AF3CDD" w:rsidP="00AF3CDD">
            <w:pPr>
              <w:jc w:val="right"/>
              <w:rPr>
                <w:rFonts w:ascii="Arial" w:hAnsi="Arial"/>
                <w:sz w:val="26"/>
                <w:szCs w:val="26"/>
              </w:rPr>
            </w:pPr>
          </w:p>
        </w:tc>
      </w:tr>
      <w:tr w:rsidR="00AF3CDD" w14:paraId="0A25062E" w14:textId="77777777" w:rsidTr="00AF3CDD">
        <w:trPr>
          <w:trHeight w:val="355"/>
          <w:jc w:val="center"/>
        </w:trPr>
        <w:tc>
          <w:tcPr>
            <w:tcW w:w="8820" w:type="dxa"/>
            <w:gridSpan w:val="3"/>
            <w:tcBorders>
              <w:top w:val="nil"/>
              <w:left w:val="nil"/>
              <w:bottom w:val="nil"/>
              <w:right w:val="nil"/>
            </w:tcBorders>
            <w:shd w:val="clear" w:color="auto" w:fill="auto"/>
          </w:tcPr>
          <w:p w14:paraId="1B0B606C" w14:textId="77777777" w:rsidR="000928A7" w:rsidRDefault="000928A7" w:rsidP="000A0B55">
            <w:pPr>
              <w:jc w:val="center"/>
              <w:rPr>
                <w:rFonts w:ascii="Arial" w:hAnsi="Arial"/>
                <w:sz w:val="28"/>
                <w:szCs w:val="28"/>
                <w:rtl/>
              </w:rPr>
            </w:pPr>
            <w:bookmarkStart w:id="3" w:name="PsakDin" w:colFirst="0" w:colLast="0"/>
            <w:bookmarkStart w:id="4" w:name="LawTable"/>
            <w:bookmarkEnd w:id="0"/>
            <w:bookmarkEnd w:id="4"/>
          </w:p>
          <w:p w14:paraId="1E7EC8A2" w14:textId="77777777" w:rsidR="000928A7" w:rsidRPr="000928A7" w:rsidRDefault="000928A7" w:rsidP="000928A7">
            <w:pPr>
              <w:spacing w:after="120" w:line="240" w:lineRule="exact"/>
              <w:ind w:left="283" w:hanging="283"/>
              <w:jc w:val="both"/>
              <w:rPr>
                <w:rFonts w:ascii="FrankRuehl" w:hAnsi="FrankRuehl" w:cs="FrankRuehl"/>
                <w:rtl/>
              </w:rPr>
            </w:pPr>
          </w:p>
          <w:p w14:paraId="00E3A794" w14:textId="77777777" w:rsidR="000928A7" w:rsidRPr="000928A7" w:rsidRDefault="000928A7" w:rsidP="000928A7">
            <w:pPr>
              <w:spacing w:after="120" w:line="240" w:lineRule="exact"/>
              <w:ind w:left="283" w:hanging="283"/>
              <w:jc w:val="both"/>
              <w:rPr>
                <w:rFonts w:ascii="FrankRuehl" w:hAnsi="FrankRuehl" w:cs="FrankRuehl"/>
                <w:rtl/>
              </w:rPr>
            </w:pPr>
            <w:r w:rsidRPr="000928A7">
              <w:rPr>
                <w:rFonts w:ascii="FrankRuehl" w:hAnsi="FrankRuehl" w:cs="FrankRuehl"/>
                <w:rtl/>
              </w:rPr>
              <w:t xml:space="preserve">חקיקה שאוזכרה: </w:t>
            </w:r>
          </w:p>
          <w:p w14:paraId="38A07923" w14:textId="77777777" w:rsidR="000928A7" w:rsidRPr="000928A7" w:rsidRDefault="000928A7" w:rsidP="000928A7">
            <w:pPr>
              <w:spacing w:after="120" w:line="240" w:lineRule="exact"/>
              <w:ind w:left="283" w:hanging="283"/>
              <w:jc w:val="both"/>
              <w:rPr>
                <w:rFonts w:ascii="FrankRuehl" w:hAnsi="FrankRuehl" w:cs="FrankRuehl"/>
                <w:rtl/>
              </w:rPr>
            </w:pPr>
            <w:hyperlink r:id="rId7" w:history="1">
              <w:r w:rsidRPr="000928A7">
                <w:rPr>
                  <w:rFonts w:ascii="FrankRuehl" w:hAnsi="FrankRuehl" w:cs="FrankRuehl"/>
                  <w:color w:val="0000FF"/>
                  <w:u w:val="single"/>
                  <w:rtl/>
                </w:rPr>
                <w:t>פקודת הסמים המסוכנים [נוסח חדש], תשל"ג-1973</w:t>
              </w:r>
            </w:hyperlink>
            <w:r w:rsidRPr="000928A7">
              <w:rPr>
                <w:rFonts w:ascii="FrankRuehl" w:hAnsi="FrankRuehl" w:cs="FrankRuehl"/>
                <w:rtl/>
              </w:rPr>
              <w:t xml:space="preserve">: סע'  </w:t>
            </w:r>
            <w:hyperlink r:id="rId8" w:history="1">
              <w:r w:rsidRPr="000928A7">
                <w:rPr>
                  <w:rFonts w:ascii="FrankRuehl" w:hAnsi="FrankRuehl" w:cs="FrankRuehl"/>
                  <w:color w:val="0000FF"/>
                  <w:u w:val="single"/>
                  <w:rtl/>
                </w:rPr>
                <w:t>6</w:t>
              </w:r>
            </w:hyperlink>
            <w:r w:rsidRPr="000928A7">
              <w:rPr>
                <w:rFonts w:ascii="FrankRuehl" w:hAnsi="FrankRuehl" w:cs="FrankRuehl"/>
                <w:rtl/>
              </w:rPr>
              <w:t xml:space="preserve">, </w:t>
            </w:r>
            <w:hyperlink r:id="rId9" w:history="1">
              <w:r w:rsidRPr="000928A7">
                <w:rPr>
                  <w:rFonts w:ascii="FrankRuehl" w:hAnsi="FrankRuehl" w:cs="FrankRuehl"/>
                  <w:color w:val="0000FF"/>
                  <w:u w:val="single"/>
                  <w:rtl/>
                </w:rPr>
                <w:t>7(א)</w:t>
              </w:r>
            </w:hyperlink>
            <w:r w:rsidRPr="000928A7">
              <w:rPr>
                <w:rFonts w:ascii="FrankRuehl" w:hAnsi="FrankRuehl" w:cs="FrankRuehl"/>
                <w:rtl/>
              </w:rPr>
              <w:t xml:space="preserve">, </w:t>
            </w:r>
            <w:hyperlink r:id="rId10" w:history="1">
              <w:r w:rsidRPr="000928A7">
                <w:rPr>
                  <w:rFonts w:ascii="FrankRuehl" w:hAnsi="FrankRuehl" w:cs="FrankRuehl"/>
                  <w:color w:val="0000FF"/>
                  <w:u w:val="single"/>
                  <w:rtl/>
                </w:rPr>
                <w:t>7(ג)</w:t>
              </w:r>
            </w:hyperlink>
          </w:p>
          <w:p w14:paraId="7F53F92C" w14:textId="77777777" w:rsidR="000928A7" w:rsidRPr="000928A7" w:rsidRDefault="000928A7" w:rsidP="000928A7">
            <w:pPr>
              <w:spacing w:after="120" w:line="240" w:lineRule="exact"/>
              <w:ind w:left="283" w:hanging="283"/>
              <w:jc w:val="both"/>
              <w:rPr>
                <w:rFonts w:ascii="FrankRuehl" w:hAnsi="FrankRuehl" w:cs="FrankRuehl"/>
                <w:rtl/>
              </w:rPr>
            </w:pPr>
            <w:hyperlink r:id="rId11" w:history="1">
              <w:r w:rsidRPr="000928A7">
                <w:rPr>
                  <w:rFonts w:ascii="FrankRuehl" w:hAnsi="FrankRuehl" w:cs="FrankRuehl"/>
                  <w:color w:val="0000FF"/>
                  <w:u w:val="single"/>
                  <w:rtl/>
                </w:rPr>
                <w:t>חוק העונשין, תשל"ז-1977</w:t>
              </w:r>
            </w:hyperlink>
          </w:p>
          <w:p w14:paraId="538B00E6" w14:textId="77777777" w:rsidR="000928A7" w:rsidRPr="000928A7" w:rsidRDefault="000928A7" w:rsidP="000928A7">
            <w:pPr>
              <w:spacing w:after="120" w:line="240" w:lineRule="exact"/>
              <w:ind w:left="283" w:hanging="283"/>
              <w:jc w:val="both"/>
              <w:rPr>
                <w:rFonts w:ascii="FrankRuehl" w:hAnsi="FrankRuehl" w:cs="FrankRuehl"/>
                <w:rtl/>
              </w:rPr>
            </w:pPr>
          </w:p>
          <w:p w14:paraId="16AE5166" w14:textId="77777777" w:rsidR="000A0B55" w:rsidRPr="000A0B55" w:rsidRDefault="000A0B55" w:rsidP="000A0B55">
            <w:pPr>
              <w:jc w:val="center"/>
              <w:rPr>
                <w:rFonts w:ascii="Arial" w:hAnsi="Arial"/>
                <w:b/>
                <w:bCs/>
                <w:sz w:val="28"/>
                <w:szCs w:val="28"/>
                <w:u w:val="single"/>
                <w:rtl/>
              </w:rPr>
            </w:pPr>
            <w:bookmarkStart w:id="5" w:name="LawTable_End"/>
            <w:bookmarkEnd w:id="5"/>
            <w:r w:rsidRPr="000A0B55">
              <w:rPr>
                <w:rFonts w:ascii="Arial" w:hAnsi="Arial"/>
                <w:b/>
                <w:bCs/>
                <w:sz w:val="28"/>
                <w:szCs w:val="28"/>
                <w:u w:val="single"/>
                <w:rtl/>
              </w:rPr>
              <w:t>גזר דין</w:t>
            </w:r>
          </w:p>
          <w:p w14:paraId="3875615D" w14:textId="77777777" w:rsidR="00AF3CDD" w:rsidRPr="000A0B55" w:rsidRDefault="00AF3CDD" w:rsidP="000A0B55">
            <w:pPr>
              <w:jc w:val="center"/>
              <w:rPr>
                <w:rFonts w:ascii="Arial" w:hAnsi="Arial"/>
                <w:bCs/>
                <w:sz w:val="28"/>
                <w:szCs w:val="28"/>
                <w:u w:val="single"/>
                <w:rtl/>
              </w:rPr>
            </w:pPr>
          </w:p>
        </w:tc>
      </w:tr>
      <w:bookmarkEnd w:id="3"/>
    </w:tbl>
    <w:p w14:paraId="496ABA93" w14:textId="77777777" w:rsidR="00AF3CDD" w:rsidRPr="00B05847" w:rsidRDefault="00AF3CDD" w:rsidP="00AF3CDD">
      <w:pPr>
        <w:jc w:val="both"/>
        <w:rPr>
          <w:rFonts w:ascii="Arial" w:hAnsi="Arial"/>
          <w:rtl/>
        </w:rPr>
      </w:pPr>
    </w:p>
    <w:p w14:paraId="1E846528" w14:textId="77777777" w:rsidR="00AF3CDD" w:rsidRDefault="00AF3CDD" w:rsidP="00AF3CDD">
      <w:pPr>
        <w:spacing w:line="360" w:lineRule="auto"/>
        <w:jc w:val="both"/>
        <w:rPr>
          <w:rFonts w:ascii="Arial" w:hAnsi="Arial"/>
          <w:rtl/>
        </w:rPr>
      </w:pPr>
      <w:bookmarkStart w:id="6" w:name="ABSTRACT_START"/>
      <w:bookmarkEnd w:id="6"/>
      <w:r>
        <w:rPr>
          <w:rFonts w:ascii="Arial" w:hAnsi="Arial" w:hint="cs"/>
          <w:rtl/>
        </w:rPr>
        <w:t>ביום 23.4.17, במסגרת הסדר טיעון, הודה הנאשם והורשע בעבירות הבאות:</w:t>
      </w:r>
    </w:p>
    <w:p w14:paraId="58297B82" w14:textId="77777777" w:rsidR="00AF3CDD" w:rsidRDefault="00AF3CDD" w:rsidP="00AF3CDD">
      <w:pPr>
        <w:spacing w:line="360" w:lineRule="auto"/>
        <w:jc w:val="both"/>
        <w:rPr>
          <w:rFonts w:ascii="Arial" w:hAnsi="Arial"/>
          <w:rtl/>
        </w:rPr>
      </w:pPr>
      <w:r>
        <w:rPr>
          <w:rFonts w:ascii="Arial" w:hAnsi="Arial" w:hint="cs"/>
          <w:rtl/>
        </w:rPr>
        <w:t>א.</w:t>
      </w:r>
      <w:r>
        <w:rPr>
          <w:rFonts w:ascii="Arial" w:hAnsi="Arial" w:hint="cs"/>
          <w:rtl/>
        </w:rPr>
        <w:tab/>
        <w:t xml:space="preserve">גידול סם מסוכן, לפי </w:t>
      </w:r>
      <w:hyperlink r:id="rId12" w:history="1">
        <w:r w:rsidR="000928A7" w:rsidRPr="000928A7">
          <w:rPr>
            <w:rFonts w:ascii="Arial" w:hAnsi="Arial"/>
            <w:color w:val="0000FF"/>
            <w:u w:val="single"/>
            <w:rtl/>
          </w:rPr>
          <w:t>סעיף 6</w:t>
        </w:r>
      </w:hyperlink>
      <w:r>
        <w:rPr>
          <w:rFonts w:ascii="Arial" w:hAnsi="Arial" w:hint="cs"/>
          <w:rtl/>
        </w:rPr>
        <w:t xml:space="preserve"> ל</w:t>
      </w:r>
      <w:hyperlink r:id="rId13" w:history="1">
        <w:r w:rsidR="000A0B55" w:rsidRPr="000A0B55">
          <w:rPr>
            <w:rFonts w:ascii="Arial" w:hAnsi="Arial"/>
            <w:color w:val="0000FF"/>
            <w:u w:val="single"/>
            <w:rtl/>
          </w:rPr>
          <w:t>פקודת הסמים המסוכנים</w:t>
        </w:r>
      </w:hyperlink>
      <w:r>
        <w:rPr>
          <w:rFonts w:ascii="Arial" w:hAnsi="Arial" w:hint="cs"/>
          <w:rtl/>
        </w:rPr>
        <w:t>;</w:t>
      </w:r>
    </w:p>
    <w:p w14:paraId="4A740B1C" w14:textId="77777777" w:rsidR="00AF3CDD" w:rsidRDefault="00AF3CDD" w:rsidP="00AF3CDD">
      <w:pPr>
        <w:spacing w:line="360" w:lineRule="auto"/>
        <w:jc w:val="both"/>
        <w:rPr>
          <w:rFonts w:ascii="Arial" w:hAnsi="Arial"/>
          <w:rtl/>
        </w:rPr>
      </w:pPr>
      <w:r>
        <w:rPr>
          <w:rFonts w:ascii="Arial" w:hAnsi="Arial" w:hint="cs"/>
          <w:rtl/>
        </w:rPr>
        <w:t>ב.</w:t>
      </w:r>
      <w:r>
        <w:rPr>
          <w:rFonts w:ascii="Arial" w:hAnsi="Arial" w:hint="cs"/>
          <w:rtl/>
        </w:rPr>
        <w:tab/>
        <w:t xml:space="preserve">החזקת סם מסוכן לצריכה עצמית, לפי </w:t>
      </w:r>
      <w:hyperlink r:id="rId14" w:history="1">
        <w:r w:rsidR="000928A7" w:rsidRPr="000928A7">
          <w:rPr>
            <w:rFonts w:ascii="Arial" w:hAnsi="Arial"/>
            <w:color w:val="0000FF"/>
            <w:u w:val="single"/>
            <w:rtl/>
          </w:rPr>
          <w:t>סעיף 7(א)</w:t>
        </w:r>
      </w:hyperlink>
      <w:r>
        <w:rPr>
          <w:rFonts w:ascii="Arial" w:hAnsi="Arial" w:hint="cs"/>
          <w:rtl/>
        </w:rPr>
        <w:t xml:space="preserve"> בצירוף </w:t>
      </w:r>
      <w:hyperlink r:id="rId15" w:history="1">
        <w:r w:rsidR="000928A7" w:rsidRPr="000928A7">
          <w:rPr>
            <w:rFonts w:ascii="Arial" w:hAnsi="Arial"/>
            <w:color w:val="0000FF"/>
            <w:u w:val="single"/>
            <w:rtl/>
          </w:rPr>
          <w:t>7(ג)</w:t>
        </w:r>
      </w:hyperlink>
      <w:r>
        <w:rPr>
          <w:rFonts w:ascii="Arial" w:hAnsi="Arial" w:hint="cs"/>
          <w:rtl/>
        </w:rPr>
        <w:t xml:space="preserve"> סיפא לפקודה הנ"ל;</w:t>
      </w:r>
    </w:p>
    <w:p w14:paraId="60DB05B0" w14:textId="77777777" w:rsidR="00AF3CDD" w:rsidRDefault="00AF3CDD" w:rsidP="00AF3CDD">
      <w:pPr>
        <w:spacing w:line="360" w:lineRule="auto"/>
        <w:jc w:val="both"/>
        <w:rPr>
          <w:rFonts w:ascii="Arial" w:hAnsi="Arial"/>
          <w:rtl/>
        </w:rPr>
      </w:pPr>
      <w:bookmarkStart w:id="7" w:name="ABSTRACT_END"/>
      <w:bookmarkEnd w:id="7"/>
    </w:p>
    <w:p w14:paraId="4D762CF1" w14:textId="77777777" w:rsidR="00AF3CDD" w:rsidRDefault="00AF3CDD" w:rsidP="00AF3CDD">
      <w:pPr>
        <w:spacing w:line="360" w:lineRule="auto"/>
        <w:jc w:val="both"/>
        <w:rPr>
          <w:rFonts w:ascii="Arial" w:hAnsi="Arial"/>
          <w:rtl/>
        </w:rPr>
      </w:pPr>
      <w:r>
        <w:rPr>
          <w:rFonts w:ascii="Arial" w:hAnsi="Arial" w:hint="cs"/>
          <w:rtl/>
        </w:rPr>
        <w:t>במסגרת ההסדר הוסכם על הפניית הנאשם לשירות המבחן, והתביעה הגבילה עתירתה לעונש עיקרי של שישה חודשי עבודות שירות. הצדדים לא הסכימו לעניין רכיבי ענישה נלווים, ולא הוגבלו עתירותיהם. בפני בית המשפט תסקיר מיום 1.10.17.</w:t>
      </w:r>
    </w:p>
    <w:p w14:paraId="49A70AFE" w14:textId="77777777" w:rsidR="00AF3CDD" w:rsidRDefault="00AF3CDD" w:rsidP="00AF3CDD">
      <w:pPr>
        <w:spacing w:line="360" w:lineRule="auto"/>
        <w:jc w:val="both"/>
        <w:rPr>
          <w:rFonts w:ascii="Arial" w:hAnsi="Arial"/>
          <w:rtl/>
        </w:rPr>
      </w:pPr>
    </w:p>
    <w:p w14:paraId="285D8C44" w14:textId="77777777" w:rsidR="00AF3CDD" w:rsidRDefault="00AF3CDD" w:rsidP="00AF3CDD">
      <w:pPr>
        <w:spacing w:line="360" w:lineRule="auto"/>
        <w:jc w:val="both"/>
        <w:rPr>
          <w:rFonts w:ascii="Arial" w:hAnsi="Arial"/>
          <w:rtl/>
        </w:rPr>
      </w:pPr>
      <w:r>
        <w:rPr>
          <w:rFonts w:ascii="Arial" w:hAnsi="Arial" w:hint="cs"/>
          <w:b/>
          <w:bCs/>
          <w:u w:val="single"/>
          <w:rtl/>
        </w:rPr>
        <w:t>מעשי הנאשם:</w:t>
      </w:r>
    </w:p>
    <w:p w14:paraId="27DAC5F3" w14:textId="77777777" w:rsidR="00AF3CDD" w:rsidRDefault="00AF3CDD" w:rsidP="00AF3CDD">
      <w:pPr>
        <w:spacing w:line="360" w:lineRule="auto"/>
        <w:jc w:val="both"/>
        <w:rPr>
          <w:rFonts w:ascii="Arial" w:hAnsi="Arial"/>
          <w:rtl/>
        </w:rPr>
      </w:pPr>
      <w:r>
        <w:rPr>
          <w:rFonts w:ascii="Arial" w:hAnsi="Arial" w:hint="cs"/>
          <w:rtl/>
        </w:rPr>
        <w:t>הנאשם גידל בדירתו בשישה עציצים קנביס במשקל כולל של 552.45 גרם נטו, וביום 5.10.16 נתפסו בדירתו עוד 210.35 גרם נטו של קנביס.</w:t>
      </w:r>
    </w:p>
    <w:p w14:paraId="0EE8CC6E" w14:textId="77777777" w:rsidR="00AF3CDD" w:rsidRDefault="00AF3CDD" w:rsidP="00AF3CDD">
      <w:pPr>
        <w:spacing w:line="360" w:lineRule="auto"/>
        <w:jc w:val="both"/>
        <w:rPr>
          <w:rFonts w:ascii="Arial" w:hAnsi="Arial"/>
          <w:rtl/>
        </w:rPr>
      </w:pPr>
    </w:p>
    <w:p w14:paraId="13F74093" w14:textId="77777777" w:rsidR="00AF3CDD" w:rsidRPr="005D3DD7" w:rsidRDefault="00AF3CDD" w:rsidP="00AF3CDD">
      <w:pPr>
        <w:spacing w:line="360" w:lineRule="auto"/>
        <w:jc w:val="both"/>
        <w:rPr>
          <w:rFonts w:ascii="Arial" w:hAnsi="Arial"/>
          <w:b/>
          <w:bCs/>
          <w:u w:val="single"/>
          <w:rtl/>
        </w:rPr>
      </w:pPr>
      <w:r>
        <w:rPr>
          <w:rFonts w:ascii="Arial" w:hAnsi="Arial" w:hint="cs"/>
          <w:b/>
          <w:bCs/>
          <w:u w:val="single"/>
          <w:rtl/>
        </w:rPr>
        <w:t>דחיית עתירת ההגנה לביטול ההרשעה:</w:t>
      </w:r>
    </w:p>
    <w:p w14:paraId="0F750C1D" w14:textId="77777777" w:rsidR="00AF3CDD" w:rsidRDefault="00AF3CDD" w:rsidP="00AF3CDD">
      <w:pPr>
        <w:pStyle w:val="a9"/>
        <w:numPr>
          <w:ilvl w:val="0"/>
          <w:numId w:val="2"/>
        </w:numPr>
        <w:spacing w:line="360" w:lineRule="auto"/>
        <w:jc w:val="both"/>
        <w:rPr>
          <w:rFonts w:ascii="Arial" w:hAnsi="Arial"/>
        </w:rPr>
      </w:pPr>
      <w:r>
        <w:rPr>
          <w:rFonts w:ascii="Arial" w:hAnsi="Arial" w:hint="cs"/>
          <w:rtl/>
        </w:rPr>
        <w:lastRenderedPageBreak/>
        <w:t>ההגנה מבקשת לאמץ את המלצתו של שירות המבחן ולבטל את הרשעת הנאשם. שירות המבחן ביסס את המלצתו על החשש לפגיעה בעבודתו של הנאשם, אדם כבן 65 העובד כעיתונאי, ועל החשש לפגיעה במצבו הנפשי הקשה (וראו פירוט בתסקיר).</w:t>
      </w:r>
    </w:p>
    <w:p w14:paraId="185E7DAB" w14:textId="77777777" w:rsidR="00AF3CDD" w:rsidRDefault="00AF3CDD" w:rsidP="00AF3CDD">
      <w:pPr>
        <w:pStyle w:val="a9"/>
        <w:numPr>
          <w:ilvl w:val="0"/>
          <w:numId w:val="2"/>
        </w:numPr>
        <w:spacing w:line="360" w:lineRule="auto"/>
        <w:jc w:val="both"/>
        <w:rPr>
          <w:rFonts w:ascii="Arial" w:hAnsi="Arial"/>
        </w:rPr>
      </w:pPr>
      <w:r>
        <w:rPr>
          <w:rFonts w:ascii="Arial" w:hAnsi="Arial" w:hint="cs"/>
          <w:rtl/>
        </w:rPr>
        <w:t xml:space="preserve">לא הוכח, ולו ברמה מינימלית, שהרשעת הנאשם תוביל לפגיעה בפרנסתו. באשר למצבו הנפשי של הנאשם, ברי כי ההליך הפלילי גורם לו למועקה וחרדה, כמפורט בתסקיר, אך אין להסיק מכך שעצם ההרשעה תוביל להחמרה במצבו. </w:t>
      </w:r>
    </w:p>
    <w:p w14:paraId="7C07C762" w14:textId="77777777" w:rsidR="00AF3CDD" w:rsidRPr="005D3DD7" w:rsidRDefault="00AF3CDD" w:rsidP="00AF3CDD">
      <w:pPr>
        <w:pStyle w:val="a9"/>
        <w:numPr>
          <w:ilvl w:val="0"/>
          <w:numId w:val="2"/>
        </w:numPr>
        <w:spacing w:line="360" w:lineRule="auto"/>
        <w:jc w:val="both"/>
        <w:rPr>
          <w:rFonts w:ascii="Arial" w:hAnsi="Arial"/>
          <w:rtl/>
        </w:rPr>
      </w:pPr>
      <w:r>
        <w:rPr>
          <w:rFonts w:ascii="Arial" w:hAnsi="Arial" w:hint="cs"/>
          <w:rtl/>
        </w:rPr>
        <w:t>לפיכך נדחית עתירת ההגנה, וההרשעה תעמוד על מכונה.</w:t>
      </w:r>
    </w:p>
    <w:p w14:paraId="5178F8A1" w14:textId="77777777" w:rsidR="00AF3CDD" w:rsidRDefault="00AF3CDD" w:rsidP="00AF3CDD">
      <w:pPr>
        <w:spacing w:line="360" w:lineRule="auto"/>
        <w:jc w:val="both"/>
        <w:rPr>
          <w:rFonts w:ascii="Arial" w:hAnsi="Arial"/>
          <w:rtl/>
        </w:rPr>
      </w:pPr>
    </w:p>
    <w:p w14:paraId="28E72669" w14:textId="77777777" w:rsidR="00AF3CDD" w:rsidRDefault="00AF3CDD" w:rsidP="00AF3CDD">
      <w:pPr>
        <w:spacing w:line="360" w:lineRule="auto"/>
        <w:jc w:val="both"/>
        <w:rPr>
          <w:rFonts w:ascii="Arial" w:hAnsi="Arial"/>
          <w:rtl/>
        </w:rPr>
      </w:pPr>
      <w:r>
        <w:rPr>
          <w:rFonts w:ascii="Arial" w:hAnsi="Arial" w:hint="cs"/>
          <w:b/>
          <w:bCs/>
          <w:u w:val="single"/>
          <w:rtl/>
        </w:rPr>
        <w:t xml:space="preserve">נסיבות הקשורות בעבירה </w:t>
      </w:r>
      <w:r>
        <w:rPr>
          <w:rFonts w:ascii="Arial" w:hAnsi="Arial"/>
          <w:b/>
          <w:bCs/>
          <w:u w:val="single"/>
          <w:rtl/>
        </w:rPr>
        <w:t>–</w:t>
      </w:r>
      <w:r>
        <w:rPr>
          <w:rFonts w:ascii="Arial" w:hAnsi="Arial" w:hint="cs"/>
          <w:b/>
          <w:bCs/>
          <w:u w:val="single"/>
          <w:rtl/>
        </w:rPr>
        <w:t xml:space="preserve"> קביעת מתחם העונש ההולם:</w:t>
      </w:r>
    </w:p>
    <w:p w14:paraId="46B94F87" w14:textId="77777777" w:rsidR="00AF3CDD" w:rsidRPr="001A4F38" w:rsidRDefault="00AF3CDD" w:rsidP="00AF3CDD">
      <w:pPr>
        <w:numPr>
          <w:ilvl w:val="0"/>
          <w:numId w:val="1"/>
        </w:numPr>
        <w:spacing w:line="360" w:lineRule="auto"/>
        <w:jc w:val="both"/>
        <w:rPr>
          <w:rFonts w:ascii="Arial" w:hAnsi="Arial"/>
        </w:rPr>
      </w:pPr>
      <w:r w:rsidRPr="001A4F38">
        <w:rPr>
          <w:rFonts w:ascii="Arial" w:hAnsi="Arial" w:hint="cs"/>
          <w:rtl/>
        </w:rPr>
        <w:t>במסגרת ההסדר הגבילה המאשימה את עתירתה לעונש לש</w:t>
      </w:r>
      <w:r>
        <w:rPr>
          <w:rFonts w:ascii="Arial" w:hAnsi="Arial" w:hint="cs"/>
          <w:rtl/>
        </w:rPr>
        <w:t>י</w:t>
      </w:r>
      <w:r w:rsidRPr="001A4F38">
        <w:rPr>
          <w:rFonts w:ascii="Arial" w:hAnsi="Arial" w:hint="cs"/>
          <w:rtl/>
        </w:rPr>
        <w:t>שה חודשי מאסר, שיכול וירוצו בעבודות שירות. "הסדר טווח" מסוג זה אינו פוטר את בית המשפט מקביעת מתחם העונש ההולם: בית המשפט העליון קבע פעמים רבות שהוראותיו של תיקון 113 ל</w:t>
      </w:r>
      <w:hyperlink r:id="rId16" w:history="1">
        <w:r w:rsidR="000A0B55" w:rsidRPr="000A0B55">
          <w:rPr>
            <w:rFonts w:ascii="Arial" w:hAnsi="Arial"/>
            <w:color w:val="0000FF"/>
            <w:u w:val="single"/>
            <w:rtl/>
          </w:rPr>
          <w:t>חוק העונשין</w:t>
        </w:r>
      </w:hyperlink>
      <w:r w:rsidRPr="001A4F38">
        <w:rPr>
          <w:rFonts w:ascii="Arial" w:hAnsi="Arial" w:hint="cs"/>
          <w:rtl/>
        </w:rPr>
        <w:t xml:space="preserve"> אינן עומדות בסתירה ל"גישת האיזון הראוי" –</w:t>
      </w:r>
      <w:r w:rsidR="000A0B55">
        <w:rPr>
          <w:rFonts w:ascii="Arial" w:hAnsi="Arial" w:hint="cs"/>
          <w:rtl/>
        </w:rPr>
        <w:t xml:space="preserve"> </w:t>
      </w:r>
      <w:r w:rsidRPr="001A4F38">
        <w:rPr>
          <w:rFonts w:ascii="Arial" w:hAnsi="Arial" w:hint="cs"/>
          <w:rtl/>
        </w:rPr>
        <w:t xml:space="preserve"> דהיינו, </w:t>
      </w:r>
      <w:r w:rsidRPr="001A4F38">
        <w:rPr>
          <w:rFonts w:ascii="Arial" w:hAnsi="Arial" w:hint="cs"/>
          <w:u w:val="single"/>
          <w:rtl/>
        </w:rPr>
        <w:t>הערכאה הדיונית מוסמכת ואף נדרשת לבחון הסדרי טיעון על רקע מתחם הענישה ההולם, שאותו יש לגבש בהתאם להוראות הקונקרטיות של תיקון 113</w:t>
      </w:r>
      <w:r w:rsidRPr="001A4F38">
        <w:rPr>
          <w:rFonts w:ascii="Arial" w:hAnsi="Arial" w:hint="cs"/>
          <w:rtl/>
        </w:rPr>
        <w:t xml:space="preserve"> (</w:t>
      </w:r>
      <w:hyperlink r:id="rId17" w:history="1">
        <w:r w:rsidR="000A0B55" w:rsidRPr="000A0B55">
          <w:rPr>
            <w:rFonts w:ascii="Arial" w:hAnsi="Arial"/>
            <w:color w:val="0000FF"/>
            <w:u w:val="single"/>
            <w:rtl/>
          </w:rPr>
          <w:t>ע"פ 921/17</w:t>
        </w:r>
      </w:hyperlink>
      <w:r w:rsidRPr="001A4F38">
        <w:rPr>
          <w:rFonts w:ascii="Arial" w:hAnsi="Arial" w:hint="cs"/>
          <w:rtl/>
        </w:rPr>
        <w:t xml:space="preserve"> </w:t>
      </w:r>
      <w:r w:rsidRPr="001A4F38">
        <w:rPr>
          <w:rFonts w:ascii="Arial" w:hAnsi="Arial" w:hint="cs"/>
          <w:b/>
          <w:bCs/>
          <w:rtl/>
        </w:rPr>
        <w:t>אבו זעילה נ' מ.י.</w:t>
      </w:r>
      <w:r w:rsidRPr="001A4F38">
        <w:rPr>
          <w:rFonts w:ascii="Arial" w:hAnsi="Arial" w:hint="cs"/>
          <w:rtl/>
        </w:rPr>
        <w:t xml:space="preserve"> (2017); </w:t>
      </w:r>
      <w:r w:rsidRPr="001A4F38">
        <w:rPr>
          <w:rFonts w:ascii="Arial" w:hAnsi="Arial" w:hint="cs"/>
          <w:b/>
          <w:bCs/>
          <w:rtl/>
        </w:rPr>
        <w:t>מצגר</w:t>
      </w:r>
      <w:r w:rsidRPr="001A4F38">
        <w:rPr>
          <w:rFonts w:ascii="Arial" w:hAnsi="Arial" w:hint="cs"/>
          <w:rtl/>
        </w:rPr>
        <w:t xml:space="preserve"> הנ"ל, פסקה 16; </w:t>
      </w:r>
      <w:hyperlink r:id="rId18" w:history="1">
        <w:r w:rsidR="000A0B55" w:rsidRPr="000A0B55">
          <w:rPr>
            <w:rFonts w:ascii="Arial" w:hAnsi="Arial"/>
            <w:color w:val="0000FF"/>
            <w:u w:val="single"/>
            <w:rtl/>
          </w:rPr>
          <w:t>ע"פ 5855/15</w:t>
        </w:r>
      </w:hyperlink>
      <w:r w:rsidRPr="001A4F38">
        <w:rPr>
          <w:rFonts w:ascii="Arial" w:hAnsi="Arial" w:hint="cs"/>
          <w:rtl/>
        </w:rPr>
        <w:t xml:space="preserve"> </w:t>
      </w:r>
      <w:r w:rsidRPr="001A4F38">
        <w:rPr>
          <w:rFonts w:ascii="Arial" w:hAnsi="Arial" w:hint="cs"/>
          <w:b/>
          <w:bCs/>
          <w:rtl/>
        </w:rPr>
        <w:t>לוגסי נ' מ.י.</w:t>
      </w:r>
      <w:r w:rsidRPr="001A4F38">
        <w:rPr>
          <w:rFonts w:ascii="Arial" w:hAnsi="Arial" w:hint="cs"/>
          <w:rtl/>
        </w:rPr>
        <w:t xml:space="preserve"> (2016), פסקה 11; </w:t>
      </w:r>
      <w:hyperlink r:id="rId19" w:history="1">
        <w:r w:rsidR="000A0B55" w:rsidRPr="000A0B55">
          <w:rPr>
            <w:rFonts w:ascii="Arial" w:hAnsi="Arial"/>
            <w:color w:val="0000FF"/>
            <w:u w:val="single"/>
            <w:rtl/>
          </w:rPr>
          <w:t>ע"פ 512/13</w:t>
        </w:r>
      </w:hyperlink>
      <w:r w:rsidRPr="001A4F38">
        <w:rPr>
          <w:rFonts w:ascii="Arial" w:hAnsi="Arial" w:hint="cs"/>
          <w:rtl/>
        </w:rPr>
        <w:t xml:space="preserve"> </w:t>
      </w:r>
      <w:r w:rsidRPr="001A4F38">
        <w:rPr>
          <w:rFonts w:ascii="Arial" w:hAnsi="Arial" w:hint="cs"/>
          <w:b/>
          <w:bCs/>
          <w:rtl/>
        </w:rPr>
        <w:t>פלוני נ' מ.י.</w:t>
      </w:r>
      <w:r w:rsidRPr="001A4F38">
        <w:rPr>
          <w:rFonts w:ascii="Arial" w:hAnsi="Arial" w:hint="cs"/>
          <w:rtl/>
        </w:rPr>
        <w:t xml:space="preserve"> (2013), פסקאות 18-12 לפסק דינו של השופט ח' מלצר; קול אחר שנשמע בדברי הש' זילברטל ב</w:t>
      </w:r>
      <w:hyperlink r:id="rId20" w:history="1">
        <w:r w:rsidR="000A0B55" w:rsidRPr="000A0B55">
          <w:rPr>
            <w:rFonts w:ascii="Arial" w:hAnsi="Arial"/>
            <w:color w:val="0000FF"/>
            <w:u w:val="single"/>
            <w:rtl/>
          </w:rPr>
          <w:t>ע"פ 2524/15</w:t>
        </w:r>
      </w:hyperlink>
      <w:r w:rsidRPr="001A4F38">
        <w:rPr>
          <w:rFonts w:ascii="Arial" w:hAnsi="Arial" w:hint="cs"/>
          <w:rtl/>
        </w:rPr>
        <w:t xml:space="preserve"> </w:t>
      </w:r>
      <w:r w:rsidRPr="001A4F38">
        <w:rPr>
          <w:rFonts w:ascii="Arial" w:hAnsi="Arial" w:hint="cs"/>
          <w:b/>
          <w:bCs/>
          <w:rtl/>
        </w:rPr>
        <w:t xml:space="preserve">שפרנוביץ נ' מ.י. </w:t>
      </w:r>
      <w:r w:rsidRPr="001A4F38">
        <w:rPr>
          <w:rFonts w:ascii="Arial" w:hAnsi="Arial" w:hint="cs"/>
          <w:rtl/>
        </w:rPr>
        <w:t>(2016) איננו אפוא עיקרה של הלכה).</w:t>
      </w:r>
    </w:p>
    <w:p w14:paraId="4E2CCF86" w14:textId="77777777" w:rsidR="00AF3CDD" w:rsidRDefault="00AF3CDD" w:rsidP="00AF3CDD">
      <w:pPr>
        <w:numPr>
          <w:ilvl w:val="0"/>
          <w:numId w:val="1"/>
        </w:numPr>
        <w:spacing w:line="360" w:lineRule="auto"/>
        <w:jc w:val="both"/>
        <w:rPr>
          <w:rFonts w:ascii="Arial" w:hAnsi="Arial"/>
        </w:rPr>
      </w:pPr>
      <w:r w:rsidRPr="001A4F38">
        <w:rPr>
          <w:rFonts w:ascii="Arial" w:hAnsi="Arial" w:hint="cs"/>
          <w:rtl/>
        </w:rPr>
        <w:t>קביעת המתחם לא תיעשה בדקדקנות הרגילה, אלא במידה המאפשרת בחינתו של הסדר הטיעון במבחן האיזון הראוי.</w:t>
      </w:r>
    </w:p>
    <w:p w14:paraId="28222D95" w14:textId="77777777" w:rsidR="00AF3CDD" w:rsidRDefault="00AF3CDD" w:rsidP="00AF3CDD">
      <w:pPr>
        <w:numPr>
          <w:ilvl w:val="0"/>
          <w:numId w:val="1"/>
        </w:numPr>
        <w:spacing w:line="360" w:lineRule="auto"/>
        <w:jc w:val="both"/>
        <w:rPr>
          <w:rFonts w:ascii="Arial" w:hAnsi="Arial"/>
        </w:rPr>
      </w:pPr>
      <w:r>
        <w:rPr>
          <w:rFonts w:ascii="Arial" w:hAnsi="Arial" w:hint="cs"/>
          <w:rtl/>
        </w:rPr>
        <w:t xml:space="preserve">אמנם, גידול לא-מסחרי של הסם 'הקל' קנאביס אינו נושא עמו את הפגעים והתחלואים הקשים לפרט ולחברה שנובעים משימוש ומסחר בסמים 'קשים' או בהיקף מסחרי, אך עדיין מדובר בפגיעה ממשית ופוטנציאלית בבריאות הציבור ושלומו. העבירות היו מתוכננות וגידול הסמים נמשך תקופה של-ממש כעולה ממשקל הסם שנתפס. מדיניות הענישה הנוהגת, בכמויות כאלה ודומות, היא עקיבה ועיקרה הטלת עונשי מאסר כעונש עיקרי, בין לריצוי בכליאה ובין לריצוי בעבודות שירות (וראו למשל </w:t>
      </w:r>
      <w:hyperlink r:id="rId21" w:history="1">
        <w:r w:rsidR="000A0B55" w:rsidRPr="000A0B55">
          <w:rPr>
            <w:rFonts w:ascii="Arial" w:hAnsi="Arial"/>
            <w:color w:val="0000FF"/>
            <w:u w:val="single"/>
            <w:rtl/>
          </w:rPr>
          <w:t>רע"פ 4512/15</w:t>
        </w:r>
      </w:hyperlink>
      <w:r>
        <w:rPr>
          <w:rFonts w:ascii="Arial" w:hAnsi="Arial" w:hint="cs"/>
          <w:rtl/>
        </w:rPr>
        <w:t xml:space="preserve"> </w:t>
      </w:r>
      <w:r>
        <w:rPr>
          <w:rFonts w:ascii="Arial" w:hAnsi="Arial" w:hint="cs"/>
          <w:b/>
          <w:bCs/>
          <w:rtl/>
        </w:rPr>
        <w:t>הרוש נ' מ.י.</w:t>
      </w:r>
      <w:r>
        <w:rPr>
          <w:rFonts w:ascii="Arial" w:hAnsi="Arial" w:hint="cs"/>
          <w:rtl/>
        </w:rPr>
        <w:t xml:space="preserve"> (2015) ו</w:t>
      </w:r>
      <w:hyperlink r:id="rId22" w:history="1">
        <w:r w:rsidR="000A0B55" w:rsidRPr="000A0B55">
          <w:rPr>
            <w:rFonts w:ascii="Arial" w:hAnsi="Arial"/>
            <w:color w:val="0000FF"/>
            <w:u w:val="single"/>
            <w:rtl/>
          </w:rPr>
          <w:t>ת"פ 10430-03-15</w:t>
        </w:r>
      </w:hyperlink>
      <w:r>
        <w:rPr>
          <w:rFonts w:ascii="Arial" w:hAnsi="Arial" w:hint="cs"/>
          <w:rtl/>
        </w:rPr>
        <w:t xml:space="preserve"> </w:t>
      </w:r>
      <w:r>
        <w:rPr>
          <w:rFonts w:ascii="Arial" w:hAnsi="Arial" w:hint="cs"/>
          <w:b/>
          <w:bCs/>
          <w:rtl/>
        </w:rPr>
        <w:t>מ.י. נ' אברהם</w:t>
      </w:r>
      <w:r>
        <w:rPr>
          <w:rFonts w:ascii="Arial" w:hAnsi="Arial" w:hint="cs"/>
          <w:rtl/>
        </w:rPr>
        <w:t xml:space="preserve"> (2016)).</w:t>
      </w:r>
    </w:p>
    <w:p w14:paraId="423B882B" w14:textId="77777777" w:rsidR="00AF3CDD" w:rsidRDefault="00AF3CDD" w:rsidP="00AF3CDD">
      <w:pPr>
        <w:numPr>
          <w:ilvl w:val="0"/>
          <w:numId w:val="1"/>
        </w:numPr>
        <w:spacing w:line="360" w:lineRule="auto"/>
        <w:jc w:val="both"/>
        <w:rPr>
          <w:rFonts w:ascii="Arial" w:hAnsi="Arial"/>
        </w:rPr>
      </w:pPr>
      <w:r>
        <w:rPr>
          <w:rFonts w:ascii="Arial" w:hAnsi="Arial" w:hint="cs"/>
          <w:rtl/>
        </w:rPr>
        <w:t>מתחם העונש ההולם ינוע אפוא בין חודשי מאסר ספורים, שניתן לרצותם בעבודות שירות, לבין שנת מאסר, כעונש עיקרי. עתירת התביעה מצויה אפוא במתחם העונש ההולם.</w:t>
      </w:r>
    </w:p>
    <w:p w14:paraId="00E3A7B3" w14:textId="77777777" w:rsidR="00AF3CDD" w:rsidRDefault="00AF3CDD" w:rsidP="00AF3CDD">
      <w:pPr>
        <w:spacing w:line="360" w:lineRule="auto"/>
        <w:jc w:val="both"/>
        <w:rPr>
          <w:rFonts w:ascii="Arial" w:hAnsi="Arial"/>
          <w:rtl/>
        </w:rPr>
      </w:pPr>
    </w:p>
    <w:p w14:paraId="38A53BD8" w14:textId="77777777" w:rsidR="00AF3CDD" w:rsidRDefault="00AF3CDD" w:rsidP="00AF3CDD">
      <w:pPr>
        <w:spacing w:line="360" w:lineRule="auto"/>
        <w:jc w:val="both"/>
        <w:rPr>
          <w:rFonts w:ascii="Arial" w:hAnsi="Arial"/>
          <w:rtl/>
        </w:rPr>
      </w:pPr>
      <w:r>
        <w:rPr>
          <w:rFonts w:ascii="Arial" w:hAnsi="Arial" w:hint="cs"/>
          <w:b/>
          <w:bCs/>
          <w:u w:val="single"/>
          <w:rtl/>
        </w:rPr>
        <w:t>חריגה מהמתחם מטעמי שיקום:</w:t>
      </w:r>
    </w:p>
    <w:p w14:paraId="35F5A1B1" w14:textId="77777777" w:rsidR="00AF3CDD" w:rsidRDefault="00AF3CDD" w:rsidP="00AF3CDD">
      <w:pPr>
        <w:pStyle w:val="a9"/>
        <w:numPr>
          <w:ilvl w:val="0"/>
          <w:numId w:val="3"/>
        </w:numPr>
        <w:spacing w:line="360" w:lineRule="auto"/>
        <w:jc w:val="both"/>
        <w:rPr>
          <w:rFonts w:ascii="Arial" w:hAnsi="Arial"/>
        </w:rPr>
      </w:pPr>
      <w:r>
        <w:rPr>
          <w:rFonts w:ascii="Arial" w:hAnsi="Arial" w:hint="cs"/>
          <w:rtl/>
        </w:rPr>
        <w:t>מצבו של הנאשם נפרס בפני בתסקיר המפורט, ובמסמכים רבים שהיו גם בפני עורכת התסקיר [נע/2].</w:t>
      </w:r>
    </w:p>
    <w:p w14:paraId="2B48C889" w14:textId="77777777" w:rsidR="00AF3CDD" w:rsidRDefault="00AF3CDD" w:rsidP="00AF3CDD">
      <w:pPr>
        <w:pStyle w:val="a9"/>
        <w:numPr>
          <w:ilvl w:val="0"/>
          <w:numId w:val="3"/>
        </w:numPr>
        <w:spacing w:line="360" w:lineRule="auto"/>
        <w:jc w:val="both"/>
        <w:rPr>
          <w:rFonts w:ascii="Arial" w:hAnsi="Arial"/>
        </w:rPr>
      </w:pPr>
      <w:r w:rsidRPr="00C22DED">
        <w:rPr>
          <w:rFonts w:ascii="Arial" w:hAnsi="Arial" w:hint="cs"/>
          <w:rtl/>
        </w:rPr>
        <w:lastRenderedPageBreak/>
        <w:t>הנאשם יליד 1952, כבן 65 כיום, נשוי ואב לשתי בנות בגירות. הנאשם מתגורר עם אשתו ובתו הצעירה, ועוסק במקצועו כעיתונאי. הנאשם שירת שירות סדיר ובמילואים, ומאז שחרורו הוא עובד. הנאשם נטול עבר פלילי</w:t>
      </w:r>
      <w:r>
        <w:rPr>
          <w:rFonts w:ascii="Arial" w:hAnsi="Arial" w:hint="cs"/>
          <w:rtl/>
        </w:rPr>
        <w:t>.</w:t>
      </w:r>
    </w:p>
    <w:p w14:paraId="22420351" w14:textId="77777777" w:rsidR="00AF3CDD" w:rsidRDefault="00AF3CDD" w:rsidP="00AF3CDD">
      <w:pPr>
        <w:pStyle w:val="a9"/>
        <w:numPr>
          <w:ilvl w:val="0"/>
          <w:numId w:val="3"/>
        </w:numPr>
        <w:spacing w:line="360" w:lineRule="auto"/>
        <w:jc w:val="both"/>
        <w:rPr>
          <w:rFonts w:ascii="Arial" w:hAnsi="Arial"/>
        </w:rPr>
      </w:pPr>
      <w:r>
        <w:rPr>
          <w:rFonts w:ascii="Arial" w:hAnsi="Arial" w:hint="cs"/>
          <w:rtl/>
        </w:rPr>
        <w:t>על כתפיו של הנאשם מוטל נטל כבד מאוד, ואין תמה שהוא חש כאחראי כמעט-יחיד לגורל משפחתו, וחרד מאוד להתמוטטות האיזון העדין המאפשר למשפחה להתקיים ולתפקד:</w:t>
      </w:r>
    </w:p>
    <w:p w14:paraId="59860235" w14:textId="77777777" w:rsidR="00AF3CDD" w:rsidRDefault="00AF3CDD" w:rsidP="00AF3CDD">
      <w:pPr>
        <w:pStyle w:val="a9"/>
        <w:numPr>
          <w:ilvl w:val="1"/>
          <w:numId w:val="3"/>
        </w:numPr>
        <w:spacing w:line="360" w:lineRule="auto"/>
        <w:jc w:val="both"/>
        <w:rPr>
          <w:rFonts w:ascii="Arial" w:hAnsi="Arial"/>
        </w:rPr>
      </w:pPr>
      <w:r>
        <w:rPr>
          <w:rFonts w:ascii="Arial" w:hAnsi="Arial" w:hint="cs"/>
          <w:rtl/>
        </w:rPr>
        <w:t>בעקבות פיטורים ממקום עבודה קודם בשנת 2002 נקלע הנאשם למצוקה נפשית קשה, ועד-כדי ניסיון אובדני [סיכום טיפול מיום 13.3.02, בנע/2], ומאז הוא נעזר בטיפול פסיכולוגי ופסיכיאטרי, כדי להתמודד מדיכאון וחרדה;</w:t>
      </w:r>
    </w:p>
    <w:p w14:paraId="050F858C" w14:textId="77777777" w:rsidR="00AF3CDD" w:rsidRDefault="00AF3CDD" w:rsidP="00AF3CDD">
      <w:pPr>
        <w:pStyle w:val="a9"/>
        <w:numPr>
          <w:ilvl w:val="1"/>
          <w:numId w:val="3"/>
        </w:numPr>
        <w:spacing w:line="360" w:lineRule="auto"/>
        <w:jc w:val="both"/>
        <w:rPr>
          <w:rFonts w:ascii="Arial" w:hAnsi="Arial"/>
        </w:rPr>
      </w:pPr>
      <w:r>
        <w:rPr>
          <w:rFonts w:ascii="Arial" w:hAnsi="Arial" w:hint="cs"/>
          <w:rtl/>
        </w:rPr>
        <w:t>אשת הנאשם סובלת ממחלה נפשית קשה,  כמתואר בתסקיר, והנאשם תומך בה [תעודת נכה ומסמכים רפואיים, בנע/2];</w:t>
      </w:r>
    </w:p>
    <w:p w14:paraId="3F82FA9D" w14:textId="77777777" w:rsidR="00AF3CDD" w:rsidRDefault="00AF3CDD" w:rsidP="00AF3CDD">
      <w:pPr>
        <w:pStyle w:val="a9"/>
        <w:numPr>
          <w:ilvl w:val="1"/>
          <w:numId w:val="3"/>
        </w:numPr>
        <w:spacing w:line="360" w:lineRule="auto"/>
        <w:jc w:val="both"/>
        <w:rPr>
          <w:rFonts w:ascii="Arial" w:hAnsi="Arial"/>
        </w:rPr>
      </w:pPr>
      <w:r>
        <w:rPr>
          <w:rFonts w:ascii="Arial" w:hAnsi="Arial" w:hint="cs"/>
          <w:rtl/>
        </w:rPr>
        <w:t>בתו הצעירה של הנאשם סובלת מהפרעה נפשית קשה, כמתואר בתסקיר, והנאשם תומך בה [תעודת נכה ומסמכים רפואיים, בנע/2];</w:t>
      </w:r>
    </w:p>
    <w:p w14:paraId="1ED54010" w14:textId="77777777" w:rsidR="00AF3CDD" w:rsidRDefault="00AF3CDD" w:rsidP="00AF3CDD">
      <w:pPr>
        <w:pStyle w:val="a9"/>
        <w:numPr>
          <w:ilvl w:val="0"/>
          <w:numId w:val="3"/>
        </w:numPr>
        <w:spacing w:line="360" w:lineRule="auto"/>
        <w:jc w:val="both"/>
        <w:rPr>
          <w:rFonts w:ascii="Arial" w:hAnsi="Arial"/>
        </w:rPr>
      </w:pPr>
      <w:r>
        <w:rPr>
          <w:rFonts w:ascii="Arial" w:hAnsi="Arial" w:hint="cs"/>
          <w:rtl/>
        </w:rPr>
        <w:t>הנאשם החל לצרוך בקביעות קנאביס בעקבות משבר משפחתי בשנת 2011, כאמצעי להרגעה עצמית, ואת הסם גידל לצריכתו שלו. ההליך הפלילי הרתיע את הנאשם, שחדל מלהשתמש בסם (בדיקת שתן תומכת בקביעה זו). הנאשם נעזר גם עתה בטיפול פסיכולוגי ובתרופות פסיכיאטריות, בהצלחה.</w:t>
      </w:r>
    </w:p>
    <w:p w14:paraId="76077648" w14:textId="77777777" w:rsidR="00AF3CDD" w:rsidRDefault="00AF3CDD" w:rsidP="00AF3CDD">
      <w:pPr>
        <w:pStyle w:val="a9"/>
        <w:numPr>
          <w:ilvl w:val="0"/>
          <w:numId w:val="3"/>
        </w:numPr>
        <w:spacing w:line="360" w:lineRule="auto"/>
        <w:jc w:val="both"/>
        <w:rPr>
          <w:rFonts w:ascii="Arial" w:hAnsi="Arial"/>
        </w:rPr>
      </w:pPr>
      <w:r>
        <w:rPr>
          <w:rFonts w:ascii="Arial" w:hAnsi="Arial" w:hint="cs"/>
          <w:rtl/>
        </w:rPr>
        <w:t>הנאשם מבין את הפסול במעשיו, חדל מלהשתמש בסם, וחווה חרטה ובושה כנות. התמיכה הטיפולית מצליחה לסייע לנאשם בהפחתת החרדות ובתפקוד תקין, אף סייעה ליציאתו ממצב של דיכאון, ושירות המבחן מצא כי הצלחת הטיפול מקטינה את הסיכון לחזרה לסם.</w:t>
      </w:r>
    </w:p>
    <w:p w14:paraId="1751AB82" w14:textId="77777777" w:rsidR="00AF3CDD" w:rsidRDefault="00AF3CDD" w:rsidP="00AF3CDD">
      <w:pPr>
        <w:pStyle w:val="a9"/>
        <w:numPr>
          <w:ilvl w:val="0"/>
          <w:numId w:val="3"/>
        </w:numPr>
        <w:spacing w:line="360" w:lineRule="auto"/>
        <w:jc w:val="both"/>
        <w:rPr>
          <w:rFonts w:ascii="Arial" w:hAnsi="Arial"/>
        </w:rPr>
      </w:pPr>
      <w:r>
        <w:rPr>
          <w:rFonts w:ascii="Arial" w:hAnsi="Arial" w:hint="cs"/>
          <w:rtl/>
        </w:rPr>
        <w:t>אמנם, שירות המבחן אינו ממליץ על שילובו של הנאשם בטיפול מטעמו, אך ודאי שבפנינו הליך שיקומי מבטיח: הנאשם נעזר וימשיך להיעזר בגורמים טיפוליים, חדל מלהשתמש בסם, ונראה שההליך הפלילי היווה תמרור אזהרה עוצמתי שימנע הסתבכויות נוספות. בעיה פלילית יחידה וחריגה זו בחייו של הנאשם טופלה, מטופלת ותטופל בצורה מיטבית, ומסקנת שירות המבחן בדבר הפחתת הסיכון לחזרה על מעשים כגון אלה מבוססת היטב.</w:t>
      </w:r>
    </w:p>
    <w:p w14:paraId="332D5DBD" w14:textId="77777777" w:rsidR="00AF3CDD" w:rsidRDefault="00AF3CDD" w:rsidP="00AF3CDD">
      <w:pPr>
        <w:pStyle w:val="a9"/>
        <w:numPr>
          <w:ilvl w:val="0"/>
          <w:numId w:val="3"/>
        </w:numPr>
        <w:spacing w:line="360" w:lineRule="auto"/>
        <w:jc w:val="both"/>
        <w:rPr>
          <w:rFonts w:ascii="Arial" w:hAnsi="Arial"/>
        </w:rPr>
      </w:pPr>
      <w:r>
        <w:rPr>
          <w:rFonts w:ascii="Arial" w:hAnsi="Arial" w:hint="cs"/>
          <w:rtl/>
        </w:rPr>
        <w:t xml:space="preserve">הפסיקה הכירה באפשרות של שיקום גם ללא מעורבות שירות המבחן, וגם על אפשרות זו ניתן להשתית חריגה ממתחם העונש ההולם. כך ראו למשל </w:t>
      </w:r>
      <w:hyperlink r:id="rId23" w:history="1">
        <w:r w:rsidR="000A0B55" w:rsidRPr="000A0B55">
          <w:rPr>
            <w:rFonts w:ascii="Arial" w:hAnsi="Arial"/>
            <w:color w:val="0000FF"/>
            <w:u w:val="single"/>
            <w:rtl/>
          </w:rPr>
          <w:t>רע"פ 1441/14</w:t>
        </w:r>
      </w:hyperlink>
      <w:r>
        <w:rPr>
          <w:rFonts w:ascii="Arial" w:hAnsi="Arial"/>
          <w:rtl/>
        </w:rPr>
        <w:t xml:space="preserve"> </w:t>
      </w:r>
      <w:r w:rsidRPr="00A60CCD">
        <w:rPr>
          <w:rFonts w:ascii="Arial" w:hAnsi="Arial"/>
          <w:b/>
          <w:bCs/>
          <w:rtl/>
        </w:rPr>
        <w:t xml:space="preserve">חמיס נ' מ.י. </w:t>
      </w:r>
      <w:r w:rsidRPr="00A60CCD">
        <w:rPr>
          <w:rFonts w:ascii="Arial" w:hAnsi="Arial"/>
          <w:rtl/>
        </w:rPr>
        <w:t>(2014)</w:t>
      </w:r>
      <w:r>
        <w:rPr>
          <w:rFonts w:ascii="Arial" w:hAnsi="Arial" w:hint="cs"/>
          <w:rtl/>
        </w:rPr>
        <w:t xml:space="preserve">, ועוד ראו </w:t>
      </w:r>
      <w:hyperlink r:id="rId24" w:history="1">
        <w:r w:rsidR="000A0B55" w:rsidRPr="000A0B55">
          <w:rPr>
            <w:rFonts w:ascii="Arial" w:hAnsi="Arial"/>
            <w:color w:val="0000FF"/>
            <w:u w:val="single"/>
            <w:rtl/>
          </w:rPr>
          <w:t>ע"פ 5718/16</w:t>
        </w:r>
      </w:hyperlink>
      <w:r w:rsidRPr="00A60CCD">
        <w:rPr>
          <w:rFonts w:ascii="Arial" w:hAnsi="Arial"/>
          <w:rtl/>
        </w:rPr>
        <w:t xml:space="preserve"> </w:t>
      </w:r>
      <w:r w:rsidRPr="00A60CCD">
        <w:rPr>
          <w:rFonts w:ascii="Arial" w:hAnsi="Arial"/>
          <w:b/>
          <w:bCs/>
          <w:rtl/>
        </w:rPr>
        <w:t>זהבי נ' מ.י.</w:t>
      </w:r>
      <w:r w:rsidRPr="00A60CCD">
        <w:rPr>
          <w:rFonts w:ascii="Arial" w:hAnsi="Arial"/>
          <w:rtl/>
        </w:rPr>
        <w:t xml:space="preserve"> (2016)</w:t>
      </w:r>
      <w:r>
        <w:rPr>
          <w:rFonts w:ascii="Arial" w:hAnsi="Arial" w:hint="cs"/>
          <w:rtl/>
        </w:rPr>
        <w:t xml:space="preserve"> לעניין חריגה ממתחם בהצטבר נסיבות מיוחדות.</w:t>
      </w:r>
    </w:p>
    <w:p w14:paraId="6E71E862" w14:textId="77777777" w:rsidR="00AF3CDD" w:rsidRDefault="00AF3CDD" w:rsidP="00AF3CDD">
      <w:pPr>
        <w:pStyle w:val="a9"/>
        <w:numPr>
          <w:ilvl w:val="0"/>
          <w:numId w:val="3"/>
        </w:numPr>
        <w:spacing w:line="360" w:lineRule="auto"/>
        <w:jc w:val="both"/>
        <w:rPr>
          <w:rFonts w:ascii="Arial" w:hAnsi="Arial"/>
        </w:rPr>
      </w:pPr>
      <w:r>
        <w:rPr>
          <w:rFonts w:ascii="Arial" w:hAnsi="Arial" w:hint="cs"/>
          <w:rtl/>
        </w:rPr>
        <w:t>לסיכום: הטלת עונש מאסר, ולו בעבודות שירות, עלולה לדרדר את הנאשם ואת משפחתו למצב שיקשה לתקנו; חריגה ממתחם העונש מוצדקת, לנוכח הליכי התמיכה והשיקום שעובר הנאשם, שמאפשרים צפי חיובי.</w:t>
      </w:r>
    </w:p>
    <w:p w14:paraId="22ECF7CE" w14:textId="77777777" w:rsidR="00AF3CDD" w:rsidRDefault="00AF3CDD" w:rsidP="00AF3CDD">
      <w:pPr>
        <w:pStyle w:val="a9"/>
        <w:numPr>
          <w:ilvl w:val="0"/>
          <w:numId w:val="3"/>
        </w:numPr>
        <w:spacing w:line="360" w:lineRule="auto"/>
        <w:jc w:val="both"/>
        <w:rPr>
          <w:rFonts w:ascii="Arial" w:hAnsi="Arial"/>
        </w:rPr>
      </w:pPr>
      <w:r>
        <w:rPr>
          <w:rFonts w:ascii="Arial" w:hAnsi="Arial" w:hint="cs"/>
          <w:rtl/>
        </w:rPr>
        <w:t>אקבל אפוא את המלצת שירות המבחן, כעתירת ההגנה, ואמנע מהטלת עונש מאסר. העונש שיוטל יכלול יסוד מרתיע של מאסר מותנה ויסוד קונקרטי של של"צ. לנוכח מצבו הכלכלי של הנאשם, אמנע מעיצום כספי. בנוסף, יפקח שירות המבחן על הנאשם.</w:t>
      </w:r>
    </w:p>
    <w:p w14:paraId="77EB6B94" w14:textId="77777777" w:rsidR="00AF3CDD" w:rsidRPr="00835C52" w:rsidRDefault="00AF3CDD" w:rsidP="00AF3CDD">
      <w:pPr>
        <w:spacing w:line="360" w:lineRule="auto"/>
        <w:jc w:val="both"/>
        <w:rPr>
          <w:rFonts w:ascii="Arial" w:hAnsi="Arial"/>
          <w:rtl/>
        </w:rPr>
      </w:pPr>
    </w:p>
    <w:p w14:paraId="1D8B137D" w14:textId="77777777" w:rsidR="00AF3CDD" w:rsidRDefault="00AF3CDD" w:rsidP="00AF3CDD">
      <w:pPr>
        <w:spacing w:line="360" w:lineRule="auto"/>
        <w:jc w:val="both"/>
        <w:rPr>
          <w:rFonts w:ascii="Arial" w:hAnsi="Arial"/>
          <w:rtl/>
        </w:rPr>
      </w:pPr>
      <w:r>
        <w:rPr>
          <w:rFonts w:ascii="Arial" w:hAnsi="Arial" w:hint="cs"/>
          <w:b/>
          <w:bCs/>
          <w:u w:val="single"/>
          <w:rtl/>
        </w:rPr>
        <w:t>סוף-דבר, אני גוזר על הנאשם את העונשים הבאים:</w:t>
      </w:r>
    </w:p>
    <w:p w14:paraId="7B776CA9" w14:textId="77777777" w:rsidR="00AF3CDD" w:rsidRDefault="00AF3CDD" w:rsidP="00AF3CDD">
      <w:pPr>
        <w:spacing w:line="360" w:lineRule="auto"/>
        <w:jc w:val="both"/>
        <w:rPr>
          <w:rFonts w:ascii="Arial" w:hAnsi="Arial"/>
          <w:rtl/>
        </w:rPr>
      </w:pPr>
      <w:r>
        <w:rPr>
          <w:rFonts w:ascii="Arial" w:hAnsi="Arial" w:hint="cs"/>
          <w:rtl/>
        </w:rPr>
        <w:t>א.</w:t>
      </w:r>
      <w:r>
        <w:rPr>
          <w:rFonts w:ascii="Arial" w:hAnsi="Arial" w:hint="cs"/>
          <w:rtl/>
        </w:rPr>
        <w:tab/>
        <w:t>שלושה חודשי מאסר על-תנאי, למשך שנתיים מהיום, שלא יעבור עבירת סם מכל סוג;</w:t>
      </w:r>
    </w:p>
    <w:p w14:paraId="2F908FD3" w14:textId="77777777" w:rsidR="00AF3CDD" w:rsidRDefault="00AF3CDD" w:rsidP="00AF3CDD">
      <w:pPr>
        <w:spacing w:line="360" w:lineRule="auto"/>
        <w:ind w:left="720" w:hanging="720"/>
        <w:jc w:val="both"/>
        <w:rPr>
          <w:rFonts w:ascii="Arial" w:hAnsi="Arial"/>
          <w:rtl/>
        </w:rPr>
      </w:pPr>
      <w:r>
        <w:rPr>
          <w:rFonts w:ascii="Arial" w:hAnsi="Arial" w:hint="cs"/>
          <w:rtl/>
        </w:rPr>
        <w:t>ב.</w:t>
      </w:r>
      <w:r>
        <w:rPr>
          <w:rFonts w:ascii="Arial" w:hAnsi="Arial" w:hint="cs"/>
          <w:rtl/>
        </w:rPr>
        <w:tab/>
        <w:t>120 שעות של"צ בוועד למלחמה באיידס, לפי תכנית שירות המבחן מיום 3.10.17 המאושרת עתה [נע/1]. הנאשם מוזהר, כי אי-ציות להוראות שירות המבחן או הממונים במקום השל"צ, יוביל להשבת התיק לבית המשפט ולהטלת עונש חלופי נוסף. השירות יוכל לבצע בדיקות שתן לנאשם, לרבות בדיקות פתע;</w:t>
      </w:r>
    </w:p>
    <w:p w14:paraId="57EA5204" w14:textId="77777777" w:rsidR="00AF3CDD" w:rsidRPr="00835C52" w:rsidRDefault="00AF3CDD" w:rsidP="00AF3CDD">
      <w:pPr>
        <w:spacing w:line="360" w:lineRule="auto"/>
        <w:ind w:left="720" w:hanging="720"/>
        <w:jc w:val="both"/>
        <w:rPr>
          <w:rFonts w:ascii="Arial" w:hAnsi="Arial"/>
        </w:rPr>
      </w:pPr>
      <w:r>
        <w:rPr>
          <w:rFonts w:ascii="Arial" w:hAnsi="Arial" w:hint="cs"/>
          <w:rtl/>
        </w:rPr>
        <w:t>ג.</w:t>
      </w:r>
      <w:r>
        <w:rPr>
          <w:rFonts w:ascii="Arial" w:hAnsi="Arial" w:hint="cs"/>
          <w:rtl/>
        </w:rPr>
        <w:tab/>
        <w:t>פיקוח שירות המבחן למשך שנה מהיום, בתנאי מפורש של המשך הטיפול הפסיכולוגי והמעקב הפסיכיאטרי, כל זמן שהשירות ימצא בכך צורך. הנאשם מוזהר, כי הימנעות משיתוף פעולה עם השירות, יוביל להשבת התיק לבית המשפט ולהטלת עונש חלופי נוסף;</w:t>
      </w:r>
    </w:p>
    <w:p w14:paraId="53593E6A" w14:textId="77777777" w:rsidR="00AF3CDD" w:rsidRDefault="00AF3CDD" w:rsidP="00AF3CDD">
      <w:pPr>
        <w:spacing w:line="360" w:lineRule="auto"/>
        <w:jc w:val="both"/>
        <w:rPr>
          <w:rFonts w:ascii="Arial" w:hAnsi="Arial"/>
          <w:rtl/>
        </w:rPr>
      </w:pPr>
    </w:p>
    <w:p w14:paraId="21BC55FB" w14:textId="77777777" w:rsidR="00AF3CDD" w:rsidRDefault="00AF3CDD" w:rsidP="00AF3CDD">
      <w:pPr>
        <w:spacing w:line="360" w:lineRule="auto"/>
        <w:jc w:val="both"/>
        <w:rPr>
          <w:rFonts w:ascii="Arial" w:hAnsi="Arial"/>
          <w:rtl/>
        </w:rPr>
      </w:pPr>
      <w:r>
        <w:rPr>
          <w:rFonts w:ascii="Arial" w:hAnsi="Arial" w:hint="cs"/>
          <w:b/>
          <w:bCs/>
          <w:u w:val="single"/>
          <w:rtl/>
        </w:rPr>
        <w:t>הוראות נלוות:</w:t>
      </w:r>
    </w:p>
    <w:p w14:paraId="513B401F" w14:textId="77777777" w:rsidR="00AF3CDD" w:rsidRDefault="00AF3CDD" w:rsidP="00AF3CDD">
      <w:pPr>
        <w:spacing w:line="360" w:lineRule="auto"/>
        <w:ind w:left="720" w:hanging="720"/>
        <w:jc w:val="both"/>
        <w:rPr>
          <w:rFonts w:ascii="Arial" w:hAnsi="Arial"/>
          <w:rtl/>
        </w:rPr>
      </w:pPr>
      <w:r>
        <w:rPr>
          <w:rFonts w:ascii="Arial" w:hAnsi="Arial" w:hint="cs"/>
          <w:rtl/>
        </w:rPr>
        <w:t>א.</w:t>
      </w:r>
      <w:r>
        <w:rPr>
          <w:rFonts w:ascii="Arial" w:hAnsi="Arial" w:hint="cs"/>
          <w:rtl/>
        </w:rPr>
        <w:tab/>
        <w:t>מוצגים: סמים וכלי גידול יושמדו. כל מוצג אחר, פרט לכסף, יועבר להכרעה פרטנית של קצין משטרה;</w:t>
      </w:r>
    </w:p>
    <w:p w14:paraId="6917B91B" w14:textId="77777777" w:rsidR="00AF3CDD" w:rsidRPr="00003EAE" w:rsidRDefault="00AF3CDD" w:rsidP="00AF3CDD">
      <w:pPr>
        <w:spacing w:line="360" w:lineRule="auto"/>
        <w:ind w:left="720" w:hanging="720"/>
        <w:jc w:val="both"/>
        <w:rPr>
          <w:rFonts w:ascii="Arial" w:hAnsi="Arial"/>
          <w:rtl/>
        </w:rPr>
      </w:pPr>
      <w:r>
        <w:rPr>
          <w:rFonts w:ascii="Arial" w:hAnsi="Arial" w:hint="cs"/>
          <w:rtl/>
        </w:rPr>
        <w:t>ב.</w:t>
      </w:r>
      <w:r>
        <w:rPr>
          <w:rFonts w:ascii="Arial" w:hAnsi="Arial" w:hint="cs"/>
          <w:rtl/>
        </w:rPr>
        <w:tab/>
        <w:t>עותק גזר הדין יישלח לשירות המבחן;</w:t>
      </w:r>
    </w:p>
    <w:p w14:paraId="4E252476" w14:textId="77777777" w:rsidR="00AF3CDD" w:rsidRDefault="00AF3CDD" w:rsidP="00AF3CDD">
      <w:pPr>
        <w:spacing w:line="360" w:lineRule="auto"/>
        <w:jc w:val="both"/>
        <w:rPr>
          <w:rtl/>
        </w:rPr>
      </w:pPr>
    </w:p>
    <w:p w14:paraId="01F4B30A" w14:textId="77777777" w:rsidR="00AF3CDD" w:rsidRPr="00B05847" w:rsidRDefault="00AF3CDD" w:rsidP="00AF3CDD">
      <w:pPr>
        <w:spacing w:line="360" w:lineRule="auto"/>
        <w:jc w:val="both"/>
        <w:rPr>
          <w:rtl/>
        </w:rPr>
      </w:pPr>
    </w:p>
    <w:p w14:paraId="238536E4" w14:textId="77777777" w:rsidR="00AF3CDD" w:rsidRPr="00B05847" w:rsidRDefault="00AF3CDD" w:rsidP="00AF3CDD">
      <w:pPr>
        <w:spacing w:line="360" w:lineRule="auto"/>
        <w:jc w:val="both"/>
        <w:rPr>
          <w:rtl/>
        </w:rPr>
      </w:pPr>
      <w:r>
        <w:rPr>
          <w:rFonts w:hint="cs"/>
          <w:rtl/>
        </w:rPr>
        <w:t xml:space="preserve">זכות ערעור תוך 45 יום מהיום, לבית המשפט המחוזי בתל-אביב </w:t>
      </w:r>
      <w:r>
        <w:rPr>
          <w:rtl/>
        </w:rPr>
        <w:t>–</w:t>
      </w:r>
      <w:r>
        <w:rPr>
          <w:rFonts w:hint="cs"/>
          <w:rtl/>
        </w:rPr>
        <w:t xml:space="preserve"> יפו.</w:t>
      </w:r>
    </w:p>
    <w:p w14:paraId="48977B68" w14:textId="77777777" w:rsidR="00AF3CDD" w:rsidRPr="00B05847" w:rsidRDefault="00AF3CDD" w:rsidP="00AF3CDD">
      <w:pPr>
        <w:spacing w:line="360" w:lineRule="auto"/>
        <w:jc w:val="both"/>
        <w:rPr>
          <w:rtl/>
        </w:rPr>
      </w:pPr>
    </w:p>
    <w:p w14:paraId="7666268F" w14:textId="77777777" w:rsidR="00AF3CDD" w:rsidRPr="000A0B55" w:rsidRDefault="000A0B55" w:rsidP="00AF3CDD">
      <w:pPr>
        <w:rPr>
          <w:color w:val="FFFFFF"/>
          <w:sz w:val="2"/>
          <w:szCs w:val="2"/>
          <w:rtl/>
        </w:rPr>
      </w:pPr>
      <w:r w:rsidRPr="000A0B55">
        <w:rPr>
          <w:color w:val="FFFFFF"/>
          <w:sz w:val="2"/>
          <w:szCs w:val="2"/>
          <w:rtl/>
        </w:rPr>
        <w:t>5129371</w:t>
      </w:r>
    </w:p>
    <w:p w14:paraId="47E23DBA" w14:textId="77777777" w:rsidR="00AF3CDD" w:rsidRPr="00250B83" w:rsidRDefault="000A0B55" w:rsidP="00AF3CDD">
      <w:pPr>
        <w:rPr>
          <w:rtl/>
        </w:rPr>
      </w:pPr>
      <w:r w:rsidRPr="000A0B55">
        <w:rPr>
          <w:rFonts w:ascii="Arial" w:hAnsi="Arial"/>
          <w:color w:val="FFFFFF"/>
          <w:sz w:val="2"/>
          <w:szCs w:val="2"/>
          <w:rtl/>
        </w:rPr>
        <w:t>54678313</w:t>
      </w:r>
      <w:r>
        <w:rPr>
          <w:rFonts w:ascii="Arial" w:hAnsi="Arial"/>
          <w:rtl/>
        </w:rPr>
        <w:t xml:space="preserve">ניתן היום,  ט"ז חשוון תשע"ח, 05 נובמבר 2017, במעמד הצדדים. </w:t>
      </w:r>
    </w:p>
    <w:p w14:paraId="4D66D320" w14:textId="77777777" w:rsidR="00AF3CDD" w:rsidRPr="00250B83" w:rsidRDefault="00AF3CDD" w:rsidP="00AF3CDD">
      <w:pPr>
        <w:jc w:val="center"/>
      </w:pPr>
      <w:r w:rsidRPr="00250B83">
        <w:rPr>
          <w:rFonts w:hint="cs"/>
          <w:rtl/>
        </w:rPr>
        <w:t xml:space="preserve">   </w:t>
      </w:r>
      <w:r w:rsidRPr="00250B83">
        <w:rPr>
          <w:rFonts w:hint="cs"/>
          <w:rtl/>
        </w:rPr>
        <w:tab/>
      </w:r>
      <w:r w:rsidRPr="00250B83">
        <w:rPr>
          <w:rFonts w:hint="cs"/>
          <w:rtl/>
        </w:rPr>
        <w:tab/>
      </w:r>
      <w:r w:rsidRPr="00250B83">
        <w:rPr>
          <w:rFonts w:hint="cs"/>
          <w:rtl/>
        </w:rPr>
        <w:tab/>
      </w:r>
      <w:r w:rsidRPr="00250B83">
        <w:rPr>
          <w:rFonts w:hint="cs"/>
          <w:rtl/>
        </w:rPr>
        <w:tab/>
      </w:r>
      <w:r w:rsidRPr="00250B83">
        <w:rPr>
          <w:rFonts w:hint="cs"/>
          <w:rtl/>
        </w:rPr>
        <w:tab/>
      </w:r>
      <w:r>
        <w:rPr>
          <w:rtl/>
        </w:rPr>
        <w:t xml:space="preserve">     </w:t>
      </w:r>
    </w:p>
    <w:p w14:paraId="7CBE4232" w14:textId="77777777" w:rsidR="00AF3CDD" w:rsidRPr="00250B83" w:rsidRDefault="00AF3CDD" w:rsidP="00AF3CDD">
      <w:pPr>
        <w:jc w:val="center"/>
        <w:rPr>
          <w:rFonts w:ascii="Arial" w:hAnsi="Arial"/>
          <w:rtl/>
        </w:rPr>
      </w:pPr>
    </w:p>
    <w:p w14:paraId="29FE749F" w14:textId="77777777" w:rsidR="00AF3CDD" w:rsidRPr="00250B83" w:rsidRDefault="00AF3CDD" w:rsidP="00AF3CDD">
      <w:pPr>
        <w:rPr>
          <w:rtl/>
        </w:rPr>
      </w:pPr>
    </w:p>
    <w:p w14:paraId="21CCC65D" w14:textId="77777777" w:rsidR="00AF3CDD" w:rsidRDefault="00AF3CDD" w:rsidP="00AF3CDD">
      <w:pPr>
        <w:pStyle w:val="a3"/>
        <w:jc w:val="center"/>
        <w:rPr>
          <w:rtl/>
        </w:rPr>
      </w:pPr>
    </w:p>
    <w:p w14:paraId="47E2A604" w14:textId="77777777" w:rsidR="002D7B2F" w:rsidRPr="000A0B55" w:rsidRDefault="002D7B2F" w:rsidP="000A0B55">
      <w:pPr>
        <w:keepNext/>
        <w:rPr>
          <w:rFonts w:ascii="David" w:hAnsi="David"/>
          <w:color w:val="000000"/>
          <w:sz w:val="22"/>
          <w:szCs w:val="22"/>
          <w:rtl/>
        </w:rPr>
      </w:pPr>
    </w:p>
    <w:p w14:paraId="5D07C530" w14:textId="77777777" w:rsidR="000A0B55" w:rsidRPr="000A0B55" w:rsidRDefault="000A0B55" w:rsidP="000A0B55">
      <w:pPr>
        <w:keepNext/>
        <w:rPr>
          <w:rFonts w:ascii="David" w:hAnsi="David"/>
          <w:color w:val="000000"/>
          <w:sz w:val="22"/>
          <w:szCs w:val="22"/>
          <w:rtl/>
        </w:rPr>
      </w:pPr>
      <w:r w:rsidRPr="000A0B55">
        <w:rPr>
          <w:rFonts w:ascii="David" w:hAnsi="David"/>
          <w:color w:val="000000"/>
          <w:sz w:val="22"/>
          <w:szCs w:val="22"/>
          <w:rtl/>
        </w:rPr>
        <w:t>עידו דרויאן גמליאל 54678313</w:t>
      </w:r>
    </w:p>
    <w:p w14:paraId="0E24A532" w14:textId="77777777" w:rsidR="000A0B55" w:rsidRDefault="000A0B55" w:rsidP="000A0B55">
      <w:r w:rsidRPr="000A0B55">
        <w:rPr>
          <w:color w:val="000000"/>
          <w:rtl/>
        </w:rPr>
        <w:t>נוסח מסמך זה כפוף לשינויי ניסוח ועריכה</w:t>
      </w:r>
    </w:p>
    <w:p w14:paraId="2EE23214" w14:textId="77777777" w:rsidR="000A0B55" w:rsidRDefault="000A0B55" w:rsidP="000A0B55">
      <w:pPr>
        <w:rPr>
          <w:rtl/>
        </w:rPr>
      </w:pPr>
    </w:p>
    <w:p w14:paraId="36A7E49C" w14:textId="77777777" w:rsidR="000A0B55" w:rsidRDefault="000A0B55" w:rsidP="000A0B55">
      <w:pPr>
        <w:jc w:val="center"/>
        <w:rPr>
          <w:color w:val="0000FF"/>
          <w:u w:val="single"/>
        </w:rPr>
      </w:pPr>
      <w:hyperlink r:id="rId25" w:history="1">
        <w:r>
          <w:rPr>
            <w:color w:val="0000FF"/>
            <w:u w:val="single"/>
            <w:rtl/>
          </w:rPr>
          <w:t>בעניין עריכה ושינויים במסמכי פסיקה, חקיקה ועוד באתר נבו – הקש כאן</w:t>
        </w:r>
      </w:hyperlink>
    </w:p>
    <w:p w14:paraId="61FA091D" w14:textId="77777777" w:rsidR="000A0B55" w:rsidRPr="000A0B55" w:rsidRDefault="000A0B55" w:rsidP="000A0B55">
      <w:pPr>
        <w:jc w:val="center"/>
        <w:rPr>
          <w:color w:val="0000FF"/>
          <w:u w:val="single"/>
        </w:rPr>
      </w:pPr>
    </w:p>
    <w:sectPr w:rsidR="000A0B55" w:rsidRPr="000A0B55" w:rsidSect="000A0B55">
      <w:headerReference w:type="even" r:id="rId26"/>
      <w:headerReference w:type="default" r:id="rId27"/>
      <w:footerReference w:type="even" r:id="rId28"/>
      <w:footerReference w:type="default" r:id="rId29"/>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941D7EB" w14:textId="77777777" w:rsidR="002D483A" w:rsidRDefault="002D483A" w:rsidP="00C639FB">
      <w:r>
        <w:separator/>
      </w:r>
    </w:p>
  </w:endnote>
  <w:endnote w:type="continuationSeparator" w:id="0">
    <w:p w14:paraId="16F9AB3E" w14:textId="77777777" w:rsidR="002D483A" w:rsidRDefault="002D483A" w:rsidP="00C639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A161CF" w14:textId="77777777" w:rsidR="002D483A" w:rsidRDefault="002D483A" w:rsidP="000A0B55">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393205EF" w14:textId="77777777" w:rsidR="002D483A" w:rsidRPr="000A0B55" w:rsidRDefault="002D483A" w:rsidP="000A0B55">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31ECFB" w14:textId="77777777" w:rsidR="002D483A" w:rsidRDefault="002D483A" w:rsidP="000A0B55">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3C3A3E">
      <w:rPr>
        <w:rFonts w:ascii="FrankRuehl" w:hAnsi="FrankRuehl" w:cs="FrankRuehl"/>
        <w:noProof/>
        <w:rtl/>
      </w:rPr>
      <w:t>1</w:t>
    </w:r>
    <w:r>
      <w:rPr>
        <w:rFonts w:ascii="FrankRuehl" w:hAnsi="FrankRuehl" w:cs="FrankRuehl"/>
        <w:rtl/>
      </w:rPr>
      <w:fldChar w:fldCharType="end"/>
    </w:r>
  </w:p>
  <w:p w14:paraId="615D2BFA" w14:textId="77777777" w:rsidR="002D483A" w:rsidRPr="000A0B55" w:rsidRDefault="002D483A" w:rsidP="000A0B55">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2CC877A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ECFE09A" w14:textId="77777777" w:rsidR="002D483A" w:rsidRDefault="002D483A" w:rsidP="00C639FB">
      <w:r>
        <w:separator/>
      </w:r>
    </w:p>
  </w:footnote>
  <w:footnote w:type="continuationSeparator" w:id="0">
    <w:p w14:paraId="35F44A15" w14:textId="77777777" w:rsidR="002D483A" w:rsidRDefault="002D483A" w:rsidP="00C639F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9CDF54" w14:textId="77777777" w:rsidR="002D483A" w:rsidRPr="000A0B55" w:rsidRDefault="002D483A" w:rsidP="000A0B55">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(ת"א) 6399-03-17</w:t>
    </w:r>
    <w:r>
      <w:rPr>
        <w:rFonts w:ascii="David" w:hAnsi="David"/>
        <w:color w:val="000000"/>
        <w:sz w:val="22"/>
        <w:szCs w:val="22"/>
        <w:rtl/>
      </w:rPr>
      <w:tab/>
      <w:t xml:space="preserve"> מדינת ישראל נ' אילן שאול</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F19C4F" w14:textId="77777777" w:rsidR="002D483A" w:rsidRPr="000A0B55" w:rsidRDefault="002D483A" w:rsidP="000A0B55">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(ת"א) 6399-03-17</w:t>
    </w:r>
    <w:r>
      <w:rPr>
        <w:rFonts w:ascii="David" w:hAnsi="David"/>
        <w:color w:val="000000"/>
        <w:sz w:val="22"/>
        <w:szCs w:val="22"/>
        <w:rtl/>
      </w:rPr>
      <w:tab/>
      <w:t xml:space="preserve"> מדינת ישראל נ' אילן שאול</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172E51"/>
    <w:multiLevelType w:val="hybridMultilevel"/>
    <w:tmpl w:val="3EDAA402"/>
    <w:lvl w:ilvl="0" w:tplc="0409000F">
      <w:start w:val="1"/>
      <w:numFmt w:val="decimal"/>
      <w:lvlText w:val="%1."/>
      <w:lvlJc w:val="left"/>
      <w:pPr>
        <w:ind w:left="360" w:hanging="360"/>
      </w:pPr>
    </w:lvl>
    <w:lvl w:ilvl="1" w:tplc="04090013">
      <w:start w:val="1"/>
      <w:numFmt w:val="hebrew1"/>
      <w:lvlText w:val="%2."/>
      <w:lvlJc w:val="center"/>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CA80445"/>
    <w:multiLevelType w:val="hybridMultilevel"/>
    <w:tmpl w:val="E758DF3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2555783E"/>
    <w:multiLevelType w:val="hybridMultilevel"/>
    <w:tmpl w:val="9E64EDD8"/>
    <w:lvl w:ilvl="0" w:tplc="0409000F">
      <w:start w:val="1"/>
      <w:numFmt w:val="decimal"/>
      <w:lvlText w:val="%1."/>
      <w:lvlJc w:val="left"/>
      <w:pPr>
        <w:ind w:left="360" w:hanging="360"/>
      </w:pPr>
      <w:rPr>
        <w:rFonts w:cs="Times New Roman"/>
      </w:rPr>
    </w:lvl>
    <w:lvl w:ilvl="1" w:tplc="04090013">
      <w:start w:val="1"/>
      <w:numFmt w:val="hebrew1"/>
      <w:lvlText w:val="%2."/>
      <w:lvlJc w:val="center"/>
      <w:pPr>
        <w:ind w:left="1080" w:hanging="360"/>
      </w:pPr>
      <w:rPr>
        <w:rFonts w:cs="Times New Roman"/>
      </w:rPr>
    </w:lvl>
    <w:lvl w:ilvl="2" w:tplc="0409001B">
      <w:start w:val="1"/>
      <w:numFmt w:val="lowerRoman"/>
      <w:lvlText w:val="%3."/>
      <w:lvlJc w:val="right"/>
      <w:pPr>
        <w:ind w:left="1800" w:hanging="180"/>
      </w:pPr>
      <w:rPr>
        <w:rFonts w:cs="Times New Roman"/>
      </w:rPr>
    </w:lvl>
    <w:lvl w:ilvl="3" w:tplc="0409000F">
      <w:start w:val="1"/>
      <w:numFmt w:val="decimal"/>
      <w:lvlText w:val="%4."/>
      <w:lvlJc w:val="left"/>
      <w:pPr>
        <w:ind w:left="2520" w:hanging="360"/>
      </w:pPr>
      <w:rPr>
        <w:rFonts w:cs="Times New Roman"/>
      </w:rPr>
    </w:lvl>
    <w:lvl w:ilvl="4" w:tplc="04090019">
      <w:start w:val="1"/>
      <w:numFmt w:val="lowerLetter"/>
      <w:lvlText w:val="%5."/>
      <w:lvlJc w:val="left"/>
      <w:pPr>
        <w:ind w:left="3240" w:hanging="360"/>
      </w:pPr>
      <w:rPr>
        <w:rFonts w:cs="Times New Roman"/>
      </w:rPr>
    </w:lvl>
    <w:lvl w:ilvl="5" w:tplc="0409001B">
      <w:start w:val="1"/>
      <w:numFmt w:val="lowerRoman"/>
      <w:lvlText w:val="%6."/>
      <w:lvlJc w:val="right"/>
      <w:pPr>
        <w:ind w:left="3960" w:hanging="180"/>
      </w:pPr>
      <w:rPr>
        <w:rFonts w:cs="Times New Roman"/>
      </w:rPr>
    </w:lvl>
    <w:lvl w:ilvl="6" w:tplc="0409000F">
      <w:start w:val="1"/>
      <w:numFmt w:val="decimal"/>
      <w:lvlText w:val="%7."/>
      <w:lvlJc w:val="left"/>
      <w:pPr>
        <w:ind w:left="4680" w:hanging="360"/>
      </w:pPr>
      <w:rPr>
        <w:rFonts w:cs="Times New Roman"/>
      </w:rPr>
    </w:lvl>
    <w:lvl w:ilvl="7" w:tplc="04090019">
      <w:start w:val="1"/>
      <w:numFmt w:val="lowerLetter"/>
      <w:lvlText w:val="%8."/>
      <w:lvlJc w:val="left"/>
      <w:pPr>
        <w:ind w:left="5400" w:hanging="360"/>
      </w:pPr>
      <w:rPr>
        <w:rFonts w:cs="Times New Roman"/>
      </w:rPr>
    </w:lvl>
    <w:lvl w:ilvl="8" w:tplc="0409001B">
      <w:start w:val="1"/>
      <w:numFmt w:val="lowerRoman"/>
      <w:lvlText w:val="%9."/>
      <w:lvlJc w:val="right"/>
      <w:pPr>
        <w:ind w:left="6120" w:hanging="180"/>
      </w:pPr>
      <w:rPr>
        <w:rFonts w:cs="Times New Roman"/>
      </w:rPr>
    </w:lvl>
  </w:abstractNum>
  <w:num w:numId="1" w16cid:durableId="82301319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047900735">
    <w:abstractNumId w:val="1"/>
  </w:num>
  <w:num w:numId="3" w16cid:durableId="16559105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AF3CDD"/>
    <w:rsid w:val="000928A7"/>
    <w:rsid w:val="000A0B55"/>
    <w:rsid w:val="002D483A"/>
    <w:rsid w:val="002D7B2F"/>
    <w:rsid w:val="003822DA"/>
    <w:rsid w:val="003C3A3E"/>
    <w:rsid w:val="00711451"/>
    <w:rsid w:val="00822F63"/>
    <w:rsid w:val="00AF3CDD"/>
    <w:rsid w:val="00B339B7"/>
    <w:rsid w:val="00B76AEA"/>
    <w:rsid w:val="00BA16A0"/>
    <w:rsid w:val="00C639F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4:docId w14:val="10A4085B"/>
  <w15:chartTrackingRefBased/>
  <w15:docId w15:val="{1CE9B28D-06F9-4722-9F22-C594CD7D6A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AF3CDD"/>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AF3CDD"/>
    <w:pPr>
      <w:tabs>
        <w:tab w:val="center" w:pos="4153"/>
        <w:tab w:val="right" w:pos="8306"/>
      </w:tabs>
    </w:pPr>
  </w:style>
  <w:style w:type="character" w:customStyle="1" w:styleId="a4">
    <w:name w:val="כותרת עליונה תו"/>
    <w:link w:val="a3"/>
    <w:rsid w:val="00AF3CDD"/>
    <w:rPr>
      <w:rFonts w:ascii="Times New Roman" w:eastAsia="Times New Roman" w:hAnsi="Times New Roman" w:cs="David"/>
      <w:sz w:val="24"/>
      <w:szCs w:val="24"/>
    </w:rPr>
  </w:style>
  <w:style w:type="paragraph" w:styleId="a5">
    <w:name w:val="footer"/>
    <w:basedOn w:val="a"/>
    <w:link w:val="a6"/>
    <w:rsid w:val="00AF3CDD"/>
    <w:pPr>
      <w:tabs>
        <w:tab w:val="center" w:pos="4153"/>
        <w:tab w:val="right" w:pos="8306"/>
      </w:tabs>
    </w:pPr>
  </w:style>
  <w:style w:type="character" w:customStyle="1" w:styleId="a6">
    <w:name w:val="כותרת תחתונה תו"/>
    <w:link w:val="a5"/>
    <w:rsid w:val="00AF3CDD"/>
    <w:rPr>
      <w:rFonts w:ascii="Times New Roman" w:eastAsia="Times New Roman" w:hAnsi="Times New Roman" w:cs="David"/>
      <w:sz w:val="24"/>
      <w:szCs w:val="24"/>
    </w:rPr>
  </w:style>
  <w:style w:type="table" w:styleId="a7">
    <w:name w:val="Table Grid"/>
    <w:basedOn w:val="a1"/>
    <w:rsid w:val="00AF3CDD"/>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AF3CDD"/>
  </w:style>
  <w:style w:type="paragraph" w:styleId="a9">
    <w:name w:val="List Paragraph"/>
    <w:basedOn w:val="a"/>
    <w:qFormat/>
    <w:rsid w:val="00AF3CDD"/>
    <w:pPr>
      <w:ind w:left="720"/>
      <w:contextualSpacing/>
    </w:pPr>
  </w:style>
  <w:style w:type="character" w:styleId="Hyperlink">
    <w:name w:val="Hyperlink"/>
    <w:rsid w:val="000A0B55"/>
    <w:rPr>
      <w:color w:val="0563C1"/>
      <w:u w:val="single"/>
    </w:rPr>
  </w:style>
  <w:style w:type="character" w:styleId="aa">
    <w:name w:val="Unresolved Mention"/>
    <w:rsid w:val="000A0B55"/>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4216/6" TargetMode="External"/><Relationship Id="rId13" Type="http://schemas.openxmlformats.org/officeDocument/2006/relationships/hyperlink" Target="http://www.nevo.co.il/law/4216" TargetMode="External"/><Relationship Id="rId18" Type="http://schemas.openxmlformats.org/officeDocument/2006/relationships/hyperlink" Target="http://www.nevo.co.il/case/21472959" TargetMode="External"/><Relationship Id="rId26"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hyperlink" Target="http://www.nevo.co.il/case/20402486" TargetMode="External"/><Relationship Id="rId7" Type="http://schemas.openxmlformats.org/officeDocument/2006/relationships/hyperlink" Target="http://www.nevo.co.il/law/4216" TargetMode="External"/><Relationship Id="rId12" Type="http://schemas.openxmlformats.org/officeDocument/2006/relationships/hyperlink" Target="http://www.nevo.co.il/law/4216/6" TargetMode="External"/><Relationship Id="rId17" Type="http://schemas.openxmlformats.org/officeDocument/2006/relationships/hyperlink" Target="http://www.nevo.co.il/case/22201884" TargetMode="External"/><Relationship Id="rId25" Type="http://schemas.openxmlformats.org/officeDocument/2006/relationships/hyperlink" Target="http://www.nevo.co.il/advertisements/nevo-100.doc" TargetMode="External"/><Relationship Id="rId2" Type="http://schemas.openxmlformats.org/officeDocument/2006/relationships/styles" Target="styles.xml"/><Relationship Id="rId16" Type="http://schemas.openxmlformats.org/officeDocument/2006/relationships/hyperlink" Target="http://www.nevo.co.il/law/70301" TargetMode="External"/><Relationship Id="rId20" Type="http://schemas.openxmlformats.org/officeDocument/2006/relationships/hyperlink" Target="http://www.nevo.co.il/case/20181627" TargetMode="External"/><Relationship Id="rId29"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 TargetMode="External"/><Relationship Id="rId24" Type="http://schemas.openxmlformats.org/officeDocument/2006/relationships/hyperlink" Target="http://www.nevo.co.il/case/21477475" TargetMode="External"/><Relationship Id="rId5" Type="http://schemas.openxmlformats.org/officeDocument/2006/relationships/footnotes" Target="footnotes.xml"/><Relationship Id="rId15" Type="http://schemas.openxmlformats.org/officeDocument/2006/relationships/hyperlink" Target="http://www.nevo.co.il/law/4216/7.c" TargetMode="External"/><Relationship Id="rId23" Type="http://schemas.openxmlformats.org/officeDocument/2006/relationships/hyperlink" Target="http://www.nevo.co.il/case/12930657" TargetMode="External"/><Relationship Id="rId28" Type="http://schemas.openxmlformats.org/officeDocument/2006/relationships/footer" Target="footer1.xml"/><Relationship Id="rId10" Type="http://schemas.openxmlformats.org/officeDocument/2006/relationships/hyperlink" Target="http://www.nevo.co.il/law/4216/7.c" TargetMode="External"/><Relationship Id="rId19" Type="http://schemas.openxmlformats.org/officeDocument/2006/relationships/hyperlink" Target="http://www.nevo.co.il/case/5569233"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nevo.co.il/law/4216/7.a" TargetMode="External"/><Relationship Id="rId14" Type="http://schemas.openxmlformats.org/officeDocument/2006/relationships/hyperlink" Target="http://www.nevo.co.il/law/4216/7.a" TargetMode="External"/><Relationship Id="rId22" Type="http://schemas.openxmlformats.org/officeDocument/2006/relationships/hyperlink" Target="http://www.nevo.co.il/case/20163834" TargetMode="External"/><Relationship Id="rId27" Type="http://schemas.openxmlformats.org/officeDocument/2006/relationships/header" Target="header2.xml"/><Relationship Id="rId30"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1204</Words>
  <Characters>6025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7215</CharactersWithSpaces>
  <SharedDoc>false</SharedDoc>
  <HLinks>
    <vt:vector size="114" baseType="variant">
      <vt:variant>
        <vt:i4>393283</vt:i4>
      </vt:variant>
      <vt:variant>
        <vt:i4>54</vt:i4>
      </vt:variant>
      <vt:variant>
        <vt:i4>0</vt:i4>
      </vt:variant>
      <vt:variant>
        <vt:i4>5</vt:i4>
      </vt:variant>
      <vt:variant>
        <vt:lpwstr>http://www.nevo.co.il/advertisements/nevo-100.doc</vt:lpwstr>
      </vt:variant>
      <vt:variant>
        <vt:lpwstr/>
      </vt:variant>
      <vt:variant>
        <vt:i4>3539062</vt:i4>
      </vt:variant>
      <vt:variant>
        <vt:i4>51</vt:i4>
      </vt:variant>
      <vt:variant>
        <vt:i4>0</vt:i4>
      </vt:variant>
      <vt:variant>
        <vt:i4>5</vt:i4>
      </vt:variant>
      <vt:variant>
        <vt:lpwstr>http://www.nevo.co.il/case/21477475</vt:lpwstr>
      </vt:variant>
      <vt:variant>
        <vt:lpwstr/>
      </vt:variant>
      <vt:variant>
        <vt:i4>3997811</vt:i4>
      </vt:variant>
      <vt:variant>
        <vt:i4>48</vt:i4>
      </vt:variant>
      <vt:variant>
        <vt:i4>0</vt:i4>
      </vt:variant>
      <vt:variant>
        <vt:i4>5</vt:i4>
      </vt:variant>
      <vt:variant>
        <vt:lpwstr>http://www.nevo.co.il/case/12930657</vt:lpwstr>
      </vt:variant>
      <vt:variant>
        <vt:lpwstr/>
      </vt:variant>
      <vt:variant>
        <vt:i4>3342458</vt:i4>
      </vt:variant>
      <vt:variant>
        <vt:i4>45</vt:i4>
      </vt:variant>
      <vt:variant>
        <vt:i4>0</vt:i4>
      </vt:variant>
      <vt:variant>
        <vt:i4>5</vt:i4>
      </vt:variant>
      <vt:variant>
        <vt:lpwstr>http://www.nevo.co.il/case/20163834</vt:lpwstr>
      </vt:variant>
      <vt:variant>
        <vt:lpwstr/>
      </vt:variant>
      <vt:variant>
        <vt:i4>3932272</vt:i4>
      </vt:variant>
      <vt:variant>
        <vt:i4>42</vt:i4>
      </vt:variant>
      <vt:variant>
        <vt:i4>0</vt:i4>
      </vt:variant>
      <vt:variant>
        <vt:i4>5</vt:i4>
      </vt:variant>
      <vt:variant>
        <vt:lpwstr>http://www.nevo.co.il/case/20402486</vt:lpwstr>
      </vt:variant>
      <vt:variant>
        <vt:lpwstr/>
      </vt:variant>
      <vt:variant>
        <vt:i4>3145850</vt:i4>
      </vt:variant>
      <vt:variant>
        <vt:i4>39</vt:i4>
      </vt:variant>
      <vt:variant>
        <vt:i4>0</vt:i4>
      </vt:variant>
      <vt:variant>
        <vt:i4>5</vt:i4>
      </vt:variant>
      <vt:variant>
        <vt:lpwstr>http://www.nevo.co.il/case/20181627</vt:lpwstr>
      </vt:variant>
      <vt:variant>
        <vt:lpwstr/>
      </vt:variant>
      <vt:variant>
        <vt:i4>3276923</vt:i4>
      </vt:variant>
      <vt:variant>
        <vt:i4>36</vt:i4>
      </vt:variant>
      <vt:variant>
        <vt:i4>0</vt:i4>
      </vt:variant>
      <vt:variant>
        <vt:i4>5</vt:i4>
      </vt:variant>
      <vt:variant>
        <vt:lpwstr>http://www.nevo.co.il/case/5569233</vt:lpwstr>
      </vt:variant>
      <vt:variant>
        <vt:lpwstr/>
      </vt:variant>
      <vt:variant>
        <vt:i4>3211387</vt:i4>
      </vt:variant>
      <vt:variant>
        <vt:i4>33</vt:i4>
      </vt:variant>
      <vt:variant>
        <vt:i4>0</vt:i4>
      </vt:variant>
      <vt:variant>
        <vt:i4>5</vt:i4>
      </vt:variant>
      <vt:variant>
        <vt:lpwstr>http://www.nevo.co.il/case/21472959</vt:lpwstr>
      </vt:variant>
      <vt:variant>
        <vt:lpwstr/>
      </vt:variant>
      <vt:variant>
        <vt:i4>3735678</vt:i4>
      </vt:variant>
      <vt:variant>
        <vt:i4>30</vt:i4>
      </vt:variant>
      <vt:variant>
        <vt:i4>0</vt:i4>
      </vt:variant>
      <vt:variant>
        <vt:i4>5</vt:i4>
      </vt:variant>
      <vt:variant>
        <vt:lpwstr>http://www.nevo.co.il/case/22201884</vt:lpwstr>
      </vt:variant>
      <vt:variant>
        <vt:lpwstr/>
      </vt:variant>
      <vt:variant>
        <vt:i4>7995492</vt:i4>
      </vt:variant>
      <vt:variant>
        <vt:i4>27</vt:i4>
      </vt:variant>
      <vt:variant>
        <vt:i4>0</vt:i4>
      </vt:variant>
      <vt:variant>
        <vt:i4>5</vt:i4>
      </vt:variant>
      <vt:variant>
        <vt:lpwstr>http://www.nevo.co.il/law/70301</vt:lpwstr>
      </vt:variant>
      <vt:variant>
        <vt:lpwstr/>
      </vt:variant>
      <vt:variant>
        <vt:i4>2752612</vt:i4>
      </vt:variant>
      <vt:variant>
        <vt:i4>24</vt:i4>
      </vt:variant>
      <vt:variant>
        <vt:i4>0</vt:i4>
      </vt:variant>
      <vt:variant>
        <vt:i4>5</vt:i4>
      </vt:variant>
      <vt:variant>
        <vt:lpwstr>http://www.nevo.co.il/law/4216/7.c</vt:lpwstr>
      </vt:variant>
      <vt:variant>
        <vt:lpwstr/>
      </vt:variant>
      <vt:variant>
        <vt:i4>2621540</vt:i4>
      </vt:variant>
      <vt:variant>
        <vt:i4>21</vt:i4>
      </vt:variant>
      <vt:variant>
        <vt:i4>0</vt:i4>
      </vt:variant>
      <vt:variant>
        <vt:i4>5</vt:i4>
      </vt:variant>
      <vt:variant>
        <vt:lpwstr>http://www.nevo.co.il/law/4216/7.a</vt:lpwstr>
      </vt:variant>
      <vt:variant>
        <vt:lpwstr/>
      </vt:variant>
      <vt:variant>
        <vt:i4>8257637</vt:i4>
      </vt:variant>
      <vt:variant>
        <vt:i4>18</vt:i4>
      </vt:variant>
      <vt:variant>
        <vt:i4>0</vt:i4>
      </vt:variant>
      <vt:variant>
        <vt:i4>5</vt:i4>
      </vt:variant>
      <vt:variant>
        <vt:lpwstr>http://www.nevo.co.il/law/4216</vt:lpwstr>
      </vt:variant>
      <vt:variant>
        <vt:lpwstr/>
      </vt:variant>
      <vt:variant>
        <vt:i4>4718666</vt:i4>
      </vt:variant>
      <vt:variant>
        <vt:i4>15</vt:i4>
      </vt:variant>
      <vt:variant>
        <vt:i4>0</vt:i4>
      </vt:variant>
      <vt:variant>
        <vt:i4>5</vt:i4>
      </vt:variant>
      <vt:variant>
        <vt:lpwstr>http://www.nevo.co.il/law/4216/6</vt:lpwstr>
      </vt:variant>
      <vt:variant>
        <vt:lpwstr/>
      </vt:variant>
      <vt:variant>
        <vt:i4>7995492</vt:i4>
      </vt:variant>
      <vt:variant>
        <vt:i4>12</vt:i4>
      </vt:variant>
      <vt:variant>
        <vt:i4>0</vt:i4>
      </vt:variant>
      <vt:variant>
        <vt:i4>5</vt:i4>
      </vt:variant>
      <vt:variant>
        <vt:lpwstr>http://www.nevo.co.il/law/70301</vt:lpwstr>
      </vt:variant>
      <vt:variant>
        <vt:lpwstr/>
      </vt:variant>
      <vt:variant>
        <vt:i4>2752612</vt:i4>
      </vt:variant>
      <vt:variant>
        <vt:i4>9</vt:i4>
      </vt:variant>
      <vt:variant>
        <vt:i4>0</vt:i4>
      </vt:variant>
      <vt:variant>
        <vt:i4>5</vt:i4>
      </vt:variant>
      <vt:variant>
        <vt:lpwstr>http://www.nevo.co.il/law/4216/7.c</vt:lpwstr>
      </vt:variant>
      <vt:variant>
        <vt:lpwstr/>
      </vt:variant>
      <vt:variant>
        <vt:i4>2621540</vt:i4>
      </vt:variant>
      <vt:variant>
        <vt:i4>6</vt:i4>
      </vt:variant>
      <vt:variant>
        <vt:i4>0</vt:i4>
      </vt:variant>
      <vt:variant>
        <vt:i4>5</vt:i4>
      </vt:variant>
      <vt:variant>
        <vt:lpwstr>http://www.nevo.co.il/law/4216/7.a</vt:lpwstr>
      </vt:variant>
      <vt:variant>
        <vt:lpwstr/>
      </vt:variant>
      <vt:variant>
        <vt:i4>4718666</vt:i4>
      </vt:variant>
      <vt:variant>
        <vt:i4>3</vt:i4>
      </vt:variant>
      <vt:variant>
        <vt:i4>0</vt:i4>
      </vt:variant>
      <vt:variant>
        <vt:i4>5</vt:i4>
      </vt:variant>
      <vt:variant>
        <vt:lpwstr>http://www.nevo.co.il/law/4216/6</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2025-04-22T23:22:00Z</dcterms:created>
  <dcterms:modified xsi:type="dcterms:W3CDTF">2025-04-22T23:22:00Z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6399</vt:lpwstr>
  </property>
  <property fmtid="{D5CDD505-2E9C-101B-9397-08002B2CF9AE}" pid="6" name="NEWPARTB">
    <vt:lpwstr>03</vt:lpwstr>
  </property>
  <property fmtid="{D5CDD505-2E9C-101B-9397-08002B2CF9AE}" pid="7" name="NEWPARTC">
    <vt:lpwstr>17</vt:lpwstr>
  </property>
  <property fmtid="{D5CDD505-2E9C-101B-9397-08002B2CF9AE}" pid="8" name="APPELLANT">
    <vt:lpwstr>מדינת ישראל</vt:lpwstr>
  </property>
  <property fmtid="{D5CDD505-2E9C-101B-9397-08002B2CF9AE}" pid="9" name="APPELLEE">
    <vt:lpwstr>אילן שאול</vt:lpwstr>
  </property>
  <property fmtid="{D5CDD505-2E9C-101B-9397-08002B2CF9AE}" pid="10" name="LAWYER">
    <vt:lpwstr>חבר ובר טוב;רובינשטיין</vt:lpwstr>
  </property>
  <property fmtid="{D5CDD505-2E9C-101B-9397-08002B2CF9AE}" pid="11" name="JUDGE">
    <vt:lpwstr>עידו דרויאן גמליאל</vt:lpwstr>
  </property>
  <property fmtid="{D5CDD505-2E9C-101B-9397-08002B2CF9AE}" pid="12" name="CITY">
    <vt:lpwstr>ת"א</vt:lpwstr>
  </property>
  <property fmtid="{D5CDD505-2E9C-101B-9397-08002B2CF9AE}" pid="13" name="DATE">
    <vt:lpwstr>20171105</vt:lpwstr>
  </property>
  <property fmtid="{D5CDD505-2E9C-101B-9397-08002B2CF9AE}" pid="14" name="TYPE_N_DATE">
    <vt:lpwstr>38020171105</vt:lpwstr>
  </property>
  <property fmtid="{D5CDD505-2E9C-101B-9397-08002B2CF9AE}" pid="15" name="CASESLISTTMP1">
    <vt:lpwstr>22201884;21472959;5569233;20181627;20402486;20163834;12930657;21477475</vt:lpwstr>
  </property>
  <property fmtid="{D5CDD505-2E9C-101B-9397-08002B2CF9AE}" pid="16" name="WORDNUMPAGES">
    <vt:lpwstr>4</vt:lpwstr>
  </property>
  <property fmtid="{D5CDD505-2E9C-101B-9397-08002B2CF9AE}" pid="17" name="TYPE_ABS_DATE">
    <vt:lpwstr>380020171105</vt:lpwstr>
  </property>
  <property fmtid="{D5CDD505-2E9C-101B-9397-08002B2CF9AE}" pid="18" name="ISABSTRACT">
    <vt:lpwstr>Y</vt:lpwstr>
  </property>
  <property fmtid="{D5CDD505-2E9C-101B-9397-08002B2CF9AE}" pid="19" name="LAWLISTTMP1">
    <vt:lpwstr>4216/006;007.a;007.c</vt:lpwstr>
  </property>
  <property fmtid="{D5CDD505-2E9C-101B-9397-08002B2CF9AE}" pid="20" name="LAWLISTTMP2">
    <vt:lpwstr>70301</vt:lpwstr>
  </property>
</Properties>
</file>