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872C4" w:rsidRPr="00B12A08" w14:paraId="0CE88951" w14:textId="77777777" w:rsidTr="006661DB">
        <w:trPr>
          <w:trHeight w:hRule="exact" w:val="418"/>
          <w:jc w:val="center"/>
        </w:trPr>
        <w:tc>
          <w:tcPr>
            <w:tcW w:w="8721" w:type="dxa"/>
            <w:gridSpan w:val="2"/>
          </w:tcPr>
          <w:p w14:paraId="4E2F7000" w14:textId="77777777" w:rsidR="00A872C4" w:rsidRPr="00B12A08" w:rsidRDefault="00A872C4" w:rsidP="00FB469A">
            <w:pPr>
              <w:pStyle w:val="a3"/>
              <w:jc w:val="center"/>
              <w:rPr>
                <w:rFonts w:ascii="Tahoma" w:hAnsi="Tahoma" w:cs="Tahoma"/>
                <w:color w:val="000080"/>
                <w:rtl/>
              </w:rPr>
            </w:pPr>
            <w:bookmarkStart w:id="0" w:name="LastJudge"/>
            <w:r w:rsidRPr="00B12A08">
              <w:rPr>
                <w:rFonts w:ascii="Tahoma" w:hAnsi="Tahoma" w:cs="Tahoma"/>
                <w:b/>
                <w:bCs/>
                <w:color w:val="000080"/>
                <w:rtl/>
              </w:rPr>
              <w:t>בית משפט השלום בירושלים</w:t>
            </w:r>
          </w:p>
        </w:tc>
      </w:tr>
      <w:tr w:rsidR="00A872C4" w:rsidRPr="00B12A08" w14:paraId="599C74A4" w14:textId="77777777" w:rsidTr="006661DB">
        <w:trPr>
          <w:trHeight w:val="337"/>
          <w:jc w:val="center"/>
        </w:trPr>
        <w:tc>
          <w:tcPr>
            <w:tcW w:w="5057" w:type="dxa"/>
          </w:tcPr>
          <w:p w14:paraId="4FE8AFAF" w14:textId="77777777" w:rsidR="00A872C4" w:rsidRPr="00B12A08" w:rsidRDefault="00A872C4" w:rsidP="00FB469A">
            <w:pPr>
              <w:rPr>
                <w:rFonts w:cs="FrankRuehl"/>
                <w:sz w:val="28"/>
                <w:szCs w:val="28"/>
                <w:rtl/>
              </w:rPr>
            </w:pPr>
            <w:r w:rsidRPr="00B12A08">
              <w:rPr>
                <w:rFonts w:cs="FrankRuehl"/>
                <w:sz w:val="28"/>
                <w:szCs w:val="28"/>
                <w:rtl/>
              </w:rPr>
              <w:t>ת"פ</w:t>
            </w:r>
            <w:r w:rsidRPr="00B12A08">
              <w:rPr>
                <w:rFonts w:cs="FrankRuehl" w:hint="cs"/>
                <w:sz w:val="28"/>
                <w:szCs w:val="28"/>
                <w:rtl/>
              </w:rPr>
              <w:t xml:space="preserve"> </w:t>
            </w:r>
            <w:r w:rsidRPr="00B12A08">
              <w:rPr>
                <w:rFonts w:cs="FrankRuehl"/>
                <w:sz w:val="28"/>
                <w:szCs w:val="28"/>
                <w:rtl/>
              </w:rPr>
              <w:t>65985-03-17</w:t>
            </w:r>
            <w:r w:rsidRPr="00B12A08">
              <w:rPr>
                <w:rFonts w:cs="FrankRuehl" w:hint="cs"/>
                <w:sz w:val="28"/>
                <w:szCs w:val="28"/>
                <w:rtl/>
              </w:rPr>
              <w:t xml:space="preserve"> </w:t>
            </w:r>
            <w:r w:rsidRPr="00B12A08">
              <w:rPr>
                <w:rFonts w:cs="FrankRuehl"/>
                <w:sz w:val="28"/>
                <w:szCs w:val="28"/>
                <w:rtl/>
              </w:rPr>
              <w:t>בית המכס ומע"מ ירושלים נ' טבול(עציר) ואח'</w:t>
            </w:r>
          </w:p>
          <w:p w14:paraId="2CA89C73" w14:textId="77777777" w:rsidR="00A872C4" w:rsidRPr="00B12A08" w:rsidRDefault="00A872C4" w:rsidP="00FB469A">
            <w:pPr>
              <w:pStyle w:val="a3"/>
              <w:rPr>
                <w:rFonts w:cs="FrankRuehl"/>
                <w:sz w:val="28"/>
                <w:szCs w:val="28"/>
                <w:rtl/>
              </w:rPr>
            </w:pPr>
          </w:p>
        </w:tc>
        <w:tc>
          <w:tcPr>
            <w:tcW w:w="3664" w:type="dxa"/>
          </w:tcPr>
          <w:p w14:paraId="5B86B361" w14:textId="77777777" w:rsidR="00A872C4" w:rsidRPr="00B12A08" w:rsidRDefault="00A872C4" w:rsidP="00FB469A">
            <w:pPr>
              <w:pStyle w:val="a3"/>
              <w:jc w:val="right"/>
              <w:rPr>
                <w:rFonts w:cs="FrankRuehl"/>
                <w:sz w:val="28"/>
                <w:szCs w:val="28"/>
                <w:rtl/>
              </w:rPr>
            </w:pPr>
          </w:p>
        </w:tc>
      </w:tr>
    </w:tbl>
    <w:p w14:paraId="6233A0B3" w14:textId="77777777" w:rsidR="00A872C4" w:rsidRPr="00B12A08" w:rsidRDefault="00A872C4" w:rsidP="00A872C4">
      <w:pPr>
        <w:pStyle w:val="a3"/>
        <w:rPr>
          <w:rtl/>
        </w:rPr>
      </w:pPr>
      <w:r w:rsidRPr="00B12A08">
        <w:rPr>
          <w:rFonts w:hint="cs"/>
          <w:rtl/>
        </w:rPr>
        <w:t xml:space="preserve"> </w:t>
      </w:r>
    </w:p>
    <w:p w14:paraId="71A8ED28" w14:textId="77777777" w:rsidR="00A872C4" w:rsidRPr="00B12A08" w:rsidRDefault="00A872C4" w:rsidP="00A872C4">
      <w:pPr>
        <w:rPr>
          <w:rtl/>
        </w:rPr>
      </w:pPr>
    </w:p>
    <w:p w14:paraId="789F1A94" w14:textId="77777777" w:rsidR="00A872C4" w:rsidRPr="00B12A08" w:rsidRDefault="00A872C4" w:rsidP="00A872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872C4" w:rsidRPr="00B12A08" w14:paraId="04F61412" w14:textId="77777777" w:rsidTr="00A872C4">
        <w:trPr>
          <w:trHeight w:val="295"/>
          <w:jc w:val="center"/>
        </w:trPr>
        <w:tc>
          <w:tcPr>
            <w:tcW w:w="923" w:type="dxa"/>
            <w:tcBorders>
              <w:top w:val="nil"/>
              <w:left w:val="nil"/>
              <w:bottom w:val="nil"/>
              <w:right w:val="nil"/>
            </w:tcBorders>
            <w:shd w:val="clear" w:color="auto" w:fill="auto"/>
          </w:tcPr>
          <w:p w14:paraId="0ACB9422" w14:textId="77777777" w:rsidR="00A872C4" w:rsidRPr="00B12A08" w:rsidRDefault="00A872C4" w:rsidP="00A872C4">
            <w:pPr>
              <w:jc w:val="both"/>
              <w:rPr>
                <w:rFonts w:ascii="FrankRuehl" w:hAnsi="FrankRuehl" w:cs="FrankRuehl"/>
                <w:b/>
                <w:bCs/>
                <w:sz w:val="28"/>
                <w:szCs w:val="28"/>
                <w:rtl/>
              </w:rPr>
            </w:pPr>
            <w:r w:rsidRPr="00B12A08">
              <w:rPr>
                <w:rFonts w:ascii="FrankRuehl" w:hAnsi="FrankRuehl" w:cs="FrankRuehl" w:hint="cs"/>
                <w:b/>
                <w:bCs/>
                <w:sz w:val="28"/>
                <w:szCs w:val="28"/>
                <w:rtl/>
              </w:rPr>
              <w:t xml:space="preserve">בפני </w:t>
            </w:r>
          </w:p>
        </w:tc>
        <w:tc>
          <w:tcPr>
            <w:tcW w:w="7897" w:type="dxa"/>
            <w:gridSpan w:val="2"/>
            <w:tcBorders>
              <w:top w:val="nil"/>
              <w:left w:val="nil"/>
              <w:bottom w:val="nil"/>
              <w:right w:val="nil"/>
            </w:tcBorders>
            <w:shd w:val="clear" w:color="auto" w:fill="auto"/>
          </w:tcPr>
          <w:p w14:paraId="3EFE9346" w14:textId="77777777" w:rsidR="00A872C4" w:rsidRPr="00B12A08" w:rsidRDefault="00A872C4" w:rsidP="00FB469A">
            <w:pPr>
              <w:rPr>
                <w:rFonts w:ascii="FrankRuehl" w:hAnsi="FrankRuehl" w:cs="FrankRuehl"/>
                <w:b/>
                <w:bCs/>
                <w:sz w:val="28"/>
                <w:szCs w:val="28"/>
              </w:rPr>
            </w:pPr>
            <w:r w:rsidRPr="00B12A08">
              <w:rPr>
                <w:rFonts w:ascii="FrankRuehl" w:hAnsi="FrankRuehl" w:cs="FrankRuehl" w:hint="cs"/>
                <w:b/>
                <w:bCs/>
                <w:sz w:val="28"/>
                <w:szCs w:val="28"/>
                <w:rtl/>
              </w:rPr>
              <w:t>כבוד השופט  דוד שאול גבאי ריכטר</w:t>
            </w:r>
          </w:p>
          <w:p w14:paraId="4764C3BD" w14:textId="77777777" w:rsidR="00A872C4" w:rsidRPr="00B12A08" w:rsidRDefault="00A872C4" w:rsidP="00FB469A">
            <w:pPr>
              <w:rPr>
                <w:rFonts w:ascii="FrankRuehl" w:hAnsi="FrankRuehl" w:cs="FrankRuehl"/>
                <w:b/>
                <w:bCs/>
                <w:sz w:val="28"/>
                <w:szCs w:val="28"/>
                <w:rtl/>
              </w:rPr>
            </w:pPr>
          </w:p>
          <w:p w14:paraId="7FB6054B" w14:textId="77777777" w:rsidR="00A872C4" w:rsidRPr="00B12A08" w:rsidRDefault="00A872C4" w:rsidP="00A872C4">
            <w:pPr>
              <w:jc w:val="both"/>
              <w:rPr>
                <w:rFonts w:ascii="FrankRuehl" w:hAnsi="FrankRuehl" w:cs="FrankRuehl"/>
                <w:b/>
                <w:bCs/>
                <w:sz w:val="28"/>
                <w:szCs w:val="28"/>
                <w:rtl/>
              </w:rPr>
            </w:pPr>
          </w:p>
        </w:tc>
      </w:tr>
      <w:tr w:rsidR="00A872C4" w:rsidRPr="00B12A08" w14:paraId="74A3D867" w14:textId="77777777" w:rsidTr="00A872C4">
        <w:trPr>
          <w:trHeight w:val="355"/>
          <w:jc w:val="center"/>
        </w:trPr>
        <w:tc>
          <w:tcPr>
            <w:tcW w:w="923" w:type="dxa"/>
            <w:tcBorders>
              <w:top w:val="nil"/>
              <w:left w:val="nil"/>
              <w:bottom w:val="nil"/>
              <w:right w:val="nil"/>
            </w:tcBorders>
            <w:shd w:val="clear" w:color="auto" w:fill="auto"/>
          </w:tcPr>
          <w:p w14:paraId="6F6CB9E6" w14:textId="77777777" w:rsidR="00A872C4" w:rsidRPr="00B12A08" w:rsidRDefault="00A872C4" w:rsidP="00A872C4">
            <w:pPr>
              <w:jc w:val="both"/>
              <w:rPr>
                <w:rFonts w:ascii="FrankRuehl" w:hAnsi="FrankRuehl" w:cs="FrankRuehl"/>
                <w:b/>
                <w:bCs/>
                <w:sz w:val="28"/>
                <w:szCs w:val="28"/>
              </w:rPr>
            </w:pPr>
            <w:bookmarkStart w:id="1" w:name="FirstAppellant"/>
            <w:r w:rsidRPr="00B12A08">
              <w:rPr>
                <w:rFonts w:ascii="FrankRuehl" w:hAnsi="FrankRuehl" w:cs="FrankRuehl" w:hint="cs"/>
                <w:b/>
                <w:bCs/>
                <w:sz w:val="28"/>
                <w:szCs w:val="28"/>
                <w:rtl/>
              </w:rPr>
              <w:t>בעניין:</w:t>
            </w:r>
          </w:p>
        </w:tc>
        <w:tc>
          <w:tcPr>
            <w:tcW w:w="4126" w:type="dxa"/>
            <w:tcBorders>
              <w:top w:val="nil"/>
              <w:left w:val="nil"/>
              <w:bottom w:val="nil"/>
              <w:right w:val="nil"/>
            </w:tcBorders>
            <w:shd w:val="clear" w:color="auto" w:fill="auto"/>
          </w:tcPr>
          <w:p w14:paraId="392491B5" w14:textId="77777777" w:rsidR="00A872C4" w:rsidRPr="00B12A08" w:rsidRDefault="00A872C4" w:rsidP="00FB469A">
            <w:pPr>
              <w:rPr>
                <w:rFonts w:ascii="FrankRuehl" w:hAnsi="FrankRuehl" w:cs="FrankRuehl"/>
                <w:b/>
                <w:bCs/>
                <w:sz w:val="28"/>
                <w:szCs w:val="28"/>
              </w:rPr>
            </w:pPr>
            <w:r w:rsidRPr="00B12A08">
              <w:rPr>
                <w:rFonts w:ascii="FrankRuehl" w:hAnsi="FrankRuehl" w:cs="FrankRuehl" w:hint="cs"/>
                <w:b/>
                <w:bCs/>
                <w:sz w:val="28"/>
                <w:szCs w:val="28"/>
                <w:rtl/>
              </w:rPr>
              <w:t>מדינת ישראל</w:t>
            </w:r>
          </w:p>
        </w:tc>
        <w:tc>
          <w:tcPr>
            <w:tcW w:w="3771" w:type="dxa"/>
            <w:tcBorders>
              <w:top w:val="nil"/>
              <w:left w:val="nil"/>
              <w:bottom w:val="nil"/>
              <w:right w:val="nil"/>
            </w:tcBorders>
            <w:shd w:val="clear" w:color="auto" w:fill="auto"/>
          </w:tcPr>
          <w:p w14:paraId="4AF6AEFC" w14:textId="77777777" w:rsidR="00A872C4" w:rsidRPr="00B12A08" w:rsidRDefault="00A872C4" w:rsidP="00A872C4">
            <w:pPr>
              <w:jc w:val="both"/>
              <w:rPr>
                <w:rFonts w:ascii="FrankRuehl" w:hAnsi="FrankRuehl" w:cs="FrankRuehl"/>
                <w:b/>
                <w:bCs/>
                <w:sz w:val="28"/>
                <w:szCs w:val="28"/>
              </w:rPr>
            </w:pPr>
          </w:p>
        </w:tc>
      </w:tr>
      <w:bookmarkEnd w:id="1"/>
      <w:tr w:rsidR="00A872C4" w:rsidRPr="00B12A08" w14:paraId="545F7F22" w14:textId="77777777" w:rsidTr="00A872C4">
        <w:trPr>
          <w:trHeight w:val="355"/>
          <w:jc w:val="center"/>
        </w:trPr>
        <w:tc>
          <w:tcPr>
            <w:tcW w:w="923" w:type="dxa"/>
            <w:tcBorders>
              <w:top w:val="nil"/>
              <w:left w:val="nil"/>
              <w:bottom w:val="nil"/>
              <w:right w:val="nil"/>
            </w:tcBorders>
            <w:shd w:val="clear" w:color="auto" w:fill="auto"/>
          </w:tcPr>
          <w:p w14:paraId="4CB1E5F9" w14:textId="77777777" w:rsidR="00A872C4" w:rsidRPr="00B12A08" w:rsidRDefault="00A872C4" w:rsidP="00A872C4">
            <w:pPr>
              <w:jc w:val="both"/>
              <w:rPr>
                <w:rFonts w:ascii="FrankRuehl" w:hAnsi="FrankRuehl" w:cs="FrankRuehl"/>
                <w:b/>
                <w:bCs/>
                <w:sz w:val="28"/>
                <w:szCs w:val="28"/>
              </w:rPr>
            </w:pPr>
          </w:p>
        </w:tc>
        <w:tc>
          <w:tcPr>
            <w:tcW w:w="4126" w:type="dxa"/>
            <w:tcBorders>
              <w:top w:val="nil"/>
              <w:left w:val="nil"/>
              <w:bottom w:val="nil"/>
              <w:right w:val="nil"/>
            </w:tcBorders>
            <w:shd w:val="clear" w:color="auto" w:fill="auto"/>
          </w:tcPr>
          <w:p w14:paraId="5FD0535A" w14:textId="77777777" w:rsidR="00A872C4" w:rsidRPr="00B12A08" w:rsidRDefault="00A872C4" w:rsidP="00A872C4">
            <w:pPr>
              <w:jc w:val="both"/>
              <w:rPr>
                <w:rFonts w:ascii="FrankRuehl" w:hAnsi="FrankRuehl" w:cs="FrankRuehl"/>
                <w:b/>
                <w:bCs/>
                <w:sz w:val="28"/>
                <w:szCs w:val="28"/>
                <w:rtl/>
              </w:rPr>
            </w:pPr>
            <w:r w:rsidRPr="00B12A08">
              <w:rPr>
                <w:rFonts w:ascii="FrankRuehl" w:hAnsi="FrankRuehl" w:cs="FrankRuehl" w:hint="cs"/>
                <w:b/>
                <w:bCs/>
                <w:sz w:val="28"/>
                <w:szCs w:val="28"/>
                <w:rtl/>
              </w:rPr>
              <w:t>תביעות ירושלים ואגף מס הכנסה</w:t>
            </w:r>
          </w:p>
        </w:tc>
        <w:tc>
          <w:tcPr>
            <w:tcW w:w="3771" w:type="dxa"/>
            <w:tcBorders>
              <w:top w:val="nil"/>
              <w:left w:val="nil"/>
              <w:bottom w:val="nil"/>
              <w:right w:val="nil"/>
            </w:tcBorders>
            <w:shd w:val="clear" w:color="auto" w:fill="auto"/>
          </w:tcPr>
          <w:p w14:paraId="561A91FD" w14:textId="77777777" w:rsidR="00A872C4" w:rsidRPr="00B12A08" w:rsidRDefault="00A872C4" w:rsidP="00A872C4">
            <w:pPr>
              <w:jc w:val="right"/>
              <w:rPr>
                <w:rFonts w:ascii="FrankRuehl" w:hAnsi="FrankRuehl" w:cs="FrankRuehl"/>
                <w:b/>
                <w:bCs/>
                <w:sz w:val="28"/>
                <w:szCs w:val="28"/>
                <w:rtl/>
              </w:rPr>
            </w:pPr>
            <w:r w:rsidRPr="00B12A08">
              <w:rPr>
                <w:rFonts w:ascii="FrankRuehl" w:hAnsi="FrankRuehl" w:cs="FrankRuehl" w:hint="cs"/>
                <w:b/>
                <w:bCs/>
                <w:sz w:val="28"/>
                <w:szCs w:val="28"/>
                <w:rtl/>
              </w:rPr>
              <w:t>המאשימה</w:t>
            </w:r>
          </w:p>
        </w:tc>
      </w:tr>
      <w:tr w:rsidR="00A872C4" w:rsidRPr="00B12A08" w14:paraId="2DFCEEAF" w14:textId="77777777" w:rsidTr="00A872C4">
        <w:trPr>
          <w:trHeight w:val="355"/>
          <w:jc w:val="center"/>
        </w:trPr>
        <w:tc>
          <w:tcPr>
            <w:tcW w:w="923" w:type="dxa"/>
            <w:tcBorders>
              <w:top w:val="nil"/>
              <w:left w:val="nil"/>
              <w:bottom w:val="nil"/>
              <w:right w:val="nil"/>
            </w:tcBorders>
            <w:shd w:val="clear" w:color="auto" w:fill="auto"/>
          </w:tcPr>
          <w:p w14:paraId="6E9D2E97" w14:textId="77777777" w:rsidR="00A872C4" w:rsidRPr="00B12A08" w:rsidRDefault="00A872C4" w:rsidP="00A872C4">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F113EA2" w14:textId="77777777" w:rsidR="00A872C4" w:rsidRPr="00B12A08" w:rsidRDefault="00A872C4" w:rsidP="00A872C4">
            <w:pPr>
              <w:jc w:val="center"/>
              <w:rPr>
                <w:rFonts w:ascii="FrankRuehl" w:hAnsi="FrankRuehl" w:cs="FrankRuehl"/>
                <w:b/>
                <w:bCs/>
                <w:sz w:val="28"/>
                <w:szCs w:val="28"/>
                <w:rtl/>
              </w:rPr>
            </w:pPr>
          </w:p>
          <w:p w14:paraId="739C965A" w14:textId="77777777" w:rsidR="00A872C4" w:rsidRPr="00B12A08" w:rsidRDefault="00A872C4" w:rsidP="00A872C4">
            <w:pPr>
              <w:jc w:val="center"/>
              <w:rPr>
                <w:rFonts w:ascii="FrankRuehl" w:hAnsi="FrankRuehl" w:cs="FrankRuehl"/>
                <w:b/>
                <w:bCs/>
                <w:sz w:val="28"/>
                <w:szCs w:val="28"/>
                <w:rtl/>
              </w:rPr>
            </w:pPr>
            <w:r w:rsidRPr="00B12A08">
              <w:rPr>
                <w:rFonts w:ascii="FrankRuehl" w:hAnsi="FrankRuehl" w:cs="FrankRuehl" w:hint="cs"/>
                <w:b/>
                <w:bCs/>
                <w:sz w:val="28"/>
                <w:szCs w:val="28"/>
                <w:rtl/>
              </w:rPr>
              <w:t>נגד</w:t>
            </w:r>
          </w:p>
          <w:p w14:paraId="5941022A" w14:textId="77777777" w:rsidR="00A872C4" w:rsidRPr="00B12A08" w:rsidRDefault="00A872C4" w:rsidP="00A872C4">
            <w:pPr>
              <w:jc w:val="both"/>
              <w:rPr>
                <w:rFonts w:ascii="FrankRuehl" w:hAnsi="FrankRuehl" w:cs="FrankRuehl"/>
                <w:b/>
                <w:bCs/>
                <w:sz w:val="28"/>
                <w:szCs w:val="28"/>
                <w:rtl/>
              </w:rPr>
            </w:pPr>
          </w:p>
        </w:tc>
      </w:tr>
      <w:tr w:rsidR="00A872C4" w:rsidRPr="00B12A08" w14:paraId="13D87DDD" w14:textId="77777777" w:rsidTr="00A872C4">
        <w:trPr>
          <w:trHeight w:val="355"/>
          <w:jc w:val="center"/>
        </w:trPr>
        <w:tc>
          <w:tcPr>
            <w:tcW w:w="923" w:type="dxa"/>
            <w:tcBorders>
              <w:top w:val="nil"/>
              <w:left w:val="nil"/>
              <w:bottom w:val="nil"/>
              <w:right w:val="nil"/>
            </w:tcBorders>
            <w:shd w:val="clear" w:color="auto" w:fill="auto"/>
          </w:tcPr>
          <w:p w14:paraId="5B5D78DA" w14:textId="77777777" w:rsidR="00A872C4" w:rsidRPr="00B12A08" w:rsidRDefault="00A872C4" w:rsidP="00FB469A">
            <w:pPr>
              <w:rPr>
                <w:rFonts w:ascii="FrankRuehl" w:hAnsi="FrankRuehl" w:cs="FrankRuehl"/>
                <w:b/>
                <w:bCs/>
                <w:sz w:val="28"/>
                <w:szCs w:val="28"/>
              </w:rPr>
            </w:pPr>
          </w:p>
        </w:tc>
        <w:tc>
          <w:tcPr>
            <w:tcW w:w="4126" w:type="dxa"/>
            <w:tcBorders>
              <w:top w:val="nil"/>
              <w:left w:val="nil"/>
              <w:bottom w:val="nil"/>
              <w:right w:val="nil"/>
            </w:tcBorders>
            <w:shd w:val="clear" w:color="auto" w:fill="auto"/>
          </w:tcPr>
          <w:p w14:paraId="2BF235C3" w14:textId="77777777" w:rsidR="00A872C4" w:rsidRPr="00B12A08" w:rsidRDefault="00A872C4" w:rsidP="00FB469A">
            <w:pPr>
              <w:rPr>
                <w:rFonts w:ascii="FrankRuehl" w:hAnsi="FrankRuehl" w:cs="FrankRuehl"/>
                <w:b/>
                <w:bCs/>
                <w:sz w:val="28"/>
                <w:szCs w:val="28"/>
                <w:rtl/>
              </w:rPr>
            </w:pPr>
            <w:r w:rsidRPr="00B12A08">
              <w:rPr>
                <w:rFonts w:ascii="FrankRuehl" w:hAnsi="FrankRuehl" w:cs="FrankRuehl" w:hint="cs"/>
                <w:b/>
                <w:bCs/>
                <w:sz w:val="28"/>
                <w:szCs w:val="28"/>
                <w:rtl/>
              </w:rPr>
              <w:t xml:space="preserve">יוסף טבול  </w:t>
            </w:r>
          </w:p>
        </w:tc>
        <w:tc>
          <w:tcPr>
            <w:tcW w:w="3771" w:type="dxa"/>
            <w:tcBorders>
              <w:top w:val="nil"/>
              <w:left w:val="nil"/>
              <w:bottom w:val="nil"/>
              <w:right w:val="nil"/>
            </w:tcBorders>
            <w:shd w:val="clear" w:color="auto" w:fill="auto"/>
          </w:tcPr>
          <w:p w14:paraId="06054945" w14:textId="77777777" w:rsidR="00A872C4" w:rsidRPr="00B12A08" w:rsidRDefault="00A872C4" w:rsidP="00A872C4">
            <w:pPr>
              <w:jc w:val="right"/>
              <w:rPr>
                <w:rFonts w:ascii="FrankRuehl" w:hAnsi="FrankRuehl" w:cs="FrankRuehl"/>
                <w:b/>
                <w:bCs/>
                <w:sz w:val="28"/>
                <w:szCs w:val="28"/>
                <w:rtl/>
              </w:rPr>
            </w:pPr>
          </w:p>
        </w:tc>
      </w:tr>
      <w:tr w:rsidR="00A872C4" w:rsidRPr="00B12A08" w14:paraId="187EC10B" w14:textId="77777777" w:rsidTr="00A872C4">
        <w:trPr>
          <w:trHeight w:val="355"/>
          <w:jc w:val="center"/>
        </w:trPr>
        <w:tc>
          <w:tcPr>
            <w:tcW w:w="923" w:type="dxa"/>
            <w:tcBorders>
              <w:top w:val="nil"/>
              <w:left w:val="nil"/>
              <w:bottom w:val="nil"/>
              <w:right w:val="nil"/>
            </w:tcBorders>
            <w:shd w:val="clear" w:color="auto" w:fill="auto"/>
          </w:tcPr>
          <w:p w14:paraId="736137B0" w14:textId="77777777" w:rsidR="00A872C4" w:rsidRPr="00B12A08" w:rsidRDefault="00A872C4" w:rsidP="00A872C4">
            <w:pPr>
              <w:jc w:val="both"/>
              <w:rPr>
                <w:rFonts w:ascii="FrankRuehl" w:hAnsi="FrankRuehl" w:cs="FrankRuehl"/>
                <w:b/>
                <w:bCs/>
                <w:sz w:val="28"/>
                <w:szCs w:val="28"/>
              </w:rPr>
            </w:pPr>
            <w:bookmarkStart w:id="2" w:name="FirstLawyer"/>
          </w:p>
        </w:tc>
        <w:tc>
          <w:tcPr>
            <w:tcW w:w="4126" w:type="dxa"/>
            <w:tcBorders>
              <w:top w:val="nil"/>
              <w:left w:val="nil"/>
              <w:bottom w:val="nil"/>
              <w:right w:val="nil"/>
            </w:tcBorders>
            <w:shd w:val="clear" w:color="auto" w:fill="auto"/>
          </w:tcPr>
          <w:p w14:paraId="73A241D0" w14:textId="77777777" w:rsidR="00A872C4" w:rsidRPr="00B12A08" w:rsidRDefault="00A872C4" w:rsidP="00A872C4">
            <w:pPr>
              <w:jc w:val="both"/>
              <w:rPr>
                <w:rFonts w:ascii="FrankRuehl" w:hAnsi="FrankRuehl" w:cs="FrankRuehl"/>
                <w:b/>
                <w:bCs/>
                <w:sz w:val="28"/>
                <w:szCs w:val="28"/>
                <w:rtl/>
              </w:rPr>
            </w:pPr>
            <w:r w:rsidRPr="00B12A08">
              <w:rPr>
                <w:rFonts w:ascii="FrankRuehl" w:hAnsi="FrankRuehl" w:cs="FrankRuehl" w:hint="cs"/>
                <w:b/>
                <w:bCs/>
                <w:sz w:val="28"/>
                <w:szCs w:val="28"/>
                <w:rtl/>
              </w:rPr>
              <w:t>ע"י ב"כ עו"ד יהודה שושן ועו"ד ליזה זלטין</w:t>
            </w:r>
          </w:p>
        </w:tc>
        <w:tc>
          <w:tcPr>
            <w:tcW w:w="3771" w:type="dxa"/>
            <w:tcBorders>
              <w:top w:val="nil"/>
              <w:left w:val="nil"/>
              <w:bottom w:val="nil"/>
              <w:right w:val="nil"/>
            </w:tcBorders>
            <w:shd w:val="clear" w:color="auto" w:fill="auto"/>
          </w:tcPr>
          <w:p w14:paraId="32C3B18A" w14:textId="77777777" w:rsidR="00A872C4" w:rsidRPr="00B12A08" w:rsidRDefault="00A872C4" w:rsidP="00FB469A">
            <w:pPr>
              <w:rPr>
                <w:rFonts w:ascii="FrankRuehl" w:hAnsi="FrankRuehl" w:cs="FrankRuehl"/>
                <w:b/>
                <w:bCs/>
                <w:sz w:val="28"/>
                <w:szCs w:val="28"/>
                <w:rtl/>
              </w:rPr>
            </w:pPr>
            <w:r w:rsidRPr="00B12A08">
              <w:rPr>
                <w:rFonts w:ascii="FrankRuehl" w:hAnsi="FrankRuehl" w:cs="FrankRuehl" w:hint="cs"/>
                <w:b/>
                <w:bCs/>
                <w:sz w:val="28"/>
                <w:szCs w:val="28"/>
                <w:rtl/>
              </w:rPr>
              <w:t>הנאשם</w:t>
            </w:r>
          </w:p>
        </w:tc>
      </w:tr>
      <w:bookmarkEnd w:id="2"/>
    </w:tbl>
    <w:p w14:paraId="51C08887" w14:textId="77777777" w:rsidR="006661DB" w:rsidRPr="00B12A08" w:rsidRDefault="006661DB" w:rsidP="006661DB">
      <w:pPr>
        <w:spacing w:after="120" w:line="240" w:lineRule="exact"/>
        <w:ind w:left="283" w:hanging="283"/>
        <w:jc w:val="both"/>
        <w:rPr>
          <w:rFonts w:ascii="FrankRuehl" w:hAnsi="FrankRuehl" w:cs="FrankRuehl"/>
          <w:rtl/>
        </w:rPr>
      </w:pPr>
    </w:p>
    <w:p w14:paraId="62429276" w14:textId="77777777" w:rsidR="006661DB" w:rsidRPr="006661DB" w:rsidRDefault="006661DB" w:rsidP="006661DB">
      <w:pPr>
        <w:spacing w:after="120" w:line="240" w:lineRule="exact"/>
        <w:ind w:left="283" w:hanging="283"/>
        <w:jc w:val="both"/>
        <w:rPr>
          <w:rFonts w:ascii="FrankRuehl" w:hAnsi="FrankRuehl" w:cs="FrankRuehl"/>
          <w:rtl/>
        </w:rPr>
      </w:pPr>
      <w:r w:rsidRPr="006661DB">
        <w:rPr>
          <w:rFonts w:ascii="FrankRuehl" w:hAnsi="FrankRuehl" w:cs="FrankRuehl"/>
          <w:rtl/>
        </w:rPr>
        <w:t xml:space="preserve">חקיקה שאוזכרה: </w:t>
      </w:r>
    </w:p>
    <w:p w14:paraId="2EF99687" w14:textId="77777777" w:rsidR="006661DB" w:rsidRPr="006661DB" w:rsidRDefault="006661DB" w:rsidP="006661DB">
      <w:pPr>
        <w:spacing w:after="120" w:line="240" w:lineRule="exact"/>
        <w:ind w:left="283" w:hanging="283"/>
        <w:jc w:val="both"/>
        <w:rPr>
          <w:rFonts w:ascii="FrankRuehl" w:hAnsi="FrankRuehl" w:cs="FrankRuehl"/>
          <w:rtl/>
        </w:rPr>
      </w:pPr>
      <w:hyperlink r:id="rId7" w:history="1">
        <w:r w:rsidRPr="006661DB">
          <w:rPr>
            <w:rFonts w:ascii="FrankRuehl" w:hAnsi="FrankRuehl" w:cs="FrankRuehl"/>
            <w:color w:val="0000FF"/>
            <w:u w:val="single"/>
            <w:rtl/>
          </w:rPr>
          <w:t>פקודת הסמים המסוכנים [נוסח חדש], תשל"ג-1973</w:t>
        </w:r>
      </w:hyperlink>
      <w:r w:rsidRPr="006661DB">
        <w:rPr>
          <w:rFonts w:ascii="FrankRuehl" w:hAnsi="FrankRuehl" w:cs="FrankRuehl"/>
          <w:rtl/>
        </w:rPr>
        <w:t xml:space="preserve">: סע'  </w:t>
      </w:r>
      <w:hyperlink r:id="rId8" w:history="1">
        <w:r w:rsidRPr="006661DB">
          <w:rPr>
            <w:rFonts w:ascii="FrankRuehl" w:hAnsi="FrankRuehl" w:cs="FrankRuehl"/>
            <w:color w:val="0000FF"/>
            <w:u w:val="single"/>
            <w:rtl/>
          </w:rPr>
          <w:t>7.א.</w:t>
        </w:r>
      </w:hyperlink>
      <w:r w:rsidRPr="006661DB">
        <w:rPr>
          <w:rFonts w:ascii="FrankRuehl" w:hAnsi="FrankRuehl" w:cs="FrankRuehl"/>
          <w:rtl/>
        </w:rPr>
        <w:t xml:space="preserve">, </w:t>
      </w:r>
      <w:hyperlink r:id="rId9" w:history="1">
        <w:r w:rsidRPr="006661DB">
          <w:rPr>
            <w:rFonts w:ascii="FrankRuehl" w:hAnsi="FrankRuehl" w:cs="FrankRuehl"/>
            <w:color w:val="0000FF"/>
            <w:u w:val="single"/>
            <w:rtl/>
          </w:rPr>
          <w:t>7.ג</w:t>
        </w:r>
      </w:hyperlink>
    </w:p>
    <w:p w14:paraId="381094D5" w14:textId="77777777" w:rsidR="006661DB" w:rsidRPr="006661DB" w:rsidRDefault="006661DB" w:rsidP="006661DB">
      <w:pPr>
        <w:spacing w:after="120" w:line="240" w:lineRule="exact"/>
        <w:ind w:left="283" w:hanging="283"/>
        <w:jc w:val="both"/>
        <w:rPr>
          <w:rFonts w:ascii="FrankRuehl" w:hAnsi="FrankRuehl" w:cs="FrankRuehl"/>
          <w:rtl/>
        </w:rPr>
      </w:pPr>
      <w:hyperlink r:id="rId10" w:history="1">
        <w:r w:rsidRPr="006661DB">
          <w:rPr>
            <w:rFonts w:ascii="FrankRuehl" w:hAnsi="FrankRuehl" w:cs="FrankRuehl"/>
            <w:color w:val="0000FF"/>
            <w:u w:val="single"/>
            <w:rtl/>
          </w:rPr>
          <w:t>חוק מס ערך מוסף, תשל"ו-1975</w:t>
        </w:r>
      </w:hyperlink>
      <w:r w:rsidRPr="006661DB">
        <w:rPr>
          <w:rFonts w:ascii="FrankRuehl" w:hAnsi="FrankRuehl" w:cs="FrankRuehl"/>
          <w:rtl/>
        </w:rPr>
        <w:t xml:space="preserve">: סע'  </w:t>
      </w:r>
      <w:hyperlink r:id="rId11" w:history="1">
        <w:r w:rsidRPr="006661DB">
          <w:rPr>
            <w:rFonts w:ascii="FrankRuehl" w:hAnsi="FrankRuehl" w:cs="FrankRuehl"/>
            <w:color w:val="0000FF"/>
            <w:u w:val="single"/>
            <w:rtl/>
          </w:rPr>
          <w:t>114(א)(14)</w:t>
        </w:r>
      </w:hyperlink>
    </w:p>
    <w:p w14:paraId="6F2A7669" w14:textId="77777777" w:rsidR="006661DB" w:rsidRPr="006661DB" w:rsidRDefault="006661DB" w:rsidP="006661DB">
      <w:pPr>
        <w:spacing w:after="120" w:line="240" w:lineRule="exact"/>
        <w:ind w:left="283" w:hanging="283"/>
        <w:jc w:val="both"/>
        <w:rPr>
          <w:rFonts w:ascii="FrankRuehl" w:hAnsi="FrankRuehl" w:cs="FrankRuehl"/>
          <w:rtl/>
        </w:rPr>
      </w:pPr>
      <w:hyperlink r:id="rId12" w:history="1">
        <w:r w:rsidRPr="006661DB">
          <w:rPr>
            <w:rFonts w:ascii="FrankRuehl" w:hAnsi="FrankRuehl" w:cs="FrankRuehl"/>
            <w:color w:val="0000FF"/>
            <w:u w:val="single"/>
            <w:rtl/>
          </w:rPr>
          <w:t>חוק העונשין, תשל"ז-1977</w:t>
        </w:r>
      </w:hyperlink>
      <w:r w:rsidRPr="006661DB">
        <w:rPr>
          <w:rFonts w:ascii="FrankRuehl" w:hAnsi="FrankRuehl" w:cs="FrankRuehl"/>
          <w:rtl/>
        </w:rPr>
        <w:t xml:space="preserve">: סע'  </w:t>
      </w:r>
      <w:hyperlink r:id="rId13" w:history="1">
        <w:r w:rsidRPr="006661DB">
          <w:rPr>
            <w:rFonts w:ascii="FrankRuehl" w:hAnsi="FrankRuehl" w:cs="FrankRuehl"/>
            <w:color w:val="0000FF"/>
            <w:u w:val="single"/>
            <w:rtl/>
          </w:rPr>
          <w:t>40ט'</w:t>
        </w:r>
      </w:hyperlink>
      <w:r w:rsidRPr="006661DB">
        <w:rPr>
          <w:rFonts w:ascii="FrankRuehl" w:hAnsi="FrankRuehl" w:cs="FrankRuehl"/>
          <w:rtl/>
        </w:rPr>
        <w:t xml:space="preserve">, </w:t>
      </w:r>
      <w:hyperlink r:id="rId14" w:history="1">
        <w:r w:rsidRPr="006661DB">
          <w:rPr>
            <w:rFonts w:ascii="FrankRuehl" w:hAnsi="FrankRuehl" w:cs="FrankRuehl"/>
            <w:color w:val="0000FF"/>
            <w:u w:val="single"/>
            <w:rtl/>
          </w:rPr>
          <w:t>40יא</w:t>
        </w:r>
      </w:hyperlink>
    </w:p>
    <w:p w14:paraId="4B0D7B7A" w14:textId="77777777" w:rsidR="006661DB" w:rsidRPr="006661DB" w:rsidRDefault="006661DB" w:rsidP="006661DB">
      <w:pPr>
        <w:spacing w:after="120" w:line="240" w:lineRule="exact"/>
        <w:ind w:left="283" w:hanging="283"/>
        <w:jc w:val="both"/>
        <w:rPr>
          <w:rFonts w:ascii="FrankRuehl" w:hAnsi="FrankRuehl" w:cs="FrankRuehl"/>
          <w:rtl/>
        </w:rPr>
      </w:pPr>
    </w:p>
    <w:p w14:paraId="5F46CF5C" w14:textId="77777777" w:rsidR="006661DB" w:rsidRPr="006661DB" w:rsidRDefault="006661DB" w:rsidP="006661DB">
      <w:pPr>
        <w:jc w:val="center"/>
        <w:rPr>
          <w:rFonts w:ascii="Arial" w:hAnsi="Arial" w:cs="FrankRuehl"/>
          <w:sz w:val="32"/>
          <w:szCs w:val="32"/>
          <w:rtl/>
        </w:rPr>
      </w:pPr>
      <w:bookmarkStart w:id="3" w:name="LawTable_End"/>
      <w:bookmarkEnd w:id="3"/>
    </w:p>
    <w:p w14:paraId="3A8DE6AC" w14:textId="77777777" w:rsidR="006661DB" w:rsidRDefault="006661DB" w:rsidP="006661DB">
      <w:pPr>
        <w:jc w:val="center"/>
        <w:rPr>
          <w:rFonts w:ascii="Arial" w:hAnsi="Arial" w:cs="FrankRuehl" w:hint="cs"/>
          <w:sz w:val="32"/>
          <w:szCs w:val="32"/>
          <w:rtl/>
        </w:rPr>
      </w:pPr>
    </w:p>
    <w:p w14:paraId="70D71DB0" w14:textId="77777777" w:rsidR="006661DB" w:rsidRPr="006661DB" w:rsidRDefault="006661DB" w:rsidP="006661DB">
      <w:pPr>
        <w:jc w:val="center"/>
        <w:rPr>
          <w:rFonts w:ascii="Arial" w:hAnsi="Arial" w:cs="FrankRuehl" w:hint="cs"/>
          <w:sz w:val="32"/>
          <w:szCs w:val="32"/>
          <w:rtl/>
        </w:rPr>
      </w:pPr>
    </w:p>
    <w:p w14:paraId="079AD48A" w14:textId="77777777" w:rsidR="006661DB" w:rsidRPr="00B12A08" w:rsidRDefault="006661DB" w:rsidP="006661DB">
      <w:pPr>
        <w:jc w:val="center"/>
        <w:rPr>
          <w:rFonts w:ascii="Arial" w:hAnsi="Arial" w:cs="FrankRuehl"/>
          <w:b/>
          <w:bCs/>
          <w:sz w:val="32"/>
          <w:szCs w:val="32"/>
          <w:u w:val="single"/>
          <w:rtl/>
        </w:rPr>
      </w:pPr>
      <w:bookmarkStart w:id="4" w:name="PsakDin"/>
      <w:r w:rsidRPr="00B12A08">
        <w:rPr>
          <w:rFonts w:ascii="Arial" w:hAnsi="Arial" w:cs="FrankRuehl"/>
          <w:b/>
          <w:bCs/>
          <w:sz w:val="32"/>
          <w:szCs w:val="32"/>
          <w:u w:val="single"/>
          <w:rtl/>
        </w:rPr>
        <w:t xml:space="preserve">גזר </w:t>
      </w:r>
      <w:bookmarkEnd w:id="4"/>
      <w:r w:rsidRPr="00B12A08">
        <w:rPr>
          <w:rFonts w:ascii="Arial" w:hAnsi="Arial" w:cs="FrankRuehl"/>
          <w:b/>
          <w:bCs/>
          <w:sz w:val="32"/>
          <w:szCs w:val="32"/>
          <w:u w:val="single"/>
          <w:rtl/>
        </w:rPr>
        <w:t>דין</w:t>
      </w:r>
    </w:p>
    <w:p w14:paraId="59D85F50" w14:textId="77777777" w:rsidR="00A872C4" w:rsidRPr="00B12A08" w:rsidRDefault="006661DB" w:rsidP="006661DB">
      <w:r w:rsidRPr="00A872C4">
        <w:rPr>
          <w:rFonts w:ascii="Arial" w:hAnsi="Arial" w:cs="FrankRuehl" w:hint="cs"/>
          <w:sz w:val="32"/>
          <w:szCs w:val="32"/>
          <w:u w:val="single"/>
          <w:rtl/>
        </w:rPr>
        <w:t>[מועתק מ</w:t>
      </w:r>
      <w:hyperlink r:id="rId15" w:history="1">
        <w:r w:rsidRPr="00B12A08">
          <w:rPr>
            <w:rFonts w:ascii="Arial" w:hAnsi="Arial" w:cs="FrankRuehl"/>
            <w:color w:val="0000FF"/>
            <w:sz w:val="32"/>
            <w:szCs w:val="32"/>
            <w:u w:val="single"/>
            <w:rtl/>
          </w:rPr>
          <w:t>ת"פ 65985-03-17</w:t>
        </w:r>
      </w:hyperlink>
      <w:r w:rsidRPr="00A872C4">
        <w:rPr>
          <w:rFonts w:ascii="Arial" w:hAnsi="Arial" w:cs="FrankRuehl" w:hint="cs"/>
          <w:sz w:val="32"/>
          <w:szCs w:val="32"/>
          <w:u w:val="single"/>
          <w:rtl/>
        </w:rPr>
        <w:t>]</w:t>
      </w:r>
    </w:p>
    <w:p w14:paraId="5CCD6E35" w14:textId="77777777" w:rsidR="00A872C4" w:rsidRPr="00B12A08" w:rsidRDefault="00A872C4" w:rsidP="00A872C4">
      <w:pPr>
        <w:rPr>
          <w:rFonts w:ascii="Arial" w:hAnsi="Arial"/>
          <w:rtl/>
        </w:rPr>
      </w:pPr>
    </w:p>
    <w:bookmarkEnd w:id="0"/>
    <w:p w14:paraId="5009C18B" w14:textId="77777777" w:rsidR="00A872C4" w:rsidRDefault="00A872C4" w:rsidP="00A872C4">
      <w:pPr>
        <w:rPr>
          <w:rFonts w:ascii="Arial" w:hAnsi="Arial"/>
          <w:rtl/>
        </w:rPr>
      </w:pPr>
    </w:p>
    <w:p w14:paraId="2152C69E" w14:textId="77777777" w:rsidR="00A872C4" w:rsidRDefault="00A872C4" w:rsidP="00A872C4">
      <w:pPr>
        <w:rPr>
          <w:rFonts w:ascii="Arial" w:hAnsi="Arial"/>
          <w:rtl/>
        </w:rPr>
      </w:pPr>
    </w:p>
    <w:p w14:paraId="7F9A5C0F"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כתבי האישום</w:t>
      </w:r>
    </w:p>
    <w:p w14:paraId="5FCAA249" w14:textId="77777777" w:rsidR="00A872C4" w:rsidRDefault="00A872C4" w:rsidP="00A872C4">
      <w:pPr>
        <w:spacing w:line="360" w:lineRule="auto"/>
        <w:jc w:val="both"/>
        <w:rPr>
          <w:rFonts w:ascii="FrankRuehl" w:hAnsi="FrankRuehl" w:cs="FrankRuehl"/>
          <w:sz w:val="28"/>
          <w:szCs w:val="28"/>
          <w:rtl/>
        </w:rPr>
      </w:pPr>
      <w:bookmarkStart w:id="5" w:name="ABSTRACT_START"/>
      <w:bookmarkEnd w:id="5"/>
      <w:r>
        <w:rPr>
          <w:rFonts w:ascii="FrankRuehl" w:hAnsi="FrankRuehl" w:cs="FrankRuehl" w:hint="cs"/>
          <w:sz w:val="28"/>
          <w:szCs w:val="28"/>
          <w:rtl/>
        </w:rPr>
        <w:t>הנאשם שלפניי הודה והורשע בביצוע עבירות המפורטות בשני כתבי אישום, במסגרת שני תיקים, כפי שיפורט להלן, וזאת מבלי שהצדדים הגיעו להסכמה עונשית:</w:t>
      </w:r>
    </w:p>
    <w:p w14:paraId="7BC0A7A7" w14:textId="77777777" w:rsidR="00A872C4" w:rsidRDefault="00A872C4" w:rsidP="00A872C4">
      <w:pPr>
        <w:spacing w:line="360" w:lineRule="auto"/>
        <w:jc w:val="both"/>
        <w:rPr>
          <w:rFonts w:ascii="FrankRuehl" w:hAnsi="FrankRuehl" w:cs="FrankRuehl"/>
          <w:sz w:val="28"/>
          <w:szCs w:val="28"/>
          <w:u w:val="single"/>
          <w:rtl/>
        </w:rPr>
      </w:pPr>
    </w:p>
    <w:bookmarkStart w:id="6" w:name="ABSTRACT_END"/>
    <w:bookmarkEnd w:id="6"/>
    <w:p w14:paraId="28ECA968" w14:textId="77777777" w:rsidR="00A872C4" w:rsidRDefault="00B12A08" w:rsidP="00A872C4">
      <w:pPr>
        <w:spacing w:line="360" w:lineRule="auto"/>
        <w:jc w:val="both"/>
        <w:rPr>
          <w:rFonts w:ascii="FrankRuehl" w:hAnsi="FrankRuehl" w:cs="FrankRuehl"/>
          <w:sz w:val="28"/>
          <w:szCs w:val="28"/>
          <w:rtl/>
        </w:rPr>
      </w:pPr>
      <w:r w:rsidRPr="00B12A08">
        <w:rPr>
          <w:rFonts w:ascii="FrankRuehl" w:hAnsi="FrankRuehl" w:cs="FrankRuehl"/>
          <w:color w:val="0000FF"/>
          <w:sz w:val="28"/>
          <w:szCs w:val="28"/>
          <w:u w:val="single"/>
          <w:rtl/>
        </w:rPr>
        <w:fldChar w:fldCharType="begin"/>
      </w:r>
      <w:r w:rsidRPr="00B12A08">
        <w:rPr>
          <w:rFonts w:ascii="FrankRuehl" w:hAnsi="FrankRuehl" w:cs="FrankRuehl"/>
          <w:color w:val="0000FF"/>
          <w:sz w:val="28"/>
          <w:szCs w:val="28"/>
          <w:u w:val="single"/>
          <w:rtl/>
        </w:rPr>
        <w:instrText xml:space="preserve"> </w:instrText>
      </w:r>
      <w:r w:rsidRPr="00B12A08">
        <w:rPr>
          <w:rFonts w:ascii="FrankRuehl" w:hAnsi="FrankRuehl" w:cs="FrankRuehl"/>
          <w:color w:val="0000FF"/>
          <w:sz w:val="28"/>
          <w:szCs w:val="28"/>
          <w:u w:val="single"/>
        </w:rPr>
        <w:instrText xml:space="preserve">HYPERLINK </w:instrText>
      </w:r>
      <w:r w:rsidRPr="00B12A08">
        <w:rPr>
          <w:rFonts w:ascii="FrankRuehl" w:hAnsi="FrankRuehl" w:cs="FrankRuehl"/>
          <w:color w:val="0000FF"/>
          <w:sz w:val="28"/>
          <w:szCs w:val="28"/>
          <w:u w:val="single"/>
          <w:rtl/>
        </w:rPr>
        <w:instrText>"</w:instrText>
      </w:r>
      <w:r w:rsidRPr="00B12A08">
        <w:rPr>
          <w:rFonts w:ascii="FrankRuehl" w:hAnsi="FrankRuehl" w:cs="FrankRuehl"/>
          <w:color w:val="0000FF"/>
          <w:sz w:val="28"/>
          <w:szCs w:val="28"/>
          <w:u w:val="single"/>
        </w:rPr>
        <w:instrText>http://www.nevo.co.il/case/23868105"</w:instrText>
      </w:r>
      <w:r w:rsidRPr="00B12A08">
        <w:rPr>
          <w:rFonts w:ascii="FrankRuehl" w:hAnsi="FrankRuehl" w:cs="FrankRuehl"/>
          <w:color w:val="0000FF"/>
          <w:sz w:val="28"/>
          <w:szCs w:val="28"/>
          <w:u w:val="single"/>
          <w:rtl/>
        </w:rPr>
        <w:instrText xml:space="preserve"> </w:instrText>
      </w:r>
      <w:r w:rsidRPr="00B12A08">
        <w:rPr>
          <w:rFonts w:ascii="FrankRuehl" w:hAnsi="FrankRuehl" w:cs="FrankRuehl"/>
          <w:color w:val="0000FF"/>
          <w:sz w:val="28"/>
          <w:szCs w:val="28"/>
          <w:u w:val="single"/>
          <w:rtl/>
        </w:rPr>
      </w:r>
      <w:r w:rsidRPr="00B12A08">
        <w:rPr>
          <w:rFonts w:ascii="FrankRuehl" w:hAnsi="FrankRuehl" w:cs="FrankRuehl"/>
          <w:color w:val="0000FF"/>
          <w:sz w:val="28"/>
          <w:szCs w:val="28"/>
          <w:u w:val="single"/>
          <w:rtl/>
        </w:rPr>
        <w:fldChar w:fldCharType="separate"/>
      </w:r>
      <w:r w:rsidRPr="00B12A08">
        <w:rPr>
          <w:rFonts w:ascii="FrankRuehl" w:hAnsi="FrankRuehl" w:cs="FrankRuehl"/>
          <w:color w:val="0000FF"/>
          <w:sz w:val="28"/>
          <w:szCs w:val="28"/>
          <w:u w:val="single"/>
          <w:rtl/>
        </w:rPr>
        <w:t>ת"פ 27340-04-18</w:t>
      </w:r>
      <w:r w:rsidRPr="00B12A08">
        <w:rPr>
          <w:rFonts w:ascii="FrankRuehl" w:hAnsi="FrankRuehl" w:cs="FrankRuehl"/>
          <w:color w:val="0000FF"/>
          <w:sz w:val="28"/>
          <w:szCs w:val="28"/>
          <w:u w:val="single"/>
          <w:rtl/>
        </w:rPr>
        <w:fldChar w:fldCharType="end"/>
      </w:r>
      <w:r w:rsidR="00A872C4">
        <w:rPr>
          <w:rFonts w:ascii="FrankRuehl" w:hAnsi="FrankRuehl" w:cs="FrankRuehl" w:hint="cs"/>
          <w:sz w:val="28"/>
          <w:szCs w:val="28"/>
          <w:rtl/>
        </w:rPr>
        <w:t xml:space="preserve"> (להלן - </w:t>
      </w:r>
      <w:r w:rsidR="00A872C4">
        <w:rPr>
          <w:rFonts w:ascii="FrankRuehl" w:hAnsi="FrankRuehl" w:cs="FrankRuehl" w:hint="cs"/>
          <w:b/>
          <w:bCs/>
          <w:sz w:val="28"/>
          <w:szCs w:val="28"/>
          <w:rtl/>
        </w:rPr>
        <w:t>תיק הסמים</w:t>
      </w:r>
      <w:r w:rsidR="00A872C4">
        <w:rPr>
          <w:rFonts w:ascii="FrankRuehl" w:hAnsi="FrankRuehl" w:cs="FrankRuehl" w:hint="cs"/>
          <w:sz w:val="28"/>
          <w:szCs w:val="28"/>
          <w:rtl/>
        </w:rPr>
        <w:t xml:space="preserve">) – מעובדות כתב האישום עולה, כי הנאשם החזיק בביתו בירושלים סם מסוג קוקאין במשקל 19.96 גרם נטו, שלא לצריכתו העצמית, ועל-כן הודה והורשע </w:t>
      </w:r>
      <w:r w:rsidR="00A872C4">
        <w:rPr>
          <w:rFonts w:ascii="FrankRuehl" w:hAnsi="FrankRuehl" w:cs="FrankRuehl" w:hint="cs"/>
          <w:sz w:val="28"/>
          <w:szCs w:val="28"/>
          <w:rtl/>
        </w:rPr>
        <w:lastRenderedPageBreak/>
        <w:t xml:space="preserve">בביצוע עבירה של החזקת סם שלא לצריכה עצמית, לפי </w:t>
      </w:r>
      <w:hyperlink r:id="rId16" w:history="1">
        <w:r w:rsidR="006661DB" w:rsidRPr="006661DB">
          <w:rPr>
            <w:rFonts w:ascii="FrankRuehl" w:hAnsi="FrankRuehl" w:cs="FrankRuehl"/>
            <w:color w:val="0000FF"/>
            <w:sz w:val="28"/>
            <w:szCs w:val="28"/>
            <w:u w:val="single"/>
            <w:rtl/>
          </w:rPr>
          <w:t>סעיפים 7(א)+(ג)</w:t>
        </w:r>
      </w:hyperlink>
      <w:r w:rsidR="00A872C4">
        <w:rPr>
          <w:rFonts w:ascii="FrankRuehl" w:hAnsi="FrankRuehl" w:cs="FrankRuehl" w:hint="cs"/>
          <w:sz w:val="28"/>
          <w:szCs w:val="28"/>
          <w:rtl/>
        </w:rPr>
        <w:t xml:space="preserve"> רישא ל</w:t>
      </w:r>
      <w:hyperlink r:id="rId17" w:history="1">
        <w:r w:rsidRPr="00B12A08">
          <w:rPr>
            <w:rFonts w:ascii="FrankRuehl" w:hAnsi="FrankRuehl" w:cs="FrankRuehl"/>
            <w:color w:val="0000FF"/>
            <w:sz w:val="28"/>
            <w:szCs w:val="28"/>
            <w:u w:val="single"/>
            <w:rtl/>
          </w:rPr>
          <w:t>פקודת הסמים המסוכנים</w:t>
        </w:r>
      </w:hyperlink>
      <w:r w:rsidR="00A872C4">
        <w:rPr>
          <w:rFonts w:ascii="FrankRuehl" w:hAnsi="FrankRuehl" w:cs="FrankRuehl" w:hint="cs"/>
          <w:sz w:val="28"/>
          <w:szCs w:val="28"/>
          <w:rtl/>
        </w:rPr>
        <w:t>.</w:t>
      </w:r>
    </w:p>
    <w:p w14:paraId="1A2BB873" w14:textId="77777777" w:rsidR="00A872C4" w:rsidRDefault="00A872C4" w:rsidP="00A872C4">
      <w:pPr>
        <w:spacing w:line="360" w:lineRule="auto"/>
        <w:jc w:val="both"/>
        <w:rPr>
          <w:rFonts w:ascii="FrankRuehl" w:hAnsi="FrankRuehl" w:cs="FrankRuehl"/>
          <w:sz w:val="28"/>
          <w:szCs w:val="28"/>
          <w:rtl/>
        </w:rPr>
      </w:pPr>
    </w:p>
    <w:p w14:paraId="1A4FDA10" w14:textId="77777777" w:rsidR="00A872C4" w:rsidRDefault="00B12A08" w:rsidP="00A872C4">
      <w:pPr>
        <w:spacing w:line="360" w:lineRule="auto"/>
        <w:jc w:val="both"/>
        <w:rPr>
          <w:rFonts w:ascii="FrankRuehl" w:hAnsi="FrankRuehl" w:cs="FrankRuehl"/>
          <w:sz w:val="28"/>
          <w:szCs w:val="28"/>
          <w:rtl/>
        </w:rPr>
      </w:pPr>
      <w:hyperlink r:id="rId18" w:history="1">
        <w:r w:rsidRPr="00B12A08">
          <w:rPr>
            <w:rFonts w:ascii="FrankRuehl" w:hAnsi="FrankRuehl" w:cs="FrankRuehl"/>
            <w:color w:val="0000FF"/>
            <w:sz w:val="28"/>
            <w:szCs w:val="28"/>
            <w:u w:val="single"/>
            <w:rtl/>
          </w:rPr>
          <w:t>ת"פ 65985-03-17</w:t>
        </w:r>
      </w:hyperlink>
      <w:r w:rsidR="00A872C4">
        <w:rPr>
          <w:rFonts w:ascii="FrankRuehl" w:hAnsi="FrankRuehl" w:cs="FrankRuehl" w:hint="cs"/>
          <w:sz w:val="28"/>
          <w:szCs w:val="28"/>
          <w:rtl/>
        </w:rPr>
        <w:t xml:space="preserve"> (להלן – </w:t>
      </w:r>
      <w:r w:rsidR="00A872C4">
        <w:rPr>
          <w:rFonts w:ascii="FrankRuehl" w:hAnsi="FrankRuehl" w:cs="FrankRuehl" w:hint="cs"/>
          <w:b/>
          <w:bCs/>
          <w:sz w:val="28"/>
          <w:szCs w:val="28"/>
          <w:rtl/>
        </w:rPr>
        <w:t>תיק המסים</w:t>
      </w:r>
      <w:r w:rsidR="00A872C4">
        <w:rPr>
          <w:rFonts w:ascii="FrankRuehl" w:hAnsi="FrankRuehl" w:cs="FrankRuehl" w:hint="cs"/>
          <w:sz w:val="28"/>
          <w:szCs w:val="28"/>
          <w:rtl/>
        </w:rPr>
        <w:t xml:space="preserve">) – מעובדות כתב האישום עולה, כי הנאשם נרשם כקבלן ביצוע במע"מ ביום 1.5.2012. בין מרץ 2014 לאוגוסט 2015, הוציא הנאשם חשבוניות כשסכום המע"מ המצטבר בהן עומד על 195,290 ₪, ולמרות זאת, לא דיווח על כך לרשויות מע"מ ולא שילם את שיעור המע"מ במועד. בגין כך הודה והורשע הנאשם בביצוע 7 עבירות של אי-תשלום מס במועד בגין חשבונית שהוצאה, לפי </w:t>
      </w:r>
      <w:hyperlink r:id="rId19" w:history="1">
        <w:r w:rsidR="006661DB" w:rsidRPr="006661DB">
          <w:rPr>
            <w:rFonts w:ascii="FrankRuehl" w:hAnsi="FrankRuehl" w:cs="FrankRuehl"/>
            <w:color w:val="0000FF"/>
            <w:sz w:val="28"/>
            <w:szCs w:val="28"/>
            <w:u w:val="single"/>
            <w:rtl/>
          </w:rPr>
          <w:t>סעיף 114(א)(14)</w:t>
        </w:r>
      </w:hyperlink>
      <w:r w:rsidR="00A872C4">
        <w:rPr>
          <w:rFonts w:ascii="FrankRuehl" w:hAnsi="FrankRuehl" w:cs="FrankRuehl" w:hint="cs"/>
          <w:sz w:val="28"/>
          <w:szCs w:val="28"/>
          <w:rtl/>
        </w:rPr>
        <w:t xml:space="preserve"> ל</w:t>
      </w:r>
      <w:hyperlink r:id="rId20" w:history="1">
        <w:r w:rsidRPr="00B12A08">
          <w:rPr>
            <w:rFonts w:ascii="FrankRuehl" w:hAnsi="FrankRuehl" w:cs="FrankRuehl"/>
            <w:color w:val="0000FF"/>
            <w:sz w:val="28"/>
            <w:szCs w:val="28"/>
            <w:u w:val="single"/>
            <w:rtl/>
          </w:rPr>
          <w:t>חוק מס ערך מוסף</w:t>
        </w:r>
      </w:hyperlink>
      <w:r w:rsidR="00A872C4">
        <w:rPr>
          <w:rFonts w:ascii="FrankRuehl" w:hAnsi="FrankRuehl" w:cs="FrankRuehl" w:hint="cs"/>
          <w:sz w:val="28"/>
          <w:szCs w:val="28"/>
          <w:rtl/>
        </w:rPr>
        <w:t xml:space="preserve">, התשל"ו-1975 (להלן – </w:t>
      </w:r>
      <w:hyperlink r:id="rId21" w:history="1">
        <w:r w:rsidRPr="00B12A08">
          <w:rPr>
            <w:rFonts w:ascii="FrankRuehl" w:hAnsi="FrankRuehl" w:cs="FrankRuehl"/>
            <w:b/>
            <w:bCs/>
            <w:color w:val="0000FF"/>
            <w:sz w:val="28"/>
            <w:szCs w:val="28"/>
            <w:u w:val="single"/>
            <w:rtl/>
          </w:rPr>
          <w:t>חוק מע"מ</w:t>
        </w:r>
      </w:hyperlink>
      <w:r w:rsidR="00A872C4">
        <w:rPr>
          <w:rFonts w:ascii="FrankRuehl" w:hAnsi="FrankRuehl" w:cs="FrankRuehl" w:hint="cs"/>
          <w:sz w:val="28"/>
          <w:szCs w:val="28"/>
          <w:rtl/>
        </w:rPr>
        <w:t>).</w:t>
      </w:r>
    </w:p>
    <w:p w14:paraId="046D59D4" w14:textId="77777777" w:rsidR="00A872C4" w:rsidRDefault="00A872C4" w:rsidP="00A872C4">
      <w:pPr>
        <w:spacing w:line="360" w:lineRule="auto"/>
        <w:jc w:val="both"/>
        <w:rPr>
          <w:rFonts w:ascii="FrankRuehl" w:hAnsi="FrankRuehl" w:cs="FrankRuehl"/>
          <w:sz w:val="28"/>
          <w:szCs w:val="28"/>
          <w:rtl/>
        </w:rPr>
      </w:pPr>
    </w:p>
    <w:p w14:paraId="721BCE76" w14:textId="77777777" w:rsidR="00A872C4" w:rsidRDefault="00A872C4" w:rsidP="00A872C4">
      <w:pPr>
        <w:spacing w:line="360" w:lineRule="auto"/>
        <w:jc w:val="both"/>
        <w:rPr>
          <w:rFonts w:ascii="FrankRuehl" w:hAnsi="FrankRuehl" w:cs="FrankRuehl"/>
          <w:sz w:val="28"/>
          <w:szCs w:val="28"/>
          <w:rtl/>
        </w:rPr>
      </w:pPr>
    </w:p>
    <w:p w14:paraId="2FCC8AC4"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מהלך התיקים</w:t>
      </w:r>
    </w:p>
    <w:p w14:paraId="54F44B75"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במסגרת תיק המסים, הורשע הנאשם כבר ביום 4.12.2017, אלא שבמהלך חודש מאי 2018, צורף התיק לפניי במסגרת תיק הסמים, והנאשם הורשע בגין מכלול התיקים בחודש יוני 2018.</w:t>
      </w:r>
    </w:p>
    <w:p w14:paraId="3AFFA191"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יצוין, כי במסגרת תיק הסמים, היה הנאשם נתון במעצר ממש בין התאריכים 26.3.2018 – 8.5.2018, כאשר שוחרר לתנאי מעצר בית מלא והטלת צו פיקוח מעצרים, במסגרתו טופל הנאשם ע"י שירות המבחן והגורמים הטיפוליים. בחודש ספטמבר 2018 הקלתי בתנאים ואפשרתי לנאשם לצאת לעבודה. ביום 23.1.2019 הקלתי שוב בתנאי השחרור של הנאשם, ולמעשה, הוא נותר במעצר בית מפוקח בשעות הערב והלילה בלבד.</w:t>
      </w:r>
    </w:p>
    <w:p w14:paraId="7BE61E40" w14:textId="77777777" w:rsidR="00A872C4" w:rsidRDefault="00A872C4" w:rsidP="00A872C4">
      <w:pPr>
        <w:spacing w:line="360" w:lineRule="auto"/>
        <w:jc w:val="both"/>
        <w:rPr>
          <w:rFonts w:ascii="FrankRuehl" w:hAnsi="FrankRuehl" w:cs="FrankRuehl"/>
          <w:sz w:val="28"/>
          <w:szCs w:val="28"/>
          <w:rtl/>
        </w:rPr>
      </w:pPr>
    </w:p>
    <w:p w14:paraId="462370A4" w14:textId="77777777" w:rsidR="00A872C4" w:rsidRDefault="00A872C4" w:rsidP="00A872C4">
      <w:pPr>
        <w:spacing w:line="360" w:lineRule="auto"/>
        <w:jc w:val="both"/>
        <w:rPr>
          <w:rFonts w:ascii="FrankRuehl" w:hAnsi="FrankRuehl" w:cs="FrankRuehl"/>
          <w:sz w:val="28"/>
          <w:szCs w:val="28"/>
          <w:rtl/>
        </w:rPr>
      </w:pPr>
    </w:p>
    <w:p w14:paraId="58A512ED"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תסקירי שירות המבחן</w:t>
      </w:r>
    </w:p>
    <w:p w14:paraId="4FD3F5A6"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 xml:space="preserve">מהתסקירים שהוגשו בעניינו של הנאשם עולה, כי מדובר בנאשם שהשנה מלאו לו חמישים. הוא גרוש ויש לו שני ילדים בני עשרה המתגוררים עם אמם, גרושתו.  הוריו חולים מאוד והוא סעד אותם, בין היתר בזמן מעצר הבית הממושך שבו שהה, וממשיך בכך גם היום. הנאשם סיים 12 שנות לימוד תוך רכישת מקצוע בתחום הנהלת החשבונות. הוא שירת במג"ב במסגרת שירותו הצבאי במהלך האינתיפאדה הראשונה, ולדבריו, בעקבות היחשפותו לפיגוע, החל לנהוג באלימות כלפי סביבתו וכן החל להשתמש בסמים. בגין עבירת הסמים נשפט ל-75 ימי מאסר בכלא צבאי, ובגין עבירת אלימות במהלך שירותו ריצה 5 חודשי מאסר. יצוין, כי בהמשך, לאחר שחרורו מצה"ל, דקר הנאשם חבר, על רקע שימוש בסמים, והורשע בעבירת הריגה ונדון למאסר של 9 </w:t>
      </w:r>
      <w:r>
        <w:rPr>
          <w:rFonts w:ascii="FrankRuehl" w:hAnsi="FrankRuehl" w:cs="FrankRuehl" w:hint="cs"/>
          <w:sz w:val="28"/>
          <w:szCs w:val="28"/>
          <w:rtl/>
        </w:rPr>
        <w:lastRenderedPageBreak/>
        <w:t>שנים, שוחרר לאחר ריצוי שני שלישים ממנו, אך שב לרצות שנת מאסר נוספת בעקבות הפרת תנאי הרישיון בשל עבירת סמים. לאחר שחרורו מהכלא בשנת 2004 נישא הנאשם, נולדו לו כאמור שני ילדים, אך כעבור כחמש שנים, התגרש מאשתו ואף נסע לחו"ל. בהמשך חזר לארץ, הקים יחד עם אחיו עסק בתחום הבניה, שלדבריו נקלע לקשיים כלכליים ונסגר. לכל אורך השנים המשיך בשימוש בסמים, לרבות בסם מסוג קוקאין. אשר לנטילת אחריות – שירות המבחן מתרשם כי הגם שהנאשם הודה בביצוע עבירת הסמים, הוא אינו מבין את חומרתה, ואת השלכותיה לגבי שאלת התמכרותו שטרם נפתרה, בשל סירובו של הנאשם לטיפול מקיף ואינטנסיבי. אשר לעבירות המסים – הנאשם לא נטל אחריות לביצוע העבירות, והטילה על אחיו, בטענה כי לא היה מעורב במעשים. שירות המבחן עמד על הקושי הרב של הנאשם לשמור על קשר טיפולי רציף עם השירות, לרבות מתן בדיקות שתן, וכן על סירובו של הנאשם לעבור טיפול משמעותי, מעבר לפגישות. שירות המבחן ציין לחיוב את העובדה שכל הבדיקות שמסר הנאשם לגילוי סם נמצאו נקיות, וסבר, כי למרות תקופות שבהן לא מסר הנאשם בדיקת שכאלה, אכן לא עשה שימוש בסמים. שירות המבחן עמד על מורכבות מצבו הנפשי והחברתי של הנאשם והקשיים מהם סובל. במכלול השיקולים, המליץ שירות המבחן על הטלת מאסר בעבודות שירות. שירות המבחן הגיש תסקיר נוסף בחודש ספטמבר 2019, שבו חזר על המלצותיו האמורות מאותם טעמים.</w:t>
      </w:r>
    </w:p>
    <w:p w14:paraId="1183BC32" w14:textId="77777777" w:rsidR="00A872C4" w:rsidRDefault="00A872C4" w:rsidP="00A872C4">
      <w:pPr>
        <w:spacing w:line="360" w:lineRule="auto"/>
        <w:jc w:val="both"/>
        <w:rPr>
          <w:rFonts w:ascii="FrankRuehl" w:hAnsi="FrankRuehl" w:cs="FrankRuehl"/>
          <w:b/>
          <w:bCs/>
          <w:sz w:val="28"/>
          <w:szCs w:val="28"/>
          <w:u w:val="single"/>
        </w:rPr>
      </w:pPr>
    </w:p>
    <w:p w14:paraId="05D78A4E"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חוות דעת של הממונה על עבודות השירות</w:t>
      </w:r>
    </w:p>
    <w:p w14:paraId="38E19865"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הממונה הגיש חוות דעת על אודות כשירות הנאשם לבצע מאסר בעבודות שירות. מחוות הדעת עולה, כי הנאשם כשיר לבצע עבודות שירות במוזיאון פעיל עין יעל בירושלים, החל מיום 30.10.2019.</w:t>
      </w:r>
    </w:p>
    <w:p w14:paraId="41A02E29" w14:textId="77777777" w:rsidR="00A872C4" w:rsidRDefault="00A872C4" w:rsidP="00A872C4">
      <w:pPr>
        <w:spacing w:line="360" w:lineRule="auto"/>
        <w:jc w:val="both"/>
        <w:rPr>
          <w:rFonts w:ascii="FrankRuehl" w:hAnsi="FrankRuehl" w:cs="FrankRuehl"/>
          <w:sz w:val="28"/>
          <w:szCs w:val="28"/>
          <w:rtl/>
        </w:rPr>
      </w:pPr>
    </w:p>
    <w:p w14:paraId="3917C212"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טיעונים לעונש</w:t>
      </w:r>
    </w:p>
    <w:p w14:paraId="5F7D0AF2"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 xml:space="preserve">הצדדים לא הגיעו להסכמה עונשית. </w:t>
      </w:r>
    </w:p>
    <w:p w14:paraId="5B19E105"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במסגרת ראיות לעונש, שמעתי את בת זוגו של הנאשם, אשר דיברה על אהבתה לנאשם, על אודות מעלותיו, טיפולו המסור בהוריו החולים ותלותם בו, וכברת הדרך הטיפולית שעשה.</w:t>
      </w:r>
    </w:p>
    <w:p w14:paraId="0ADA675E"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מחד, המאשימה בתיק המסים טענה למתחם ענישה שבין 4-8 חודשי מאסר, כשיש להטיל על הנאשם 7 חודשי מאסר, קנס שלא יפחת מ-20,000 ₪ ומאסר מותנה, בין היתר בהינתן אי הסרת המחדל (אי השבת הכספים נשוא כתב האישום).</w:t>
      </w:r>
    </w:p>
    <w:p w14:paraId="77BC3FDC"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המאשימה בתיק הסמים טענה למתחם ענישה שבין 8 ל-18 חודשי מאסר בהתייחס לטיב העבירות וטיב הסמים, ובהינתן התמונה הטיפולית, עתרה להטיל עליו 10 חודשי מאסר.</w:t>
      </w:r>
    </w:p>
    <w:p w14:paraId="0BEADC67"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 xml:space="preserve">באות כוח המדינה ביקשו שהעונשים יצטברו זה לזה. </w:t>
      </w:r>
    </w:p>
    <w:p w14:paraId="4C160A19"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מאידך, הסניגורים טוענים כי יש להסתפק בהטלת עונש מאסר לריצוי בעבודות שירות, לנוכח נסיבותיו האישיות הקשות, מצבו הכלכלי הדחוק ונטילת האחריות של הנאשם.</w:t>
      </w:r>
      <w:r>
        <w:rPr>
          <w:rFonts w:ascii="FrankRuehl" w:hAnsi="FrankRuehl" w:cs="FrankRuehl" w:hint="cs"/>
          <w:sz w:val="28"/>
          <w:szCs w:val="28"/>
          <w:highlight w:val="yellow"/>
          <w:rtl/>
        </w:rPr>
        <w:t xml:space="preserve"> </w:t>
      </w:r>
    </w:p>
    <w:p w14:paraId="048E4125" w14:textId="77777777" w:rsidR="00A872C4" w:rsidRDefault="00A872C4" w:rsidP="00A872C4">
      <w:pPr>
        <w:spacing w:line="360" w:lineRule="auto"/>
        <w:jc w:val="both"/>
        <w:rPr>
          <w:rFonts w:ascii="FrankRuehl" w:hAnsi="FrankRuehl" w:cs="FrankRuehl"/>
          <w:b/>
          <w:bCs/>
          <w:sz w:val="28"/>
          <w:szCs w:val="28"/>
          <w:u w:val="single"/>
          <w:rtl/>
        </w:rPr>
      </w:pPr>
    </w:p>
    <w:p w14:paraId="6065D6AC"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 xml:space="preserve">קביעת מתחם הענישה </w:t>
      </w:r>
      <w:r>
        <w:rPr>
          <w:rFonts w:ascii="FrankRuehl" w:hAnsi="FrankRuehl"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3DE96119" w14:textId="77777777" w:rsidR="00A872C4" w:rsidRDefault="00A872C4" w:rsidP="00A872C4">
      <w:pPr>
        <w:spacing w:line="360" w:lineRule="auto"/>
        <w:jc w:val="both"/>
        <w:rPr>
          <w:rFonts w:ascii="FrankRuehl" w:hAnsi="FrankRuehl" w:cs="FrankRuehl"/>
          <w:b/>
          <w:bCs/>
          <w:sz w:val="28"/>
          <w:szCs w:val="28"/>
          <w:u w:val="single"/>
          <w:rtl/>
        </w:rPr>
      </w:pPr>
    </w:p>
    <w:p w14:paraId="3D3EC30A"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 xml:space="preserve">אשר לערך המוגן </w:t>
      </w:r>
      <w:r>
        <w:rPr>
          <w:rFonts w:ascii="FrankRuehl" w:hAnsi="FrankRuehl" w:cs="FrankRuehl" w:hint="cs"/>
          <w:sz w:val="28"/>
          <w:szCs w:val="28"/>
          <w:rtl/>
        </w:rPr>
        <w:t xml:space="preserve">– </w:t>
      </w:r>
      <w:r>
        <w:rPr>
          <w:rFonts w:ascii="FrankRuehl" w:hAnsi="FrankRuehl" w:cs="FrankRuehl" w:hint="cs"/>
          <w:b/>
          <w:bCs/>
          <w:sz w:val="28"/>
          <w:szCs w:val="28"/>
          <w:rtl/>
        </w:rPr>
        <w:t>אשר לתיק הסמים</w:t>
      </w:r>
      <w:r>
        <w:rPr>
          <w:rFonts w:ascii="FrankRuehl" w:hAnsi="FrankRuehl" w:cs="FrankRuehl" w:hint="cs"/>
          <w:sz w:val="28"/>
          <w:szCs w:val="28"/>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הדבר נכון שבעתיים כאשר מדובר בסם קשה מסוג קוקאין שנזקיו חמורים. בעניינו, מידת הפגיעה בערכים המוגנים בינונית ומעלה לנוכח כמות הסמים וטיבם.</w:t>
      </w:r>
    </w:p>
    <w:p w14:paraId="2BCD30FF" w14:textId="77777777" w:rsidR="00A872C4" w:rsidRDefault="00A872C4" w:rsidP="00A872C4">
      <w:pPr>
        <w:spacing w:line="360" w:lineRule="auto"/>
        <w:jc w:val="both"/>
        <w:rPr>
          <w:rFonts w:ascii="FrankRuehl" w:hAnsi="FrankRuehl" w:cs="FrankRuehl"/>
          <w:sz w:val="28"/>
          <w:szCs w:val="28"/>
          <w:rtl/>
        </w:rPr>
      </w:pPr>
    </w:p>
    <w:p w14:paraId="79DD82B8"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rtl/>
        </w:rPr>
        <w:t>אשר לתיק המסים</w:t>
      </w:r>
      <w:r>
        <w:rPr>
          <w:rFonts w:ascii="FrankRuehl" w:hAnsi="FrankRuehl" w:cs="FrankRuehl" w:hint="cs"/>
          <w:sz w:val="28"/>
          <w:szCs w:val="28"/>
          <w:rtl/>
        </w:rPr>
        <w:t>, אפנה לדברי בית המשפט העליון ב</w:t>
      </w:r>
      <w:hyperlink r:id="rId22" w:history="1">
        <w:r w:rsidR="00B12A08" w:rsidRPr="00B12A08">
          <w:rPr>
            <w:rFonts w:ascii="FrankRuehl" w:hAnsi="FrankRuehl" w:cs="FrankRuehl"/>
            <w:color w:val="0000FF"/>
            <w:sz w:val="28"/>
            <w:szCs w:val="28"/>
            <w:u w:val="single"/>
            <w:rtl/>
          </w:rPr>
          <w:t>רע"פ 1238/19</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אחדות</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27.2.2019) בפסקה 11: "אוסיף ואציין כי בית משפט זה עמד לא אחת על חומרתן של עבירות המס...'בית משפט זה חזר ועמד על חומרתה של עבריינות המס, אשר נובעת מפגיעתה הקשה במשק, בכלכלה ובמגוון היבטים חברתיים הנוגעים לנטל תשלום המיסים, כמו גם מהקושי הרב שבחשיפתה. נפסק לא אחת, כי יש ליתן לחומרה זו ביטוי ממשי במסגרת גזירת עונשו של מי שהורשע בעבירות אלה, תוך מתן עדיפות לשיקולי הרתעה ולאינטרס הציבורי שבהחמרת הענישה על פני נסיבותיו האישיות של הנאשם, וכאשר נקודת המוצא היא כי העונש ההולם בעבירות אלה הוא מאסר בפועל'... ". בעניינו, לנוכח סכום העלמת המס, מידת הפגיעה בערך המוגן בינונית.</w:t>
      </w:r>
    </w:p>
    <w:p w14:paraId="41ECD61D" w14:textId="77777777" w:rsidR="00A872C4" w:rsidRDefault="00A872C4" w:rsidP="00A872C4">
      <w:pPr>
        <w:spacing w:line="360" w:lineRule="auto"/>
        <w:jc w:val="both"/>
        <w:rPr>
          <w:rFonts w:ascii="FrankRuehl" w:hAnsi="FrankRuehl" w:cs="FrankRuehl"/>
          <w:sz w:val="28"/>
          <w:szCs w:val="28"/>
        </w:rPr>
      </w:pPr>
    </w:p>
    <w:p w14:paraId="35DEE762"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 xml:space="preserve">נסיבות הקשורות בביצוע העבירה, לפי </w:t>
      </w:r>
      <w:hyperlink r:id="rId23" w:history="1">
        <w:r w:rsidR="006661DB" w:rsidRPr="006661DB">
          <w:rPr>
            <w:rFonts w:ascii="FrankRuehl" w:hAnsi="FrankRuehl" w:cs="FrankRuehl"/>
            <w:b/>
            <w:bCs/>
            <w:color w:val="0000FF"/>
            <w:sz w:val="28"/>
            <w:szCs w:val="28"/>
            <w:u w:val="single"/>
            <w:rtl/>
          </w:rPr>
          <w:t>סעיף 40ט'</w:t>
        </w:r>
      </w:hyperlink>
      <w:r>
        <w:rPr>
          <w:rFonts w:ascii="FrankRuehl" w:hAnsi="FrankRuehl" w:cs="FrankRuehl" w:hint="cs"/>
          <w:b/>
          <w:bCs/>
          <w:sz w:val="28"/>
          <w:szCs w:val="28"/>
          <w:u w:val="single"/>
          <w:rtl/>
        </w:rPr>
        <w:t xml:space="preserve"> ל</w:t>
      </w:r>
      <w:hyperlink r:id="rId24" w:history="1">
        <w:r w:rsidR="00B12A08" w:rsidRPr="00B12A08">
          <w:rPr>
            <w:rFonts w:ascii="FrankRuehl" w:hAnsi="FrankRuehl" w:cs="FrankRuehl"/>
            <w:b/>
            <w:bCs/>
            <w:color w:val="0000FF"/>
            <w:sz w:val="28"/>
            <w:szCs w:val="28"/>
            <w:u w:val="single"/>
            <w:rtl/>
          </w:rPr>
          <w:t>חוק העונשין</w:t>
        </w:r>
      </w:hyperlink>
      <w:r>
        <w:rPr>
          <w:rFonts w:ascii="FrankRuehl" w:hAnsi="FrankRuehl" w:cs="FrankRuehl" w:hint="cs"/>
          <w:b/>
          <w:bCs/>
          <w:sz w:val="28"/>
          <w:szCs w:val="28"/>
          <w:rtl/>
        </w:rPr>
        <w:t xml:space="preserve"> – </w:t>
      </w:r>
      <w:r>
        <w:rPr>
          <w:rFonts w:ascii="FrankRuehl" w:hAnsi="FrankRuehl" w:cs="FrankRuehl" w:hint="cs"/>
          <w:sz w:val="28"/>
          <w:szCs w:val="28"/>
          <w:rtl/>
        </w:rPr>
        <w:t xml:space="preserve">בין הנסיבות הקשורות בביצוע העבירה יש לשקול את אלה, לעניין קביעת המתחם: </w:t>
      </w:r>
    </w:p>
    <w:p w14:paraId="435F7411" w14:textId="77777777" w:rsidR="00A872C4" w:rsidRDefault="00A872C4" w:rsidP="00A872C4">
      <w:pPr>
        <w:spacing w:line="360" w:lineRule="auto"/>
        <w:jc w:val="both"/>
        <w:rPr>
          <w:rFonts w:ascii="FrankRuehl" w:hAnsi="FrankRuehl" w:cs="FrankRuehl"/>
          <w:b/>
          <w:bCs/>
          <w:sz w:val="28"/>
          <w:szCs w:val="28"/>
          <w:rtl/>
        </w:rPr>
      </w:pPr>
    </w:p>
    <w:p w14:paraId="3FF4855F"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rtl/>
        </w:rPr>
        <w:t>אשר לתיק הסמים</w:t>
      </w:r>
      <w:r>
        <w:rPr>
          <w:rFonts w:ascii="FrankRuehl" w:hAnsi="FrankRuehl" w:cs="FrankRuehl" w:hint="cs"/>
          <w:sz w:val="28"/>
          <w:szCs w:val="28"/>
          <w:rtl/>
        </w:rPr>
        <w:t xml:space="preserve"> – מדובר בהחזקה סם בכמות הגדולה מאוד מזו המוגדרת לצריכה עצמית ע"י אדם בגיר שחזקה שידע כי הוא מבצע מעשה אסור, ולכן הוא אחראי עליו בלעדית; הנזק שנגרם מסמים "קשים" דוגמת קוקאין קשה ובעל השלכות רוחביות;  הנאשם עשה כן בשל התמכרותו, ועל פניו, החזקת כמות כה גדולה של סם, גם אם לצריכתו שלו, היא בגדר מעשה מתוכנן הפועל לחובתו של הנאשם. </w:t>
      </w:r>
    </w:p>
    <w:p w14:paraId="22AD5525" w14:textId="77777777" w:rsidR="00A872C4" w:rsidRDefault="00A872C4" w:rsidP="00A872C4">
      <w:pPr>
        <w:spacing w:line="360" w:lineRule="auto"/>
        <w:jc w:val="both"/>
        <w:rPr>
          <w:rFonts w:ascii="FrankRuehl" w:hAnsi="FrankRuehl" w:cs="FrankRuehl"/>
          <w:b/>
          <w:bCs/>
          <w:sz w:val="28"/>
          <w:szCs w:val="28"/>
          <w:rtl/>
        </w:rPr>
      </w:pPr>
    </w:p>
    <w:p w14:paraId="6EA838CA"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rtl/>
        </w:rPr>
        <w:t>אשר  לתיק המסים</w:t>
      </w:r>
      <w:r>
        <w:rPr>
          <w:rFonts w:ascii="FrankRuehl" w:hAnsi="FrankRuehl" w:cs="FrankRuehl" w:hint="cs"/>
          <w:sz w:val="28"/>
          <w:szCs w:val="28"/>
          <w:rtl/>
        </w:rPr>
        <w:t xml:space="preserve"> – מדובר בעבירות מתוכננות שחזרו על עצמן במשך תקופה לא קצרה במטרה לחמוק מתשלום מס ולשלשל לכיס הנאשם שלא כדין, כספים אלו, מבלי שיתן על כך את הדין; הנאשם אחראי באופן בלעדי למעשים וחזקה שידע את הפסול שבהם; הנזק שנגרם הוא העלמת מס בשיעור לא מבוטל, כאשר הנזק הרוחבי מעבירות מסוג זה הוא גדול, במיוחד לאוצר המדינה.</w:t>
      </w:r>
    </w:p>
    <w:p w14:paraId="4697A11B" w14:textId="77777777" w:rsidR="00A872C4" w:rsidRDefault="00A872C4" w:rsidP="00A872C4">
      <w:pPr>
        <w:spacing w:line="360" w:lineRule="auto"/>
        <w:jc w:val="both"/>
        <w:rPr>
          <w:rFonts w:ascii="FrankRuehl" w:hAnsi="FrankRuehl" w:cs="FrankRuehl"/>
          <w:b/>
          <w:bCs/>
          <w:sz w:val="28"/>
          <w:szCs w:val="28"/>
          <w:u w:val="single"/>
        </w:rPr>
      </w:pPr>
    </w:p>
    <w:p w14:paraId="420C6F3C"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מדיניות הענישה הנוהגת</w:t>
      </w:r>
      <w:r>
        <w:rPr>
          <w:rFonts w:ascii="FrankRuehl" w:hAnsi="FrankRuehl" w:cs="FrankRuehl" w:hint="cs"/>
          <w:b/>
          <w:bCs/>
          <w:sz w:val="28"/>
          <w:szCs w:val="28"/>
          <w:rtl/>
        </w:rPr>
        <w:t xml:space="preserve"> –  אשר לתיק הסמים – </w:t>
      </w:r>
      <w:r>
        <w:rPr>
          <w:rFonts w:ascii="FrankRuehl" w:hAnsi="FrankRuehl" w:cs="FrankRuehl" w:hint="cs"/>
          <w:sz w:val="28"/>
          <w:szCs w:val="28"/>
          <w:rtl/>
        </w:rPr>
        <w:t>ב</w:t>
      </w:r>
      <w:hyperlink r:id="rId25" w:history="1">
        <w:r w:rsidR="00B12A08" w:rsidRPr="00B12A08">
          <w:rPr>
            <w:rFonts w:ascii="FrankRuehl" w:hAnsi="FrankRuehl" w:cs="FrankRuehl"/>
            <w:color w:val="0000FF"/>
            <w:sz w:val="28"/>
            <w:szCs w:val="28"/>
            <w:u w:val="single"/>
            <w:rtl/>
          </w:rPr>
          <w:t>רע"פ 5112/18</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פנסו</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31.1.2019) נדחתה בקשת רשות ערעור הנוגעת, בית היתר לעונש של 38 חודשי מאסר שהוטל על נאשם שהחזיק שלא לצריכתו העצמית 50 גרם קוקאין. בפסק הדין אין התייחסות למתחם הענישה, אלא לתוצאה העונשית בלבד; ב</w:t>
      </w:r>
      <w:hyperlink r:id="rId26" w:history="1">
        <w:r w:rsidR="00B12A08" w:rsidRPr="00B12A08">
          <w:rPr>
            <w:rFonts w:ascii="FrankRuehl" w:hAnsi="FrankRuehl" w:cs="FrankRuehl"/>
            <w:color w:val="0000FF"/>
            <w:sz w:val="28"/>
            <w:szCs w:val="28"/>
            <w:u w:val="single"/>
            <w:rtl/>
          </w:rPr>
          <w:t>רע"פ 3262/19</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מסעוד</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16.5.2019) אושר עונש מאסר של 5 חודשים בפועל, וכן מתחם ענישה שבין 10 ל-30 חודשים בעניינו של נאשם שהחזיק בדירתו למען עצמו ולמען אחר חשיש וקנביס במשקל של כ-300 גרם, וכן 83 גרם קוקאין.  בשני המקרים מדובר בנסיבות חמורות ממקרנו, ויש לגזור מהן לקולא.</w:t>
      </w:r>
    </w:p>
    <w:p w14:paraId="7214363F" w14:textId="77777777" w:rsidR="00A872C4" w:rsidRDefault="00A872C4" w:rsidP="00A872C4">
      <w:pPr>
        <w:spacing w:line="360" w:lineRule="auto"/>
        <w:jc w:val="both"/>
        <w:rPr>
          <w:rFonts w:ascii="FrankRuehl" w:hAnsi="FrankRuehl" w:cs="FrankRuehl"/>
          <w:b/>
          <w:bCs/>
          <w:sz w:val="28"/>
          <w:szCs w:val="28"/>
          <w:rtl/>
        </w:rPr>
      </w:pPr>
    </w:p>
    <w:p w14:paraId="0C720CD8"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rtl/>
        </w:rPr>
        <w:t>אשר לתיק המסים</w:t>
      </w:r>
      <w:r>
        <w:rPr>
          <w:rFonts w:ascii="FrankRuehl" w:hAnsi="FrankRuehl" w:cs="FrankRuehl" w:hint="cs"/>
          <w:sz w:val="28"/>
          <w:szCs w:val="28"/>
          <w:rtl/>
        </w:rPr>
        <w:t xml:space="preserve"> – כפי שצוטט לעיל, הנטיה היא שליחת נאשמים בעבירות מס למאסר ממש בשל הנזקים הנגרמים בגין ביצוע עבירות מסוג זה לאוצר המדינה. ב</w:t>
      </w:r>
      <w:hyperlink r:id="rId27" w:history="1">
        <w:r w:rsidR="00B12A08" w:rsidRPr="00B12A08">
          <w:rPr>
            <w:rFonts w:ascii="FrankRuehl" w:hAnsi="FrankRuehl" w:cs="FrankRuehl"/>
            <w:color w:val="0000FF"/>
            <w:sz w:val="28"/>
            <w:szCs w:val="28"/>
            <w:u w:val="single"/>
            <w:rtl/>
          </w:rPr>
          <w:t>רע"פ 2891/16</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זידאן</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13.4.2016) אושר מתחם שבין חודשי מאסר בודדים ועד 18 חודשי מאסר בפועל, כשהנאשם שם נדון ל-8 חודשי מאסר בפועל, בגין נסיבות חמורות ממקרנו, שם סכום המרמה הסתכם בכ-1.5 מיליון ₪. ברע"פ 2807/10 </w:t>
      </w:r>
      <w:r>
        <w:rPr>
          <w:rFonts w:ascii="FrankRuehl" w:hAnsi="FrankRuehl" w:cs="FrankRuehl" w:hint="cs"/>
          <w:b/>
          <w:bCs/>
          <w:sz w:val="28"/>
          <w:szCs w:val="28"/>
          <w:u w:val="single"/>
          <w:rtl/>
        </w:rPr>
        <w:t>יחזקאל</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1.12.2010) הושתו 15 חודשי מאסר על הנאשם, בגין ביצוע עשרות עבירות מס, לרבות העבירות נשוא דיוננו, בסכום מצטבר של מעל 1.1 מיליון ₪. אלו הן דוגמאות לפסיקה בנסיבות חמורות בהרבה מבחינת היקף המרמה ותחכומה, ויש לגזור מדוגמאות אלו לקולא.</w:t>
      </w:r>
    </w:p>
    <w:p w14:paraId="0E637AFC" w14:textId="77777777" w:rsidR="00A872C4" w:rsidRDefault="00A872C4" w:rsidP="00A872C4">
      <w:pPr>
        <w:spacing w:line="360" w:lineRule="auto"/>
        <w:jc w:val="both"/>
        <w:rPr>
          <w:rFonts w:ascii="FrankRuehl" w:hAnsi="FrankRuehl" w:cs="FrankRuehl"/>
          <w:b/>
          <w:bCs/>
          <w:sz w:val="28"/>
          <w:szCs w:val="28"/>
          <w:u w:val="single"/>
          <w:rtl/>
        </w:rPr>
      </w:pPr>
    </w:p>
    <w:p w14:paraId="1971D816"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מתחם הענישה</w:t>
      </w:r>
      <w:r>
        <w:rPr>
          <w:rFonts w:ascii="FrankRuehl" w:hAnsi="FrankRuehl" w:cs="FrankRuehl" w:hint="cs"/>
          <w:sz w:val="28"/>
          <w:szCs w:val="28"/>
          <w:rtl/>
        </w:rPr>
        <w:t xml:space="preserve"> – לפיכך, מתחם הענישה </w:t>
      </w:r>
      <w:r>
        <w:rPr>
          <w:rFonts w:ascii="FrankRuehl" w:hAnsi="FrankRuehl" w:cs="FrankRuehl" w:hint="cs"/>
          <w:b/>
          <w:bCs/>
          <w:sz w:val="28"/>
          <w:szCs w:val="28"/>
          <w:rtl/>
        </w:rPr>
        <w:t>בתיק הסמים</w:t>
      </w:r>
      <w:r>
        <w:rPr>
          <w:rFonts w:ascii="FrankRuehl" w:hAnsi="FrankRuehl" w:cs="FrankRuehl" w:hint="cs"/>
          <w:sz w:val="28"/>
          <w:szCs w:val="28"/>
          <w:rtl/>
        </w:rPr>
        <w:t>, צריך לעמוד על בין 8 ל-18 חודשי מאסר.</w:t>
      </w:r>
    </w:p>
    <w:p w14:paraId="3F7B82DB" w14:textId="77777777" w:rsidR="00A872C4" w:rsidRDefault="00A872C4" w:rsidP="00A872C4">
      <w:pPr>
        <w:spacing w:line="360" w:lineRule="auto"/>
        <w:jc w:val="both"/>
        <w:rPr>
          <w:rFonts w:ascii="FrankRuehl" w:hAnsi="FrankRuehl" w:cs="FrankRuehl"/>
          <w:sz w:val="28"/>
          <w:szCs w:val="28"/>
          <w:rtl/>
        </w:rPr>
      </w:pPr>
    </w:p>
    <w:p w14:paraId="0057F49D"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rtl/>
        </w:rPr>
        <w:t>אשר לתיק המסים</w:t>
      </w:r>
      <w:r>
        <w:rPr>
          <w:rFonts w:ascii="FrankRuehl" w:hAnsi="FrankRuehl" w:cs="FrankRuehl" w:hint="cs"/>
          <w:sz w:val="28"/>
          <w:szCs w:val="28"/>
          <w:rtl/>
        </w:rPr>
        <w:t xml:space="preserve"> – מתחם הענישה צריך לעמוד על בין 4 ל-18 חודשי מאסר. </w:t>
      </w:r>
    </w:p>
    <w:p w14:paraId="494FD179" w14:textId="77777777" w:rsidR="00A872C4" w:rsidRDefault="00A872C4" w:rsidP="00A872C4">
      <w:pPr>
        <w:spacing w:line="360" w:lineRule="auto"/>
        <w:jc w:val="both"/>
        <w:rPr>
          <w:rFonts w:ascii="FrankRuehl" w:hAnsi="FrankRuehl" w:cs="FrankRuehl"/>
          <w:sz w:val="28"/>
          <w:szCs w:val="28"/>
          <w:rtl/>
        </w:rPr>
      </w:pPr>
    </w:p>
    <w:p w14:paraId="1623EFC5" w14:textId="77777777" w:rsidR="00A872C4" w:rsidRDefault="00A872C4" w:rsidP="00A872C4">
      <w:pPr>
        <w:spacing w:line="360" w:lineRule="auto"/>
        <w:jc w:val="both"/>
        <w:rPr>
          <w:rFonts w:ascii="FrankRuehl" w:hAnsi="FrankRuehl" w:cs="FrankRuehl"/>
          <w:b/>
          <w:bCs/>
          <w:sz w:val="28"/>
          <w:szCs w:val="28"/>
          <w:rtl/>
        </w:rPr>
      </w:pPr>
    </w:p>
    <w:p w14:paraId="7BB20E23"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 xml:space="preserve">נסיבות שאינן קשורות בביצוע העבירה לפי </w:t>
      </w:r>
      <w:hyperlink r:id="rId28" w:history="1">
        <w:r w:rsidR="006661DB" w:rsidRPr="006661DB">
          <w:rPr>
            <w:rFonts w:ascii="FrankRuehl" w:hAnsi="FrankRuehl" w:cs="FrankRuehl"/>
            <w:b/>
            <w:bCs/>
            <w:color w:val="0000FF"/>
            <w:sz w:val="28"/>
            <w:szCs w:val="28"/>
            <w:u w:val="single"/>
            <w:rtl/>
          </w:rPr>
          <w:t>סעיף 40י"א</w:t>
        </w:r>
      </w:hyperlink>
      <w:r>
        <w:rPr>
          <w:rFonts w:ascii="FrankRuehl" w:hAnsi="FrankRuehl" w:cs="FrankRuehl" w:hint="cs"/>
          <w:b/>
          <w:bCs/>
          <w:sz w:val="28"/>
          <w:szCs w:val="28"/>
          <w:u w:val="single"/>
          <w:rtl/>
        </w:rPr>
        <w:t xml:space="preserve"> ל</w:t>
      </w:r>
      <w:hyperlink r:id="rId29" w:history="1">
        <w:r w:rsidR="00B12A08" w:rsidRPr="00B12A08">
          <w:rPr>
            <w:rFonts w:ascii="FrankRuehl" w:hAnsi="FrankRuehl" w:cs="FrankRuehl"/>
            <w:b/>
            <w:bCs/>
            <w:color w:val="0000FF"/>
            <w:sz w:val="28"/>
            <w:szCs w:val="28"/>
            <w:u w:val="single"/>
            <w:rtl/>
          </w:rPr>
          <w:t>חוק העונשין</w:t>
        </w:r>
      </w:hyperlink>
      <w:r>
        <w:rPr>
          <w:rFonts w:ascii="FrankRuehl" w:hAnsi="FrankRuehl" w:cs="FrankRuehl" w:hint="cs"/>
          <w:b/>
          <w:bCs/>
          <w:sz w:val="28"/>
          <w:szCs w:val="28"/>
          <w:rtl/>
        </w:rPr>
        <w:t xml:space="preserve"> – </w:t>
      </w:r>
      <w:r>
        <w:rPr>
          <w:rFonts w:ascii="FrankRuehl" w:hAnsi="FrankRuehl" w:cs="FrankRuehl" w:hint="cs"/>
          <w:sz w:val="28"/>
          <w:szCs w:val="28"/>
          <w:rtl/>
        </w:rPr>
        <w:t xml:space="preserve">ניתן  לתת משקל לנסיבות הבאות שאינן קשורות בביצוע העבירה, במסגרת גזירת העונש בתוך המתחם: מדובר בנאשם בשנות החמישים לחייו, אשר ביצע שתי עבירות שונות במהותן, אך בתקופה קרובה יחסית, המלמדת על חזרתו של הנאשם לביצוע מעשים פליליים, לאחר שנים רבות שבהן שמר על ריחוק מפלילים; לנוכח העבר הפלילי, הנאשם אינו זר לכותלי הכלא, ומהתסקיר אף עלה כי בעת שהות הנאשם בכלא, הוערך כי הוא ניהל אורח חיים עברייני ואף היה בעל מעמד באגף הכלואים – מכאן, שהטלת מאסר בפועל על הנאשם לא תגרום נזק בדומה לנזק הנגרם למי שצפוי לרצות מאסר בפועל לראשונה;  הנאשם גרוש, ואינו עומד בקשר עם ילדיו וכנראה גם אינו עומד בחובותיו לזון אותם – כפי שצוין, מצבו הכלכלי והוא נתון בחובות רבים; הנאשם לא נטל אחריות אמיתית למעשים המיוחסים לו למרות הודאתו בבית המשפט, וזאת כפי שעולה מהתסקירים וכפי שפורט בפרק הרלבנטי לעיל; הנאשם לא שיתף פעולה עם שירות המבחן וסירב להליך טיפולי משמעותי בתחום הסמים, ונושא זה עדיין מהווה מוקד סיכון משמעותי להישנות עבירות; אשר לעבירות המסים – הנאשם לא הסיר את המחדל ולא השיב את הסכום שהועלם מקופת המדינה וזוהי נסיבה לחומרה. </w:t>
      </w:r>
    </w:p>
    <w:p w14:paraId="78D5500B" w14:textId="77777777" w:rsidR="00A872C4" w:rsidRDefault="00A872C4" w:rsidP="00A872C4">
      <w:pPr>
        <w:spacing w:line="360" w:lineRule="auto"/>
        <w:jc w:val="both"/>
        <w:rPr>
          <w:rFonts w:ascii="FrankRuehl" w:hAnsi="FrankRuehl" w:cs="FrankRuehl"/>
          <w:sz w:val="28"/>
          <w:szCs w:val="28"/>
          <w:rtl/>
        </w:rPr>
      </w:pPr>
    </w:p>
    <w:p w14:paraId="2A6CB59A"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המיקום במתחם</w:t>
      </w:r>
      <w:r>
        <w:rPr>
          <w:rFonts w:ascii="FrankRuehl" w:hAnsi="FrankRuehl" w:cs="FrankRuehl" w:hint="cs"/>
          <w:sz w:val="28"/>
          <w:szCs w:val="28"/>
          <w:rtl/>
        </w:rPr>
        <w:t xml:space="preserve"> – בשורה התחתונה, למרות שניתנה לנאשם הזדמנות לטפל בעצמו במסגרת הליך המעצרים בתיק הסמים, הוא לא עשה כן, וסירב באופן חוזר ונשנה, להשתלב במסגרת טיפולית אינטנסיבית לגמילה מסמים. זו עקב האכילס העיקרית של הנאשם במובן זה, שלא ניתן לבוא לקראתו מבחינה עונשית, כשהוא עצמו לא הביע נכונות טיפולית לאורך תקופה ארוכה. שמעתי את דברי הנאשם וחברתו. אני מבין את קשייו של הנאשם, אך אינני סבור כי הוא עשה די כדי לצאת ממעגל הסמים, וצריך היה להירתם לתוכניות שהוצעו לו, וזאת על-מנת להבטיח ברמת ודאות גבוהה יותר, את הצלחת דרכו בתחום זה. מעבר לאמור, הנאשם לא נטל אחריות אמיתית למעשים בשני התיקים והוא ממעיט מחומרתם, כפי שעלה מהתסקירים. בשל כל אלה, ובשל חומרת העבירות, אין מנוס מהטלת מאסר בפועל מאחורי סורג ובריח. לנוכח כל האמור, המלצת שירות המבחן אינה סבירה ואינה מתיישבת עם הנתונים שהוא עצמו פירט בתסקיריו.  במכלול הנסיבות סברתי, כי יש למקם את הנאשם בחלק התחתון של המתחמים, כאשר הענישה צריכה להינתן בנפרד לכל תיק. </w:t>
      </w:r>
    </w:p>
    <w:p w14:paraId="277F954F" w14:textId="77777777" w:rsidR="00A872C4" w:rsidRDefault="00A872C4" w:rsidP="00A872C4">
      <w:pPr>
        <w:spacing w:line="360" w:lineRule="auto"/>
        <w:jc w:val="both"/>
        <w:rPr>
          <w:rFonts w:ascii="FrankRuehl" w:hAnsi="FrankRuehl" w:cs="FrankRuehl"/>
          <w:b/>
          <w:bCs/>
          <w:sz w:val="28"/>
          <w:szCs w:val="28"/>
          <w:u w:val="single"/>
          <w:rtl/>
        </w:rPr>
      </w:pPr>
    </w:p>
    <w:p w14:paraId="648FD2A9" w14:textId="77777777" w:rsidR="00A872C4" w:rsidRDefault="00A872C4" w:rsidP="00A872C4">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גזירת הדין</w:t>
      </w:r>
    </w:p>
    <w:p w14:paraId="7C918ADD" w14:textId="77777777" w:rsidR="00A872C4" w:rsidRDefault="00A872C4" w:rsidP="00A872C4">
      <w:pPr>
        <w:spacing w:line="360" w:lineRule="auto"/>
        <w:jc w:val="both"/>
        <w:rPr>
          <w:rFonts w:ascii="FrankRuehl" w:hAnsi="FrankRuehl" w:cs="FrankRuehl"/>
          <w:sz w:val="28"/>
          <w:szCs w:val="28"/>
          <w:rtl/>
        </w:rPr>
      </w:pPr>
      <w:r>
        <w:rPr>
          <w:rFonts w:ascii="FrankRuehl" w:hAnsi="FrankRuehl" w:cs="FrankRuehl" w:hint="cs"/>
          <w:sz w:val="28"/>
          <w:szCs w:val="28"/>
          <w:rtl/>
        </w:rPr>
        <w:t>לפיכך, אני מחליט לגזור על הנאשם את העונשים הבאים:</w:t>
      </w:r>
    </w:p>
    <w:p w14:paraId="76892895" w14:textId="77777777" w:rsidR="00A872C4" w:rsidRDefault="00A872C4" w:rsidP="00A872C4">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אשר לתיק המסים – אני גוזר על הנאשם 5 חודשי מאסר לריצוי בפועל;</w:t>
      </w:r>
    </w:p>
    <w:p w14:paraId="06E6D657" w14:textId="77777777" w:rsidR="00A872C4" w:rsidRDefault="00A872C4" w:rsidP="00A872C4">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אשר לתיק הסמים – אני גוזר על הנאשם 7  חודשי מאסר בפועל לריצוי מאחורי סורג ובריח, כאשר מתוך תקופה זו 3 חודשים יהיו בחופף לעונש בתיק המסים, ו-4 חודשים במצטבר – בסה"כ ירצה הנאשם בשני התיקים מאסר של 9 חודשים בניכוי ימי מעצרו בתיק הסמים, על-פי חישוב שב"ס שיכריע – החלטתי לחפוף חלק מהעונש נובעת מטעמי נסיבותיו האישיות הקשות של הנאשם, ומצבם הרפואי הקשה של הוריו, לגביו הובאו לי אסמכתאות;</w:t>
      </w:r>
    </w:p>
    <w:p w14:paraId="60B984F8" w14:textId="77777777" w:rsidR="00A872C4" w:rsidRDefault="00A872C4" w:rsidP="00A872C4">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6 חודשי מאסר, שלא ירוצו אלא אם יעבור הנאשם את העבירות בהן הורשע בשני התיקים, בתוך 3 שנים מעת שחרורו;</w:t>
      </w:r>
    </w:p>
    <w:p w14:paraId="482F153B" w14:textId="77777777" w:rsidR="00A872C4" w:rsidRDefault="00A872C4" w:rsidP="00A872C4">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קנס בסך 20,000 ₪, או  3 חודשי מאסר תמורתו. הקנס ישולם ב-20 תשלומים שווים ורצופים ב-1 בכל חודש החל מיום 1.7.2020. לא ישולם תשלום במועד או לא ישולם כלל, יעמוד הקנס לפירעון מיידי ויישא הפרשי ריבית פיגורים והצמדה כחוק;</w:t>
      </w:r>
    </w:p>
    <w:p w14:paraId="514E4AEE" w14:textId="77777777" w:rsidR="00A872C4" w:rsidRDefault="00A872C4" w:rsidP="00A872C4">
      <w:pPr>
        <w:spacing w:line="360" w:lineRule="auto"/>
        <w:rPr>
          <w:rFonts w:ascii="FrankRuehl" w:hAnsi="FrankRuehl" w:cs="FrankRuehl"/>
          <w:sz w:val="28"/>
          <w:szCs w:val="28"/>
        </w:rPr>
      </w:pPr>
    </w:p>
    <w:p w14:paraId="439D65C7" w14:textId="77777777" w:rsidR="00A872C4" w:rsidRDefault="00A872C4" w:rsidP="00A872C4">
      <w:pPr>
        <w:spacing w:line="360" w:lineRule="auto"/>
        <w:rPr>
          <w:rFonts w:ascii="FrankRuehl" w:hAnsi="FrankRuehl" w:cs="FrankRuehl"/>
          <w:sz w:val="28"/>
          <w:szCs w:val="28"/>
          <w:rtl/>
        </w:rPr>
      </w:pPr>
      <w:r>
        <w:rPr>
          <w:rFonts w:ascii="FrankRuehl" w:hAnsi="FrankRuehl" w:cs="FrankRuehl" w:hint="cs"/>
          <w:sz w:val="28"/>
          <w:szCs w:val="28"/>
          <w:rtl/>
        </w:rPr>
        <w:t>הנאשם יתייצב לריצוי עונשו בכלא "ניצן" ביום 1.12.2019 לא יאוחר מהשעה 10:00, כשברשותו תעודת זהות ופסק דין זה.</w:t>
      </w:r>
      <w:r w:rsidR="00B12A08">
        <w:rPr>
          <w:rFonts w:ascii="FrankRuehl" w:hAnsi="FrankRuehl" w:cs="FrankRuehl" w:hint="cs"/>
          <w:sz w:val="28"/>
          <w:szCs w:val="28"/>
          <w:rtl/>
        </w:rPr>
        <w:t xml:space="preserve">  </w:t>
      </w:r>
      <w:r>
        <w:rPr>
          <w:rFonts w:ascii="FrankRuehl" w:hAnsi="FrankRuehl" w:cs="FrankRuehl" w:hint="cs"/>
          <w:sz w:val="28"/>
          <w:szCs w:val="28"/>
          <w:rtl/>
        </w:rPr>
        <w:t xml:space="preserve"> </w:t>
      </w:r>
    </w:p>
    <w:p w14:paraId="08564A8E" w14:textId="77777777" w:rsidR="00A872C4" w:rsidRDefault="00A872C4" w:rsidP="00A872C4">
      <w:pPr>
        <w:spacing w:line="360" w:lineRule="auto"/>
        <w:rPr>
          <w:rFonts w:ascii="FrankRuehl" w:hAnsi="FrankRuehl" w:cs="FrankRuehl"/>
          <w:sz w:val="28"/>
          <w:szCs w:val="28"/>
          <w:rtl/>
        </w:rPr>
      </w:pPr>
    </w:p>
    <w:p w14:paraId="7176D318" w14:textId="77777777" w:rsidR="00A872C4" w:rsidRDefault="00A872C4" w:rsidP="00A872C4">
      <w:pPr>
        <w:spacing w:line="360" w:lineRule="auto"/>
        <w:rPr>
          <w:rFonts w:ascii="FrankRuehl" w:hAnsi="FrankRuehl" w:cs="FrankRuehl"/>
          <w:sz w:val="28"/>
          <w:szCs w:val="28"/>
          <w:rtl/>
        </w:rPr>
      </w:pPr>
      <w:r>
        <w:rPr>
          <w:rFonts w:ascii="FrankRuehl" w:hAnsi="FrankRuehl" w:cs="FrankRuehl" w:hint="cs"/>
          <w:sz w:val="28"/>
          <w:szCs w:val="28"/>
          <w:rtl/>
        </w:rPr>
        <w:t xml:space="preserve">על ב"כ הנאשם לתאם את הכניסה למאסר, כולל האפשרות למיון מוקדם, עם ענף אבחון ומיון של שב"ס, טלפונים: 08-9787377, 08-9787336. </w:t>
      </w:r>
    </w:p>
    <w:p w14:paraId="768D31AF" w14:textId="77777777" w:rsidR="00A872C4" w:rsidRDefault="00A872C4" w:rsidP="00A872C4">
      <w:pPr>
        <w:rPr>
          <w:rFonts w:ascii="FrankRuehl" w:hAnsi="FrankRuehl" w:cs="FrankRuehl"/>
          <w:sz w:val="28"/>
          <w:szCs w:val="28"/>
          <w:rtl/>
        </w:rPr>
      </w:pPr>
    </w:p>
    <w:p w14:paraId="21B7EB0E" w14:textId="77777777" w:rsidR="00A872C4" w:rsidRPr="00A872C4" w:rsidRDefault="00A872C4" w:rsidP="00A872C4">
      <w:pPr>
        <w:spacing w:line="360" w:lineRule="auto"/>
        <w:jc w:val="both"/>
        <w:rPr>
          <w:rFonts w:ascii="Calibri" w:hAnsi="Calibri" w:cs="FrankRuehl"/>
          <w:sz w:val="28"/>
          <w:szCs w:val="28"/>
          <w:rtl/>
        </w:rPr>
      </w:pPr>
      <w:r>
        <w:rPr>
          <w:rFonts w:ascii="FrankRuehl" w:hAnsi="FrankRuehl" w:cs="FrankRuehl" w:hint="cs"/>
          <w:sz w:val="28"/>
          <w:szCs w:val="28"/>
          <w:rtl/>
        </w:rPr>
        <w:t>ככל שיוגש ערעור מטעם הסניגורים, והוא יוגש במועד ע"פ חוק, יעוכב ביצוע רכיב המאסר עד להכרעה בערעור.</w:t>
      </w:r>
    </w:p>
    <w:p w14:paraId="27C141E4" w14:textId="77777777" w:rsidR="00A872C4" w:rsidRDefault="00A872C4" w:rsidP="00A872C4">
      <w:pPr>
        <w:rPr>
          <w:rFonts w:ascii="FrankRuehl" w:hAnsi="FrankRuehl" w:cs="FrankRuehl"/>
          <w:sz w:val="28"/>
          <w:szCs w:val="28"/>
        </w:rPr>
      </w:pPr>
      <w:r>
        <w:rPr>
          <w:rFonts w:ascii="FrankRuehl" w:hAnsi="FrankRuehl" w:cs="FrankRuehl" w:hint="cs"/>
          <w:sz w:val="28"/>
          <w:szCs w:val="28"/>
          <w:rtl/>
        </w:rPr>
        <w:t>זכות ערעור כחוק לבית המשפט המחוזי בירושלים בתוך 45 יום מהיום.</w:t>
      </w:r>
    </w:p>
    <w:p w14:paraId="3C099E72" w14:textId="77777777" w:rsidR="00A872C4" w:rsidRPr="00B12A08" w:rsidRDefault="00B12A08" w:rsidP="00A872C4">
      <w:pPr>
        <w:rPr>
          <w:color w:val="FFFFFF"/>
          <w:sz w:val="2"/>
          <w:szCs w:val="2"/>
          <w:rtl/>
        </w:rPr>
      </w:pPr>
      <w:r w:rsidRPr="00B12A08">
        <w:rPr>
          <w:color w:val="FFFFFF"/>
          <w:sz w:val="2"/>
          <w:szCs w:val="2"/>
          <w:rtl/>
        </w:rPr>
        <w:t>5129371</w:t>
      </w:r>
    </w:p>
    <w:p w14:paraId="5810545A" w14:textId="77777777" w:rsidR="00A872C4" w:rsidRDefault="00B12A08" w:rsidP="00A872C4">
      <w:pPr>
        <w:rPr>
          <w:rFonts w:cs="FrankRuehl"/>
          <w:sz w:val="28"/>
          <w:szCs w:val="28"/>
          <w:rtl/>
        </w:rPr>
      </w:pPr>
      <w:bookmarkStart w:id="7" w:name="Nitan"/>
      <w:r w:rsidRPr="00B12A08">
        <w:rPr>
          <w:rFonts w:ascii="Arial" w:hAnsi="Arial"/>
          <w:color w:val="FFFFFF"/>
          <w:sz w:val="2"/>
          <w:szCs w:val="2"/>
          <w:rtl/>
        </w:rPr>
        <w:t>54678313</w:t>
      </w:r>
      <w:r>
        <w:rPr>
          <w:rFonts w:ascii="Arial" w:hAnsi="Arial"/>
          <w:rtl/>
        </w:rPr>
        <w:t xml:space="preserve">ניתן היום,  י"א אלול תשע"ט, 11 ספטמבר 2019, במעמד הצדדים. </w:t>
      </w:r>
      <w:bookmarkEnd w:id="7"/>
    </w:p>
    <w:p w14:paraId="0580F1D7" w14:textId="77777777" w:rsidR="00A872C4" w:rsidRDefault="00A872C4" w:rsidP="00B12A0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CA8339" w14:textId="77777777" w:rsidR="00A872C4" w:rsidRDefault="00A872C4" w:rsidP="00A872C4">
      <w:pPr>
        <w:jc w:val="center"/>
        <w:rPr>
          <w:rFonts w:ascii="Arial" w:hAnsi="Arial" w:cs="FrankRuehl"/>
          <w:sz w:val="28"/>
          <w:szCs w:val="28"/>
          <w:rtl/>
        </w:rPr>
      </w:pPr>
    </w:p>
    <w:p w14:paraId="7A18EB6F" w14:textId="77777777" w:rsidR="00A872C4" w:rsidRDefault="00A872C4" w:rsidP="00A872C4">
      <w:pPr>
        <w:rPr>
          <w:rFonts w:cs="FrankRuehl"/>
          <w:sz w:val="28"/>
          <w:szCs w:val="28"/>
          <w:rtl/>
        </w:rPr>
      </w:pPr>
    </w:p>
    <w:p w14:paraId="290CF757" w14:textId="77777777" w:rsidR="00A872C4" w:rsidRPr="006661DB" w:rsidRDefault="006661DB" w:rsidP="00A872C4">
      <w:pPr>
        <w:pStyle w:val="a3"/>
        <w:jc w:val="center"/>
        <w:rPr>
          <w:color w:val="FFFFFF"/>
          <w:sz w:val="2"/>
          <w:szCs w:val="2"/>
          <w:rtl/>
        </w:rPr>
      </w:pPr>
      <w:r w:rsidRPr="006661DB">
        <w:rPr>
          <w:color w:val="FFFFFF"/>
          <w:sz w:val="2"/>
          <w:szCs w:val="2"/>
          <w:rtl/>
        </w:rPr>
        <w:t>5129371</w:t>
      </w:r>
    </w:p>
    <w:p w14:paraId="71797B60" w14:textId="77777777" w:rsidR="0084366E" w:rsidRPr="006661DB" w:rsidRDefault="006661DB" w:rsidP="00B12A08">
      <w:pPr>
        <w:keepNext/>
        <w:rPr>
          <w:rFonts w:ascii="David" w:hAnsi="David"/>
          <w:color w:val="FFFFFF"/>
          <w:sz w:val="2"/>
          <w:szCs w:val="2"/>
          <w:rtl/>
        </w:rPr>
      </w:pPr>
      <w:r w:rsidRPr="006661DB">
        <w:rPr>
          <w:rFonts w:ascii="David" w:hAnsi="David"/>
          <w:color w:val="FFFFFF"/>
          <w:sz w:val="2"/>
          <w:szCs w:val="2"/>
          <w:rtl/>
        </w:rPr>
        <w:t>54678313</w:t>
      </w:r>
    </w:p>
    <w:p w14:paraId="5C7F099C" w14:textId="77777777" w:rsidR="00B12A08" w:rsidRPr="00B12A08" w:rsidRDefault="00B12A08" w:rsidP="00B12A08">
      <w:pPr>
        <w:keepNext/>
        <w:rPr>
          <w:rFonts w:ascii="David" w:hAnsi="David"/>
          <w:color w:val="000000"/>
          <w:sz w:val="22"/>
          <w:szCs w:val="22"/>
          <w:rtl/>
        </w:rPr>
      </w:pPr>
      <w:r w:rsidRPr="00B12A08">
        <w:rPr>
          <w:rFonts w:ascii="David" w:hAnsi="David"/>
          <w:color w:val="000000"/>
          <w:sz w:val="22"/>
          <w:szCs w:val="22"/>
          <w:rtl/>
        </w:rPr>
        <w:t>דוד שאול גבאי ריכטר 54678313</w:t>
      </w:r>
    </w:p>
    <w:p w14:paraId="10A089B4" w14:textId="77777777" w:rsidR="00B12A08" w:rsidRDefault="00B12A08" w:rsidP="00B12A08">
      <w:r w:rsidRPr="00B12A08">
        <w:rPr>
          <w:color w:val="000000"/>
          <w:rtl/>
        </w:rPr>
        <w:t>נוסח מסמך זה כפוף לשינויי ניסוח ועריכה</w:t>
      </w:r>
    </w:p>
    <w:p w14:paraId="79CF84AC" w14:textId="77777777" w:rsidR="00B12A08" w:rsidRDefault="00B12A08" w:rsidP="00B12A08">
      <w:pPr>
        <w:rPr>
          <w:rtl/>
        </w:rPr>
      </w:pPr>
    </w:p>
    <w:p w14:paraId="2921A2DC" w14:textId="77777777" w:rsidR="00B12A08" w:rsidRDefault="00B12A08" w:rsidP="00B12A08">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A71ACD0" w14:textId="77777777" w:rsidR="006661DB" w:rsidRPr="006661DB" w:rsidRDefault="006661DB" w:rsidP="006661DB">
      <w:pPr>
        <w:keepNext/>
        <w:rPr>
          <w:rFonts w:ascii="David" w:hAnsi="David"/>
          <w:color w:val="000000"/>
          <w:sz w:val="22"/>
          <w:szCs w:val="22"/>
          <w:rtl/>
        </w:rPr>
      </w:pPr>
    </w:p>
    <w:p w14:paraId="45FF67B3" w14:textId="77777777" w:rsidR="00B12A08" w:rsidRPr="00B12A08" w:rsidRDefault="00B12A08" w:rsidP="006661DB">
      <w:pPr>
        <w:rPr>
          <w:color w:val="0000FF"/>
          <w:u w:val="single"/>
        </w:rPr>
      </w:pPr>
    </w:p>
    <w:sectPr w:rsidR="00B12A08" w:rsidRPr="00B12A08" w:rsidSect="006661DB">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886BC" w14:textId="77777777" w:rsidR="009D5C3E" w:rsidRDefault="009D5C3E" w:rsidP="00B4289A">
      <w:r>
        <w:separator/>
      </w:r>
    </w:p>
  </w:endnote>
  <w:endnote w:type="continuationSeparator" w:id="0">
    <w:p w14:paraId="6B0DAF5B" w14:textId="77777777" w:rsidR="009D5C3E" w:rsidRDefault="009D5C3E" w:rsidP="00B42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393B7" w14:textId="77777777" w:rsidR="006661DB" w:rsidRDefault="006661DB" w:rsidP="006661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468589" w14:textId="77777777" w:rsidR="00FB469A" w:rsidRPr="006661DB" w:rsidRDefault="006661DB" w:rsidP="006661DB">
    <w:pPr>
      <w:pStyle w:val="a5"/>
      <w:pBdr>
        <w:top w:val="single" w:sz="4" w:space="1" w:color="auto"/>
        <w:between w:val="single" w:sz="4" w:space="0" w:color="auto"/>
      </w:pBdr>
      <w:spacing w:after="60"/>
      <w:jc w:val="center"/>
      <w:rPr>
        <w:rFonts w:ascii="FrankRuehl" w:hAnsi="FrankRuehl" w:cs="FrankRuehl"/>
        <w:color w:val="000000"/>
      </w:rPr>
    </w:pPr>
    <w:r w:rsidRPr="006661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88850" w14:textId="77777777" w:rsidR="006661DB" w:rsidRDefault="006661DB" w:rsidP="006661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1D6C">
      <w:rPr>
        <w:rFonts w:ascii="FrankRuehl" w:hAnsi="FrankRuehl" w:cs="FrankRuehl"/>
        <w:noProof/>
        <w:rtl/>
      </w:rPr>
      <w:t>1</w:t>
    </w:r>
    <w:r>
      <w:rPr>
        <w:rFonts w:ascii="FrankRuehl" w:hAnsi="FrankRuehl" w:cs="FrankRuehl"/>
        <w:rtl/>
      </w:rPr>
      <w:fldChar w:fldCharType="end"/>
    </w:r>
  </w:p>
  <w:p w14:paraId="0C425289" w14:textId="77777777" w:rsidR="00FB469A" w:rsidRPr="006661DB" w:rsidRDefault="006661DB" w:rsidP="006661DB">
    <w:pPr>
      <w:pStyle w:val="a5"/>
      <w:pBdr>
        <w:top w:val="single" w:sz="4" w:space="1" w:color="auto"/>
        <w:between w:val="single" w:sz="4" w:space="0" w:color="auto"/>
      </w:pBdr>
      <w:spacing w:after="60"/>
      <w:jc w:val="center"/>
      <w:rPr>
        <w:rFonts w:ascii="FrankRuehl" w:hAnsi="FrankRuehl" w:cs="FrankRuehl"/>
        <w:color w:val="000000"/>
      </w:rPr>
    </w:pPr>
    <w:r w:rsidRPr="006661DB">
      <w:rPr>
        <w:rFonts w:ascii="FrankRuehl" w:hAnsi="FrankRuehl" w:cs="FrankRuehl"/>
        <w:color w:val="000000"/>
      </w:rPr>
      <w:pict w14:anchorId="4F626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B513F" w14:textId="77777777" w:rsidR="009D5C3E" w:rsidRDefault="009D5C3E" w:rsidP="00B4289A">
      <w:r>
        <w:separator/>
      </w:r>
    </w:p>
  </w:footnote>
  <w:footnote w:type="continuationSeparator" w:id="0">
    <w:p w14:paraId="39E294F7" w14:textId="77777777" w:rsidR="009D5C3E" w:rsidRDefault="009D5C3E" w:rsidP="00B42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F3BE6" w14:textId="77777777" w:rsidR="00B12A08" w:rsidRPr="006661DB" w:rsidRDefault="006661DB" w:rsidP="006661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65985-03-17</w:t>
    </w:r>
    <w:r>
      <w:rPr>
        <w:rFonts w:ascii="David" w:hAnsi="David"/>
        <w:color w:val="000000"/>
        <w:sz w:val="22"/>
        <w:szCs w:val="22"/>
        <w:rtl/>
      </w:rPr>
      <w:tab/>
      <w:t xml:space="preserve"> מדינת ישראל נ' יוסף 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6A9F5" w14:textId="77777777" w:rsidR="00B12A08" w:rsidRPr="006661DB" w:rsidRDefault="006661DB" w:rsidP="006661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65985-03-17</w:t>
    </w:r>
    <w:r>
      <w:rPr>
        <w:rFonts w:ascii="David" w:hAnsi="David"/>
        <w:color w:val="000000"/>
        <w:sz w:val="22"/>
        <w:szCs w:val="22"/>
        <w:rtl/>
      </w:rPr>
      <w:tab/>
      <w:t xml:space="preserve"> מדינת ישראל נ' יוסף 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51448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72C4"/>
    <w:rsid w:val="000B1D6C"/>
    <w:rsid w:val="00243724"/>
    <w:rsid w:val="005B6831"/>
    <w:rsid w:val="006661DB"/>
    <w:rsid w:val="0084366E"/>
    <w:rsid w:val="009D5C3E"/>
    <w:rsid w:val="00A245DF"/>
    <w:rsid w:val="00A872C4"/>
    <w:rsid w:val="00B12A08"/>
    <w:rsid w:val="00B4289A"/>
    <w:rsid w:val="00F62978"/>
    <w:rsid w:val="00FB46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2D25B7"/>
  <w15:chartTrackingRefBased/>
  <w15:docId w15:val="{E69555D7-638B-431E-8A79-7C24519E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72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72C4"/>
    <w:pPr>
      <w:tabs>
        <w:tab w:val="center" w:pos="4153"/>
        <w:tab w:val="right" w:pos="8306"/>
      </w:tabs>
    </w:pPr>
  </w:style>
  <w:style w:type="character" w:customStyle="1" w:styleId="a4">
    <w:name w:val="כותרת עליונה תו"/>
    <w:link w:val="a3"/>
    <w:rsid w:val="00A872C4"/>
    <w:rPr>
      <w:rFonts w:ascii="Times New Roman" w:eastAsia="Times New Roman" w:hAnsi="Times New Roman" w:cs="David"/>
      <w:sz w:val="24"/>
      <w:szCs w:val="24"/>
    </w:rPr>
  </w:style>
  <w:style w:type="paragraph" w:styleId="a5">
    <w:name w:val="footer"/>
    <w:basedOn w:val="a"/>
    <w:link w:val="a6"/>
    <w:rsid w:val="00A872C4"/>
    <w:pPr>
      <w:tabs>
        <w:tab w:val="center" w:pos="4153"/>
        <w:tab w:val="right" w:pos="8306"/>
      </w:tabs>
    </w:pPr>
  </w:style>
  <w:style w:type="character" w:customStyle="1" w:styleId="a6">
    <w:name w:val="כותרת תחתונה תו"/>
    <w:link w:val="a5"/>
    <w:rsid w:val="00A872C4"/>
    <w:rPr>
      <w:rFonts w:ascii="Times New Roman" w:eastAsia="Times New Roman" w:hAnsi="Times New Roman" w:cs="David"/>
      <w:sz w:val="24"/>
      <w:szCs w:val="24"/>
    </w:rPr>
  </w:style>
  <w:style w:type="table" w:styleId="a7">
    <w:name w:val="Table Grid"/>
    <w:basedOn w:val="a1"/>
    <w:rsid w:val="00A872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72C4"/>
  </w:style>
  <w:style w:type="character" w:styleId="Hyperlink">
    <w:name w:val="Hyperlink"/>
    <w:rsid w:val="00B12A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2369038" TargetMode="External"/><Relationship Id="rId26" Type="http://schemas.openxmlformats.org/officeDocument/2006/relationships/hyperlink" Target="http://www.nevo.co.il/case/25694663" TargetMode="External"/><Relationship Id="rId3" Type="http://schemas.openxmlformats.org/officeDocument/2006/relationships/settings" Target="settings.xml"/><Relationship Id="rId21" Type="http://schemas.openxmlformats.org/officeDocument/2006/relationships/hyperlink" Target="http://www.nevo.co.il/law/72813"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435644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2813"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813/114.a.14"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2369038"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40ja" TargetMode="External"/><Relationship Id="rId36" Type="http://schemas.openxmlformats.org/officeDocument/2006/relationships/theme" Target="theme/theme1.xml"/><Relationship Id="rId10" Type="http://schemas.openxmlformats.org/officeDocument/2006/relationships/hyperlink" Target="http://www.nevo.co.il/law/72813" TargetMode="External"/><Relationship Id="rId19" Type="http://schemas.openxmlformats.org/officeDocument/2006/relationships/hyperlink" Target="http://www.nevo.co.il/law/72813/114.a.14"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5459240" TargetMode="External"/><Relationship Id="rId27" Type="http://schemas.openxmlformats.org/officeDocument/2006/relationships/hyperlink" Target="http://www.nevo.co.il/case/2147311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2117</Words>
  <Characters>10585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12677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3407987</vt:i4>
      </vt:variant>
      <vt:variant>
        <vt:i4>63</vt:i4>
      </vt:variant>
      <vt:variant>
        <vt:i4>0</vt:i4>
      </vt:variant>
      <vt:variant>
        <vt:i4>5</vt:i4>
      </vt:variant>
      <vt:variant>
        <vt:lpwstr>http://www.nevo.co.il/case/21473115</vt:lpwstr>
      </vt:variant>
      <vt:variant>
        <vt:lpwstr/>
      </vt:variant>
      <vt:variant>
        <vt:i4>3539070</vt:i4>
      </vt:variant>
      <vt:variant>
        <vt:i4>60</vt:i4>
      </vt:variant>
      <vt:variant>
        <vt:i4>0</vt:i4>
      </vt:variant>
      <vt:variant>
        <vt:i4>5</vt:i4>
      </vt:variant>
      <vt:variant>
        <vt:lpwstr>http://www.nevo.co.il/case/25694663</vt:lpwstr>
      </vt:variant>
      <vt:variant>
        <vt:lpwstr/>
      </vt:variant>
      <vt:variant>
        <vt:i4>3342449</vt:i4>
      </vt:variant>
      <vt:variant>
        <vt:i4>57</vt:i4>
      </vt:variant>
      <vt:variant>
        <vt:i4>0</vt:i4>
      </vt:variant>
      <vt:variant>
        <vt:i4>5</vt:i4>
      </vt:variant>
      <vt:variant>
        <vt:lpwstr>http://www.nevo.co.il/case/24356442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3866742</vt:i4>
      </vt:variant>
      <vt:variant>
        <vt:i4>48</vt:i4>
      </vt:variant>
      <vt:variant>
        <vt:i4>0</vt:i4>
      </vt:variant>
      <vt:variant>
        <vt:i4>5</vt:i4>
      </vt:variant>
      <vt:variant>
        <vt:lpwstr>http://www.nevo.co.il/case/25459240</vt:lpwstr>
      </vt:variant>
      <vt:variant>
        <vt:lpwstr/>
      </vt:variant>
      <vt:variant>
        <vt:i4>7929967</vt:i4>
      </vt:variant>
      <vt:variant>
        <vt:i4>45</vt:i4>
      </vt:variant>
      <vt:variant>
        <vt:i4>0</vt:i4>
      </vt:variant>
      <vt:variant>
        <vt:i4>5</vt:i4>
      </vt:variant>
      <vt:variant>
        <vt:lpwstr>http://www.nevo.co.il/law/72813</vt:lpwstr>
      </vt:variant>
      <vt:variant>
        <vt:lpwstr/>
      </vt:variant>
      <vt:variant>
        <vt:i4>7929967</vt:i4>
      </vt:variant>
      <vt:variant>
        <vt:i4>42</vt:i4>
      </vt:variant>
      <vt:variant>
        <vt:i4>0</vt:i4>
      </vt:variant>
      <vt:variant>
        <vt:i4>5</vt:i4>
      </vt:variant>
      <vt:variant>
        <vt:lpwstr>http://www.nevo.co.il/law/72813</vt:lpwstr>
      </vt:variant>
      <vt:variant>
        <vt:lpwstr/>
      </vt:variant>
      <vt:variant>
        <vt:i4>5439497</vt:i4>
      </vt:variant>
      <vt:variant>
        <vt:i4>39</vt:i4>
      </vt:variant>
      <vt:variant>
        <vt:i4>0</vt:i4>
      </vt:variant>
      <vt:variant>
        <vt:i4>5</vt:i4>
      </vt:variant>
      <vt:variant>
        <vt:lpwstr>http://www.nevo.co.il/law/72813/114.a.14</vt:lpwstr>
      </vt:variant>
      <vt:variant>
        <vt:lpwstr/>
      </vt:variant>
      <vt:variant>
        <vt:i4>3866736</vt:i4>
      </vt:variant>
      <vt:variant>
        <vt:i4>36</vt:i4>
      </vt:variant>
      <vt:variant>
        <vt:i4>0</vt:i4>
      </vt:variant>
      <vt:variant>
        <vt:i4>5</vt:i4>
      </vt:variant>
      <vt:variant>
        <vt:lpwstr>http://www.nevo.co.il/case/22369038</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3276912</vt:i4>
      </vt:variant>
      <vt:variant>
        <vt:i4>27</vt:i4>
      </vt:variant>
      <vt:variant>
        <vt:i4>0</vt:i4>
      </vt:variant>
      <vt:variant>
        <vt:i4>5</vt:i4>
      </vt:variant>
      <vt:variant>
        <vt:lpwstr>http://www.nevo.co.il/case/23868105</vt:lpwstr>
      </vt:variant>
      <vt:variant>
        <vt:lpwstr/>
      </vt:variant>
      <vt:variant>
        <vt:i4>3866736</vt:i4>
      </vt:variant>
      <vt:variant>
        <vt:i4>24</vt:i4>
      </vt:variant>
      <vt:variant>
        <vt:i4>0</vt:i4>
      </vt:variant>
      <vt:variant>
        <vt:i4>5</vt:i4>
      </vt:variant>
      <vt:variant>
        <vt:lpwstr>http://www.nevo.co.il/case/22369038</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5439497</vt:i4>
      </vt:variant>
      <vt:variant>
        <vt:i4>12</vt:i4>
      </vt:variant>
      <vt:variant>
        <vt:i4>0</vt:i4>
      </vt:variant>
      <vt:variant>
        <vt:i4>5</vt:i4>
      </vt:variant>
      <vt:variant>
        <vt:lpwstr>http://www.nevo.co.il/law/72813/114.a.14</vt:lpwstr>
      </vt:variant>
      <vt:variant>
        <vt:lpwstr/>
      </vt:variant>
      <vt:variant>
        <vt:i4>7929967</vt:i4>
      </vt:variant>
      <vt:variant>
        <vt:i4>9</vt:i4>
      </vt:variant>
      <vt:variant>
        <vt:i4>0</vt:i4>
      </vt:variant>
      <vt:variant>
        <vt:i4>5</vt:i4>
      </vt:variant>
      <vt:variant>
        <vt:lpwstr>http://www.nevo.co.il/law/72813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65985</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יוסף טבול</vt:lpwstr>
  </property>
  <property fmtid="{D5CDD505-2E9C-101B-9397-08002B2CF9AE}" pid="10" name="LAWYER">
    <vt:lpwstr>יהודה שושן;ליזה זלטין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20190911</vt:lpwstr>
  </property>
  <property fmtid="{D5CDD505-2E9C-101B-9397-08002B2CF9AE}" pid="14" name="TYPE_N_DATE">
    <vt:lpwstr>38020190911</vt:lpwstr>
  </property>
  <property fmtid="{D5CDD505-2E9C-101B-9397-08002B2CF9AE}" pid="15" name="CASESLISTTMP1">
    <vt:lpwstr>22369038:2;23868105;25459240;24356442;25694663;21473115</vt:lpwstr>
  </property>
  <property fmtid="{D5CDD505-2E9C-101B-9397-08002B2CF9AE}" pid="16" name="CASENOTES1">
    <vt:lpwstr>ProcID=174;133;209&amp;PartA=2807&amp;PartC=10</vt:lpwstr>
  </property>
  <property fmtid="{D5CDD505-2E9C-101B-9397-08002B2CF9AE}" pid="17" name="WORDNUMPAGES">
    <vt:lpwstr>7</vt:lpwstr>
  </property>
  <property fmtid="{D5CDD505-2E9C-101B-9397-08002B2CF9AE}" pid="18" name="TYPE_ABS_DATE">
    <vt:lpwstr>380020190911</vt:lpwstr>
  </property>
  <property fmtid="{D5CDD505-2E9C-101B-9397-08002B2CF9AE}" pid="19" name="ISABSTRACT">
    <vt:lpwstr>Y</vt:lpwstr>
  </property>
  <property fmtid="{D5CDD505-2E9C-101B-9397-08002B2CF9AE}" pid="20" name="LAWLISTTMP1">
    <vt:lpwstr>4216/007.a;007.c</vt:lpwstr>
  </property>
  <property fmtid="{D5CDD505-2E9C-101B-9397-08002B2CF9AE}" pid="21" name="LAWLISTTMP2">
    <vt:lpwstr>72813/114.a.14</vt:lpwstr>
  </property>
  <property fmtid="{D5CDD505-2E9C-101B-9397-08002B2CF9AE}" pid="22" name="LAWLISTTMP3">
    <vt:lpwstr>70301/040i;40ja</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