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28533A" w:rsidRPr="003C2B18" w14:paraId="2E9767EA" w14:textId="77777777" w:rsidTr="00D172D1">
        <w:trPr>
          <w:trHeight w:hRule="exact" w:val="418"/>
          <w:jc w:val="center"/>
        </w:trPr>
        <w:tc>
          <w:tcPr>
            <w:tcW w:w="8721" w:type="dxa"/>
            <w:gridSpan w:val="2"/>
          </w:tcPr>
          <w:p w14:paraId="69098DF2" w14:textId="77777777" w:rsidR="0028533A" w:rsidRPr="003C2B18" w:rsidRDefault="0028533A" w:rsidP="0093168E">
            <w:pPr>
              <w:pStyle w:val="a3"/>
              <w:jc w:val="center"/>
              <w:rPr>
                <w:rFonts w:ascii="Tahoma" w:hAnsi="Tahoma" w:cs="Tahoma"/>
                <w:color w:val="000080"/>
                <w:rtl/>
              </w:rPr>
            </w:pPr>
            <w:bookmarkStart w:id="0" w:name="LastJudge"/>
            <w:r w:rsidRPr="003C2B18">
              <w:rPr>
                <w:rFonts w:ascii="Tahoma" w:hAnsi="Tahoma" w:cs="Tahoma"/>
                <w:b/>
                <w:bCs/>
                <w:color w:val="000080"/>
                <w:rtl/>
              </w:rPr>
              <w:t>בית משפט השלום בירושלים</w:t>
            </w:r>
          </w:p>
        </w:tc>
      </w:tr>
      <w:tr w:rsidR="0028533A" w:rsidRPr="003C2B18" w14:paraId="4C4A7C3A" w14:textId="77777777" w:rsidTr="00D172D1">
        <w:trPr>
          <w:trHeight w:val="337"/>
          <w:jc w:val="center"/>
        </w:trPr>
        <w:tc>
          <w:tcPr>
            <w:tcW w:w="5055" w:type="dxa"/>
          </w:tcPr>
          <w:p w14:paraId="017A3E2C" w14:textId="77777777" w:rsidR="0028533A" w:rsidRPr="003C2B18" w:rsidRDefault="00B638FB" w:rsidP="0093168E">
            <w:pPr>
              <w:rPr>
                <w:rFonts w:cs="FrankRuehl"/>
                <w:sz w:val="28"/>
                <w:szCs w:val="28"/>
                <w:rtl/>
              </w:rPr>
            </w:pPr>
            <w:hyperlink r:id="rId7" w:history="1">
              <w:r w:rsidRPr="00B638FB">
                <w:rPr>
                  <w:rFonts w:cs="FrankRuehl"/>
                  <w:color w:val="0000FF"/>
                  <w:sz w:val="28"/>
                  <w:szCs w:val="28"/>
                  <w:u w:val="single"/>
                  <w:rtl/>
                </w:rPr>
                <w:t xml:space="preserve">ת"פ 11512-04-17 </w:t>
              </w:r>
            </w:hyperlink>
            <w:r w:rsidR="0028533A" w:rsidRPr="003C2B18">
              <w:rPr>
                <w:rFonts w:cs="FrankRuehl" w:hint="cs"/>
                <w:sz w:val="28"/>
                <w:szCs w:val="28"/>
                <w:rtl/>
              </w:rPr>
              <w:t xml:space="preserve"> </w:t>
            </w:r>
            <w:r w:rsidR="0028533A" w:rsidRPr="003C2B18">
              <w:rPr>
                <w:rFonts w:cs="FrankRuehl"/>
                <w:sz w:val="28"/>
                <w:szCs w:val="28"/>
                <w:rtl/>
              </w:rPr>
              <w:t>מדינת ישראל נ' אלברגיני</w:t>
            </w:r>
          </w:p>
          <w:p w14:paraId="49AFE05F" w14:textId="77777777" w:rsidR="0028533A" w:rsidRPr="003C2B18" w:rsidRDefault="0028533A" w:rsidP="0093168E">
            <w:pPr>
              <w:pStyle w:val="a3"/>
              <w:rPr>
                <w:rFonts w:cs="FrankRuehl"/>
                <w:sz w:val="28"/>
                <w:szCs w:val="28"/>
                <w:rtl/>
              </w:rPr>
            </w:pPr>
          </w:p>
        </w:tc>
        <w:tc>
          <w:tcPr>
            <w:tcW w:w="3666" w:type="dxa"/>
          </w:tcPr>
          <w:p w14:paraId="7B3F73CD" w14:textId="77777777" w:rsidR="0028533A" w:rsidRPr="003C2B18" w:rsidRDefault="0028533A" w:rsidP="0093168E">
            <w:pPr>
              <w:pStyle w:val="a3"/>
              <w:jc w:val="right"/>
              <w:rPr>
                <w:rFonts w:cs="FrankRuehl"/>
                <w:sz w:val="28"/>
                <w:szCs w:val="28"/>
                <w:rtl/>
              </w:rPr>
            </w:pPr>
          </w:p>
        </w:tc>
      </w:tr>
    </w:tbl>
    <w:p w14:paraId="608CA78B" w14:textId="77777777" w:rsidR="0028533A" w:rsidRPr="003C2B18" w:rsidRDefault="0028533A" w:rsidP="0028533A">
      <w:pPr>
        <w:pStyle w:val="a3"/>
        <w:rPr>
          <w:rtl/>
        </w:rPr>
      </w:pPr>
      <w:r w:rsidRPr="003C2B18">
        <w:rPr>
          <w:rFonts w:hint="cs"/>
          <w:rtl/>
        </w:rPr>
        <w:t xml:space="preserve"> </w:t>
      </w:r>
    </w:p>
    <w:p w14:paraId="0F045D9C" w14:textId="77777777" w:rsidR="0028533A" w:rsidRPr="003C2B18" w:rsidRDefault="0028533A" w:rsidP="0028533A">
      <w:pPr>
        <w:rPr>
          <w:rtl/>
        </w:rPr>
      </w:pPr>
    </w:p>
    <w:p w14:paraId="3587E28B" w14:textId="77777777" w:rsidR="0028533A" w:rsidRPr="003C2B18" w:rsidRDefault="0028533A" w:rsidP="0028533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8533A" w:rsidRPr="003C2B18" w14:paraId="05226A74" w14:textId="77777777" w:rsidTr="0028533A">
        <w:trPr>
          <w:trHeight w:val="295"/>
          <w:jc w:val="center"/>
        </w:trPr>
        <w:tc>
          <w:tcPr>
            <w:tcW w:w="923" w:type="dxa"/>
            <w:tcBorders>
              <w:top w:val="nil"/>
              <w:left w:val="nil"/>
              <w:bottom w:val="nil"/>
              <w:right w:val="nil"/>
            </w:tcBorders>
            <w:shd w:val="clear" w:color="auto" w:fill="auto"/>
          </w:tcPr>
          <w:p w14:paraId="390AC32A" w14:textId="77777777" w:rsidR="0028533A" w:rsidRPr="003C2B18" w:rsidRDefault="0028533A" w:rsidP="0028533A">
            <w:pPr>
              <w:jc w:val="both"/>
              <w:rPr>
                <w:rFonts w:ascii="David" w:hAnsi="David"/>
                <w:b/>
                <w:bCs/>
              </w:rPr>
            </w:pPr>
            <w:r w:rsidRPr="003C2B18">
              <w:rPr>
                <w:rFonts w:ascii="David" w:hAnsi="David"/>
                <w:b/>
                <w:bCs/>
                <w:rtl/>
              </w:rPr>
              <w:t xml:space="preserve">בפני </w:t>
            </w:r>
          </w:p>
        </w:tc>
        <w:tc>
          <w:tcPr>
            <w:tcW w:w="7897" w:type="dxa"/>
            <w:gridSpan w:val="2"/>
            <w:tcBorders>
              <w:top w:val="nil"/>
              <w:left w:val="nil"/>
              <w:bottom w:val="nil"/>
              <w:right w:val="nil"/>
            </w:tcBorders>
            <w:shd w:val="clear" w:color="auto" w:fill="auto"/>
          </w:tcPr>
          <w:p w14:paraId="6CEE05D6" w14:textId="77777777" w:rsidR="0028533A" w:rsidRPr="003C2B18" w:rsidRDefault="0028533A" w:rsidP="0093168E">
            <w:pPr>
              <w:rPr>
                <w:rFonts w:ascii="David" w:hAnsi="David"/>
                <w:b/>
                <w:bCs/>
                <w:rtl/>
              </w:rPr>
            </w:pPr>
            <w:r w:rsidRPr="003C2B18">
              <w:rPr>
                <w:rFonts w:ascii="David" w:hAnsi="David"/>
                <w:b/>
                <w:bCs/>
                <w:rtl/>
              </w:rPr>
              <w:t>כבוד השופט  ארנון איתן</w:t>
            </w:r>
          </w:p>
          <w:p w14:paraId="0262CBF2" w14:textId="77777777" w:rsidR="0028533A" w:rsidRPr="003C2B18" w:rsidRDefault="0028533A" w:rsidP="0093168E">
            <w:pPr>
              <w:rPr>
                <w:rFonts w:ascii="David" w:hAnsi="David"/>
                <w:b/>
                <w:bCs/>
                <w:rtl/>
              </w:rPr>
            </w:pPr>
          </w:p>
          <w:p w14:paraId="2336B74B" w14:textId="77777777" w:rsidR="0028533A" w:rsidRPr="003C2B18" w:rsidRDefault="0028533A" w:rsidP="0028533A">
            <w:pPr>
              <w:jc w:val="both"/>
              <w:rPr>
                <w:rFonts w:ascii="David" w:hAnsi="David"/>
                <w:b/>
                <w:bCs/>
              </w:rPr>
            </w:pPr>
          </w:p>
        </w:tc>
      </w:tr>
      <w:tr w:rsidR="0028533A" w:rsidRPr="003C2B18" w14:paraId="5A3B90DC" w14:textId="77777777" w:rsidTr="0028533A">
        <w:trPr>
          <w:trHeight w:val="355"/>
          <w:jc w:val="center"/>
        </w:trPr>
        <w:tc>
          <w:tcPr>
            <w:tcW w:w="923" w:type="dxa"/>
            <w:tcBorders>
              <w:top w:val="nil"/>
              <w:left w:val="nil"/>
              <w:bottom w:val="nil"/>
              <w:right w:val="nil"/>
            </w:tcBorders>
            <w:shd w:val="clear" w:color="auto" w:fill="auto"/>
          </w:tcPr>
          <w:p w14:paraId="145AA315" w14:textId="77777777" w:rsidR="0028533A" w:rsidRPr="003C2B18" w:rsidRDefault="0028533A" w:rsidP="0028533A">
            <w:pPr>
              <w:jc w:val="both"/>
              <w:rPr>
                <w:rFonts w:ascii="David" w:hAnsi="David"/>
                <w:b/>
                <w:bCs/>
              </w:rPr>
            </w:pPr>
            <w:bookmarkStart w:id="1" w:name="FirstAppellant"/>
            <w:r w:rsidRPr="003C2B18">
              <w:rPr>
                <w:rFonts w:ascii="David" w:hAnsi="David"/>
                <w:b/>
                <w:bCs/>
                <w:rtl/>
              </w:rPr>
              <w:t>בעניין:</w:t>
            </w:r>
          </w:p>
        </w:tc>
        <w:tc>
          <w:tcPr>
            <w:tcW w:w="4126" w:type="dxa"/>
            <w:tcBorders>
              <w:top w:val="nil"/>
              <w:left w:val="nil"/>
              <w:bottom w:val="nil"/>
              <w:right w:val="nil"/>
            </w:tcBorders>
            <w:shd w:val="clear" w:color="auto" w:fill="auto"/>
          </w:tcPr>
          <w:p w14:paraId="742F2648" w14:textId="77777777" w:rsidR="0028533A" w:rsidRPr="003C2B18" w:rsidRDefault="0028533A" w:rsidP="0093168E">
            <w:pPr>
              <w:rPr>
                <w:rFonts w:ascii="David" w:hAnsi="David"/>
                <w:b/>
                <w:bCs/>
              </w:rPr>
            </w:pPr>
            <w:r w:rsidRPr="003C2B18">
              <w:rPr>
                <w:rFonts w:ascii="David" w:hAnsi="David" w:hint="cs"/>
                <w:b/>
                <w:bCs/>
                <w:rtl/>
              </w:rPr>
              <w:t xml:space="preserve">                                                </w:t>
            </w:r>
            <w:r w:rsidRPr="003C2B18">
              <w:rPr>
                <w:rFonts w:ascii="David" w:hAnsi="David"/>
                <w:b/>
                <w:bCs/>
                <w:rtl/>
              </w:rPr>
              <w:t>מדינת ישראל</w:t>
            </w:r>
          </w:p>
        </w:tc>
        <w:tc>
          <w:tcPr>
            <w:tcW w:w="3771" w:type="dxa"/>
            <w:tcBorders>
              <w:top w:val="nil"/>
              <w:left w:val="nil"/>
              <w:bottom w:val="nil"/>
              <w:right w:val="nil"/>
            </w:tcBorders>
            <w:shd w:val="clear" w:color="auto" w:fill="auto"/>
          </w:tcPr>
          <w:p w14:paraId="4FDC8733" w14:textId="77777777" w:rsidR="0028533A" w:rsidRPr="003C2B18" w:rsidRDefault="0028533A" w:rsidP="0028533A">
            <w:pPr>
              <w:jc w:val="both"/>
              <w:rPr>
                <w:rFonts w:ascii="David" w:hAnsi="David"/>
                <w:b/>
                <w:bCs/>
              </w:rPr>
            </w:pPr>
          </w:p>
        </w:tc>
      </w:tr>
      <w:bookmarkEnd w:id="1"/>
      <w:tr w:rsidR="0028533A" w:rsidRPr="003C2B18" w14:paraId="00C86758" w14:textId="77777777" w:rsidTr="0028533A">
        <w:trPr>
          <w:trHeight w:val="355"/>
          <w:jc w:val="center"/>
        </w:trPr>
        <w:tc>
          <w:tcPr>
            <w:tcW w:w="923" w:type="dxa"/>
            <w:tcBorders>
              <w:top w:val="nil"/>
              <w:left w:val="nil"/>
              <w:bottom w:val="nil"/>
              <w:right w:val="nil"/>
            </w:tcBorders>
            <w:shd w:val="clear" w:color="auto" w:fill="auto"/>
          </w:tcPr>
          <w:p w14:paraId="3A311FE3" w14:textId="77777777" w:rsidR="0028533A" w:rsidRPr="003C2B18" w:rsidRDefault="0028533A" w:rsidP="0028533A">
            <w:pPr>
              <w:jc w:val="both"/>
              <w:rPr>
                <w:rFonts w:ascii="David" w:hAnsi="David"/>
                <w:b/>
                <w:bCs/>
                <w:rtl/>
              </w:rPr>
            </w:pPr>
          </w:p>
        </w:tc>
        <w:tc>
          <w:tcPr>
            <w:tcW w:w="4126" w:type="dxa"/>
            <w:tcBorders>
              <w:top w:val="nil"/>
              <w:left w:val="nil"/>
              <w:bottom w:val="nil"/>
              <w:right w:val="nil"/>
            </w:tcBorders>
            <w:shd w:val="clear" w:color="auto" w:fill="auto"/>
          </w:tcPr>
          <w:p w14:paraId="09A12AC0" w14:textId="77777777" w:rsidR="0028533A" w:rsidRPr="003C2B18" w:rsidRDefault="0028533A" w:rsidP="0028533A">
            <w:pPr>
              <w:jc w:val="both"/>
              <w:rPr>
                <w:rFonts w:ascii="David" w:hAnsi="David"/>
                <w:b/>
                <w:bCs/>
                <w:rtl/>
              </w:rPr>
            </w:pPr>
          </w:p>
        </w:tc>
        <w:tc>
          <w:tcPr>
            <w:tcW w:w="3771" w:type="dxa"/>
            <w:tcBorders>
              <w:top w:val="nil"/>
              <w:left w:val="nil"/>
              <w:bottom w:val="nil"/>
              <w:right w:val="nil"/>
            </w:tcBorders>
            <w:shd w:val="clear" w:color="auto" w:fill="auto"/>
          </w:tcPr>
          <w:p w14:paraId="06F1AEB7" w14:textId="77777777" w:rsidR="0028533A" w:rsidRPr="003C2B18" w:rsidRDefault="0028533A" w:rsidP="0028533A">
            <w:pPr>
              <w:jc w:val="right"/>
              <w:rPr>
                <w:rFonts w:ascii="David" w:hAnsi="David"/>
                <w:b/>
                <w:bCs/>
                <w:rtl/>
              </w:rPr>
            </w:pPr>
            <w:r w:rsidRPr="003C2B18">
              <w:rPr>
                <w:rFonts w:ascii="David" w:hAnsi="David"/>
                <w:b/>
                <w:bCs/>
                <w:rtl/>
              </w:rPr>
              <w:t>המאשימה</w:t>
            </w:r>
          </w:p>
        </w:tc>
      </w:tr>
      <w:tr w:rsidR="0028533A" w:rsidRPr="003C2B18" w14:paraId="135E9556" w14:textId="77777777" w:rsidTr="0028533A">
        <w:trPr>
          <w:trHeight w:val="355"/>
          <w:jc w:val="center"/>
        </w:trPr>
        <w:tc>
          <w:tcPr>
            <w:tcW w:w="923" w:type="dxa"/>
            <w:tcBorders>
              <w:top w:val="nil"/>
              <w:left w:val="nil"/>
              <w:bottom w:val="nil"/>
              <w:right w:val="nil"/>
            </w:tcBorders>
            <w:shd w:val="clear" w:color="auto" w:fill="auto"/>
          </w:tcPr>
          <w:p w14:paraId="23314BAD" w14:textId="77777777" w:rsidR="0028533A" w:rsidRPr="003C2B18" w:rsidRDefault="0028533A" w:rsidP="0028533A">
            <w:pPr>
              <w:jc w:val="both"/>
              <w:rPr>
                <w:rFonts w:ascii="David" w:hAnsi="David"/>
                <w:b/>
                <w:bCs/>
                <w:rtl/>
              </w:rPr>
            </w:pPr>
          </w:p>
        </w:tc>
        <w:tc>
          <w:tcPr>
            <w:tcW w:w="7897" w:type="dxa"/>
            <w:gridSpan w:val="2"/>
            <w:tcBorders>
              <w:top w:val="nil"/>
              <w:left w:val="nil"/>
              <w:bottom w:val="nil"/>
              <w:right w:val="nil"/>
            </w:tcBorders>
            <w:shd w:val="clear" w:color="auto" w:fill="auto"/>
          </w:tcPr>
          <w:p w14:paraId="3530E1E0" w14:textId="77777777" w:rsidR="0028533A" w:rsidRPr="003C2B18" w:rsidRDefault="0028533A" w:rsidP="0028533A">
            <w:pPr>
              <w:jc w:val="center"/>
              <w:rPr>
                <w:rFonts w:ascii="David" w:hAnsi="David"/>
                <w:b/>
                <w:bCs/>
                <w:rtl/>
              </w:rPr>
            </w:pPr>
          </w:p>
          <w:p w14:paraId="2F560BEE" w14:textId="77777777" w:rsidR="0028533A" w:rsidRPr="003C2B18" w:rsidRDefault="0028533A" w:rsidP="0093168E">
            <w:pPr>
              <w:rPr>
                <w:rFonts w:ascii="David" w:hAnsi="David"/>
                <w:b/>
                <w:bCs/>
                <w:rtl/>
              </w:rPr>
            </w:pPr>
            <w:r w:rsidRPr="003C2B18">
              <w:rPr>
                <w:rFonts w:ascii="David" w:hAnsi="David" w:hint="cs"/>
                <w:b/>
                <w:bCs/>
                <w:rtl/>
              </w:rPr>
              <w:t xml:space="preserve">                                                         </w:t>
            </w:r>
            <w:r w:rsidRPr="003C2B18">
              <w:rPr>
                <w:rFonts w:ascii="David" w:hAnsi="David"/>
                <w:b/>
                <w:bCs/>
                <w:rtl/>
              </w:rPr>
              <w:t>נגד</w:t>
            </w:r>
          </w:p>
          <w:p w14:paraId="1314787A" w14:textId="77777777" w:rsidR="0028533A" w:rsidRPr="003C2B18" w:rsidRDefault="0028533A" w:rsidP="0028533A">
            <w:pPr>
              <w:jc w:val="both"/>
              <w:rPr>
                <w:rFonts w:ascii="David" w:hAnsi="David"/>
                <w:b/>
                <w:bCs/>
              </w:rPr>
            </w:pPr>
          </w:p>
        </w:tc>
      </w:tr>
      <w:tr w:rsidR="0028533A" w:rsidRPr="003C2B18" w14:paraId="05634B6D" w14:textId="77777777" w:rsidTr="0028533A">
        <w:trPr>
          <w:trHeight w:val="355"/>
          <w:jc w:val="center"/>
        </w:trPr>
        <w:tc>
          <w:tcPr>
            <w:tcW w:w="923" w:type="dxa"/>
            <w:tcBorders>
              <w:top w:val="nil"/>
              <w:left w:val="nil"/>
              <w:bottom w:val="nil"/>
              <w:right w:val="nil"/>
            </w:tcBorders>
            <w:shd w:val="clear" w:color="auto" w:fill="auto"/>
          </w:tcPr>
          <w:p w14:paraId="2E93B822" w14:textId="77777777" w:rsidR="0028533A" w:rsidRPr="003C2B18" w:rsidRDefault="0028533A" w:rsidP="0093168E">
            <w:pPr>
              <w:rPr>
                <w:rFonts w:ascii="David" w:hAnsi="David"/>
                <w:b/>
                <w:bCs/>
                <w:rtl/>
              </w:rPr>
            </w:pPr>
          </w:p>
        </w:tc>
        <w:tc>
          <w:tcPr>
            <w:tcW w:w="4126" w:type="dxa"/>
            <w:tcBorders>
              <w:top w:val="nil"/>
              <w:left w:val="nil"/>
              <w:bottom w:val="nil"/>
              <w:right w:val="nil"/>
            </w:tcBorders>
            <w:shd w:val="clear" w:color="auto" w:fill="auto"/>
          </w:tcPr>
          <w:p w14:paraId="740BAECD" w14:textId="77777777" w:rsidR="0028533A" w:rsidRPr="003C2B18" w:rsidRDefault="0028533A" w:rsidP="0093168E">
            <w:pPr>
              <w:rPr>
                <w:rFonts w:ascii="David" w:hAnsi="David"/>
                <w:b/>
                <w:bCs/>
                <w:rtl/>
              </w:rPr>
            </w:pPr>
            <w:r w:rsidRPr="003C2B18">
              <w:rPr>
                <w:rFonts w:ascii="David" w:hAnsi="David" w:hint="cs"/>
                <w:b/>
                <w:bCs/>
                <w:rtl/>
              </w:rPr>
              <w:t xml:space="preserve">                                                </w:t>
            </w:r>
            <w:r w:rsidRPr="003C2B18">
              <w:rPr>
                <w:rFonts w:ascii="David" w:hAnsi="David"/>
                <w:b/>
                <w:bCs/>
                <w:rtl/>
              </w:rPr>
              <w:t>יונתן אלברגיני</w:t>
            </w:r>
          </w:p>
        </w:tc>
        <w:tc>
          <w:tcPr>
            <w:tcW w:w="3771" w:type="dxa"/>
            <w:tcBorders>
              <w:top w:val="nil"/>
              <w:left w:val="nil"/>
              <w:bottom w:val="nil"/>
              <w:right w:val="nil"/>
            </w:tcBorders>
            <w:shd w:val="clear" w:color="auto" w:fill="auto"/>
          </w:tcPr>
          <w:p w14:paraId="7F3DEABD" w14:textId="77777777" w:rsidR="0028533A" w:rsidRPr="003C2B18" w:rsidRDefault="0028533A" w:rsidP="0028533A">
            <w:pPr>
              <w:jc w:val="right"/>
              <w:rPr>
                <w:rFonts w:ascii="David" w:hAnsi="David"/>
                <w:b/>
                <w:bCs/>
              </w:rPr>
            </w:pPr>
          </w:p>
        </w:tc>
      </w:tr>
      <w:tr w:rsidR="0028533A" w:rsidRPr="003C2B18" w14:paraId="7FD3D1D4" w14:textId="77777777" w:rsidTr="0028533A">
        <w:trPr>
          <w:trHeight w:val="355"/>
          <w:jc w:val="center"/>
        </w:trPr>
        <w:tc>
          <w:tcPr>
            <w:tcW w:w="923" w:type="dxa"/>
            <w:tcBorders>
              <w:top w:val="nil"/>
              <w:left w:val="nil"/>
              <w:bottom w:val="nil"/>
              <w:right w:val="nil"/>
            </w:tcBorders>
            <w:shd w:val="clear" w:color="auto" w:fill="auto"/>
          </w:tcPr>
          <w:p w14:paraId="4D514454" w14:textId="77777777" w:rsidR="0028533A" w:rsidRPr="003C2B18" w:rsidRDefault="0028533A" w:rsidP="0028533A">
            <w:pPr>
              <w:jc w:val="both"/>
              <w:rPr>
                <w:rFonts w:ascii="David" w:hAnsi="David"/>
                <w:b/>
                <w:bCs/>
                <w:rtl/>
              </w:rPr>
            </w:pPr>
          </w:p>
        </w:tc>
        <w:tc>
          <w:tcPr>
            <w:tcW w:w="4126" w:type="dxa"/>
            <w:tcBorders>
              <w:top w:val="nil"/>
              <w:left w:val="nil"/>
              <w:bottom w:val="nil"/>
              <w:right w:val="nil"/>
            </w:tcBorders>
            <w:shd w:val="clear" w:color="auto" w:fill="auto"/>
          </w:tcPr>
          <w:p w14:paraId="41B7190A" w14:textId="77777777" w:rsidR="0028533A" w:rsidRPr="003C2B18" w:rsidRDefault="0028533A" w:rsidP="0028533A">
            <w:pPr>
              <w:jc w:val="both"/>
              <w:rPr>
                <w:rFonts w:ascii="David" w:hAnsi="David"/>
                <w:b/>
                <w:bCs/>
                <w:rtl/>
              </w:rPr>
            </w:pPr>
          </w:p>
        </w:tc>
        <w:tc>
          <w:tcPr>
            <w:tcW w:w="3771" w:type="dxa"/>
            <w:tcBorders>
              <w:top w:val="nil"/>
              <w:left w:val="nil"/>
              <w:bottom w:val="nil"/>
              <w:right w:val="nil"/>
            </w:tcBorders>
            <w:shd w:val="clear" w:color="auto" w:fill="auto"/>
          </w:tcPr>
          <w:p w14:paraId="28487C43" w14:textId="77777777" w:rsidR="0028533A" w:rsidRPr="003C2B18" w:rsidRDefault="0028533A" w:rsidP="0028533A">
            <w:pPr>
              <w:jc w:val="right"/>
              <w:rPr>
                <w:rFonts w:ascii="David" w:hAnsi="David"/>
                <w:b/>
                <w:bCs/>
              </w:rPr>
            </w:pPr>
            <w:r w:rsidRPr="003C2B18">
              <w:rPr>
                <w:rFonts w:ascii="David" w:hAnsi="David"/>
                <w:b/>
                <w:bCs/>
                <w:rtl/>
              </w:rPr>
              <w:t>הנאשם</w:t>
            </w:r>
          </w:p>
        </w:tc>
      </w:tr>
    </w:tbl>
    <w:p w14:paraId="7C25BAC2" w14:textId="77777777" w:rsidR="00B638FB" w:rsidRPr="00B638FB" w:rsidRDefault="00B638FB" w:rsidP="00B638FB">
      <w:pPr>
        <w:spacing w:before="120" w:after="120" w:line="240" w:lineRule="exact"/>
        <w:ind w:left="283" w:hanging="283"/>
        <w:jc w:val="both"/>
        <w:rPr>
          <w:rFonts w:ascii="FrankRuehl" w:hAnsi="FrankRuehl" w:cs="FrankRuehl"/>
          <w:rtl/>
        </w:rPr>
      </w:pPr>
    </w:p>
    <w:p w14:paraId="4E7A9159" w14:textId="77777777" w:rsidR="00B45C24" w:rsidRDefault="00B45C24" w:rsidP="00B45C24">
      <w:pPr>
        <w:rPr>
          <w:rFonts w:ascii="David" w:hAnsi="David"/>
          <w:rtl/>
        </w:rPr>
      </w:pPr>
      <w:bookmarkStart w:id="2" w:name="LawTable"/>
      <w:bookmarkEnd w:id="2"/>
    </w:p>
    <w:p w14:paraId="4F26DA53" w14:textId="77777777" w:rsidR="00B45C24" w:rsidRPr="00B45C24" w:rsidRDefault="00B45C24" w:rsidP="00B45C24">
      <w:pPr>
        <w:spacing w:before="120" w:after="120" w:line="240" w:lineRule="exact"/>
        <w:ind w:left="283" w:hanging="283"/>
        <w:jc w:val="both"/>
        <w:rPr>
          <w:rFonts w:ascii="FrankRuehl" w:hAnsi="FrankRuehl" w:cs="FrankRuehl"/>
          <w:rtl/>
        </w:rPr>
      </w:pPr>
    </w:p>
    <w:p w14:paraId="20927793" w14:textId="77777777" w:rsidR="00B45C24" w:rsidRPr="00B45C24" w:rsidRDefault="00B45C24" w:rsidP="00B45C24">
      <w:pPr>
        <w:spacing w:before="120" w:after="120" w:line="240" w:lineRule="exact"/>
        <w:ind w:left="283" w:hanging="283"/>
        <w:jc w:val="both"/>
        <w:rPr>
          <w:rFonts w:ascii="FrankRuehl" w:hAnsi="FrankRuehl" w:cs="FrankRuehl"/>
          <w:rtl/>
        </w:rPr>
      </w:pPr>
    </w:p>
    <w:p w14:paraId="2E01F894" w14:textId="77777777" w:rsidR="00B45C24" w:rsidRPr="00B45C24" w:rsidRDefault="00B45C24" w:rsidP="00B45C24">
      <w:pPr>
        <w:spacing w:before="120" w:after="120" w:line="240" w:lineRule="exact"/>
        <w:ind w:left="283" w:hanging="283"/>
        <w:jc w:val="both"/>
        <w:rPr>
          <w:rFonts w:ascii="FrankRuehl" w:hAnsi="FrankRuehl" w:cs="FrankRuehl"/>
          <w:rtl/>
        </w:rPr>
      </w:pPr>
      <w:r w:rsidRPr="00B45C24">
        <w:rPr>
          <w:rFonts w:ascii="FrankRuehl" w:hAnsi="FrankRuehl" w:cs="FrankRuehl"/>
          <w:rtl/>
        </w:rPr>
        <w:t xml:space="preserve">חקיקה שאוזכרה: </w:t>
      </w:r>
    </w:p>
    <w:p w14:paraId="1CAA05C2" w14:textId="77777777" w:rsidR="00B45C24" w:rsidRPr="00B45C24" w:rsidRDefault="00B45C24" w:rsidP="00B45C24">
      <w:pPr>
        <w:spacing w:before="120" w:after="120" w:line="240" w:lineRule="exact"/>
        <w:ind w:left="283" w:hanging="283"/>
        <w:jc w:val="both"/>
        <w:rPr>
          <w:rFonts w:ascii="FrankRuehl" w:hAnsi="FrankRuehl" w:cs="FrankRuehl"/>
          <w:rtl/>
        </w:rPr>
      </w:pPr>
      <w:hyperlink r:id="rId8" w:history="1">
        <w:r w:rsidRPr="00B45C24">
          <w:rPr>
            <w:rFonts w:ascii="FrankRuehl" w:hAnsi="FrankRuehl" w:cs="FrankRuehl"/>
            <w:color w:val="0000FF"/>
            <w:rtl/>
          </w:rPr>
          <w:t>חוק העונשין, תשל"ז-1977</w:t>
        </w:r>
      </w:hyperlink>
      <w:r w:rsidRPr="00B45C24">
        <w:rPr>
          <w:rFonts w:ascii="FrankRuehl" w:hAnsi="FrankRuehl" w:cs="FrankRuehl"/>
          <w:rtl/>
        </w:rPr>
        <w:t xml:space="preserve">: סע'  </w:t>
      </w:r>
      <w:hyperlink r:id="rId9" w:history="1">
        <w:r w:rsidRPr="00B45C24">
          <w:rPr>
            <w:rFonts w:ascii="FrankRuehl" w:hAnsi="FrankRuehl" w:cs="FrankRuehl"/>
            <w:color w:val="0000FF"/>
            <w:rtl/>
          </w:rPr>
          <w:t>391</w:t>
        </w:r>
      </w:hyperlink>
      <w:r w:rsidRPr="00B45C24">
        <w:rPr>
          <w:rFonts w:ascii="FrankRuehl" w:hAnsi="FrankRuehl" w:cs="FrankRuehl"/>
          <w:rtl/>
        </w:rPr>
        <w:t xml:space="preserve">, </w:t>
      </w:r>
      <w:hyperlink r:id="rId10" w:history="1">
        <w:r w:rsidRPr="00B45C24">
          <w:rPr>
            <w:rFonts w:ascii="FrankRuehl" w:hAnsi="FrankRuehl" w:cs="FrankRuehl"/>
            <w:color w:val="0000FF"/>
            <w:rtl/>
          </w:rPr>
          <w:t>40 יא'</w:t>
        </w:r>
      </w:hyperlink>
    </w:p>
    <w:p w14:paraId="41AB9B99" w14:textId="77777777" w:rsidR="00B45C24" w:rsidRPr="00B45C24" w:rsidRDefault="00B45C24" w:rsidP="00B45C24">
      <w:pPr>
        <w:spacing w:before="120" w:after="120" w:line="240" w:lineRule="exact"/>
        <w:ind w:left="283" w:hanging="283"/>
        <w:jc w:val="both"/>
        <w:rPr>
          <w:rFonts w:ascii="FrankRuehl" w:hAnsi="FrankRuehl" w:cs="FrankRuehl"/>
          <w:rtl/>
        </w:rPr>
      </w:pPr>
      <w:hyperlink r:id="rId11" w:history="1">
        <w:r w:rsidRPr="00B45C24">
          <w:rPr>
            <w:rFonts w:ascii="FrankRuehl" w:hAnsi="FrankRuehl" w:cs="FrankRuehl"/>
            <w:color w:val="0000FF"/>
            <w:rtl/>
          </w:rPr>
          <w:t>פקודת הסמים המסוכנים [נוסח חדש], תשל"ג-1973</w:t>
        </w:r>
      </w:hyperlink>
      <w:r w:rsidRPr="00B45C24">
        <w:rPr>
          <w:rFonts w:ascii="FrankRuehl" w:hAnsi="FrankRuehl" w:cs="FrankRuehl"/>
          <w:rtl/>
        </w:rPr>
        <w:t xml:space="preserve">: סע'  </w:t>
      </w:r>
      <w:hyperlink r:id="rId12" w:history="1">
        <w:r w:rsidRPr="00B45C24">
          <w:rPr>
            <w:rFonts w:ascii="FrankRuehl" w:hAnsi="FrankRuehl" w:cs="FrankRuehl"/>
            <w:color w:val="0000FF"/>
            <w:rtl/>
          </w:rPr>
          <w:t>7.א.</w:t>
        </w:r>
      </w:hyperlink>
      <w:r w:rsidRPr="00B45C24">
        <w:rPr>
          <w:rFonts w:ascii="FrankRuehl" w:hAnsi="FrankRuehl" w:cs="FrankRuehl"/>
          <w:rtl/>
        </w:rPr>
        <w:t xml:space="preserve">, </w:t>
      </w:r>
      <w:hyperlink r:id="rId13" w:history="1">
        <w:r w:rsidRPr="00B45C24">
          <w:rPr>
            <w:rFonts w:ascii="FrankRuehl" w:hAnsi="FrankRuehl" w:cs="FrankRuehl"/>
            <w:color w:val="0000FF"/>
            <w:rtl/>
          </w:rPr>
          <w:t>7.ג</w:t>
        </w:r>
      </w:hyperlink>
    </w:p>
    <w:p w14:paraId="6F7D184B" w14:textId="77777777" w:rsidR="00B45C24" w:rsidRPr="00B45C24" w:rsidRDefault="00B45C24" w:rsidP="00B45C24">
      <w:pPr>
        <w:rPr>
          <w:rFonts w:ascii="David" w:hAnsi="David"/>
          <w:rtl/>
        </w:rPr>
      </w:pPr>
      <w:bookmarkStart w:id="3" w:name="LawTable_End"/>
      <w:bookmarkEnd w:id="3"/>
    </w:p>
    <w:p w14:paraId="2D19DBAD" w14:textId="77777777" w:rsidR="0028533A" w:rsidRPr="00B638FB" w:rsidRDefault="0028533A" w:rsidP="00B638FB">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8533A" w:rsidRPr="00AE0FF1" w14:paraId="30F482FD" w14:textId="77777777" w:rsidTr="0028533A">
        <w:trPr>
          <w:trHeight w:val="355"/>
          <w:jc w:val="center"/>
        </w:trPr>
        <w:tc>
          <w:tcPr>
            <w:tcW w:w="8820" w:type="dxa"/>
            <w:tcBorders>
              <w:top w:val="nil"/>
              <w:left w:val="nil"/>
              <w:bottom w:val="nil"/>
              <w:right w:val="nil"/>
            </w:tcBorders>
            <w:shd w:val="clear" w:color="auto" w:fill="auto"/>
          </w:tcPr>
          <w:p w14:paraId="540D3B03" w14:textId="77777777" w:rsidR="003C2B18" w:rsidRPr="003C2B18" w:rsidRDefault="003C2B18" w:rsidP="003C2B18">
            <w:pPr>
              <w:jc w:val="center"/>
              <w:rPr>
                <w:rFonts w:ascii="David" w:hAnsi="David"/>
                <w:b/>
                <w:bCs/>
                <w:u w:val="single"/>
                <w:rtl/>
              </w:rPr>
            </w:pPr>
            <w:bookmarkStart w:id="4" w:name="PsakDin" w:colFirst="0" w:colLast="0"/>
            <w:bookmarkEnd w:id="0"/>
            <w:r w:rsidRPr="003C2B18">
              <w:rPr>
                <w:rFonts w:ascii="David" w:hAnsi="David"/>
                <w:b/>
                <w:bCs/>
                <w:u w:val="single"/>
                <w:rtl/>
              </w:rPr>
              <w:t>גזר דין</w:t>
            </w:r>
          </w:p>
          <w:p w14:paraId="1A9DC0A7" w14:textId="77777777" w:rsidR="0028533A" w:rsidRPr="003C2B18" w:rsidRDefault="0028533A" w:rsidP="003C2B18">
            <w:pPr>
              <w:jc w:val="center"/>
              <w:rPr>
                <w:rFonts w:ascii="David" w:hAnsi="David"/>
                <w:b/>
                <w:bCs/>
                <w:u w:val="single"/>
                <w:rtl/>
              </w:rPr>
            </w:pPr>
          </w:p>
        </w:tc>
      </w:tr>
      <w:bookmarkEnd w:id="4"/>
    </w:tbl>
    <w:p w14:paraId="2F51DFDB" w14:textId="77777777" w:rsidR="0028533A" w:rsidRPr="00AE0FF1" w:rsidRDefault="0028533A" w:rsidP="0028533A">
      <w:pPr>
        <w:rPr>
          <w:rFonts w:ascii="Arial" w:hAnsi="Arial"/>
          <w:rtl/>
        </w:rPr>
      </w:pPr>
    </w:p>
    <w:p w14:paraId="73059405" w14:textId="77777777" w:rsidR="0028533A" w:rsidRPr="001D0B4F" w:rsidRDefault="0028533A" w:rsidP="0028533A">
      <w:pPr>
        <w:rPr>
          <w:rFonts w:ascii="Arial" w:hAnsi="Arial"/>
          <w:b/>
          <w:bCs/>
          <w:rtl/>
        </w:rPr>
      </w:pPr>
      <w:r w:rsidRPr="001D0B4F">
        <w:rPr>
          <w:rFonts w:ascii="Arial" w:hAnsi="Arial" w:hint="cs"/>
          <w:b/>
          <w:bCs/>
          <w:rtl/>
        </w:rPr>
        <w:t>רקע והליכים קודמים:</w:t>
      </w:r>
    </w:p>
    <w:p w14:paraId="380C7E40" w14:textId="77777777" w:rsidR="0028533A" w:rsidRDefault="0028533A" w:rsidP="0028533A">
      <w:pPr>
        <w:pStyle w:val="a9"/>
        <w:numPr>
          <w:ilvl w:val="0"/>
          <w:numId w:val="1"/>
        </w:numPr>
        <w:spacing w:line="360" w:lineRule="auto"/>
        <w:jc w:val="both"/>
      </w:pPr>
      <w:bookmarkStart w:id="5" w:name="ABSTRACT_START"/>
      <w:bookmarkEnd w:id="5"/>
      <w:r>
        <w:rPr>
          <w:rFonts w:hint="cs"/>
          <w:rtl/>
        </w:rPr>
        <w:t xml:space="preserve">הנאשם הורשע במסגרת הסדר טעון בכתב אישום מתוקן בארבע עבירות של גניבה ממעביד לפי </w:t>
      </w:r>
      <w:hyperlink r:id="rId14" w:history="1">
        <w:r w:rsidR="00D172D1" w:rsidRPr="00D172D1">
          <w:rPr>
            <w:rStyle w:val="Hyperlink"/>
            <w:rFonts w:hint="eastAsia"/>
            <w:rtl/>
          </w:rPr>
          <w:t>סעיף</w:t>
        </w:r>
        <w:r w:rsidR="00D172D1" w:rsidRPr="00D172D1">
          <w:rPr>
            <w:rStyle w:val="Hyperlink"/>
            <w:rtl/>
          </w:rPr>
          <w:t xml:space="preserve"> 391</w:t>
        </w:r>
      </w:hyperlink>
      <w:r>
        <w:rPr>
          <w:rFonts w:hint="cs"/>
          <w:rtl/>
        </w:rPr>
        <w:t xml:space="preserve"> ל</w:t>
      </w:r>
      <w:hyperlink r:id="rId15" w:history="1">
        <w:r w:rsidR="003C2B18" w:rsidRPr="003C2B18">
          <w:rPr>
            <w:color w:val="0000FF"/>
            <w:u w:val="single"/>
            <w:rtl/>
          </w:rPr>
          <w:t>חוק העונשין</w:t>
        </w:r>
      </w:hyperlink>
      <w:r>
        <w:rPr>
          <w:rFonts w:hint="cs"/>
          <w:rtl/>
        </w:rPr>
        <w:t xml:space="preserve">, תשל"ז 1977 (להלן: </w:t>
      </w:r>
      <w:r w:rsidRPr="001D0B4F">
        <w:rPr>
          <w:rFonts w:hint="cs"/>
          <w:b/>
          <w:bCs/>
          <w:rtl/>
        </w:rPr>
        <w:t>"חוק העונשין"</w:t>
      </w:r>
      <w:r>
        <w:rPr>
          <w:rFonts w:hint="cs"/>
          <w:rtl/>
        </w:rPr>
        <w:t xml:space="preserve">), ובעבירה של החזקה בסם לצריכה עצמית, לפי סעיף </w:t>
      </w:r>
      <w:hyperlink r:id="rId16" w:history="1">
        <w:r w:rsidR="00D172D1" w:rsidRPr="00D172D1">
          <w:rPr>
            <w:rStyle w:val="Hyperlink"/>
            <w:rtl/>
          </w:rPr>
          <w:t>7(א)+7 (ג)</w:t>
        </w:r>
      </w:hyperlink>
      <w:r>
        <w:rPr>
          <w:rFonts w:hint="cs"/>
          <w:rtl/>
        </w:rPr>
        <w:t xml:space="preserve"> סיפא ל</w:t>
      </w:r>
      <w:hyperlink r:id="rId17" w:history="1">
        <w:r w:rsidR="003C2B18" w:rsidRPr="003C2B18">
          <w:rPr>
            <w:color w:val="0000FF"/>
            <w:u w:val="single"/>
            <w:rtl/>
          </w:rPr>
          <w:t>פקודת הסמים המסוכנים</w:t>
        </w:r>
      </w:hyperlink>
      <w:r>
        <w:rPr>
          <w:rFonts w:hint="cs"/>
          <w:rtl/>
        </w:rPr>
        <w:t xml:space="preserve"> (נוסח חדש) תשל"ג -1973. בין הצדדים לא היה סיכום לעניין העונש, אך הוסכם כי בטרם תישמע פרשת העונש יוגש בעניינו של הנאשם תסקיר מבחן שיתייחס בין יתר המלצותיו גם לשאלת ההרשעה. בהקשר זה הוסיף הסנגור במעמד הצגת הסדר הטעון, כי הנאשם נמצא כעת בתהליך מתקדם לקבלת תושבות ישראלית בשל נישואיו לישראלית, והרשעתו בדין תפגע בתהליך זה.</w:t>
      </w:r>
    </w:p>
    <w:p w14:paraId="52542F98" w14:textId="77777777" w:rsidR="0028533A" w:rsidRDefault="0028533A" w:rsidP="0028533A">
      <w:pPr>
        <w:pStyle w:val="a9"/>
        <w:numPr>
          <w:ilvl w:val="0"/>
          <w:numId w:val="1"/>
        </w:numPr>
        <w:spacing w:line="360" w:lineRule="auto"/>
        <w:jc w:val="both"/>
      </w:pPr>
      <w:bookmarkStart w:id="6" w:name="ABSTRACT_END"/>
      <w:bookmarkEnd w:id="6"/>
      <w:r>
        <w:rPr>
          <w:rFonts w:hint="cs"/>
          <w:rtl/>
        </w:rPr>
        <w:t xml:space="preserve">על פי עובדות האישום הראשון בין התאריכים 13.4.16-18.3.16 ב-4 הזדמנויות, ובעת שהועסק הנאשם כעובד ניקיון בביתו של מר אנטוני עמוס פריד (להלן: </w:t>
      </w:r>
      <w:r w:rsidRPr="001D0B4F">
        <w:rPr>
          <w:rFonts w:hint="cs"/>
          <w:b/>
          <w:bCs/>
          <w:rtl/>
        </w:rPr>
        <w:t>"המתלונן"</w:t>
      </w:r>
      <w:r>
        <w:rPr>
          <w:rFonts w:hint="cs"/>
          <w:rtl/>
        </w:rPr>
        <w:t>) בישוב נוקדים, גנב הנאשם מביתו של המתלונן סכומי כסף בסך כולל של 3550 ₪.</w:t>
      </w:r>
    </w:p>
    <w:p w14:paraId="02B2CBF7" w14:textId="77777777" w:rsidR="0028533A" w:rsidRDefault="0028533A" w:rsidP="0028533A">
      <w:pPr>
        <w:pStyle w:val="a9"/>
        <w:numPr>
          <w:ilvl w:val="0"/>
          <w:numId w:val="1"/>
        </w:numPr>
        <w:spacing w:line="360" w:lineRule="auto"/>
        <w:jc w:val="both"/>
      </w:pPr>
      <w:r>
        <w:rPr>
          <w:rFonts w:hint="cs"/>
          <w:rtl/>
        </w:rPr>
        <w:lastRenderedPageBreak/>
        <w:t>על פי עובדות האישום השני ביום 13.4.16 בשעה 14:45 או בסמוך לכך, החזיק הנאשם בארון המטבח בביתו שברחוב נחל תמר 199 בחברון, סם מסוכן מסוג קנבוס במשקל 0.3882 גרם.</w:t>
      </w:r>
    </w:p>
    <w:p w14:paraId="20476BDE" w14:textId="77777777" w:rsidR="0028533A" w:rsidRDefault="0028533A" w:rsidP="0028533A">
      <w:pPr>
        <w:pStyle w:val="a9"/>
        <w:numPr>
          <w:ilvl w:val="0"/>
          <w:numId w:val="1"/>
        </w:numPr>
        <w:spacing w:line="360" w:lineRule="auto"/>
        <w:jc w:val="both"/>
      </w:pPr>
      <w:r>
        <w:rPr>
          <w:rFonts w:hint="cs"/>
          <w:rtl/>
        </w:rPr>
        <w:t>בעניינו של הנאשם הוגשו 4 תסקירים, מפאת צנעת הפרט אביא מתוכנם בתמצית: בתסקיר מיום 1.5.18 צוין כי הנאשם כבן 30 יליד קולומביה נשוי ואב לשני ילדים בגילאי חודש ושלוש שנים. הנאשם גדל בארה"ב והגיע לישראל לפני כשנתיים עם אשתו- אזרחית תושבת ישראל. בתסקיר פירוט אודות הרקע בו צמח הנאשם, שירותו הצבאי בשירות חיל הים האמריקא</w:t>
      </w:r>
      <w:r>
        <w:rPr>
          <w:rFonts w:hint="eastAsia"/>
          <w:rtl/>
        </w:rPr>
        <w:t>י</w:t>
      </w:r>
      <w:r>
        <w:rPr>
          <w:rFonts w:hint="cs"/>
          <w:rtl/>
        </w:rPr>
        <w:t>, ושחרורו על רקע נסיבות אישיות המפורטות בתסקיר. אף התקופה שלאחר שחרורו מתוארת בקושי מצדו לניהול אורח חיים תקין, עד אשר הכיר את אשתו. לאחר לידת בנו עברה המשפחה להתגורר בישראל, למשך שנה בבית הוריה של אשתו, ובחודש מרץ 2018 קיבל הנאשם ויזת תייר בעל היתר עבודה. הנאשם עובד מזה תקופה כיועץ טלפוני בחברה אמריקאי</w:t>
      </w:r>
      <w:r>
        <w:rPr>
          <w:rFonts w:hint="eastAsia"/>
          <w:rtl/>
        </w:rPr>
        <w:t>ת</w:t>
      </w:r>
      <w:r>
        <w:rPr>
          <w:rFonts w:hint="cs"/>
          <w:rtl/>
        </w:rPr>
        <w:t xml:space="preserve"> להובלת בתי- מגורים. בתסקיר פירוט אודות משברים אותם חווה הנאשם מגיל צעיר והעמקת השימוש בסם ואלכוהול משך השנים.</w:t>
      </w:r>
    </w:p>
    <w:p w14:paraId="6F01F2C6" w14:textId="77777777" w:rsidR="0028533A" w:rsidRDefault="0028533A" w:rsidP="0028533A">
      <w:pPr>
        <w:pStyle w:val="a9"/>
        <w:numPr>
          <w:ilvl w:val="0"/>
          <w:numId w:val="1"/>
        </w:numPr>
        <w:spacing w:line="360" w:lineRule="auto"/>
        <w:jc w:val="both"/>
      </w:pPr>
      <w:r>
        <w:rPr>
          <w:rFonts w:hint="cs"/>
          <w:rtl/>
        </w:rPr>
        <w:t>הנאשם נטל אחריות לביצוע העבירות והסביר את מעורבותו בהן, נוכח מצוקה כלכלית וקושי לפרנס את משפחתו. הנאשם תיאר תחושת בושה ממעשיו והביע חרטה על מעורבותו בהן. להתרשמות שרות המבחן הנאשם מגלה הבנה ומוטיבציה ראשונית לעריכת שינוי בהתנהלות</w:t>
      </w:r>
      <w:r>
        <w:rPr>
          <w:rFonts w:hint="eastAsia"/>
          <w:rtl/>
        </w:rPr>
        <w:t>ו</w:t>
      </w:r>
      <w:r>
        <w:rPr>
          <w:rFonts w:hint="cs"/>
          <w:rtl/>
        </w:rPr>
        <w:t>, ואף הביע רצון לקחת חלק בתהליך טיפולי אשר יית</w:t>
      </w:r>
      <w:r>
        <w:rPr>
          <w:rFonts w:hint="eastAsia"/>
          <w:rtl/>
        </w:rPr>
        <w:t>ן</w:t>
      </w:r>
      <w:r>
        <w:rPr>
          <w:rFonts w:hint="cs"/>
          <w:rtl/>
        </w:rPr>
        <w:t xml:space="preserve"> מענה להתמכרותו לחומרים פסיכואקטיביים ולקשיים רגשיים נוספים הקשורים לחוסר היציבות בהתנהלותו לאורך השנים.</w:t>
      </w:r>
    </w:p>
    <w:p w14:paraId="38CB7F94" w14:textId="77777777" w:rsidR="0028533A" w:rsidRDefault="0028533A" w:rsidP="0028533A">
      <w:pPr>
        <w:pStyle w:val="a9"/>
        <w:numPr>
          <w:ilvl w:val="0"/>
          <w:numId w:val="1"/>
        </w:numPr>
        <w:spacing w:line="360" w:lineRule="auto"/>
        <w:jc w:val="both"/>
      </w:pPr>
      <w:r>
        <w:rPr>
          <w:rFonts w:hint="cs"/>
          <w:rtl/>
        </w:rPr>
        <w:t>נוכח מורכבות מצבו ציין שרות המבחן כי קיים צורך בבירור פסיכיאטר</w:t>
      </w:r>
      <w:r>
        <w:rPr>
          <w:rFonts w:hint="eastAsia"/>
          <w:rtl/>
        </w:rPr>
        <w:t>י</w:t>
      </w:r>
      <w:r>
        <w:rPr>
          <w:rFonts w:hint="cs"/>
          <w:rtl/>
        </w:rPr>
        <w:t xml:space="preserve"> בעניינו והשתלבותו במסגרת גמילה מסמים, אך נוכח העובדה כי הוא אינו אזרח ישראל, צוין כי יהווה הדבר קושי לשלבו בטיפול. בנסיבות אלו הומלץ לדחות את הדיון בשלושה חודשים לצורך בדיקת אפשרויות הטיפול מול הגורמים המתאימים, לצורך שילובו בטיפול מתאים לצרכיו.  </w:t>
      </w:r>
    </w:p>
    <w:p w14:paraId="71EA2F19" w14:textId="77777777" w:rsidR="0028533A" w:rsidRDefault="0028533A" w:rsidP="0028533A">
      <w:pPr>
        <w:pStyle w:val="a9"/>
        <w:numPr>
          <w:ilvl w:val="0"/>
          <w:numId w:val="1"/>
        </w:numPr>
        <w:spacing w:line="360" w:lineRule="auto"/>
        <w:jc w:val="both"/>
      </w:pPr>
      <w:r>
        <w:rPr>
          <w:rFonts w:hint="cs"/>
          <w:rtl/>
        </w:rPr>
        <w:t>בתסקיר מיום 17.9.18 עדכן שרות המבחן כי במהלך תקופת הדחייה פגש בנאשם והוא מתמיד בעיסוקו. הנאשם מסר כי צמצם את באופן משמעותי את השימוש בסם ותיאר שינוי חיובי בחייו בעקבות זאת- שיפור בחייו הזוגיים ומעורבות גדולה יותר בגידול ילדיו. מנגד, תיאר הנאשם קשיים כלכליים ומשפחתיים. בהתייחס לאפיק הטיפולי ציין שרות המבחן כי עשה את הבירורים הנדרשים לצורך שילובו של הנאשם בטיפול מתאים, אך הנאשם התקשה לקחת חלק ולגלות מעורבות בתהליך זה. נוכח זאת התקשה שרות המבחן לבוא בהמלצה טיפולית.</w:t>
      </w:r>
    </w:p>
    <w:p w14:paraId="401DC639" w14:textId="77777777" w:rsidR="0028533A" w:rsidRDefault="0028533A" w:rsidP="0028533A">
      <w:pPr>
        <w:pStyle w:val="a9"/>
        <w:numPr>
          <w:ilvl w:val="0"/>
          <w:numId w:val="1"/>
        </w:numPr>
        <w:spacing w:line="360" w:lineRule="auto"/>
        <w:jc w:val="both"/>
      </w:pPr>
      <w:r>
        <w:rPr>
          <w:rFonts w:hint="cs"/>
          <w:rtl/>
        </w:rPr>
        <w:t xml:space="preserve">בתסקיר מיום 5.9.19 עדכן שרות המבחן כי להתרשמותם הנאשם מצוי בתהליך ראשוני של עריכת שינוי בחייו. הנאשם אף מסר בדיקת שתן שנמצאה נקייה משרידי סם. בנוסף ציין שרות המבחן כי הנאשם מתמיד מזה כשנה וחצי בעבודתו, והוא הביע נכונות להשתלב בתהליך טיפולי במסגרתם. בנסיבות אלו המליץ שרות המבחן לדחות את הדיון בפרשת </w:t>
      </w:r>
      <w:r>
        <w:rPr>
          <w:rFonts w:hint="cs"/>
          <w:rtl/>
        </w:rPr>
        <w:lastRenderedPageBreak/>
        <w:t xml:space="preserve">העונש לחודש דצמבר 2019 כאשר במהלך פרק זמן זה יעקוב אחר מצבו של הנאשם, בין היתר בעניין שימושו בסמים, ובמקביל ייעשה מאמץ לשלבו בטיפול המותאם למצבו. </w:t>
      </w:r>
    </w:p>
    <w:p w14:paraId="514A4129" w14:textId="77777777" w:rsidR="0028533A" w:rsidRDefault="0028533A" w:rsidP="0028533A">
      <w:pPr>
        <w:pStyle w:val="a9"/>
        <w:numPr>
          <w:ilvl w:val="0"/>
          <w:numId w:val="1"/>
        </w:numPr>
        <w:spacing w:line="360" w:lineRule="auto"/>
        <w:jc w:val="both"/>
      </w:pPr>
      <w:r>
        <w:rPr>
          <w:rFonts w:hint="cs"/>
          <w:rtl/>
        </w:rPr>
        <w:t>בתסקיר המסכם מיום 26.11.19 צוין, כי במהלך תקופת הדחייה עמד שרות המבחן בקשר עם גורמי הקבלה והטיפול ביחידה לטיפול בהתמכרויות "בית חוסן" בנתניה, ונקבעה לנאשם פגישה ליום 18.9.19 אליה לא הגיע. ניסיונות רבים ליצור עמו קשר לא צלחו. בנסיבות אלו ציין שרות המבחן כי להתרשמותו הנאשם נעדר כוחות ומוטיבציה נדרשת לשם השתלבות בתהליך שיקום, ונוכח מצבו נדרשת ענישה מוחשית שתחדד עבורו את חומרת התנהגותו וייתכן ותרתיעו מלשוב ולהתנהג באופן שולי בעתיד.</w:t>
      </w:r>
    </w:p>
    <w:p w14:paraId="28B2B489" w14:textId="77777777" w:rsidR="0028533A" w:rsidRPr="002D6BB3" w:rsidRDefault="0028533A" w:rsidP="0028533A">
      <w:pPr>
        <w:spacing w:line="360" w:lineRule="auto"/>
        <w:ind w:left="360"/>
        <w:jc w:val="both"/>
        <w:rPr>
          <w:b/>
          <w:bCs/>
        </w:rPr>
      </w:pPr>
      <w:r w:rsidRPr="002D6BB3">
        <w:rPr>
          <w:rFonts w:hint="cs"/>
          <w:b/>
          <w:bCs/>
          <w:rtl/>
        </w:rPr>
        <w:t>ראיות ההגנה לעונש:</w:t>
      </w:r>
    </w:p>
    <w:p w14:paraId="6AC4C229" w14:textId="77777777" w:rsidR="0028533A" w:rsidRDefault="0028533A" w:rsidP="0028533A">
      <w:pPr>
        <w:pStyle w:val="a9"/>
        <w:numPr>
          <w:ilvl w:val="0"/>
          <w:numId w:val="1"/>
        </w:numPr>
        <w:spacing w:line="360" w:lineRule="auto"/>
        <w:jc w:val="both"/>
      </w:pPr>
      <w:r>
        <w:rPr>
          <w:rFonts w:hint="cs"/>
          <w:rtl/>
        </w:rPr>
        <w:t>במסגרת ראיות ההגנה לעונש מסרה אשת הנאשם כי בתקופה בה ביצע את העבירות מצבם המשפחתי היה קשה, והיא נאלצה לשאת לבדה בעול פרנסת המשפחה. עוד הוסיפה, שכיום הנאשם עובד באופן מסודר ומסייע לה בגידול הילדים ומטלות הבית. בנסיבות אלו, ועל רקע היותה מועסקת במשרה חלקית, ביקשה שלא לפגוע ביכולתו של הנאשם להמשיך ולשאת בעול פרנסת המשפחה.</w:t>
      </w:r>
    </w:p>
    <w:p w14:paraId="1959894C" w14:textId="77777777" w:rsidR="0028533A" w:rsidRPr="002D6BB3" w:rsidRDefault="0028533A" w:rsidP="0028533A">
      <w:pPr>
        <w:spacing w:line="360" w:lineRule="auto"/>
        <w:ind w:left="360"/>
        <w:jc w:val="both"/>
        <w:rPr>
          <w:b/>
          <w:bCs/>
        </w:rPr>
      </w:pPr>
      <w:r w:rsidRPr="002D6BB3">
        <w:rPr>
          <w:rFonts w:hint="cs"/>
          <w:b/>
          <w:bCs/>
          <w:rtl/>
        </w:rPr>
        <w:t>תמצית טיעוני הצדדים:</w:t>
      </w:r>
    </w:p>
    <w:p w14:paraId="1AF4D964" w14:textId="77777777" w:rsidR="0028533A" w:rsidRDefault="0028533A" w:rsidP="0028533A">
      <w:pPr>
        <w:pStyle w:val="a9"/>
        <w:numPr>
          <w:ilvl w:val="0"/>
          <w:numId w:val="1"/>
        </w:numPr>
        <w:spacing w:line="360" w:lineRule="auto"/>
        <w:jc w:val="both"/>
      </w:pPr>
      <w:r>
        <w:rPr>
          <w:rFonts w:hint="cs"/>
          <w:rtl/>
        </w:rPr>
        <w:t xml:space="preserve">המאשימה ציינה כי הנאשם הינו יליד 1987 נעדר עבר פלילי. בהתייחס לכתב האישום המתוקן ונסיבותיו, הפנתה המאשימה לכך שמדובר ב-4 מועדים, נתון המצביע על אלמנט חוזר במעשיו של הנאשם. עוד ציינה כי לשיטתה קיים קשר הדוק בין האישומים- בהיותו של האישום הראשון קשור באישום האחרון- ובצורך של הנאשם לממן את הסם אותו הוא צורך. על פיה הערכים בהם פגע הנאשם במקרה דנן, נוגעים בזכות הקניין של המתלונן ובני ביתו, הפרת אמון, ובהתייחס לאישום השני, בשלום הציבור וכן בצורך למגר את נגע הסמים. </w:t>
      </w:r>
    </w:p>
    <w:p w14:paraId="3E448E52" w14:textId="77777777" w:rsidR="0028533A" w:rsidRDefault="0028533A" w:rsidP="0028533A">
      <w:pPr>
        <w:spacing w:line="360" w:lineRule="auto"/>
        <w:ind w:left="720"/>
        <w:jc w:val="both"/>
      </w:pPr>
      <w:r>
        <w:rPr>
          <w:rFonts w:hint="cs"/>
          <w:rtl/>
        </w:rPr>
        <w:t>בהתייחס למתחם הענישה ציינה, כי באישום הראשון הינו החל ממאסר קצר שירוצה על דרך עבודות השירות ועד 12 חודשי מאסר, ובאישום השני החל מאסר על תנאי ועד מאסר קצר שיכול וירוצה על דרך עבודות השירות. נוכח תוכנם של התסקירים, והעדר המלצה, עתרה להטלת חודשיים מאסר שירוצו על דרך עבודות השירות בכפוף להתאמתו של הנאשם לריצוי העונש בדרך זו, זאת לצד מע"ת פיצוי וקנס.</w:t>
      </w:r>
    </w:p>
    <w:p w14:paraId="6714B415" w14:textId="77777777" w:rsidR="0028533A" w:rsidRDefault="0028533A" w:rsidP="0028533A">
      <w:pPr>
        <w:pStyle w:val="a9"/>
        <w:numPr>
          <w:ilvl w:val="0"/>
          <w:numId w:val="1"/>
        </w:numPr>
        <w:spacing w:line="360" w:lineRule="auto"/>
        <w:jc w:val="both"/>
      </w:pPr>
      <w:r>
        <w:rPr>
          <w:rFonts w:hint="cs"/>
          <w:rtl/>
        </w:rPr>
        <w:t>ההגנה הפנתה לנסיבותיו של הנאשם כמפורט בתסקיר המבחן. את המעשים הסביר הסנגור במצוקה כלכלית כאשר בינם לבין השימוש בסם אין כל קשר. הסנגור הפנה לחלוף הזמן מעת ביצוע העבירות וכן לעובדה כי מאז האירועים לא נפתחו כנגד הנאשם תיקים נוספים. בנסיבות אלו ביקש לראות בכך מעידה חד פעמית שנעשתה בתקופה משברית. עוד ציין, כי הנאשם החזיר את סכומי הכסף למתלונן ואף למעלה מכך. בהתייחס לביטול ההרשעה צוין, כי עניין זה אינו על הפרק כעת נוכח תוכנם של התסקירים, ובכל זאת עתר לביטולה נוכח ההליכים בהם נתון הנאשם במשרד הפנים להסדרת מעמדו בישראל.</w:t>
      </w:r>
    </w:p>
    <w:p w14:paraId="204D70BC" w14:textId="77777777" w:rsidR="0028533A" w:rsidRDefault="0028533A" w:rsidP="0028533A">
      <w:pPr>
        <w:pStyle w:val="a9"/>
        <w:numPr>
          <w:ilvl w:val="0"/>
          <w:numId w:val="1"/>
        </w:numPr>
        <w:spacing w:line="360" w:lineRule="auto"/>
        <w:jc w:val="both"/>
      </w:pPr>
      <w:r>
        <w:rPr>
          <w:rFonts w:hint="cs"/>
          <w:rtl/>
        </w:rPr>
        <w:t xml:space="preserve">הנאשם בסיום ציין כי הוא חש בושה צער על מעשיו, בכך שהפר את האמון שניתן בו תוך שהוא שולל מהמתלונן את כספו. הנאשם והוסיף כי אירועים אלו השפיעו על חייו לחיוב, במובן זה שהוא הפך אדם טוב יותר, הן מבחינה רוחנית והן מבחינה רגשית. </w:t>
      </w:r>
    </w:p>
    <w:p w14:paraId="55EA8D60" w14:textId="77777777" w:rsidR="0028533A" w:rsidRDefault="0028533A" w:rsidP="0028533A">
      <w:pPr>
        <w:pStyle w:val="a9"/>
        <w:numPr>
          <w:ilvl w:val="0"/>
          <w:numId w:val="1"/>
        </w:numPr>
        <w:spacing w:line="360" w:lineRule="auto"/>
        <w:jc w:val="both"/>
      </w:pPr>
      <w:r>
        <w:rPr>
          <w:rFonts w:hint="cs"/>
          <w:rtl/>
        </w:rPr>
        <w:t xml:space="preserve">ביום 23.1.20 הגיש הסנגור השלמת טעון במסגרתו הגיש מסמכים הנוגעים בתהליך איחוד משפחות. על פיו, ככל ובית המשפט יאמץ שיקולי שיקום בגזר הדין, אזי לדבריו: </w:t>
      </w:r>
      <w:r w:rsidRPr="0028533A">
        <w:rPr>
          <w:rFonts w:cs="Times New Roman"/>
          <w:rtl/>
        </w:rPr>
        <w:t>"...יופחת הסיכון שהרשעתו תביא לדחיית בקשתו למעמד בישראל מכוח נישואיו לישראלית..."</w:t>
      </w:r>
      <w:r>
        <w:rPr>
          <w:rFonts w:hint="cs"/>
          <w:rtl/>
        </w:rPr>
        <w:t xml:space="preserve">  </w:t>
      </w:r>
    </w:p>
    <w:p w14:paraId="223E74BE" w14:textId="77777777" w:rsidR="0028533A" w:rsidRDefault="0028533A" w:rsidP="0028533A">
      <w:pPr>
        <w:spacing w:line="360" w:lineRule="auto"/>
        <w:jc w:val="both"/>
        <w:rPr>
          <w:b/>
          <w:bCs/>
          <w:rtl/>
        </w:rPr>
      </w:pPr>
    </w:p>
    <w:p w14:paraId="511160D5" w14:textId="77777777" w:rsidR="0028533A" w:rsidRDefault="0028533A" w:rsidP="0028533A">
      <w:pPr>
        <w:spacing w:line="360" w:lineRule="auto"/>
        <w:jc w:val="both"/>
        <w:rPr>
          <w:b/>
          <w:bCs/>
          <w:rtl/>
        </w:rPr>
      </w:pPr>
      <w:r w:rsidRPr="00C6001B">
        <w:rPr>
          <w:b/>
          <w:bCs/>
          <w:rtl/>
        </w:rPr>
        <w:t xml:space="preserve">דיון: סוגיית הרשעה: </w:t>
      </w:r>
    </w:p>
    <w:p w14:paraId="22BCB3FB" w14:textId="77777777" w:rsidR="0028533A" w:rsidRPr="00C6001B" w:rsidRDefault="0028533A" w:rsidP="0028533A">
      <w:pPr>
        <w:spacing w:line="360" w:lineRule="auto"/>
        <w:jc w:val="both"/>
        <w:rPr>
          <w:b/>
          <w:bCs/>
        </w:rPr>
      </w:pPr>
    </w:p>
    <w:p w14:paraId="3C516D8A" w14:textId="77777777" w:rsidR="0028533A" w:rsidRPr="0028533A" w:rsidRDefault="0028533A" w:rsidP="0028533A">
      <w:pPr>
        <w:pStyle w:val="a9"/>
        <w:numPr>
          <w:ilvl w:val="0"/>
          <w:numId w:val="1"/>
        </w:numPr>
        <w:spacing w:line="360" w:lineRule="auto"/>
        <w:jc w:val="both"/>
        <w:rPr>
          <w:rFonts w:cs="Times New Roman"/>
        </w:rPr>
      </w:pPr>
      <w:r>
        <w:rPr>
          <w:rtl/>
        </w:rPr>
        <w:t xml:space="preserve">הכלל במשפט הפלילי קובע כי נאשם שהוכחה אשמתו ונקבע כי ביצע עבירה, יורשע בדין ויישא בעונשו. הימנעות מהרשעה, הינה חריג לכלל זה, והשימוש בו נעשה במשורה בהתאם לכללים שנקבעו שהתוו בפסיקת בית המשפט העליון. נפסק, כי ניתן להגיע בגזר דין לתוצאה של אי הרשעה </w:t>
      </w:r>
      <w:r w:rsidRPr="0028533A">
        <w:rPr>
          <w:rFonts w:cs="Times New Roman"/>
          <w:rtl/>
        </w:rPr>
        <w:t xml:space="preserve">"רק בנסיבות יוצאות דופן, בהן אין יחס סביר בין הנזק הצפוי מן ההרשעה בדין לחומרתה של העבירה" </w:t>
      </w:r>
      <w:r w:rsidRPr="0028533A">
        <w:rPr>
          <w:rFonts w:cs="Times New Roman"/>
          <w:b/>
          <w:bCs/>
          <w:rtl/>
        </w:rPr>
        <w:t>(</w:t>
      </w:r>
      <w:hyperlink r:id="rId18" w:history="1">
        <w:r w:rsidR="003C2B18" w:rsidRPr="003C2B18">
          <w:rPr>
            <w:b/>
            <w:bCs/>
            <w:color w:val="0000FF"/>
            <w:u w:val="single"/>
            <w:rtl/>
          </w:rPr>
          <w:t>ר"ע 432/85</w:t>
        </w:r>
      </w:hyperlink>
      <w:r w:rsidRPr="000D1B82">
        <w:rPr>
          <w:b/>
          <w:bCs/>
          <w:rtl/>
        </w:rPr>
        <w:t xml:space="preserve"> גדעון רומנו נגד מדינת ישראל (מיום 21.8.85)).</w:t>
      </w:r>
      <w:r>
        <w:rPr>
          <w:rtl/>
        </w:rPr>
        <w:t xml:space="preserve"> בפסק הדין המנחה בעניין זה: </w:t>
      </w:r>
      <w:r>
        <w:rPr>
          <w:rFonts w:hint="cs"/>
          <w:b/>
          <w:bCs/>
          <w:rtl/>
        </w:rPr>
        <w:t>(</w:t>
      </w:r>
      <w:hyperlink r:id="rId19" w:history="1">
        <w:r w:rsidR="003C2B18" w:rsidRPr="003C2B18">
          <w:rPr>
            <w:b/>
            <w:bCs/>
            <w:color w:val="0000FF"/>
            <w:u w:val="single"/>
            <w:rtl/>
          </w:rPr>
          <w:t>ע"פ 2083/96 כתב נ' מדינת ישראל, פ"ד נב</w:t>
        </w:r>
      </w:hyperlink>
      <w:r w:rsidRPr="000D1B82">
        <w:rPr>
          <w:b/>
          <w:bCs/>
          <w:rtl/>
        </w:rPr>
        <w:t xml:space="preserve"> (3)337),</w:t>
      </w:r>
      <w:r>
        <w:rPr>
          <w:rtl/>
        </w:rPr>
        <w:t xml:space="preserve"> נקבעו שני תנאים מצטברים, המאפשרים להימנע מהרשעה ביחס לנאשם שנקבע לגביו כי ביצע עבירה</w:t>
      </w:r>
      <w:r>
        <w:rPr>
          <w:rFonts w:hint="cs"/>
          <w:rtl/>
        </w:rPr>
        <w:t>:</w:t>
      </w:r>
      <w:r>
        <w:rPr>
          <w:rtl/>
        </w:rPr>
        <w:t xml:space="preserve"> </w:t>
      </w:r>
      <w:r w:rsidRPr="0028533A">
        <w:rPr>
          <w:rFonts w:cs="Times New Roman"/>
          <w:rtl/>
        </w:rPr>
        <w:t xml:space="preserve">"ראשית, על ההרשעה לפגוע פגיעה חמורה בשיקום הנאשם, ושנית, סוג העבירה מאפשר לוותר בנסיבות המקרה המסוים על ההרשעה בלי לפגוע באופן מהותי בשיקולי הענישה האחרים...". </w:t>
      </w:r>
    </w:p>
    <w:p w14:paraId="1AE41A4E" w14:textId="77777777" w:rsidR="0028533A" w:rsidRDefault="0028533A" w:rsidP="0028533A">
      <w:pPr>
        <w:pStyle w:val="a9"/>
        <w:numPr>
          <w:ilvl w:val="0"/>
          <w:numId w:val="1"/>
        </w:numPr>
        <w:spacing w:line="360" w:lineRule="auto"/>
        <w:jc w:val="both"/>
        <w:rPr>
          <w:rtl/>
        </w:rPr>
      </w:pPr>
      <w:r>
        <w:rPr>
          <w:rtl/>
        </w:rPr>
        <w:t>מקרה זה אינו נמנה על החריגים המצדיקים את ביטול ההרשעה</w:t>
      </w:r>
      <w:r>
        <w:rPr>
          <w:rFonts w:hint="cs"/>
          <w:rtl/>
        </w:rPr>
        <w:t xml:space="preserve">, זאת </w:t>
      </w:r>
      <w:r>
        <w:rPr>
          <w:rtl/>
        </w:rPr>
        <w:t xml:space="preserve">ממספר טעמים: ראשית, </w:t>
      </w:r>
      <w:r>
        <w:rPr>
          <w:rFonts w:hint="cs"/>
          <w:rtl/>
        </w:rPr>
        <w:t xml:space="preserve">סוג העבירה </w:t>
      </w:r>
      <w:r w:rsidRPr="004C03F0">
        <w:rPr>
          <w:rtl/>
        </w:rPr>
        <w:t>בה</w:t>
      </w:r>
      <w:r>
        <w:rPr>
          <w:rFonts w:hint="cs"/>
          <w:rtl/>
        </w:rPr>
        <w:t xml:space="preserve"> הורשע הנאשם</w:t>
      </w:r>
      <w:r w:rsidRPr="004C03F0">
        <w:rPr>
          <w:rtl/>
        </w:rPr>
        <w:t xml:space="preserve">. </w:t>
      </w:r>
      <w:r>
        <w:rPr>
          <w:rFonts w:hint="cs"/>
          <w:rtl/>
        </w:rPr>
        <w:t>בע</w:t>
      </w:r>
      <w:r w:rsidRPr="004C03F0">
        <w:rPr>
          <w:rtl/>
        </w:rPr>
        <w:t>ביר</w:t>
      </w:r>
      <w:r>
        <w:rPr>
          <w:rFonts w:hint="cs"/>
          <w:rtl/>
        </w:rPr>
        <w:t>ה זו, לצד ה</w:t>
      </w:r>
      <w:r w:rsidRPr="004C03F0">
        <w:rPr>
          <w:rtl/>
        </w:rPr>
        <w:t>פגיעה בזכות הקניין</w:t>
      </w:r>
      <w:r>
        <w:rPr>
          <w:rFonts w:hint="cs"/>
          <w:rtl/>
        </w:rPr>
        <w:t xml:space="preserve"> של האדם</w:t>
      </w:r>
      <w:r w:rsidRPr="004C03F0">
        <w:rPr>
          <w:rtl/>
        </w:rPr>
        <w:t xml:space="preserve">, </w:t>
      </w:r>
      <w:r>
        <w:rPr>
          <w:rFonts w:hint="cs"/>
          <w:rtl/>
        </w:rPr>
        <w:t xml:space="preserve">משקף המעשה </w:t>
      </w:r>
      <w:r w:rsidRPr="004C03F0">
        <w:rPr>
          <w:rtl/>
        </w:rPr>
        <w:t xml:space="preserve">ניצול </w:t>
      </w:r>
      <w:r>
        <w:rPr>
          <w:rFonts w:hint="cs"/>
          <w:rtl/>
        </w:rPr>
        <w:t>ה</w:t>
      </w:r>
      <w:r w:rsidRPr="004C03F0">
        <w:rPr>
          <w:rtl/>
        </w:rPr>
        <w:t>אמון ש</w:t>
      </w:r>
      <w:r>
        <w:rPr>
          <w:rFonts w:hint="cs"/>
          <w:rtl/>
        </w:rPr>
        <w:t>נותן המעביד ב</w:t>
      </w:r>
      <w:r w:rsidRPr="004C03F0">
        <w:rPr>
          <w:rtl/>
        </w:rPr>
        <w:t>עובד</w:t>
      </w:r>
      <w:r>
        <w:rPr>
          <w:rFonts w:hint="cs"/>
          <w:rtl/>
        </w:rPr>
        <w:t>, ומעילה בו. (</w:t>
      </w:r>
      <w:r w:rsidRPr="004C03F0">
        <w:rPr>
          <w:rtl/>
        </w:rPr>
        <w:t>רא</w:t>
      </w:r>
      <w:r>
        <w:rPr>
          <w:rFonts w:hint="cs"/>
          <w:rtl/>
        </w:rPr>
        <w:t>ו</w:t>
      </w:r>
      <w:r w:rsidRPr="004C03F0">
        <w:rPr>
          <w:rtl/>
        </w:rPr>
        <w:t xml:space="preserve">: </w:t>
      </w:r>
      <w:hyperlink r:id="rId20" w:history="1">
        <w:r w:rsidR="003C2B18" w:rsidRPr="003C2B18">
          <w:rPr>
            <w:rFonts w:cs="Times New Roman"/>
            <w:color w:val="0000FF"/>
            <w:u w:val="single"/>
            <w:rtl/>
          </w:rPr>
          <w:t>רע"פ 5540/15</w:t>
        </w:r>
      </w:hyperlink>
      <w:r w:rsidRPr="0028533A">
        <w:rPr>
          <w:rFonts w:cs="Times New Roman"/>
          <w:rtl/>
        </w:rPr>
        <w:t xml:space="preserve"> גלוריה גאווי נ' מדינת ישראל, (24.8.15))</w:t>
      </w:r>
      <w:r>
        <w:rPr>
          <w:rFonts w:hint="cs"/>
          <w:rtl/>
        </w:rPr>
        <w:t>.</w:t>
      </w:r>
      <w:r w:rsidRPr="004C03F0">
        <w:rPr>
          <w:rtl/>
        </w:rPr>
        <w:t xml:space="preserve"> </w:t>
      </w:r>
      <w:r>
        <w:rPr>
          <w:rFonts w:hint="cs"/>
          <w:rtl/>
        </w:rPr>
        <w:t>שנית, אין המדובר באירוע חד פעמי, אלא בארבעה מקרי גניבה מביתו של המתלונן שהתפרשו על פני מספר שבועות בסכום כולל של 3550 ₪.</w:t>
      </w:r>
      <w:r>
        <w:rPr>
          <w:rtl/>
        </w:rPr>
        <w:t xml:space="preserve"> </w:t>
      </w:r>
      <w:r>
        <w:rPr>
          <w:rFonts w:hint="cs"/>
          <w:rtl/>
        </w:rPr>
        <w:t>לכך מ</w:t>
      </w:r>
      <w:r>
        <w:rPr>
          <w:rtl/>
        </w:rPr>
        <w:t>תווספ</w:t>
      </w:r>
      <w:r>
        <w:rPr>
          <w:rFonts w:hint="cs"/>
          <w:rtl/>
        </w:rPr>
        <w:t xml:space="preserve">ת </w:t>
      </w:r>
      <w:r>
        <w:rPr>
          <w:rtl/>
        </w:rPr>
        <w:t xml:space="preserve">עבירה של </w:t>
      </w:r>
      <w:r>
        <w:rPr>
          <w:rFonts w:hint="cs"/>
          <w:rtl/>
        </w:rPr>
        <w:t>החזקת סם לצריכה עצמית שנמצא בחיפוש בביתו של הנאשם. בהקשר זה ראוי לציין, כי בהתאם לתוכנו של התסקיר, קיימת נזקקות טיפולית מצדו של הנאשם נוכח שימושו בסם, אך בהעדר שיתוף פעולה מצדו, להשתלבות בהליכים טיפוליים הנדרשים לו, המלצת שרות המבחן הינה להטלת עונש מוחשי שיחדד עבורו את חומרת התנהגותו וייתכן וירתיעו מלשוב ולהתנהג באופן שולי בעתיד.</w:t>
      </w:r>
    </w:p>
    <w:p w14:paraId="3BD1EDA4" w14:textId="77777777" w:rsidR="0028533A" w:rsidRDefault="0028533A" w:rsidP="0028533A">
      <w:pPr>
        <w:pStyle w:val="a9"/>
        <w:numPr>
          <w:ilvl w:val="0"/>
          <w:numId w:val="1"/>
        </w:numPr>
        <w:spacing w:line="360" w:lineRule="auto"/>
        <w:jc w:val="both"/>
      </w:pPr>
      <w:r>
        <w:rPr>
          <w:rtl/>
        </w:rPr>
        <w:t>הטעם הנוסף בדחיית הבקשה נעוץ בתנאי שנקבע בפסיקה, לפיו יש להוכיח פגיעה ממשית וקונקרטית בשיקומו של נאשם, ואין די בהפניה ל</w:t>
      </w:r>
      <w:r>
        <w:rPr>
          <w:rFonts w:hint="cs"/>
          <w:rtl/>
        </w:rPr>
        <w:t xml:space="preserve">אפשרות לקיומו של </w:t>
      </w:r>
      <w:r>
        <w:rPr>
          <w:rtl/>
        </w:rPr>
        <w:t xml:space="preserve">נזק עתידי אפשרי. </w:t>
      </w:r>
      <w:r w:rsidRPr="0028533A">
        <w:rPr>
          <w:rFonts w:cs="Times New Roman"/>
          <w:rtl/>
        </w:rPr>
        <w:t xml:space="preserve">(ראו: </w:t>
      </w:r>
      <w:hyperlink r:id="rId21" w:history="1">
        <w:r w:rsidR="003C2B18" w:rsidRPr="003C2B18">
          <w:rPr>
            <w:rFonts w:cs="Times New Roman"/>
            <w:color w:val="0000FF"/>
            <w:u w:val="single"/>
            <w:rtl/>
          </w:rPr>
          <w:t>רע"פ 9118/12</w:t>
        </w:r>
      </w:hyperlink>
      <w:r w:rsidRPr="0028533A">
        <w:rPr>
          <w:rFonts w:cs="Times New Roman"/>
          <w:rtl/>
        </w:rPr>
        <w:t xml:space="preserve"> אלכסנדר פריגין נגד מדינת ישראל (1.1.13), </w:t>
      </w:r>
      <w:hyperlink r:id="rId22" w:history="1">
        <w:r w:rsidR="003C2B18" w:rsidRPr="003C2B18">
          <w:rPr>
            <w:rFonts w:cs="Times New Roman"/>
            <w:color w:val="0000FF"/>
            <w:u w:val="single"/>
            <w:rtl/>
          </w:rPr>
          <w:t>ע"פ 8528/12</w:t>
        </w:r>
      </w:hyperlink>
      <w:r w:rsidRPr="0028533A">
        <w:rPr>
          <w:rFonts w:cs="Times New Roman"/>
          <w:rtl/>
        </w:rPr>
        <w:t xml:space="preserve"> אלירן ציפורה</w:t>
      </w:r>
      <w:r>
        <w:rPr>
          <w:rtl/>
        </w:rPr>
        <w:t xml:space="preserve"> </w:t>
      </w:r>
      <w:r w:rsidRPr="0028533A">
        <w:rPr>
          <w:rFonts w:cs="Times New Roman"/>
          <w:rtl/>
        </w:rPr>
        <w:t>נגד מדינת ישראל (13.3.13)).</w:t>
      </w:r>
      <w:r>
        <w:rPr>
          <w:rtl/>
        </w:rPr>
        <w:t xml:space="preserve"> </w:t>
      </w:r>
      <w:r>
        <w:rPr>
          <w:rFonts w:hint="cs"/>
          <w:rtl/>
        </w:rPr>
        <w:t>סבורני, כי אין די במסמכים שצורפו במסגרת השלמת הטעון כדי  לבסס מסקנה בדבר נזק ממשי וקונקרטי לתהליך איחוד המשפחות בו מצוי הנאשם. עיון באותם מסמכים מלמד, כי במסגרת ההחלטה בעניין זה, שוקל הגורם המוסמך מכלול היבטים לרבות קיומו של עבר פלילי, מידת חומרתן של העבירות שנעברו, והזמן שחלף מעת ביצוען. אף הפסיקה שצורפה על ידי ההגנה מבססת לטעמי עניין זה, ואין אף בה כדי להניח תשתית מספקת בדבר פגיעה ממשית בתהליך זה. (ראו: 4935/17 פלונית נגד משרד הפנים (21.11.19). בנוסף, עתירת ההגנה להעדיף שיקולי שיקום במקרה זה נוכח התהליך האמור, אינה שלובה עם עמדת שרות המבחן כפי שפורטה לעיל.</w:t>
      </w:r>
    </w:p>
    <w:p w14:paraId="7F96751B" w14:textId="77777777" w:rsidR="0028533A" w:rsidRDefault="0028533A" w:rsidP="0028533A">
      <w:pPr>
        <w:pStyle w:val="a9"/>
        <w:numPr>
          <w:ilvl w:val="0"/>
          <w:numId w:val="1"/>
        </w:numPr>
        <w:spacing w:line="360" w:lineRule="auto"/>
        <w:jc w:val="both"/>
      </w:pPr>
      <w:r>
        <w:rPr>
          <w:rtl/>
        </w:rPr>
        <w:t>בנסיבות אותן ציינתי לעיל, לא אוכל כאמור לקבוע כי זהו אחד מאותם מקרים מיוחדים הראויים להימנות בין היוצאים מן הכלל אשר בהם תימנע ההרשעה.</w:t>
      </w:r>
    </w:p>
    <w:p w14:paraId="4A17866B" w14:textId="77777777" w:rsidR="0028533A" w:rsidRDefault="0028533A" w:rsidP="0028533A">
      <w:pPr>
        <w:spacing w:line="360" w:lineRule="auto"/>
        <w:ind w:left="360"/>
        <w:jc w:val="both"/>
        <w:rPr>
          <w:b/>
          <w:bCs/>
          <w:rtl/>
        </w:rPr>
      </w:pPr>
    </w:p>
    <w:p w14:paraId="038C8939" w14:textId="77777777" w:rsidR="0028533A" w:rsidRDefault="0028533A" w:rsidP="0028533A">
      <w:pPr>
        <w:spacing w:line="360" w:lineRule="auto"/>
        <w:ind w:left="360"/>
        <w:jc w:val="both"/>
        <w:rPr>
          <w:b/>
          <w:bCs/>
          <w:rtl/>
        </w:rPr>
      </w:pPr>
    </w:p>
    <w:p w14:paraId="4178F4B9" w14:textId="77777777" w:rsidR="0028533A" w:rsidRDefault="0028533A" w:rsidP="0028533A">
      <w:pPr>
        <w:spacing w:line="360" w:lineRule="auto"/>
        <w:ind w:left="360"/>
        <w:jc w:val="both"/>
        <w:rPr>
          <w:b/>
          <w:bCs/>
          <w:rtl/>
        </w:rPr>
      </w:pPr>
    </w:p>
    <w:p w14:paraId="58512CB4" w14:textId="77777777" w:rsidR="0028533A" w:rsidRPr="00C6001B" w:rsidRDefault="0028533A" w:rsidP="0028533A">
      <w:pPr>
        <w:spacing w:line="360" w:lineRule="auto"/>
        <w:ind w:left="360"/>
        <w:jc w:val="both"/>
        <w:rPr>
          <w:b/>
          <w:bCs/>
        </w:rPr>
      </w:pPr>
      <w:r w:rsidRPr="00C6001B">
        <w:rPr>
          <w:rFonts w:hint="cs"/>
          <w:b/>
          <w:bCs/>
          <w:rtl/>
        </w:rPr>
        <w:t>מתחם העונש ההולם:</w:t>
      </w:r>
    </w:p>
    <w:p w14:paraId="3D2CEAE1" w14:textId="77777777" w:rsidR="0028533A" w:rsidRDefault="0028533A" w:rsidP="0028533A">
      <w:pPr>
        <w:pStyle w:val="a9"/>
        <w:numPr>
          <w:ilvl w:val="0"/>
          <w:numId w:val="1"/>
        </w:numPr>
        <w:spacing w:line="360" w:lineRule="auto"/>
        <w:jc w:val="both"/>
        <w:rPr>
          <w:rtl/>
        </w:rPr>
      </w:pPr>
      <w:r>
        <w:rPr>
          <w:rFonts w:hint="cs"/>
          <w:rtl/>
        </w:rPr>
        <w:t>האישום הראשון שבכ</w:t>
      </w:r>
      <w:r>
        <w:rPr>
          <w:rtl/>
        </w:rPr>
        <w:t>תב האישום מתאר סדרה של מעשים אשר התרחשו ב</w:t>
      </w:r>
      <w:r>
        <w:rPr>
          <w:rFonts w:hint="cs"/>
          <w:rtl/>
        </w:rPr>
        <w:t>מהלך מספר שבועות,</w:t>
      </w:r>
      <w:r>
        <w:rPr>
          <w:rtl/>
        </w:rPr>
        <w:t xml:space="preserve"> נעשו באותו אופן</w:t>
      </w:r>
      <w:r>
        <w:rPr>
          <w:rFonts w:hint="cs"/>
          <w:rtl/>
        </w:rPr>
        <w:t>,</w:t>
      </w:r>
      <w:r>
        <w:rPr>
          <w:rtl/>
        </w:rPr>
        <w:t xml:space="preserve"> </w:t>
      </w:r>
      <w:r>
        <w:rPr>
          <w:rFonts w:hint="cs"/>
          <w:rtl/>
        </w:rPr>
        <w:t xml:space="preserve">וכלפי אותו מתלונן </w:t>
      </w:r>
      <w:r>
        <w:rPr>
          <w:rtl/>
        </w:rPr>
        <w:t>ו</w:t>
      </w:r>
      <w:r>
        <w:rPr>
          <w:rFonts w:hint="cs"/>
          <w:rtl/>
        </w:rPr>
        <w:t xml:space="preserve">על כן הם </w:t>
      </w:r>
      <w:r>
        <w:rPr>
          <w:rtl/>
        </w:rPr>
        <w:t>מהווים חלק מאותה מסכת עבריינית. על כן יש לראותם כאירוע אחד, ומכאן שיש לקבוע בגינ</w:t>
      </w:r>
      <w:r>
        <w:rPr>
          <w:rFonts w:hint="cs"/>
          <w:rtl/>
        </w:rPr>
        <w:t>ם</w:t>
      </w:r>
      <w:r>
        <w:rPr>
          <w:rtl/>
        </w:rPr>
        <w:t xml:space="preserve"> מתחם עונש הולם אחד.</w:t>
      </w:r>
    </w:p>
    <w:p w14:paraId="7F3B8C61" w14:textId="77777777" w:rsidR="0028533A" w:rsidRDefault="0028533A" w:rsidP="0028533A">
      <w:pPr>
        <w:pStyle w:val="a9"/>
        <w:numPr>
          <w:ilvl w:val="0"/>
          <w:numId w:val="1"/>
        </w:numPr>
        <w:spacing w:line="360" w:lineRule="auto"/>
        <w:jc w:val="both"/>
        <w:rPr>
          <w:rtl/>
        </w:rPr>
      </w:pPr>
      <w:r>
        <w:rPr>
          <w:rtl/>
        </w:rPr>
        <w:t xml:space="preserve">במקרה דנן, הערך החברתי אשר נפגע הינו </w:t>
      </w:r>
      <w:r>
        <w:rPr>
          <w:rFonts w:hint="cs"/>
          <w:rtl/>
        </w:rPr>
        <w:t>ה</w:t>
      </w:r>
      <w:r>
        <w:rPr>
          <w:rtl/>
        </w:rPr>
        <w:t>הגנה על רכושו של אדם וכן הגנה על אמון מעביד בעובדו.</w:t>
      </w:r>
      <w:r>
        <w:rPr>
          <w:rFonts w:hint="cs"/>
          <w:rtl/>
        </w:rPr>
        <w:t xml:space="preserve"> בהתייחס לעבירת הסם הרי שהערך המוגן נוגע בשלום הציבור ובצורך למגר נגע זה.</w:t>
      </w:r>
    </w:p>
    <w:p w14:paraId="2A8572DB" w14:textId="77777777" w:rsidR="0028533A" w:rsidRDefault="0028533A" w:rsidP="0028533A">
      <w:pPr>
        <w:pStyle w:val="a9"/>
        <w:numPr>
          <w:ilvl w:val="0"/>
          <w:numId w:val="1"/>
        </w:numPr>
        <w:spacing w:line="360" w:lineRule="auto"/>
        <w:jc w:val="both"/>
        <w:rPr>
          <w:rtl/>
        </w:rPr>
      </w:pPr>
      <w:r>
        <w:rPr>
          <w:rtl/>
        </w:rPr>
        <w:t>בחינת מידת הפגיעה בערך המוגן מובילה למסקנה כי הפגיעה בערך המוגן הינה בינונית. הנאשם ניצל את האמון ש</w:t>
      </w:r>
      <w:r>
        <w:rPr>
          <w:rFonts w:hint="cs"/>
          <w:rtl/>
        </w:rPr>
        <w:t xml:space="preserve">נתן בו </w:t>
      </w:r>
      <w:r>
        <w:rPr>
          <w:rtl/>
        </w:rPr>
        <w:t>מ</w:t>
      </w:r>
      <w:r>
        <w:rPr>
          <w:rFonts w:hint="cs"/>
          <w:rtl/>
        </w:rPr>
        <w:t xml:space="preserve">עסיקו, </w:t>
      </w:r>
      <w:r>
        <w:rPr>
          <w:rtl/>
        </w:rPr>
        <w:t xml:space="preserve">וגנב </w:t>
      </w:r>
      <w:r>
        <w:rPr>
          <w:rFonts w:hint="cs"/>
          <w:rtl/>
        </w:rPr>
        <w:t xml:space="preserve">מביתו </w:t>
      </w:r>
      <w:r>
        <w:rPr>
          <w:rtl/>
        </w:rPr>
        <w:t>במספר הזדמנויות</w:t>
      </w:r>
      <w:r>
        <w:rPr>
          <w:rFonts w:hint="cs"/>
          <w:rtl/>
        </w:rPr>
        <w:t xml:space="preserve"> סכומי כסף בסך כולל של 3550 ש"ח</w:t>
      </w:r>
      <w:r>
        <w:rPr>
          <w:rtl/>
        </w:rPr>
        <w:t>.</w:t>
      </w:r>
    </w:p>
    <w:p w14:paraId="5C93FAB9" w14:textId="77777777" w:rsidR="0028533A" w:rsidRPr="00BC0A72" w:rsidRDefault="0028533A" w:rsidP="0028533A">
      <w:pPr>
        <w:pStyle w:val="a9"/>
        <w:numPr>
          <w:ilvl w:val="0"/>
          <w:numId w:val="1"/>
        </w:numPr>
        <w:spacing w:line="360" w:lineRule="auto"/>
        <w:jc w:val="both"/>
        <w:rPr>
          <w:rFonts w:ascii="David" w:hAnsi="David"/>
          <w:rtl/>
        </w:rPr>
      </w:pPr>
      <w:r>
        <w:rPr>
          <w:rFonts w:hint="cs"/>
          <w:rtl/>
        </w:rPr>
        <w:t>ב</w:t>
      </w:r>
      <w:r>
        <w:rPr>
          <w:rtl/>
        </w:rPr>
        <w:t>חינת מדיניות הענישה הנוהגת מעלה כי במקרים דומים הוטלו על נאשמים עונשים במנעד רחב החל ממאסר על תנאי ושל"צ ועד למספר חודשי מאסר</w:t>
      </w:r>
      <w:r>
        <w:rPr>
          <w:rFonts w:hint="cs"/>
          <w:rtl/>
        </w:rPr>
        <w:t xml:space="preserve"> לצד ענישה נלווית. </w:t>
      </w:r>
      <w:r w:rsidRPr="0028533A">
        <w:rPr>
          <w:rFonts w:cs="Times New Roman"/>
          <w:rtl/>
        </w:rPr>
        <w:t xml:space="preserve">(ראו: </w:t>
      </w:r>
      <w:hyperlink r:id="rId23" w:history="1">
        <w:r w:rsidR="003C2B18" w:rsidRPr="003C2B18">
          <w:rPr>
            <w:rFonts w:cs="Times New Roman"/>
            <w:color w:val="0000FF"/>
            <w:u w:val="single"/>
            <w:rtl/>
          </w:rPr>
          <w:t>ע"פ 4384-09-12</w:t>
        </w:r>
      </w:hyperlink>
      <w:r w:rsidRPr="0028533A">
        <w:rPr>
          <w:rFonts w:cs="Times New Roman" w:hint="cs"/>
          <w:rtl/>
        </w:rPr>
        <w:t xml:space="preserve"> (מחוזי י-ם) </w:t>
      </w:r>
      <w:r w:rsidRPr="0028533A">
        <w:rPr>
          <w:rFonts w:cs="Times New Roman"/>
          <w:rtl/>
        </w:rPr>
        <w:t xml:space="preserve">שולם נ' מדינת ישראל (2.1.13), </w:t>
      </w:r>
      <w:hyperlink r:id="rId24" w:history="1">
        <w:r w:rsidR="003C2B18" w:rsidRPr="003C2B18">
          <w:rPr>
            <w:rFonts w:cs="Times New Roman"/>
            <w:color w:val="0000FF"/>
            <w:u w:val="single"/>
            <w:rtl/>
          </w:rPr>
          <w:t>עפ"ג 73854-10-18</w:t>
        </w:r>
      </w:hyperlink>
      <w:r w:rsidRPr="0028533A">
        <w:rPr>
          <w:rFonts w:cs="Times New Roman" w:hint="cs"/>
          <w:rtl/>
        </w:rPr>
        <w:t xml:space="preserve"> (מחוזי י-ם) חטיב נגד מדינת ישראל (30.4.19), </w:t>
      </w:r>
      <w:hyperlink r:id="rId25" w:history="1">
        <w:r w:rsidR="003C2B18" w:rsidRPr="003C2B18">
          <w:rPr>
            <w:rFonts w:cs="Times New Roman"/>
            <w:color w:val="0000FF"/>
            <w:u w:val="single"/>
            <w:rtl/>
          </w:rPr>
          <w:t>ת"פ 27590-12-16</w:t>
        </w:r>
      </w:hyperlink>
      <w:r w:rsidRPr="0028533A">
        <w:rPr>
          <w:rFonts w:cs="Times New Roman" w:hint="cs"/>
          <w:rtl/>
        </w:rPr>
        <w:t xml:space="preserve"> (שלום י-ם) מדינת ישראל נגד דאדו שאול (30.12.19), </w:t>
      </w:r>
      <w:hyperlink r:id="rId26" w:history="1">
        <w:r w:rsidR="003C2B18" w:rsidRPr="003C2B18">
          <w:rPr>
            <w:rFonts w:cs="Times New Roman"/>
            <w:color w:val="0000FF"/>
            <w:u w:val="single"/>
            <w:rtl/>
          </w:rPr>
          <w:t>ת"פ 50283-02-11</w:t>
        </w:r>
      </w:hyperlink>
      <w:r w:rsidRPr="0028533A">
        <w:rPr>
          <w:rFonts w:cs="Times New Roman" w:hint="cs"/>
          <w:rtl/>
        </w:rPr>
        <w:t xml:space="preserve"> (שלום י-ם) מדינת ישראל נגד מנוור גברין (28.2.13))</w:t>
      </w:r>
      <w:r w:rsidRPr="0028533A">
        <w:rPr>
          <w:rFonts w:cs="Times New Roman"/>
          <w:rtl/>
        </w:rPr>
        <w:t>.</w:t>
      </w:r>
      <w:r w:rsidRPr="0028533A">
        <w:rPr>
          <w:rFonts w:cs="Times New Roman" w:hint="cs"/>
          <w:rtl/>
        </w:rPr>
        <w:t xml:space="preserve"> </w:t>
      </w:r>
      <w:r w:rsidRPr="00BC0A72">
        <w:rPr>
          <w:rFonts w:ascii="David" w:hAnsi="David"/>
          <w:rtl/>
        </w:rPr>
        <w:t>בהתייחס לעבירת הסם הרי שמתחם העונש ההולם הינו החל ממאסר צופה פני עתיד ועד מאסר קצר שיכול ו</w:t>
      </w:r>
      <w:r>
        <w:rPr>
          <w:rFonts w:ascii="David" w:hAnsi="David" w:hint="cs"/>
          <w:rtl/>
        </w:rPr>
        <w:t>ירוצה</w:t>
      </w:r>
      <w:r w:rsidRPr="00BC0A72">
        <w:rPr>
          <w:rFonts w:ascii="David" w:hAnsi="David"/>
          <w:rtl/>
        </w:rPr>
        <w:t xml:space="preserve"> על דרך עבודות השירות לצד ענישה נלווית.</w:t>
      </w:r>
    </w:p>
    <w:p w14:paraId="340669C5" w14:textId="77777777" w:rsidR="0028533A" w:rsidRDefault="0028533A" w:rsidP="0028533A">
      <w:pPr>
        <w:pStyle w:val="a9"/>
        <w:numPr>
          <w:ilvl w:val="0"/>
          <w:numId w:val="1"/>
        </w:numPr>
        <w:spacing w:line="360" w:lineRule="auto"/>
        <w:jc w:val="both"/>
        <w:rPr>
          <w:rtl/>
        </w:rPr>
      </w:pPr>
      <w:r>
        <w:rPr>
          <w:rtl/>
        </w:rPr>
        <w:t>במקרה דנן, לא קיימים שיקולים אשר מצדיקים סטייה מהמתחם, לחומרה או לקולא.</w:t>
      </w:r>
    </w:p>
    <w:p w14:paraId="751466E1" w14:textId="77777777" w:rsidR="0028533A" w:rsidRDefault="0028533A" w:rsidP="0028533A">
      <w:pPr>
        <w:spacing w:line="360" w:lineRule="auto"/>
        <w:jc w:val="both"/>
        <w:rPr>
          <w:b/>
          <w:bCs/>
          <w:rtl/>
        </w:rPr>
      </w:pPr>
    </w:p>
    <w:p w14:paraId="2ABBCE69" w14:textId="77777777" w:rsidR="0028533A" w:rsidRDefault="0028533A" w:rsidP="0028533A">
      <w:pPr>
        <w:spacing w:line="360" w:lineRule="auto"/>
        <w:jc w:val="both"/>
        <w:rPr>
          <w:b/>
          <w:bCs/>
          <w:rtl/>
        </w:rPr>
      </w:pPr>
      <w:r w:rsidRPr="008B3598">
        <w:rPr>
          <w:b/>
          <w:bCs/>
          <w:rtl/>
        </w:rPr>
        <w:t>גזירת העונש המתאים לנאשם</w:t>
      </w:r>
    </w:p>
    <w:p w14:paraId="01EA519D" w14:textId="77777777" w:rsidR="0028533A" w:rsidRPr="008B3598" w:rsidRDefault="0028533A" w:rsidP="0028533A">
      <w:pPr>
        <w:spacing w:line="360" w:lineRule="auto"/>
        <w:jc w:val="both"/>
        <w:rPr>
          <w:b/>
          <w:bCs/>
          <w:rtl/>
        </w:rPr>
      </w:pPr>
    </w:p>
    <w:p w14:paraId="1549A1BF" w14:textId="77777777" w:rsidR="0028533A" w:rsidRDefault="0028533A" w:rsidP="0028533A">
      <w:pPr>
        <w:pStyle w:val="a9"/>
        <w:numPr>
          <w:ilvl w:val="0"/>
          <w:numId w:val="1"/>
        </w:numPr>
        <w:spacing w:line="360" w:lineRule="auto"/>
        <w:jc w:val="both"/>
      </w:pPr>
      <w:r>
        <w:rPr>
          <w:rtl/>
        </w:rPr>
        <w:t xml:space="preserve">בגזירת העונש המתאים לנאשם, בגדרי מתחם העונש ההולם, יש להתחשב בנסיבות שאינן קשורות בביצוע העבירה (סעיף </w:t>
      </w:r>
      <w:hyperlink r:id="rId27" w:history="1">
        <w:r w:rsidR="00D172D1" w:rsidRPr="00D172D1">
          <w:rPr>
            <w:rStyle w:val="Hyperlink"/>
            <w:rtl/>
          </w:rPr>
          <w:t>40 יא'</w:t>
        </w:r>
      </w:hyperlink>
      <w:r>
        <w:rPr>
          <w:rtl/>
        </w:rPr>
        <w:t>). במסגרת זו מן הראוי ליתן את הדעת לנסיבות הבאות:</w:t>
      </w:r>
      <w:r>
        <w:rPr>
          <w:rFonts w:hint="cs"/>
          <w:rtl/>
        </w:rPr>
        <w:t xml:space="preserve"> הנאשם כבן 30 אב לשני </w:t>
      </w:r>
      <w:r>
        <w:rPr>
          <w:rtl/>
        </w:rPr>
        <w:t xml:space="preserve">ילדים </w:t>
      </w:r>
      <w:r>
        <w:rPr>
          <w:rFonts w:hint="cs"/>
          <w:rtl/>
        </w:rPr>
        <w:t xml:space="preserve">בגילאי 5 ושנתיים. הבאתי בחשבון את מורכבות מצבו האישי כמתואר בתסקיר המבחן, וכן את דברי אשתו בפניי לכך כי הוא נוטל כעת חלק מרכזי בפרנסת המשפחה וגידול ילדיו. סבורני, </w:t>
      </w:r>
      <w:r>
        <w:rPr>
          <w:rtl/>
        </w:rPr>
        <w:t xml:space="preserve">כי </w:t>
      </w:r>
      <w:r>
        <w:rPr>
          <w:rFonts w:hint="cs"/>
          <w:rtl/>
        </w:rPr>
        <w:t xml:space="preserve">בנסיבות אלו הטלת </w:t>
      </w:r>
      <w:r>
        <w:rPr>
          <w:rtl/>
        </w:rPr>
        <w:t xml:space="preserve">עונש </w:t>
      </w:r>
      <w:r>
        <w:rPr>
          <w:rFonts w:hint="cs"/>
          <w:rtl/>
        </w:rPr>
        <w:t>מוחשי כפי שהומלץ, יפגע ביכולתו לשאת בחובותיו אלו, ובהיבט זה נכון יהיה להטיל רכיב ענישה אחר, אשר יאפשר את המשך תעסוקתו</w:t>
      </w:r>
      <w:r>
        <w:rPr>
          <w:rtl/>
        </w:rPr>
        <w:t xml:space="preserve">. </w:t>
      </w:r>
    </w:p>
    <w:p w14:paraId="44CEC839" w14:textId="77777777" w:rsidR="0028533A" w:rsidRDefault="0028533A" w:rsidP="0028533A">
      <w:pPr>
        <w:pStyle w:val="a9"/>
        <w:numPr>
          <w:ilvl w:val="0"/>
          <w:numId w:val="1"/>
        </w:numPr>
        <w:spacing w:line="360" w:lineRule="auto"/>
        <w:jc w:val="both"/>
        <w:rPr>
          <w:rtl/>
        </w:rPr>
      </w:pPr>
      <w:r>
        <w:rPr>
          <w:rFonts w:hint="cs"/>
          <w:rtl/>
        </w:rPr>
        <w:t>הנאשם נטל אחריות על מעשיו והביע צער על מעורבותו בהן. כפי שמסר הסנגור סכום הגניבה הושב במלואו למתלונן. הנאשם נעדר עבר פלילי ומאז ביצוען של העבירות חלפו למעלה מארבע שנים.</w:t>
      </w:r>
      <w:r>
        <w:rPr>
          <w:rtl/>
        </w:rPr>
        <w:t xml:space="preserve">    </w:t>
      </w:r>
    </w:p>
    <w:p w14:paraId="4BE40727" w14:textId="77777777" w:rsidR="0028533A" w:rsidRDefault="0028533A" w:rsidP="0028533A">
      <w:pPr>
        <w:pStyle w:val="a9"/>
        <w:numPr>
          <w:ilvl w:val="0"/>
          <w:numId w:val="1"/>
        </w:numPr>
        <w:spacing w:line="360" w:lineRule="auto"/>
        <w:jc w:val="both"/>
        <w:rPr>
          <w:rtl/>
        </w:rPr>
      </w:pPr>
      <w:r>
        <w:rPr>
          <w:rtl/>
        </w:rPr>
        <w:t xml:space="preserve">באיזון בין השיקולים השונים, סבורני כי יש לגזור על הנאשם </w:t>
      </w:r>
      <w:r>
        <w:rPr>
          <w:rFonts w:hint="cs"/>
          <w:rtl/>
        </w:rPr>
        <w:t xml:space="preserve">במקרה זה </w:t>
      </w:r>
      <w:r>
        <w:rPr>
          <w:rtl/>
        </w:rPr>
        <w:t>עונש של צו של"צ</w:t>
      </w:r>
      <w:r>
        <w:rPr>
          <w:rFonts w:hint="cs"/>
          <w:rtl/>
        </w:rPr>
        <w:t xml:space="preserve"> בהיקף נרחב לצד ענישה נלווית כפי שיפורט להלן. </w:t>
      </w:r>
      <w:r>
        <w:rPr>
          <w:rtl/>
        </w:rPr>
        <w:t xml:space="preserve"> </w:t>
      </w:r>
      <w:r>
        <w:rPr>
          <w:rFonts w:hint="cs"/>
          <w:rtl/>
        </w:rPr>
        <w:t xml:space="preserve"> </w:t>
      </w:r>
    </w:p>
    <w:p w14:paraId="05F331D9" w14:textId="77777777" w:rsidR="0028533A" w:rsidRDefault="0028533A" w:rsidP="0028533A">
      <w:pPr>
        <w:spacing w:line="360" w:lineRule="auto"/>
        <w:jc w:val="both"/>
        <w:rPr>
          <w:rtl/>
        </w:rPr>
      </w:pPr>
      <w:r>
        <w:rPr>
          <w:rFonts w:hint="cs"/>
          <w:rtl/>
        </w:rPr>
        <w:t xml:space="preserve"> </w:t>
      </w:r>
    </w:p>
    <w:p w14:paraId="5DCBFAAB" w14:textId="77777777" w:rsidR="0028533A" w:rsidRDefault="0028533A" w:rsidP="0028533A">
      <w:pPr>
        <w:spacing w:line="360" w:lineRule="auto"/>
        <w:jc w:val="both"/>
        <w:rPr>
          <w:b/>
          <w:bCs/>
          <w:u w:val="single"/>
          <w:rtl/>
        </w:rPr>
      </w:pPr>
    </w:p>
    <w:p w14:paraId="755C4BBB" w14:textId="77777777" w:rsidR="0028533A" w:rsidRDefault="0028533A" w:rsidP="0028533A">
      <w:pPr>
        <w:spacing w:line="360" w:lineRule="auto"/>
        <w:jc w:val="both"/>
        <w:rPr>
          <w:b/>
          <w:bCs/>
          <w:u w:val="single"/>
          <w:rtl/>
        </w:rPr>
      </w:pPr>
    </w:p>
    <w:p w14:paraId="70D24E6D" w14:textId="77777777" w:rsidR="0028533A" w:rsidRDefault="0028533A" w:rsidP="0028533A">
      <w:pPr>
        <w:spacing w:line="360" w:lineRule="auto"/>
        <w:jc w:val="both"/>
        <w:rPr>
          <w:b/>
          <w:bCs/>
          <w:u w:val="single"/>
          <w:rtl/>
        </w:rPr>
      </w:pPr>
    </w:p>
    <w:p w14:paraId="4F17916D" w14:textId="77777777" w:rsidR="0028533A" w:rsidRDefault="0028533A" w:rsidP="0028533A">
      <w:pPr>
        <w:spacing w:line="360" w:lineRule="auto"/>
        <w:jc w:val="both"/>
        <w:rPr>
          <w:b/>
          <w:bCs/>
          <w:u w:val="single"/>
          <w:rtl/>
        </w:rPr>
      </w:pPr>
    </w:p>
    <w:p w14:paraId="5632D6BE" w14:textId="77777777" w:rsidR="0028533A" w:rsidRPr="00BB1B52" w:rsidRDefault="0028533A" w:rsidP="0028533A">
      <w:pPr>
        <w:spacing w:line="360" w:lineRule="auto"/>
        <w:jc w:val="both"/>
        <w:rPr>
          <w:b/>
          <w:bCs/>
          <w:rtl/>
        </w:rPr>
      </w:pPr>
      <w:r w:rsidRPr="00BB1B52">
        <w:rPr>
          <w:b/>
          <w:bCs/>
          <w:u w:val="single"/>
          <w:rtl/>
        </w:rPr>
        <w:t>אשר על-כן, הנני גוזר על הנאשם את העונשים הבאים</w:t>
      </w:r>
      <w:r w:rsidRPr="00BB1B52">
        <w:rPr>
          <w:b/>
          <w:bCs/>
          <w:rtl/>
        </w:rPr>
        <w:t>:</w:t>
      </w:r>
    </w:p>
    <w:p w14:paraId="7765102F" w14:textId="77777777" w:rsidR="0028533A" w:rsidRDefault="0028533A" w:rsidP="0028533A">
      <w:pPr>
        <w:spacing w:line="360" w:lineRule="auto"/>
        <w:jc w:val="both"/>
        <w:rPr>
          <w:rtl/>
        </w:rPr>
      </w:pPr>
    </w:p>
    <w:p w14:paraId="7B2AE11E" w14:textId="77777777" w:rsidR="0028533A" w:rsidRDefault="0028533A" w:rsidP="0028533A">
      <w:pPr>
        <w:pStyle w:val="a9"/>
        <w:numPr>
          <w:ilvl w:val="0"/>
          <w:numId w:val="2"/>
        </w:numPr>
        <w:spacing w:line="360" w:lineRule="auto"/>
        <w:jc w:val="both"/>
        <w:rPr>
          <w:rtl/>
        </w:rPr>
      </w:pPr>
      <w:r>
        <w:rPr>
          <w:rtl/>
        </w:rPr>
        <w:t>של"צ בהיקף של</w:t>
      </w:r>
      <w:r>
        <w:rPr>
          <w:rFonts w:hint="cs"/>
          <w:rtl/>
        </w:rPr>
        <w:t xml:space="preserve"> 300 </w:t>
      </w:r>
      <w:r>
        <w:rPr>
          <w:rtl/>
        </w:rPr>
        <w:t>שעות על פי התוכנית ש</w:t>
      </w:r>
      <w:r>
        <w:rPr>
          <w:rFonts w:hint="cs"/>
          <w:rtl/>
        </w:rPr>
        <w:t>יג</w:t>
      </w:r>
      <w:r>
        <w:rPr>
          <w:rtl/>
        </w:rPr>
        <w:t>בש שירות המבחן</w:t>
      </w:r>
      <w:r>
        <w:rPr>
          <w:rFonts w:hint="cs"/>
          <w:rtl/>
        </w:rPr>
        <w:t xml:space="preserve"> בתוך 60 יום</w:t>
      </w:r>
      <w:r>
        <w:rPr>
          <w:rtl/>
        </w:rPr>
        <w:t>.</w:t>
      </w:r>
      <w:r>
        <w:rPr>
          <w:rFonts w:hint="cs"/>
          <w:rtl/>
        </w:rPr>
        <w:t xml:space="preserve"> </w:t>
      </w:r>
      <w:r>
        <w:rPr>
          <w:rtl/>
        </w:rPr>
        <w:t>הנאשם מוזהר כי אם לא יבצע את השל"צ כנדרש, ניתן יהיה להפקיעו, ולשוב ולגזור את דינו.</w:t>
      </w:r>
    </w:p>
    <w:p w14:paraId="370B3A74" w14:textId="77777777" w:rsidR="0028533A" w:rsidRDefault="0028533A" w:rsidP="0028533A">
      <w:pPr>
        <w:pStyle w:val="a9"/>
        <w:numPr>
          <w:ilvl w:val="0"/>
          <w:numId w:val="2"/>
        </w:numPr>
        <w:spacing w:line="360" w:lineRule="auto"/>
        <w:jc w:val="both"/>
      </w:pPr>
      <w:r>
        <w:rPr>
          <w:rFonts w:hint="cs"/>
          <w:rtl/>
        </w:rPr>
        <w:t xml:space="preserve">ארבעה </w:t>
      </w:r>
      <w:r>
        <w:rPr>
          <w:rtl/>
        </w:rPr>
        <w:t xml:space="preserve">חודשי מאסר על תנאי, </w:t>
      </w:r>
      <w:r>
        <w:rPr>
          <w:rFonts w:hint="cs"/>
          <w:rtl/>
        </w:rPr>
        <w:t xml:space="preserve">שלא </w:t>
      </w:r>
      <w:r>
        <w:rPr>
          <w:rtl/>
        </w:rPr>
        <w:t>יעבור הנאשם במשך שלוש שנים מהיום על עבירה ב</w:t>
      </w:r>
      <w:r>
        <w:rPr>
          <w:rFonts w:hint="cs"/>
          <w:rtl/>
        </w:rPr>
        <w:t xml:space="preserve">ניגוד </w:t>
      </w:r>
      <w:hyperlink r:id="rId28" w:history="1">
        <w:r w:rsidR="00D172D1" w:rsidRPr="00D172D1">
          <w:rPr>
            <w:rStyle w:val="Hyperlink"/>
            <w:rFonts w:hint="eastAsia"/>
            <w:rtl/>
          </w:rPr>
          <w:t>לסעיף</w:t>
        </w:r>
        <w:r w:rsidR="00D172D1" w:rsidRPr="00D172D1">
          <w:rPr>
            <w:rStyle w:val="Hyperlink"/>
            <w:rtl/>
          </w:rPr>
          <w:t xml:space="preserve"> 391</w:t>
        </w:r>
      </w:hyperlink>
      <w:r>
        <w:rPr>
          <w:rFonts w:hint="cs"/>
          <w:rtl/>
        </w:rPr>
        <w:t xml:space="preserve"> ל</w:t>
      </w:r>
      <w:hyperlink r:id="rId29" w:history="1">
        <w:r w:rsidR="003C2B18" w:rsidRPr="003C2B18">
          <w:rPr>
            <w:color w:val="0000FF"/>
            <w:u w:val="single"/>
            <w:rtl/>
          </w:rPr>
          <w:t>חוק העונשין</w:t>
        </w:r>
      </w:hyperlink>
      <w:r>
        <w:rPr>
          <w:rFonts w:hint="cs"/>
          <w:rtl/>
        </w:rPr>
        <w:t>.</w:t>
      </w:r>
    </w:p>
    <w:p w14:paraId="44CE460A" w14:textId="77777777" w:rsidR="0028533A" w:rsidRDefault="0028533A" w:rsidP="0028533A">
      <w:pPr>
        <w:pStyle w:val="a9"/>
        <w:numPr>
          <w:ilvl w:val="0"/>
          <w:numId w:val="2"/>
        </w:numPr>
        <w:spacing w:line="360" w:lineRule="auto"/>
        <w:jc w:val="both"/>
        <w:rPr>
          <w:rtl/>
        </w:rPr>
      </w:pPr>
      <w:r>
        <w:rPr>
          <w:rFonts w:hint="cs"/>
          <w:rtl/>
        </w:rPr>
        <w:t>שני חודשי מאסר על תנאי, שלא יעבור הנאשם במשך שנתיים עבירה בניגוד ל</w:t>
      </w:r>
      <w:hyperlink r:id="rId30" w:history="1">
        <w:r w:rsidR="003C2B18" w:rsidRPr="003C2B18">
          <w:rPr>
            <w:color w:val="0000FF"/>
            <w:u w:val="single"/>
            <w:rtl/>
          </w:rPr>
          <w:t>פקודת הסמים המסוכנים</w:t>
        </w:r>
      </w:hyperlink>
      <w:r>
        <w:rPr>
          <w:rFonts w:hint="cs"/>
          <w:rtl/>
        </w:rPr>
        <w:t>.</w:t>
      </w:r>
    </w:p>
    <w:p w14:paraId="3861B591" w14:textId="77777777" w:rsidR="0028533A" w:rsidRDefault="0028533A" w:rsidP="0028533A">
      <w:pPr>
        <w:pStyle w:val="a9"/>
        <w:numPr>
          <w:ilvl w:val="0"/>
          <w:numId w:val="2"/>
        </w:numPr>
        <w:spacing w:line="360" w:lineRule="auto"/>
        <w:jc w:val="both"/>
        <w:rPr>
          <w:rtl/>
        </w:rPr>
      </w:pPr>
      <w:r>
        <w:rPr>
          <w:rtl/>
        </w:rPr>
        <w:t xml:space="preserve">קנס כספי בסך של </w:t>
      </w:r>
      <w:r>
        <w:rPr>
          <w:rFonts w:hint="cs"/>
          <w:rtl/>
        </w:rPr>
        <w:t xml:space="preserve">2000 </w:t>
      </w:r>
      <w:r>
        <w:rPr>
          <w:rtl/>
        </w:rPr>
        <w:t>₪ או</w:t>
      </w:r>
      <w:r>
        <w:rPr>
          <w:rFonts w:hint="cs"/>
          <w:rtl/>
        </w:rPr>
        <w:t xml:space="preserve"> 20 </w:t>
      </w:r>
      <w:r>
        <w:rPr>
          <w:rtl/>
        </w:rPr>
        <w:t xml:space="preserve">ימי מאסר תמורתו. הקנס ישולם ב- </w:t>
      </w:r>
      <w:r>
        <w:rPr>
          <w:rFonts w:hint="cs"/>
          <w:rtl/>
        </w:rPr>
        <w:t>5</w:t>
      </w:r>
      <w:r>
        <w:rPr>
          <w:rtl/>
        </w:rPr>
        <w:t xml:space="preserve"> תשלומים חודשיים שווים ורצופים, שהראשון שבהם ביום</w:t>
      </w:r>
      <w:r>
        <w:rPr>
          <w:rFonts w:hint="cs"/>
          <w:rtl/>
        </w:rPr>
        <w:t xml:space="preserve"> 2.8.2020</w:t>
      </w:r>
      <w:r>
        <w:rPr>
          <w:rtl/>
        </w:rPr>
        <w:t>. לא ישולם תשלום כלשהו במועדו, תעמוד היתרה לפירעון מיידי.</w:t>
      </w:r>
    </w:p>
    <w:p w14:paraId="177F3D8A" w14:textId="77777777" w:rsidR="0028533A" w:rsidRPr="00BB1B52" w:rsidRDefault="0028533A" w:rsidP="0028533A">
      <w:pPr>
        <w:pStyle w:val="a9"/>
        <w:numPr>
          <w:ilvl w:val="0"/>
          <w:numId w:val="2"/>
        </w:numPr>
        <w:spacing w:line="360" w:lineRule="auto"/>
        <w:jc w:val="both"/>
        <w:rPr>
          <w:rtl/>
        </w:rPr>
      </w:pPr>
      <w:r w:rsidRPr="00BB1B52">
        <w:rPr>
          <w:rFonts w:hint="cs"/>
          <w:rtl/>
        </w:rPr>
        <w:t xml:space="preserve">נוכח העובדה כי הנאשם </w:t>
      </w:r>
      <w:r>
        <w:rPr>
          <w:rFonts w:hint="cs"/>
          <w:rtl/>
        </w:rPr>
        <w:t>השיב ל</w:t>
      </w:r>
      <w:r w:rsidRPr="00BB1B52">
        <w:rPr>
          <w:rFonts w:hint="cs"/>
          <w:rtl/>
        </w:rPr>
        <w:t xml:space="preserve">מתלונן </w:t>
      </w:r>
      <w:r>
        <w:rPr>
          <w:rFonts w:hint="cs"/>
          <w:rtl/>
        </w:rPr>
        <w:t xml:space="preserve">את </w:t>
      </w:r>
      <w:r w:rsidRPr="00BB1B52">
        <w:rPr>
          <w:rFonts w:hint="cs"/>
          <w:rtl/>
        </w:rPr>
        <w:t xml:space="preserve">סכום הגניבה אמנע מהטלת </w:t>
      </w:r>
      <w:r>
        <w:rPr>
          <w:rFonts w:hint="cs"/>
          <w:rtl/>
        </w:rPr>
        <w:t>פיצוי.</w:t>
      </w:r>
    </w:p>
    <w:p w14:paraId="0768A403" w14:textId="77777777" w:rsidR="0028533A" w:rsidRDefault="0028533A" w:rsidP="0028533A">
      <w:pPr>
        <w:spacing w:line="360" w:lineRule="auto"/>
        <w:jc w:val="both"/>
        <w:rPr>
          <w:b/>
          <w:bCs/>
          <w:rtl/>
        </w:rPr>
      </w:pPr>
    </w:p>
    <w:p w14:paraId="5468C880" w14:textId="77777777" w:rsidR="0028533A" w:rsidRPr="008B3598" w:rsidRDefault="0028533A" w:rsidP="0028533A">
      <w:pPr>
        <w:spacing w:line="360" w:lineRule="auto"/>
        <w:jc w:val="both"/>
        <w:rPr>
          <w:b/>
          <w:bCs/>
          <w:rtl/>
        </w:rPr>
      </w:pPr>
      <w:r w:rsidRPr="008B3598">
        <w:rPr>
          <w:rFonts w:hint="cs"/>
          <w:b/>
          <w:bCs/>
          <w:rtl/>
        </w:rPr>
        <w:t>ז</w:t>
      </w:r>
      <w:r w:rsidRPr="008B3598">
        <w:rPr>
          <w:b/>
          <w:bCs/>
          <w:rtl/>
        </w:rPr>
        <w:t>כות ערעור לבית-המשפט המחוזי תוך 45 ימים.</w:t>
      </w:r>
    </w:p>
    <w:p w14:paraId="52E0C64B" w14:textId="77777777" w:rsidR="0028533A" w:rsidRPr="003C2B18" w:rsidRDefault="003C2B18" w:rsidP="0028533A">
      <w:pPr>
        <w:spacing w:line="360" w:lineRule="auto"/>
        <w:jc w:val="both"/>
        <w:rPr>
          <w:color w:val="FFFFFF"/>
          <w:sz w:val="2"/>
          <w:szCs w:val="2"/>
          <w:rtl/>
        </w:rPr>
      </w:pPr>
      <w:r w:rsidRPr="003C2B18">
        <w:rPr>
          <w:color w:val="FFFFFF"/>
          <w:sz w:val="2"/>
          <w:szCs w:val="2"/>
          <w:rtl/>
        </w:rPr>
        <w:t>5129371</w:t>
      </w:r>
      <w:r w:rsidR="0028533A" w:rsidRPr="003C2B18">
        <w:rPr>
          <w:rFonts w:hint="cs"/>
          <w:color w:val="FFFFFF"/>
          <w:sz w:val="2"/>
          <w:szCs w:val="2"/>
          <w:rtl/>
        </w:rPr>
        <w:t xml:space="preserve">             </w:t>
      </w:r>
    </w:p>
    <w:p w14:paraId="14240563" w14:textId="77777777" w:rsidR="0028533A" w:rsidRDefault="003C2B18" w:rsidP="0028533A">
      <w:pPr>
        <w:spacing w:line="360" w:lineRule="auto"/>
        <w:rPr>
          <w:rFonts w:cs="FrankRuehl"/>
          <w:sz w:val="28"/>
          <w:szCs w:val="28"/>
          <w:rtl/>
        </w:rPr>
      </w:pPr>
      <w:bookmarkStart w:id="7" w:name="Nitan"/>
      <w:r w:rsidRPr="003C2B18">
        <w:rPr>
          <w:rFonts w:ascii="Arial" w:hAnsi="Arial"/>
          <w:color w:val="FFFFFF"/>
          <w:sz w:val="2"/>
          <w:szCs w:val="2"/>
          <w:rtl/>
        </w:rPr>
        <w:t>54678313</w:t>
      </w:r>
      <w:r>
        <w:rPr>
          <w:rFonts w:ascii="Arial" w:hAnsi="Arial"/>
          <w:rtl/>
        </w:rPr>
        <w:t xml:space="preserve">ניתן היום,  י"ב אייר תש"פ, 06 מאי 2020, בנוכחות המאשימה הנאשם ובא כוחו. </w:t>
      </w:r>
      <w:bookmarkEnd w:id="7"/>
    </w:p>
    <w:p w14:paraId="44EF6E26" w14:textId="77777777" w:rsidR="0028533A" w:rsidRDefault="0028533A" w:rsidP="003C2B18">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06170B6" w14:textId="77777777" w:rsidR="0028533A" w:rsidRDefault="0028533A" w:rsidP="0028533A">
      <w:pPr>
        <w:spacing w:line="360" w:lineRule="auto"/>
        <w:jc w:val="center"/>
        <w:rPr>
          <w:rFonts w:ascii="Arial" w:hAnsi="Arial" w:cs="FrankRuehl"/>
          <w:sz w:val="28"/>
          <w:szCs w:val="28"/>
          <w:rtl/>
        </w:rPr>
      </w:pPr>
    </w:p>
    <w:p w14:paraId="252DC5D8" w14:textId="77777777" w:rsidR="0028533A" w:rsidRDefault="0028533A" w:rsidP="0028533A">
      <w:pPr>
        <w:spacing w:line="360" w:lineRule="auto"/>
        <w:rPr>
          <w:rFonts w:cs="FrankRuehl"/>
          <w:sz w:val="28"/>
          <w:szCs w:val="28"/>
          <w:rtl/>
        </w:rPr>
      </w:pPr>
    </w:p>
    <w:p w14:paraId="680BAD22" w14:textId="77777777" w:rsidR="0028533A" w:rsidRDefault="0028533A" w:rsidP="0028533A">
      <w:pPr>
        <w:pStyle w:val="a3"/>
        <w:jc w:val="center"/>
        <w:rPr>
          <w:rtl/>
        </w:rPr>
      </w:pPr>
    </w:p>
    <w:p w14:paraId="22FDDE00" w14:textId="77777777" w:rsidR="00060070" w:rsidRPr="003C2B18" w:rsidRDefault="00060070" w:rsidP="003C2B18">
      <w:pPr>
        <w:keepNext/>
        <w:rPr>
          <w:rFonts w:ascii="David" w:hAnsi="David"/>
          <w:color w:val="000000"/>
          <w:sz w:val="22"/>
          <w:szCs w:val="22"/>
          <w:rtl/>
        </w:rPr>
      </w:pPr>
    </w:p>
    <w:p w14:paraId="003A6804" w14:textId="77777777" w:rsidR="003C2B18" w:rsidRPr="003C2B18" w:rsidRDefault="003C2B18" w:rsidP="003C2B18">
      <w:pPr>
        <w:keepNext/>
        <w:rPr>
          <w:rFonts w:ascii="David" w:hAnsi="David"/>
          <w:color w:val="000000"/>
          <w:sz w:val="22"/>
          <w:szCs w:val="22"/>
          <w:rtl/>
        </w:rPr>
      </w:pPr>
      <w:r w:rsidRPr="003C2B18">
        <w:rPr>
          <w:rFonts w:ascii="David" w:hAnsi="David"/>
          <w:color w:val="000000"/>
          <w:sz w:val="22"/>
          <w:szCs w:val="22"/>
          <w:rtl/>
        </w:rPr>
        <w:t>ארנון איתן 54678313</w:t>
      </w:r>
    </w:p>
    <w:p w14:paraId="5BB515E7" w14:textId="77777777" w:rsidR="003C2B18" w:rsidRDefault="003C2B18" w:rsidP="003C2B18">
      <w:r w:rsidRPr="003C2B18">
        <w:rPr>
          <w:color w:val="000000"/>
          <w:rtl/>
        </w:rPr>
        <w:t>נוסח מסמך זה כפוף לשינויי ניסוח ועריכה</w:t>
      </w:r>
    </w:p>
    <w:p w14:paraId="4D161E74" w14:textId="77777777" w:rsidR="003C2B18" w:rsidRDefault="003C2B18" w:rsidP="003C2B18">
      <w:pPr>
        <w:rPr>
          <w:rtl/>
        </w:rPr>
      </w:pPr>
    </w:p>
    <w:p w14:paraId="649B20B4" w14:textId="77777777" w:rsidR="003C2B18" w:rsidRDefault="003C2B18" w:rsidP="003C2B18">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2E428E0E" w14:textId="77777777" w:rsidR="003C2B18" w:rsidRPr="003C2B18" w:rsidRDefault="003C2B18" w:rsidP="003C2B18">
      <w:pPr>
        <w:jc w:val="center"/>
        <w:rPr>
          <w:color w:val="0000FF"/>
          <w:u w:val="single"/>
        </w:rPr>
      </w:pPr>
    </w:p>
    <w:sectPr w:rsidR="003C2B18" w:rsidRPr="003C2B18" w:rsidSect="003C2B18">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C0762" w14:textId="77777777" w:rsidR="00566AD2" w:rsidRDefault="00566AD2" w:rsidP="00364393">
      <w:r>
        <w:separator/>
      </w:r>
    </w:p>
  </w:endnote>
  <w:endnote w:type="continuationSeparator" w:id="0">
    <w:p w14:paraId="0A32C67B" w14:textId="77777777" w:rsidR="00566AD2" w:rsidRDefault="00566AD2" w:rsidP="00364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96CBF" w14:textId="77777777" w:rsidR="003C2B18" w:rsidRDefault="003C2B18" w:rsidP="003C2B1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3DAE42" w14:textId="77777777" w:rsidR="0093168E" w:rsidRPr="003C2B18" w:rsidRDefault="003C2B18" w:rsidP="003C2B1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53194" w14:textId="77777777" w:rsidR="003C2B18" w:rsidRDefault="003C2B18" w:rsidP="003C2B1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25AEB">
      <w:rPr>
        <w:rFonts w:ascii="FrankRuehl" w:hAnsi="FrankRuehl" w:cs="FrankRuehl"/>
        <w:noProof/>
        <w:rtl/>
      </w:rPr>
      <w:t>1</w:t>
    </w:r>
    <w:r>
      <w:rPr>
        <w:rFonts w:ascii="FrankRuehl" w:hAnsi="FrankRuehl" w:cs="FrankRuehl"/>
        <w:rtl/>
      </w:rPr>
      <w:fldChar w:fldCharType="end"/>
    </w:r>
  </w:p>
  <w:p w14:paraId="630BF2E0" w14:textId="77777777" w:rsidR="0093168E" w:rsidRPr="003C2B18" w:rsidRDefault="003C2B18" w:rsidP="003C2B1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5F77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0AA0F" w14:textId="77777777" w:rsidR="00566AD2" w:rsidRDefault="00566AD2" w:rsidP="00364393">
      <w:r>
        <w:separator/>
      </w:r>
    </w:p>
  </w:footnote>
  <w:footnote w:type="continuationSeparator" w:id="0">
    <w:p w14:paraId="72BE4CF7" w14:textId="77777777" w:rsidR="00566AD2" w:rsidRDefault="00566AD2" w:rsidP="00364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F24E2" w14:textId="77777777" w:rsidR="003C2B18" w:rsidRPr="003C2B18" w:rsidRDefault="003C2B18" w:rsidP="003C2B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11512-04-17</w:t>
    </w:r>
    <w:r>
      <w:rPr>
        <w:rFonts w:ascii="David" w:hAnsi="David"/>
        <w:color w:val="000000"/>
        <w:sz w:val="22"/>
        <w:szCs w:val="22"/>
        <w:rtl/>
      </w:rPr>
      <w:tab/>
      <w:t xml:space="preserve"> מדינת ישראל נ' יונתן אלברגיני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1A709" w14:textId="77777777" w:rsidR="003C2B18" w:rsidRPr="003C2B18" w:rsidRDefault="003C2B18" w:rsidP="003C2B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11512-04-17</w:t>
    </w:r>
    <w:r>
      <w:rPr>
        <w:rFonts w:ascii="David" w:hAnsi="David"/>
        <w:color w:val="000000"/>
        <w:sz w:val="22"/>
        <w:szCs w:val="22"/>
        <w:rtl/>
      </w:rPr>
      <w:tab/>
      <w:t xml:space="preserve"> מדינת ישראל נ' יונתן אלברגיני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16BBE"/>
    <w:multiLevelType w:val="hybridMultilevel"/>
    <w:tmpl w:val="66589C70"/>
    <w:lvl w:ilvl="0" w:tplc="1FD0CB18">
      <w:start w:val="1"/>
      <w:numFmt w:val="hebrew1"/>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E2A49"/>
    <w:multiLevelType w:val="hybridMultilevel"/>
    <w:tmpl w:val="0BFC2588"/>
    <w:lvl w:ilvl="0" w:tplc="38044A28">
      <w:start w:val="1"/>
      <w:numFmt w:val="decimal"/>
      <w:lvlText w:val="%1."/>
      <w:lvlJc w:val="left"/>
      <w:pPr>
        <w:ind w:left="720" w:hanging="360"/>
      </w:pPr>
      <w:rPr>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31806">
    <w:abstractNumId w:val="1"/>
  </w:num>
  <w:num w:numId="2" w16cid:durableId="1071200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533A"/>
    <w:rsid w:val="00060070"/>
    <w:rsid w:val="000C0D9D"/>
    <w:rsid w:val="0028533A"/>
    <w:rsid w:val="00364393"/>
    <w:rsid w:val="003C2B18"/>
    <w:rsid w:val="00507D07"/>
    <w:rsid w:val="00566AD2"/>
    <w:rsid w:val="0070383A"/>
    <w:rsid w:val="008B5759"/>
    <w:rsid w:val="0093168E"/>
    <w:rsid w:val="009C6C8F"/>
    <w:rsid w:val="00B45C24"/>
    <w:rsid w:val="00B638FB"/>
    <w:rsid w:val="00C501AB"/>
    <w:rsid w:val="00D172D1"/>
    <w:rsid w:val="00D507DA"/>
    <w:rsid w:val="00F25A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CE0A12"/>
  <w15:chartTrackingRefBased/>
  <w15:docId w15:val="{830D50E9-C25E-42C2-9018-8682F367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533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533A"/>
    <w:pPr>
      <w:tabs>
        <w:tab w:val="center" w:pos="4153"/>
        <w:tab w:val="right" w:pos="8306"/>
      </w:tabs>
    </w:pPr>
  </w:style>
  <w:style w:type="character" w:customStyle="1" w:styleId="a4">
    <w:name w:val="כותרת עליונה תו"/>
    <w:link w:val="a3"/>
    <w:rsid w:val="0028533A"/>
    <w:rPr>
      <w:rFonts w:ascii="Times New Roman" w:eastAsia="Times New Roman" w:hAnsi="Times New Roman" w:cs="David"/>
      <w:sz w:val="24"/>
      <w:szCs w:val="24"/>
    </w:rPr>
  </w:style>
  <w:style w:type="paragraph" w:styleId="a5">
    <w:name w:val="footer"/>
    <w:basedOn w:val="a"/>
    <w:link w:val="a6"/>
    <w:rsid w:val="0028533A"/>
    <w:pPr>
      <w:tabs>
        <w:tab w:val="center" w:pos="4153"/>
        <w:tab w:val="right" w:pos="8306"/>
      </w:tabs>
    </w:pPr>
  </w:style>
  <w:style w:type="character" w:customStyle="1" w:styleId="a6">
    <w:name w:val="כותרת תחתונה תו"/>
    <w:link w:val="a5"/>
    <w:rsid w:val="0028533A"/>
    <w:rPr>
      <w:rFonts w:ascii="Times New Roman" w:eastAsia="Times New Roman" w:hAnsi="Times New Roman" w:cs="David"/>
      <w:sz w:val="24"/>
      <w:szCs w:val="24"/>
    </w:rPr>
  </w:style>
  <w:style w:type="table" w:styleId="a7">
    <w:name w:val="Table Grid"/>
    <w:basedOn w:val="a1"/>
    <w:rsid w:val="0028533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8533A"/>
  </w:style>
  <w:style w:type="paragraph" w:styleId="a9">
    <w:name w:val="List Paragraph"/>
    <w:basedOn w:val="a"/>
    <w:qFormat/>
    <w:rsid w:val="0028533A"/>
    <w:pPr>
      <w:ind w:left="720"/>
      <w:contextualSpacing/>
    </w:pPr>
  </w:style>
  <w:style w:type="character" w:styleId="Hyperlink">
    <w:name w:val="Hyperlink"/>
    <w:rsid w:val="003C2B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17943750" TargetMode="External"/><Relationship Id="rId26" Type="http://schemas.openxmlformats.org/officeDocument/2006/relationships/hyperlink" Target="http://www.nevo.co.il/case/5597762" TargetMode="External"/><Relationship Id="rId21" Type="http://schemas.openxmlformats.org/officeDocument/2006/relationships/hyperlink" Target="http://www.nevo.co.il/case/5611948" TargetMode="External"/><Relationship Id="rId34" Type="http://schemas.openxmlformats.org/officeDocument/2006/relationships/footer" Target="footer1.xml"/><Relationship Id="rId7" Type="http://schemas.openxmlformats.org/officeDocument/2006/relationships/hyperlink" Target="http://www.nevo.co.il/case/22519396%09"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1765906"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20516625"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5101462"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4342796" TargetMode="External"/><Relationship Id="rId28" Type="http://schemas.openxmlformats.org/officeDocument/2006/relationships/hyperlink" Target="http://www.nevo.co.il/law/70301/391" TargetMode="External"/><Relationship Id="rId36" Type="http://schemas.openxmlformats.org/officeDocument/2006/relationships/fontTable" Target="fontTable.xml"/><Relationship Id="rId10" Type="http://schemas.openxmlformats.org/officeDocument/2006/relationships/hyperlink" Target="http://www.nevo.co.il/law/70301/40ja" TargetMode="External"/><Relationship Id="rId19" Type="http://schemas.openxmlformats.org/officeDocument/2006/relationships/hyperlink" Target="http://www.nevo.co.il/case/5810781"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391" TargetMode="External"/><Relationship Id="rId14" Type="http://schemas.openxmlformats.org/officeDocument/2006/relationships/hyperlink" Target="http://www.nevo.co.il/law/70301/391" TargetMode="External"/><Relationship Id="rId22" Type="http://schemas.openxmlformats.org/officeDocument/2006/relationships/hyperlink" Target="http://www.nevo.co.il/case/5608134" TargetMode="External"/><Relationship Id="rId27" Type="http://schemas.openxmlformats.org/officeDocument/2006/relationships/hyperlink" Target="http://www.nevo.co.il/law/70301/40ja"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2167</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12980</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7995492</vt:i4>
      </vt:variant>
      <vt:variant>
        <vt:i4>66</vt:i4>
      </vt:variant>
      <vt:variant>
        <vt:i4>0</vt:i4>
      </vt:variant>
      <vt:variant>
        <vt:i4>5</vt:i4>
      </vt:variant>
      <vt:variant>
        <vt:lpwstr>http://www.nevo.co.il/law/70301</vt:lpwstr>
      </vt:variant>
      <vt:variant>
        <vt:lpwstr/>
      </vt:variant>
      <vt:variant>
        <vt:i4>7077990</vt:i4>
      </vt:variant>
      <vt:variant>
        <vt:i4>63</vt:i4>
      </vt:variant>
      <vt:variant>
        <vt:i4>0</vt:i4>
      </vt:variant>
      <vt:variant>
        <vt:i4>5</vt:i4>
      </vt:variant>
      <vt:variant>
        <vt:lpwstr>http://www.nevo.co.il/law/70301/391</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3735664</vt:i4>
      </vt:variant>
      <vt:variant>
        <vt:i4>57</vt:i4>
      </vt:variant>
      <vt:variant>
        <vt:i4>0</vt:i4>
      </vt:variant>
      <vt:variant>
        <vt:i4>5</vt:i4>
      </vt:variant>
      <vt:variant>
        <vt:lpwstr>http://www.nevo.co.il/case/5597762</vt:lpwstr>
      </vt:variant>
      <vt:variant>
        <vt:lpwstr/>
      </vt:variant>
      <vt:variant>
        <vt:i4>3145850</vt:i4>
      </vt:variant>
      <vt:variant>
        <vt:i4>54</vt:i4>
      </vt:variant>
      <vt:variant>
        <vt:i4>0</vt:i4>
      </vt:variant>
      <vt:variant>
        <vt:i4>5</vt:i4>
      </vt:variant>
      <vt:variant>
        <vt:lpwstr>http://www.nevo.co.il/case/21765906</vt:lpwstr>
      </vt:variant>
      <vt:variant>
        <vt:lpwstr/>
      </vt:variant>
      <vt:variant>
        <vt:i4>3407989</vt:i4>
      </vt:variant>
      <vt:variant>
        <vt:i4>51</vt:i4>
      </vt:variant>
      <vt:variant>
        <vt:i4>0</vt:i4>
      </vt:variant>
      <vt:variant>
        <vt:i4>5</vt:i4>
      </vt:variant>
      <vt:variant>
        <vt:lpwstr>http://www.nevo.co.il/case/25101462</vt:lpwstr>
      </vt:variant>
      <vt:variant>
        <vt:lpwstr/>
      </vt:variant>
      <vt:variant>
        <vt:i4>3211388</vt:i4>
      </vt:variant>
      <vt:variant>
        <vt:i4>48</vt:i4>
      </vt:variant>
      <vt:variant>
        <vt:i4>0</vt:i4>
      </vt:variant>
      <vt:variant>
        <vt:i4>5</vt:i4>
      </vt:variant>
      <vt:variant>
        <vt:lpwstr>http://www.nevo.co.il/case/4342796</vt:lpwstr>
      </vt:variant>
      <vt:variant>
        <vt:lpwstr/>
      </vt:variant>
      <vt:variant>
        <vt:i4>3145849</vt:i4>
      </vt:variant>
      <vt:variant>
        <vt:i4>45</vt:i4>
      </vt:variant>
      <vt:variant>
        <vt:i4>0</vt:i4>
      </vt:variant>
      <vt:variant>
        <vt:i4>5</vt:i4>
      </vt:variant>
      <vt:variant>
        <vt:lpwstr>http://www.nevo.co.il/case/5608134</vt:lpwstr>
      </vt:variant>
      <vt:variant>
        <vt:lpwstr/>
      </vt:variant>
      <vt:variant>
        <vt:i4>3473527</vt:i4>
      </vt:variant>
      <vt:variant>
        <vt:i4>42</vt:i4>
      </vt:variant>
      <vt:variant>
        <vt:i4>0</vt:i4>
      </vt:variant>
      <vt:variant>
        <vt:i4>5</vt:i4>
      </vt:variant>
      <vt:variant>
        <vt:lpwstr>http://www.nevo.co.il/case/5611948</vt:lpwstr>
      </vt:variant>
      <vt:variant>
        <vt:lpwstr/>
      </vt:variant>
      <vt:variant>
        <vt:i4>3342451</vt:i4>
      </vt:variant>
      <vt:variant>
        <vt:i4>39</vt:i4>
      </vt:variant>
      <vt:variant>
        <vt:i4>0</vt:i4>
      </vt:variant>
      <vt:variant>
        <vt:i4>5</vt:i4>
      </vt:variant>
      <vt:variant>
        <vt:lpwstr>http://www.nevo.co.il/case/20516625</vt:lpwstr>
      </vt:variant>
      <vt:variant>
        <vt:lpwstr/>
      </vt:variant>
      <vt:variant>
        <vt:i4>3276916</vt:i4>
      </vt:variant>
      <vt:variant>
        <vt:i4>36</vt:i4>
      </vt:variant>
      <vt:variant>
        <vt:i4>0</vt:i4>
      </vt:variant>
      <vt:variant>
        <vt:i4>5</vt:i4>
      </vt:variant>
      <vt:variant>
        <vt:lpwstr>http://www.nevo.co.il/case/5810781</vt:lpwstr>
      </vt:variant>
      <vt:variant>
        <vt:lpwstr/>
      </vt:variant>
      <vt:variant>
        <vt:i4>4063344</vt:i4>
      </vt:variant>
      <vt:variant>
        <vt:i4>33</vt:i4>
      </vt:variant>
      <vt:variant>
        <vt:i4>0</vt:i4>
      </vt:variant>
      <vt:variant>
        <vt:i4>5</vt:i4>
      </vt:variant>
      <vt:variant>
        <vt:lpwstr>http://www.nevo.co.il/case/17943750</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7077990</vt:i4>
      </vt:variant>
      <vt:variant>
        <vt:i4>21</vt:i4>
      </vt:variant>
      <vt:variant>
        <vt:i4>0</vt:i4>
      </vt:variant>
      <vt:variant>
        <vt:i4>5</vt:i4>
      </vt:variant>
      <vt:variant>
        <vt:lpwstr>http://www.nevo.co.il/law/70301/391</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7077990</vt:i4>
      </vt:variant>
      <vt:variant>
        <vt:i4>6</vt:i4>
      </vt:variant>
      <vt:variant>
        <vt:i4>0</vt:i4>
      </vt:variant>
      <vt:variant>
        <vt:i4>5</vt:i4>
      </vt:variant>
      <vt:variant>
        <vt:lpwstr>http://www.nevo.co.il/law/70301/391</vt:lpwstr>
      </vt:variant>
      <vt:variant>
        <vt:lpwstr/>
      </vt:variant>
      <vt:variant>
        <vt:i4>7995492</vt:i4>
      </vt:variant>
      <vt:variant>
        <vt:i4>3</vt:i4>
      </vt:variant>
      <vt:variant>
        <vt:i4>0</vt:i4>
      </vt:variant>
      <vt:variant>
        <vt:i4>5</vt:i4>
      </vt:variant>
      <vt:variant>
        <vt:lpwstr>http://www.nevo.co.il/law/70301</vt:lpwstr>
      </vt:variant>
      <vt:variant>
        <vt:lpwstr/>
      </vt:variant>
      <vt:variant>
        <vt:i4>3604596</vt:i4>
      </vt:variant>
      <vt:variant>
        <vt:i4>0</vt:i4>
      </vt:variant>
      <vt:variant>
        <vt:i4>0</vt:i4>
      </vt:variant>
      <vt:variant>
        <vt:i4>5</vt:i4>
      </vt:variant>
      <vt:variant>
        <vt:lpwstr>http://www.nevo.co.il/case/22519396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2025-04-22T23:22:00Z</dcterms:created>
  <dcterms:modified xsi:type="dcterms:W3CDTF">2025-04-22T23:22:00Z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11512</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יונתן אלברגיני</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20200506</vt:lpwstr>
  </property>
  <property fmtid="{D5CDD505-2E9C-101B-9397-08002B2CF9AE}" pid="13" name="TYPE_N_DATE">
    <vt:lpwstr>38020200506</vt:lpwstr>
  </property>
  <property fmtid="{D5CDD505-2E9C-101B-9397-08002B2CF9AE}" pid="14" name="WORDNUMPAGES">
    <vt:lpwstr>7</vt:lpwstr>
  </property>
  <property fmtid="{D5CDD505-2E9C-101B-9397-08002B2CF9AE}" pid="15" name="TYPE_ABS_DATE">
    <vt:lpwstr>380020200506</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22519396;17943750;5810781;20516625;5611948;5608134;4342796;25101462;21765906;5597762</vt:lpwstr>
  </property>
  <property fmtid="{D5CDD505-2E9C-101B-9397-08002B2CF9AE}" pid="36" name="LAWLISTTMP1">
    <vt:lpwstr>70301/391:2;40ja</vt:lpwstr>
  </property>
  <property fmtid="{D5CDD505-2E9C-101B-9397-08002B2CF9AE}" pid="37" name="LAWLISTTMP2">
    <vt:lpwstr>4216/007.a;007.c</vt:lpwstr>
  </property>
</Properties>
</file>