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641627" w:rsidRPr="00505EED" w14:paraId="48F88E6C" w14:textId="77777777" w:rsidTr="0057068E">
        <w:trPr>
          <w:trHeight w:hRule="exact" w:val="1262"/>
          <w:jc w:val="center"/>
        </w:trPr>
        <w:tc>
          <w:tcPr>
            <w:tcW w:w="8721" w:type="dxa"/>
            <w:gridSpan w:val="2"/>
          </w:tcPr>
          <w:p w14:paraId="742ACE5D" w14:textId="77777777" w:rsidR="00541C4B" w:rsidRDefault="00541C4B" w:rsidP="0024466B">
            <w:pPr>
              <w:pStyle w:val="a3"/>
              <w:jc w:val="center"/>
              <w:rPr>
                <w:rFonts w:ascii="Tahoma" w:hAnsi="Tahoma"/>
                <w:color w:val="000080"/>
                <w:sz w:val="32"/>
                <w:szCs w:val="32"/>
                <w:rtl/>
              </w:rPr>
            </w:pPr>
            <w:bookmarkStart w:id="0" w:name="FirstLawyer"/>
            <w:bookmarkStart w:id="1" w:name="LastJudge"/>
          </w:p>
          <w:p w14:paraId="293BC05F" w14:textId="77777777" w:rsidR="0057068E" w:rsidRDefault="0057068E" w:rsidP="0024466B">
            <w:pPr>
              <w:pStyle w:val="a3"/>
              <w:jc w:val="center"/>
              <w:rPr>
                <w:rFonts w:ascii="Tahoma" w:hAnsi="Tahoma"/>
                <w:color w:val="000080"/>
                <w:sz w:val="32"/>
                <w:szCs w:val="32"/>
                <w:rtl/>
              </w:rPr>
            </w:pPr>
          </w:p>
          <w:p w14:paraId="744FC1D1" w14:textId="77777777" w:rsidR="00541C4B" w:rsidRDefault="00541C4B" w:rsidP="0024466B">
            <w:pPr>
              <w:pStyle w:val="a3"/>
              <w:jc w:val="center"/>
              <w:rPr>
                <w:rFonts w:ascii="Tahoma" w:hAnsi="Tahoma"/>
                <w:color w:val="000080"/>
                <w:sz w:val="32"/>
                <w:szCs w:val="32"/>
                <w:rtl/>
              </w:rPr>
            </w:pPr>
            <w:bookmarkStart w:id="2" w:name="LawTable"/>
            <w:bookmarkEnd w:id="2"/>
          </w:p>
          <w:p w14:paraId="32CB6FCE" w14:textId="77777777" w:rsidR="00541C4B" w:rsidRPr="00541C4B" w:rsidRDefault="00541C4B" w:rsidP="00541C4B">
            <w:pPr>
              <w:pStyle w:val="a3"/>
              <w:spacing w:after="120" w:line="240" w:lineRule="exact"/>
              <w:ind w:left="283" w:hanging="283"/>
              <w:jc w:val="both"/>
              <w:rPr>
                <w:rFonts w:ascii="FrankRuehl" w:hAnsi="FrankRuehl" w:cs="FrankRuehl"/>
                <w:color w:val="000080"/>
                <w:rtl/>
              </w:rPr>
            </w:pPr>
          </w:p>
          <w:p w14:paraId="418CF57F" w14:textId="77777777" w:rsidR="00541C4B" w:rsidRPr="00541C4B" w:rsidRDefault="00541C4B" w:rsidP="00541C4B">
            <w:pPr>
              <w:pStyle w:val="a3"/>
              <w:spacing w:after="120" w:line="240" w:lineRule="exact"/>
              <w:ind w:left="283" w:hanging="283"/>
              <w:jc w:val="both"/>
              <w:rPr>
                <w:rFonts w:ascii="FrankRuehl" w:hAnsi="FrankRuehl" w:cs="FrankRuehl"/>
                <w:color w:val="000080"/>
                <w:rtl/>
              </w:rPr>
            </w:pPr>
            <w:r w:rsidRPr="00541C4B">
              <w:rPr>
                <w:rFonts w:ascii="FrankRuehl" w:hAnsi="FrankRuehl" w:cs="FrankRuehl"/>
                <w:color w:val="000080"/>
                <w:rtl/>
              </w:rPr>
              <w:t xml:space="preserve">חקיקה שאוזכרה: </w:t>
            </w:r>
          </w:p>
          <w:p w14:paraId="57B2E3CD" w14:textId="77777777" w:rsidR="00541C4B" w:rsidRPr="00541C4B" w:rsidRDefault="00541C4B" w:rsidP="00541C4B">
            <w:pPr>
              <w:pStyle w:val="a3"/>
              <w:spacing w:after="120" w:line="240" w:lineRule="exact"/>
              <w:ind w:left="283" w:hanging="283"/>
              <w:jc w:val="both"/>
              <w:rPr>
                <w:rFonts w:ascii="FrankRuehl" w:hAnsi="FrankRuehl" w:cs="FrankRuehl"/>
                <w:rtl/>
              </w:rPr>
            </w:pPr>
            <w:hyperlink r:id="rId6" w:history="1">
              <w:r w:rsidRPr="00541C4B">
                <w:rPr>
                  <w:rFonts w:ascii="FrankRuehl" w:hAnsi="FrankRuehl" w:cs="FrankRuehl"/>
                  <w:color w:val="0000FF"/>
                  <w:u w:val="single"/>
                  <w:rtl/>
                </w:rPr>
                <w:t>פקודת הסמים המסוכנים [נוסח חדש], תשל"ג-1973</w:t>
              </w:r>
            </w:hyperlink>
            <w:r w:rsidRPr="00541C4B">
              <w:rPr>
                <w:rFonts w:ascii="FrankRuehl" w:hAnsi="FrankRuehl" w:cs="FrankRuehl"/>
                <w:rtl/>
              </w:rPr>
              <w:t xml:space="preserve">: סע'  </w:t>
            </w:r>
            <w:hyperlink r:id="rId7" w:history="1">
              <w:r w:rsidRPr="00541C4B">
                <w:rPr>
                  <w:rFonts w:ascii="FrankRuehl" w:hAnsi="FrankRuehl" w:cs="FrankRuehl"/>
                  <w:color w:val="0000FF"/>
                  <w:u w:val="single"/>
                  <w:rtl/>
                </w:rPr>
                <w:t>7(א)</w:t>
              </w:r>
            </w:hyperlink>
            <w:r w:rsidRPr="00541C4B">
              <w:rPr>
                <w:rFonts w:ascii="FrankRuehl" w:hAnsi="FrankRuehl" w:cs="FrankRuehl"/>
                <w:rtl/>
              </w:rPr>
              <w:t xml:space="preserve">, </w:t>
            </w:r>
            <w:hyperlink r:id="rId8" w:history="1">
              <w:r w:rsidRPr="00541C4B">
                <w:rPr>
                  <w:rFonts w:ascii="FrankRuehl" w:hAnsi="FrankRuehl" w:cs="FrankRuehl"/>
                  <w:color w:val="0000FF"/>
                  <w:u w:val="single"/>
                  <w:rtl/>
                </w:rPr>
                <w:t>7(ג)</w:t>
              </w:r>
            </w:hyperlink>
          </w:p>
          <w:p w14:paraId="04DA0113" w14:textId="77777777" w:rsidR="00541C4B" w:rsidRPr="00541C4B" w:rsidRDefault="00541C4B" w:rsidP="00541C4B">
            <w:pPr>
              <w:pStyle w:val="a3"/>
              <w:spacing w:after="120" w:line="240" w:lineRule="exact"/>
              <w:ind w:left="283" w:hanging="283"/>
              <w:jc w:val="both"/>
              <w:rPr>
                <w:rFonts w:ascii="FrankRuehl" w:hAnsi="FrankRuehl" w:cs="FrankRuehl"/>
                <w:rtl/>
              </w:rPr>
            </w:pPr>
            <w:hyperlink r:id="rId9" w:history="1">
              <w:r w:rsidRPr="00541C4B">
                <w:rPr>
                  <w:rFonts w:ascii="FrankRuehl" w:hAnsi="FrankRuehl" w:cs="FrankRuehl"/>
                  <w:color w:val="0000FF"/>
                  <w:u w:val="single"/>
                  <w:rtl/>
                </w:rPr>
                <w:t>חוק העונשין, תשל"ז-1977</w:t>
              </w:r>
            </w:hyperlink>
            <w:r w:rsidRPr="00541C4B">
              <w:rPr>
                <w:rFonts w:ascii="FrankRuehl" w:hAnsi="FrankRuehl" w:cs="FrankRuehl"/>
                <w:rtl/>
              </w:rPr>
              <w:t xml:space="preserve">: סע'  </w:t>
            </w:r>
            <w:hyperlink r:id="rId10" w:history="1">
              <w:r w:rsidRPr="00541C4B">
                <w:rPr>
                  <w:rFonts w:ascii="FrankRuehl" w:hAnsi="FrankRuehl" w:cs="FrankRuehl"/>
                  <w:color w:val="0000FF"/>
                  <w:u w:val="single"/>
                  <w:rtl/>
                </w:rPr>
                <w:t>40ט(א)(5))</w:t>
              </w:r>
            </w:hyperlink>
          </w:p>
          <w:p w14:paraId="3A67E1F6" w14:textId="77777777" w:rsidR="00541C4B" w:rsidRPr="00541C4B" w:rsidRDefault="00541C4B" w:rsidP="00541C4B">
            <w:pPr>
              <w:pStyle w:val="a3"/>
              <w:spacing w:after="120" w:line="240" w:lineRule="exact"/>
              <w:ind w:left="283" w:hanging="283"/>
              <w:jc w:val="both"/>
              <w:rPr>
                <w:rFonts w:ascii="FrankRuehl" w:hAnsi="FrankRuehl" w:cs="FrankRuehl"/>
                <w:rtl/>
              </w:rPr>
            </w:pPr>
          </w:p>
          <w:p w14:paraId="3E546CB7" w14:textId="77777777" w:rsidR="00541C4B" w:rsidRPr="00541C4B" w:rsidRDefault="00541C4B" w:rsidP="0024466B">
            <w:pPr>
              <w:pStyle w:val="a3"/>
              <w:jc w:val="center"/>
              <w:rPr>
                <w:rFonts w:ascii="Tahoma" w:hAnsi="Tahoma"/>
                <w:sz w:val="32"/>
                <w:szCs w:val="32"/>
                <w:rtl/>
              </w:rPr>
            </w:pPr>
            <w:bookmarkStart w:id="3" w:name="LawTable_End"/>
            <w:bookmarkEnd w:id="3"/>
          </w:p>
          <w:p w14:paraId="47DB73DC" w14:textId="77777777" w:rsidR="00641627" w:rsidRPr="00505EED" w:rsidRDefault="00641627" w:rsidP="0024466B">
            <w:pPr>
              <w:pStyle w:val="a3"/>
              <w:jc w:val="center"/>
              <w:rPr>
                <w:rFonts w:ascii="Tahoma" w:hAnsi="Tahoma"/>
                <w:color w:val="000080"/>
                <w:sz w:val="32"/>
                <w:szCs w:val="32"/>
                <w:rtl/>
              </w:rPr>
            </w:pPr>
            <w:r w:rsidRPr="00505EED">
              <w:rPr>
                <w:rFonts w:ascii="Tahoma" w:hAnsi="Tahoma"/>
                <w:color w:val="000080"/>
                <w:sz w:val="32"/>
                <w:szCs w:val="32"/>
                <w:rtl/>
              </w:rPr>
              <w:t>בית משפט השלום בעכו</w:t>
            </w:r>
          </w:p>
        </w:tc>
      </w:tr>
      <w:tr w:rsidR="00641627" w:rsidRPr="00505EED" w14:paraId="3FF6536E" w14:textId="77777777" w:rsidTr="0024466B">
        <w:trPr>
          <w:trHeight w:val="337"/>
          <w:jc w:val="center"/>
        </w:trPr>
        <w:tc>
          <w:tcPr>
            <w:tcW w:w="5047" w:type="dxa"/>
          </w:tcPr>
          <w:p w14:paraId="027C945D" w14:textId="77777777" w:rsidR="00641627" w:rsidRPr="00505EED" w:rsidRDefault="00641627" w:rsidP="0024466B">
            <w:pPr>
              <w:rPr>
                <w:b/>
                <w:bCs/>
                <w:sz w:val="26"/>
                <w:szCs w:val="26"/>
                <w:rtl/>
              </w:rPr>
            </w:pPr>
          </w:p>
        </w:tc>
        <w:tc>
          <w:tcPr>
            <w:tcW w:w="3674" w:type="dxa"/>
          </w:tcPr>
          <w:p w14:paraId="00546012" w14:textId="77777777" w:rsidR="00641627" w:rsidRPr="00505EED" w:rsidRDefault="00641627" w:rsidP="0024466B">
            <w:pPr>
              <w:pStyle w:val="a3"/>
              <w:jc w:val="right"/>
              <w:rPr>
                <w:b/>
                <w:bCs/>
                <w:sz w:val="26"/>
                <w:szCs w:val="26"/>
                <w:rtl/>
              </w:rPr>
            </w:pPr>
          </w:p>
        </w:tc>
      </w:tr>
      <w:tr w:rsidR="00641627" w:rsidRPr="00505EED" w14:paraId="3890616D" w14:textId="77777777" w:rsidTr="0024466B">
        <w:trPr>
          <w:trHeight w:val="337"/>
          <w:jc w:val="center"/>
        </w:trPr>
        <w:tc>
          <w:tcPr>
            <w:tcW w:w="8721" w:type="dxa"/>
            <w:gridSpan w:val="2"/>
          </w:tcPr>
          <w:p w14:paraId="67EB78F9" w14:textId="77777777" w:rsidR="00641627" w:rsidRPr="00505EED" w:rsidRDefault="00641627" w:rsidP="0024466B">
            <w:pPr>
              <w:rPr>
                <w:b/>
                <w:bCs/>
                <w:sz w:val="26"/>
                <w:szCs w:val="26"/>
                <w:rtl/>
              </w:rPr>
            </w:pPr>
            <w:r w:rsidRPr="00505EED">
              <w:rPr>
                <w:b/>
                <w:bCs/>
                <w:sz w:val="26"/>
                <w:szCs w:val="26"/>
                <w:rtl/>
              </w:rPr>
              <w:t>ת"פ 1659-04-17 מדינת ישראל נ' בן שיטרית</w:t>
            </w:r>
          </w:p>
          <w:p w14:paraId="4F8CC61E" w14:textId="77777777" w:rsidR="00641627" w:rsidRPr="00505EED" w:rsidRDefault="00641627" w:rsidP="0024466B">
            <w:pPr>
              <w:rPr>
                <w:b/>
                <w:bCs/>
                <w:sz w:val="2"/>
                <w:szCs w:val="2"/>
                <w:rtl/>
              </w:rPr>
            </w:pPr>
          </w:p>
          <w:p w14:paraId="669948AF" w14:textId="77777777" w:rsidR="00641627" w:rsidRPr="00505EED" w:rsidRDefault="00641627" w:rsidP="0024466B">
            <w:pPr>
              <w:rPr>
                <w:sz w:val="20"/>
                <w:szCs w:val="20"/>
                <w:rtl/>
              </w:rPr>
            </w:pPr>
            <w:r w:rsidRPr="00505EED">
              <w:rPr>
                <w:rFonts w:hint="cs"/>
                <w:rtl/>
              </w:rPr>
              <w:t xml:space="preserve">                           </w:t>
            </w:r>
            <w:r w:rsidRPr="00505EED">
              <w:rPr>
                <w:rFonts w:hint="cs"/>
                <w:sz w:val="20"/>
                <w:szCs w:val="20"/>
                <w:rtl/>
              </w:rPr>
              <w:t xml:space="preserve">                                       </w:t>
            </w:r>
          </w:p>
          <w:p w14:paraId="21864EF9" w14:textId="77777777" w:rsidR="00641627" w:rsidRPr="00505EED" w:rsidRDefault="00641627" w:rsidP="0024466B">
            <w:pPr>
              <w:rPr>
                <w:sz w:val="20"/>
                <w:szCs w:val="20"/>
                <w:rtl/>
              </w:rPr>
            </w:pPr>
            <w:r w:rsidRPr="00505EED">
              <w:rPr>
                <w:rFonts w:hint="cs"/>
                <w:sz w:val="20"/>
                <w:szCs w:val="20"/>
                <w:rtl/>
              </w:rPr>
              <w:t xml:space="preserve">תיק חיצוני: </w:t>
            </w:r>
            <w:r w:rsidRPr="00505EED">
              <w:rPr>
                <w:rFonts w:hint="eastAsia"/>
                <w:sz w:val="20"/>
                <w:szCs w:val="20"/>
              </w:rPr>
              <w:t>74729/2016</w:t>
            </w:r>
            <w:r w:rsidRPr="00505EED">
              <w:rPr>
                <w:rFonts w:hint="cs"/>
                <w:sz w:val="20"/>
                <w:szCs w:val="20"/>
                <w:rtl/>
              </w:rPr>
              <w:t xml:space="preserve"> </w:t>
            </w:r>
            <w:r w:rsidRPr="00505EED">
              <w:rPr>
                <w:sz w:val="20"/>
                <w:szCs w:val="20"/>
                <w:rtl/>
              </w:rPr>
              <w:t xml:space="preserve">  </w:t>
            </w:r>
          </w:p>
        </w:tc>
      </w:tr>
    </w:tbl>
    <w:p w14:paraId="15F66A91" w14:textId="77777777" w:rsidR="00641627" w:rsidRPr="00505EED" w:rsidRDefault="00641627" w:rsidP="00641627">
      <w:pPr>
        <w:pStyle w:val="a3"/>
        <w:rPr>
          <w:rtl/>
        </w:rPr>
      </w:pPr>
      <w:r w:rsidRPr="00505EED">
        <w:rPr>
          <w:rtl/>
        </w:rPr>
        <w:t xml:space="preserve"> </w:t>
      </w:r>
    </w:p>
    <w:p w14:paraId="2962F998" w14:textId="77777777" w:rsidR="00641627" w:rsidRPr="00505EED" w:rsidRDefault="00641627" w:rsidP="00641627">
      <w:pPr>
        <w:suppressLineNumbers/>
        <w:rPr>
          <w:rtl/>
        </w:rPr>
      </w:pPr>
      <w:r w:rsidRPr="00505EED">
        <w:rPr>
          <w:rtl/>
        </w:rPr>
        <w:t xml:space="preserve"> </w:t>
      </w:r>
    </w:p>
    <w:tbl>
      <w:tblPr>
        <w:bidiVisual/>
        <w:tblW w:w="8820" w:type="dxa"/>
        <w:jc w:val="center"/>
        <w:tblLook w:val="01E0" w:firstRow="1" w:lastRow="1" w:firstColumn="1" w:lastColumn="1" w:noHBand="0" w:noVBand="0"/>
      </w:tblPr>
      <w:tblGrid>
        <w:gridCol w:w="743"/>
        <w:gridCol w:w="2506"/>
        <w:gridCol w:w="5571"/>
      </w:tblGrid>
      <w:tr w:rsidR="00641627" w:rsidRPr="00505EED" w14:paraId="3C441008" w14:textId="77777777" w:rsidTr="00641627">
        <w:trPr>
          <w:jc w:val="center"/>
        </w:trPr>
        <w:tc>
          <w:tcPr>
            <w:tcW w:w="743" w:type="dxa"/>
            <w:shd w:val="clear" w:color="auto" w:fill="auto"/>
          </w:tcPr>
          <w:p w14:paraId="550E098B" w14:textId="77777777" w:rsidR="00641627" w:rsidRPr="00505EED" w:rsidRDefault="00641627" w:rsidP="00641627">
            <w:pPr>
              <w:suppressLineNumbers/>
              <w:jc w:val="both"/>
              <w:rPr>
                <w:rFonts w:ascii="Arial" w:hAnsi="Arial"/>
                <w:b/>
                <w:bCs/>
                <w:rtl/>
              </w:rPr>
            </w:pPr>
            <w:r w:rsidRPr="00505EED">
              <w:rPr>
                <w:rFonts w:ascii="Arial" w:hAnsi="Arial" w:hint="cs"/>
                <w:b/>
                <w:bCs/>
                <w:rtl/>
              </w:rPr>
              <w:t>ב</w:t>
            </w:r>
            <w:r w:rsidRPr="00505EED">
              <w:rPr>
                <w:rFonts w:ascii="Arial" w:hAnsi="Arial"/>
                <w:b/>
                <w:bCs/>
                <w:rtl/>
              </w:rPr>
              <w:t xml:space="preserve">פני </w:t>
            </w:r>
          </w:p>
        </w:tc>
        <w:tc>
          <w:tcPr>
            <w:tcW w:w="8077" w:type="dxa"/>
            <w:gridSpan w:val="2"/>
            <w:shd w:val="clear" w:color="auto" w:fill="auto"/>
          </w:tcPr>
          <w:p w14:paraId="169104B9" w14:textId="77777777" w:rsidR="00641627" w:rsidRPr="00505EED" w:rsidRDefault="00641627" w:rsidP="00641627">
            <w:pPr>
              <w:suppressLineNumbers/>
              <w:rPr>
                <w:rFonts w:ascii="Arial" w:hAnsi="Arial"/>
                <w:b/>
                <w:bCs/>
                <w:rtl/>
              </w:rPr>
            </w:pPr>
            <w:r w:rsidRPr="00505EED">
              <w:rPr>
                <w:rFonts w:ascii="Arial" w:hAnsi="Arial" w:hint="cs"/>
                <w:b/>
                <w:bCs/>
                <w:rtl/>
              </w:rPr>
              <w:t>כבוד ה</w:t>
            </w:r>
            <w:r w:rsidRPr="00505EED">
              <w:rPr>
                <w:rFonts w:ascii="Arial" w:hAnsi="Arial"/>
                <w:b/>
                <w:bCs/>
                <w:rtl/>
              </w:rPr>
              <w:t>שופטת</w:t>
            </w:r>
            <w:r w:rsidRPr="00505EED">
              <w:rPr>
                <w:rFonts w:ascii="Arial" w:hAnsi="Arial" w:hint="cs"/>
                <w:b/>
                <w:bCs/>
                <w:rtl/>
              </w:rPr>
              <w:t xml:space="preserve">  </w:t>
            </w:r>
            <w:r w:rsidRPr="00505EED">
              <w:rPr>
                <w:rFonts w:ascii="Arial" w:hAnsi="Arial"/>
                <w:b/>
                <w:bCs/>
                <w:rtl/>
              </w:rPr>
              <w:t>שושנה פיינסוד-כהן</w:t>
            </w:r>
          </w:p>
          <w:p w14:paraId="546EDDE9" w14:textId="77777777" w:rsidR="00641627" w:rsidRPr="00505EED" w:rsidRDefault="00641627" w:rsidP="00641627">
            <w:pPr>
              <w:suppressLineNumbers/>
              <w:rPr>
                <w:rFonts w:ascii="Arial" w:hAnsi="Arial" w:cs="FrankRuehl"/>
                <w:sz w:val="28"/>
                <w:szCs w:val="28"/>
                <w:highlight w:val="yellow"/>
              </w:rPr>
            </w:pPr>
          </w:p>
        </w:tc>
      </w:tr>
      <w:tr w:rsidR="00641627" w:rsidRPr="00505EED" w14:paraId="6620639E" w14:textId="77777777" w:rsidTr="00641627">
        <w:trPr>
          <w:jc w:val="center"/>
        </w:trPr>
        <w:tc>
          <w:tcPr>
            <w:tcW w:w="3249" w:type="dxa"/>
            <w:gridSpan w:val="2"/>
            <w:shd w:val="clear" w:color="auto" w:fill="auto"/>
          </w:tcPr>
          <w:p w14:paraId="1A27DB53" w14:textId="77777777" w:rsidR="00641627" w:rsidRPr="00505EED" w:rsidRDefault="00641627" w:rsidP="00641627">
            <w:pPr>
              <w:suppressLineNumbers/>
              <w:rPr>
                <w:rFonts w:ascii="Arial" w:hAnsi="Arial"/>
                <w:b/>
                <w:bCs/>
                <w:sz w:val="26"/>
                <w:szCs w:val="26"/>
              </w:rPr>
            </w:pPr>
            <w:bookmarkStart w:id="4" w:name="FirstAppellant"/>
          </w:p>
          <w:p w14:paraId="0615BF85" w14:textId="77777777" w:rsidR="00641627" w:rsidRPr="00505EED" w:rsidRDefault="00641627" w:rsidP="00641627">
            <w:pPr>
              <w:suppressLineNumbers/>
              <w:rPr>
                <w:rFonts w:ascii="Arial" w:hAnsi="Arial"/>
                <w:b/>
                <w:bCs/>
                <w:sz w:val="26"/>
                <w:szCs w:val="26"/>
                <w:rtl/>
              </w:rPr>
            </w:pPr>
            <w:r w:rsidRPr="00505EED">
              <w:rPr>
                <w:rFonts w:ascii="Arial" w:hAnsi="Arial"/>
                <w:b/>
                <w:bCs/>
                <w:sz w:val="26"/>
                <w:szCs w:val="26"/>
                <w:rtl/>
              </w:rPr>
              <w:t>מאשימה</w:t>
            </w:r>
          </w:p>
        </w:tc>
        <w:tc>
          <w:tcPr>
            <w:tcW w:w="5571" w:type="dxa"/>
            <w:shd w:val="clear" w:color="auto" w:fill="auto"/>
          </w:tcPr>
          <w:p w14:paraId="0B6105EB" w14:textId="77777777" w:rsidR="00641627" w:rsidRPr="00505EED" w:rsidRDefault="00641627" w:rsidP="00641627">
            <w:pPr>
              <w:suppressLineNumbers/>
              <w:rPr>
                <w:rFonts w:ascii="Arial" w:hAnsi="Arial"/>
                <w:b/>
                <w:bCs/>
                <w:sz w:val="26"/>
                <w:szCs w:val="26"/>
                <w:rtl/>
              </w:rPr>
            </w:pPr>
          </w:p>
          <w:p w14:paraId="242CCF7B" w14:textId="77777777" w:rsidR="00641627" w:rsidRPr="00505EED" w:rsidRDefault="00641627" w:rsidP="00641627">
            <w:pPr>
              <w:suppressLineNumbers/>
              <w:rPr>
                <w:b/>
                <w:bCs/>
                <w:sz w:val="26"/>
                <w:szCs w:val="26"/>
              </w:rPr>
            </w:pPr>
            <w:r w:rsidRPr="00505EED">
              <w:rPr>
                <w:rFonts w:ascii="Arial" w:hAnsi="Arial"/>
                <w:b/>
                <w:bCs/>
                <w:sz w:val="26"/>
                <w:szCs w:val="26"/>
                <w:rtl/>
              </w:rPr>
              <w:t>מדינת ישראל</w:t>
            </w:r>
            <w:r w:rsidRPr="00505EED">
              <w:rPr>
                <w:rFonts w:ascii="Arial" w:hAnsi="Arial"/>
                <w:b/>
                <w:bCs/>
                <w:sz w:val="26"/>
                <w:szCs w:val="26"/>
                <w:rtl/>
              </w:rPr>
              <w:br/>
            </w:r>
            <w:r w:rsidRPr="00505EED">
              <w:rPr>
                <w:rFonts w:hint="cs"/>
                <w:rtl/>
              </w:rPr>
              <w:t>ע"י שלוחת תביעות עכו</w:t>
            </w:r>
          </w:p>
        </w:tc>
      </w:tr>
      <w:bookmarkEnd w:id="4"/>
      <w:tr w:rsidR="00641627" w:rsidRPr="00505EED" w14:paraId="13DFB264" w14:textId="77777777" w:rsidTr="00641627">
        <w:trPr>
          <w:jc w:val="center"/>
        </w:trPr>
        <w:tc>
          <w:tcPr>
            <w:tcW w:w="8820" w:type="dxa"/>
            <w:gridSpan w:val="3"/>
            <w:shd w:val="clear" w:color="auto" w:fill="auto"/>
          </w:tcPr>
          <w:p w14:paraId="039A9E9C" w14:textId="77777777" w:rsidR="00641627" w:rsidRPr="00505EED" w:rsidRDefault="00641627" w:rsidP="00641627">
            <w:pPr>
              <w:suppressLineNumbers/>
              <w:rPr>
                <w:rFonts w:ascii="Arial" w:hAnsi="Arial"/>
                <w:b/>
                <w:bCs/>
                <w:sz w:val="26"/>
                <w:szCs w:val="26"/>
                <w:rtl/>
              </w:rPr>
            </w:pPr>
          </w:p>
          <w:p w14:paraId="5DC383F6" w14:textId="77777777" w:rsidR="00641627" w:rsidRPr="00505EED" w:rsidRDefault="00641627" w:rsidP="00641627">
            <w:pPr>
              <w:suppressLineNumbers/>
              <w:jc w:val="center"/>
              <w:rPr>
                <w:rFonts w:ascii="Arial" w:hAnsi="Arial"/>
                <w:b/>
                <w:bCs/>
                <w:sz w:val="26"/>
                <w:szCs w:val="26"/>
                <w:rtl/>
              </w:rPr>
            </w:pPr>
            <w:r w:rsidRPr="00505EED">
              <w:rPr>
                <w:rFonts w:ascii="Arial" w:hAnsi="Arial"/>
                <w:b/>
                <w:bCs/>
                <w:sz w:val="26"/>
                <w:szCs w:val="26"/>
                <w:rtl/>
              </w:rPr>
              <w:t>נגד</w:t>
            </w:r>
          </w:p>
          <w:p w14:paraId="30AA6489" w14:textId="77777777" w:rsidR="00641627" w:rsidRPr="00505EED" w:rsidRDefault="00641627" w:rsidP="00641627">
            <w:pPr>
              <w:suppressLineNumbers/>
              <w:rPr>
                <w:rFonts w:ascii="Arial" w:hAnsi="Arial"/>
                <w:b/>
                <w:bCs/>
                <w:sz w:val="26"/>
                <w:szCs w:val="26"/>
              </w:rPr>
            </w:pPr>
          </w:p>
        </w:tc>
      </w:tr>
      <w:tr w:rsidR="00641627" w:rsidRPr="00505EED" w14:paraId="71302EED" w14:textId="77777777" w:rsidTr="00641627">
        <w:trPr>
          <w:jc w:val="center"/>
        </w:trPr>
        <w:tc>
          <w:tcPr>
            <w:tcW w:w="3249" w:type="dxa"/>
            <w:gridSpan w:val="2"/>
            <w:shd w:val="clear" w:color="auto" w:fill="auto"/>
          </w:tcPr>
          <w:p w14:paraId="07CB58E9" w14:textId="77777777" w:rsidR="00641627" w:rsidRPr="00505EED" w:rsidRDefault="00641627" w:rsidP="00641627">
            <w:pPr>
              <w:suppressLineNumbers/>
              <w:rPr>
                <w:rFonts w:ascii="Arial" w:hAnsi="Arial"/>
                <w:b/>
                <w:bCs/>
                <w:sz w:val="26"/>
                <w:szCs w:val="26"/>
              </w:rPr>
            </w:pPr>
            <w:r w:rsidRPr="00505EED">
              <w:rPr>
                <w:rFonts w:ascii="Arial" w:hAnsi="Arial"/>
                <w:b/>
                <w:bCs/>
                <w:sz w:val="26"/>
                <w:szCs w:val="26"/>
                <w:rtl/>
              </w:rPr>
              <w:t>נאשם</w:t>
            </w:r>
          </w:p>
        </w:tc>
        <w:tc>
          <w:tcPr>
            <w:tcW w:w="5571" w:type="dxa"/>
            <w:shd w:val="clear" w:color="auto" w:fill="auto"/>
          </w:tcPr>
          <w:p w14:paraId="1F1E8710" w14:textId="77777777" w:rsidR="00641627" w:rsidRPr="00505EED" w:rsidRDefault="00641627" w:rsidP="00641627">
            <w:pPr>
              <w:suppressLineNumbers/>
              <w:rPr>
                <w:sz w:val="26"/>
                <w:szCs w:val="26"/>
                <w:rtl/>
              </w:rPr>
            </w:pPr>
            <w:r w:rsidRPr="00505EED">
              <w:rPr>
                <w:rFonts w:ascii="Arial" w:hAnsi="Arial"/>
                <w:b/>
                <w:bCs/>
                <w:sz w:val="26"/>
                <w:szCs w:val="26"/>
                <w:rtl/>
              </w:rPr>
              <w:t>יוסף בן שיטרית</w:t>
            </w:r>
            <w:r w:rsidRPr="00505EED">
              <w:rPr>
                <w:rFonts w:ascii="Arial" w:hAnsi="Arial"/>
                <w:b/>
                <w:bCs/>
                <w:sz w:val="26"/>
                <w:szCs w:val="26"/>
                <w:rtl/>
              </w:rPr>
              <w:br/>
            </w:r>
            <w:r w:rsidRPr="00505EED">
              <w:rPr>
                <w:rFonts w:hint="cs"/>
                <w:rtl/>
              </w:rPr>
              <w:t>ע"י ב"כ עוה"ד גבריאלה בבלי, מטעם הסנגוריה הציבורית.</w:t>
            </w:r>
            <w:r w:rsidRPr="00505EED">
              <w:rPr>
                <w:rFonts w:hint="cs"/>
                <w:sz w:val="26"/>
                <w:szCs w:val="26"/>
                <w:rtl/>
              </w:rPr>
              <w:t xml:space="preserve"> </w:t>
            </w:r>
          </w:p>
        </w:tc>
      </w:tr>
      <w:tr w:rsidR="00641627" w:rsidRPr="00505EED" w14:paraId="3D91EE21" w14:textId="77777777" w:rsidTr="00641627">
        <w:trPr>
          <w:jc w:val="center"/>
        </w:trPr>
        <w:tc>
          <w:tcPr>
            <w:tcW w:w="8820" w:type="dxa"/>
            <w:gridSpan w:val="3"/>
            <w:shd w:val="clear" w:color="auto" w:fill="auto"/>
          </w:tcPr>
          <w:p w14:paraId="60852A30" w14:textId="77777777" w:rsidR="0057068E" w:rsidRPr="0057068E" w:rsidRDefault="0057068E" w:rsidP="0057068E">
            <w:pPr>
              <w:pStyle w:val="a3"/>
              <w:spacing w:after="120" w:line="240" w:lineRule="exact"/>
              <w:ind w:left="283" w:hanging="283"/>
              <w:jc w:val="both"/>
              <w:rPr>
                <w:rFonts w:ascii="FrankRuehl" w:hAnsi="FrankRuehl" w:cs="FrankRuehl"/>
                <w:color w:val="000080"/>
                <w:rtl/>
              </w:rPr>
            </w:pPr>
          </w:p>
          <w:p w14:paraId="6FB06972" w14:textId="77777777" w:rsidR="0057068E" w:rsidRPr="0057068E" w:rsidRDefault="0057068E" w:rsidP="0057068E">
            <w:pPr>
              <w:pStyle w:val="a3"/>
              <w:spacing w:after="120" w:line="240" w:lineRule="exact"/>
              <w:ind w:left="283" w:hanging="283"/>
              <w:jc w:val="both"/>
              <w:rPr>
                <w:rFonts w:ascii="FrankRuehl" w:hAnsi="FrankRuehl" w:cs="FrankRuehl"/>
                <w:color w:val="000080"/>
                <w:rtl/>
              </w:rPr>
            </w:pPr>
            <w:r w:rsidRPr="0057068E">
              <w:rPr>
                <w:rFonts w:ascii="FrankRuehl" w:hAnsi="FrankRuehl" w:cs="FrankRuehl"/>
                <w:color w:val="000080"/>
                <w:rtl/>
              </w:rPr>
              <w:t xml:space="preserve">חקיקה שאוזכרה: </w:t>
            </w:r>
          </w:p>
          <w:p w14:paraId="5DCA3DD6" w14:textId="77777777" w:rsidR="0057068E" w:rsidRPr="0057068E" w:rsidRDefault="0057068E" w:rsidP="0057068E">
            <w:pPr>
              <w:pStyle w:val="a3"/>
              <w:spacing w:after="120" w:line="240" w:lineRule="exact"/>
              <w:ind w:left="283" w:hanging="283"/>
              <w:jc w:val="both"/>
              <w:rPr>
                <w:rFonts w:ascii="FrankRuehl" w:hAnsi="FrankRuehl" w:cs="FrankRuehl"/>
                <w:rtl/>
              </w:rPr>
            </w:pPr>
            <w:hyperlink r:id="rId11" w:history="1">
              <w:r w:rsidRPr="0057068E">
                <w:rPr>
                  <w:rFonts w:ascii="FrankRuehl" w:hAnsi="FrankRuehl" w:cs="FrankRuehl"/>
                  <w:color w:val="0000FF"/>
                  <w:u w:val="single"/>
                  <w:rtl/>
                </w:rPr>
                <w:t>פקודת הסמים המסוכנים [נוסח חדש], תשל"ג-1973</w:t>
              </w:r>
            </w:hyperlink>
            <w:r w:rsidRPr="0057068E">
              <w:rPr>
                <w:rFonts w:ascii="FrankRuehl" w:hAnsi="FrankRuehl" w:cs="FrankRuehl"/>
                <w:rtl/>
              </w:rPr>
              <w:t xml:space="preserve">: סע'  </w:t>
            </w:r>
            <w:hyperlink r:id="rId12" w:history="1">
              <w:r w:rsidRPr="0057068E">
                <w:rPr>
                  <w:rFonts w:ascii="FrankRuehl" w:hAnsi="FrankRuehl" w:cs="FrankRuehl"/>
                  <w:color w:val="0000FF"/>
                  <w:u w:val="single"/>
                  <w:rtl/>
                </w:rPr>
                <w:t>7(א)</w:t>
              </w:r>
            </w:hyperlink>
            <w:r w:rsidRPr="0057068E">
              <w:rPr>
                <w:rFonts w:ascii="FrankRuehl" w:hAnsi="FrankRuehl" w:cs="FrankRuehl"/>
                <w:rtl/>
              </w:rPr>
              <w:t xml:space="preserve">, </w:t>
            </w:r>
            <w:hyperlink r:id="rId13" w:history="1">
              <w:r w:rsidRPr="0057068E">
                <w:rPr>
                  <w:rFonts w:ascii="FrankRuehl" w:hAnsi="FrankRuehl" w:cs="FrankRuehl"/>
                  <w:color w:val="0000FF"/>
                  <w:u w:val="single"/>
                  <w:rtl/>
                </w:rPr>
                <w:t>7(ג)</w:t>
              </w:r>
            </w:hyperlink>
          </w:p>
          <w:p w14:paraId="32B32BA9" w14:textId="77777777" w:rsidR="0057068E" w:rsidRPr="0057068E" w:rsidRDefault="0057068E" w:rsidP="0057068E">
            <w:pPr>
              <w:pStyle w:val="a3"/>
              <w:spacing w:after="120" w:line="240" w:lineRule="exact"/>
              <w:ind w:left="283" w:hanging="283"/>
              <w:jc w:val="both"/>
              <w:rPr>
                <w:rFonts w:ascii="FrankRuehl" w:hAnsi="FrankRuehl" w:cs="FrankRuehl"/>
                <w:rtl/>
              </w:rPr>
            </w:pPr>
            <w:hyperlink r:id="rId14" w:history="1">
              <w:r w:rsidRPr="0057068E">
                <w:rPr>
                  <w:rFonts w:ascii="FrankRuehl" w:hAnsi="FrankRuehl" w:cs="FrankRuehl"/>
                  <w:color w:val="0000FF"/>
                  <w:u w:val="single"/>
                  <w:rtl/>
                </w:rPr>
                <w:t>חוק העונשין, תשל"ז-1977</w:t>
              </w:r>
            </w:hyperlink>
            <w:r w:rsidRPr="0057068E">
              <w:rPr>
                <w:rFonts w:ascii="FrankRuehl" w:hAnsi="FrankRuehl" w:cs="FrankRuehl"/>
                <w:rtl/>
              </w:rPr>
              <w:t xml:space="preserve">: סע'  </w:t>
            </w:r>
            <w:hyperlink r:id="rId15" w:history="1">
              <w:r w:rsidRPr="0057068E">
                <w:rPr>
                  <w:rFonts w:ascii="FrankRuehl" w:hAnsi="FrankRuehl" w:cs="FrankRuehl"/>
                  <w:color w:val="0000FF"/>
                  <w:u w:val="single"/>
                  <w:rtl/>
                </w:rPr>
                <w:t>40ט(א)(5))</w:t>
              </w:r>
            </w:hyperlink>
          </w:p>
          <w:p w14:paraId="1E9EC1F9" w14:textId="77777777" w:rsidR="0057068E" w:rsidRPr="0057068E" w:rsidRDefault="0057068E" w:rsidP="0057068E">
            <w:pPr>
              <w:pStyle w:val="a3"/>
              <w:spacing w:after="120" w:line="240" w:lineRule="exact"/>
              <w:ind w:left="283" w:hanging="283"/>
              <w:jc w:val="both"/>
              <w:rPr>
                <w:rFonts w:ascii="FrankRuehl" w:hAnsi="FrankRuehl" w:cs="FrankRuehl"/>
                <w:rtl/>
              </w:rPr>
            </w:pPr>
          </w:p>
          <w:p w14:paraId="4B841D30" w14:textId="77777777" w:rsidR="00641627" w:rsidRDefault="00641627" w:rsidP="00641627">
            <w:pPr>
              <w:bidi w:val="0"/>
              <w:jc w:val="center"/>
              <w:rPr>
                <w:rFonts w:ascii="Arial" w:hAnsi="Arial"/>
                <w:b/>
                <w:bCs/>
                <w:sz w:val="28"/>
                <w:szCs w:val="28"/>
              </w:rPr>
            </w:pPr>
          </w:p>
          <w:p w14:paraId="266088F7" w14:textId="77777777" w:rsidR="0057068E" w:rsidRPr="00505EED" w:rsidRDefault="0057068E" w:rsidP="0057068E">
            <w:pPr>
              <w:bidi w:val="0"/>
              <w:jc w:val="center"/>
              <w:rPr>
                <w:rFonts w:ascii="Arial" w:hAnsi="Arial"/>
                <w:b/>
                <w:bCs/>
                <w:sz w:val="28"/>
                <w:szCs w:val="28"/>
                <w:rtl/>
              </w:rPr>
            </w:pPr>
          </w:p>
          <w:p w14:paraId="60732CFE" w14:textId="77777777" w:rsidR="00641627" w:rsidRPr="00505EED" w:rsidRDefault="00641627" w:rsidP="00641627">
            <w:pPr>
              <w:bidi w:val="0"/>
              <w:jc w:val="center"/>
              <w:rPr>
                <w:rFonts w:ascii="Arial" w:hAnsi="Arial"/>
                <w:b/>
                <w:bCs/>
                <w:sz w:val="28"/>
                <w:szCs w:val="28"/>
              </w:rPr>
            </w:pPr>
            <w:bookmarkStart w:id="5" w:name="PsakDin"/>
            <w:r w:rsidRPr="00505EED">
              <w:rPr>
                <w:rFonts w:ascii="Arial" w:hAnsi="Arial" w:hint="cs"/>
                <w:b/>
                <w:bCs/>
                <w:sz w:val="28"/>
                <w:szCs w:val="28"/>
                <w:rtl/>
              </w:rPr>
              <w:t xml:space="preserve">נימוקי גזה"ד </w:t>
            </w:r>
            <w:bookmarkEnd w:id="5"/>
            <w:r w:rsidRPr="00505EED">
              <w:rPr>
                <w:rFonts w:ascii="Arial" w:hAnsi="Arial" w:hint="cs"/>
                <w:b/>
                <w:bCs/>
                <w:sz w:val="28"/>
                <w:szCs w:val="28"/>
                <w:rtl/>
              </w:rPr>
              <w:t>מהיום</w:t>
            </w:r>
          </w:p>
        </w:tc>
      </w:tr>
    </w:tbl>
    <w:p w14:paraId="22694A5F" w14:textId="77777777" w:rsidR="00641627" w:rsidRPr="00505EED" w:rsidRDefault="00641627" w:rsidP="00641627">
      <w:pPr>
        <w:spacing w:line="360" w:lineRule="auto"/>
        <w:jc w:val="both"/>
        <w:rPr>
          <w:rFonts w:ascii="Arial" w:hAnsi="Arial"/>
          <w:rtl/>
        </w:rPr>
      </w:pPr>
      <w:bookmarkStart w:id="6" w:name="NGCSBookmark"/>
      <w:bookmarkEnd w:id="6"/>
    </w:p>
    <w:p w14:paraId="3C56E4F2" w14:textId="77777777" w:rsidR="00641627" w:rsidRPr="00505EED" w:rsidRDefault="00641627" w:rsidP="00641627">
      <w:pPr>
        <w:spacing w:line="360" w:lineRule="auto"/>
        <w:jc w:val="both"/>
        <w:rPr>
          <w:rFonts w:ascii="Arial" w:hAnsi="Arial"/>
          <w:rtl/>
        </w:rPr>
      </w:pPr>
      <w:bookmarkStart w:id="7" w:name="ABSTRACT_START"/>
      <w:bookmarkEnd w:id="7"/>
      <w:r w:rsidRPr="00505EED">
        <w:rPr>
          <w:rFonts w:ascii="Arial" w:hAnsi="Arial" w:hint="cs"/>
          <w:rtl/>
        </w:rPr>
        <w:t xml:space="preserve">להלן נימוקי גזה"ד אשר ניתן היום במעמד ב"כ הצדדים והנאשם. </w:t>
      </w:r>
    </w:p>
    <w:p w14:paraId="6C99E7DC" w14:textId="77777777" w:rsidR="00641627" w:rsidRPr="00505EED" w:rsidRDefault="00641627" w:rsidP="00641627">
      <w:pPr>
        <w:spacing w:line="360" w:lineRule="auto"/>
        <w:jc w:val="both"/>
        <w:rPr>
          <w:rFonts w:ascii="Arial" w:hAnsi="Arial"/>
          <w:rtl/>
        </w:rPr>
      </w:pPr>
    </w:p>
    <w:p w14:paraId="6760DBDB" w14:textId="77777777" w:rsidR="00641627" w:rsidRPr="00505EED" w:rsidRDefault="00641627" w:rsidP="00641627">
      <w:pPr>
        <w:spacing w:line="360" w:lineRule="auto"/>
        <w:ind w:left="720" w:hanging="720"/>
        <w:jc w:val="both"/>
        <w:rPr>
          <w:rFonts w:ascii="Arial" w:hAnsi="Arial"/>
          <w:rtl/>
        </w:rPr>
      </w:pPr>
      <w:r w:rsidRPr="00505EED">
        <w:rPr>
          <w:rFonts w:ascii="Arial" w:hAnsi="Arial" w:hint="cs"/>
          <w:rtl/>
        </w:rPr>
        <w:t>1.</w:t>
      </w:r>
      <w:r w:rsidRPr="00505EED">
        <w:rPr>
          <w:rFonts w:ascii="Arial" w:hAnsi="Arial"/>
          <w:rtl/>
        </w:rPr>
        <w:tab/>
      </w:r>
      <w:r w:rsidRPr="00505EED">
        <w:rPr>
          <w:rFonts w:ascii="Arial" w:hAnsi="Arial" w:hint="cs"/>
          <w:rtl/>
        </w:rPr>
        <w:t xml:space="preserve">הנאשם הורשע על פי הודאתו בעבירת החזקת סמים לצריכה עצמית, עבירה לפי </w:t>
      </w:r>
      <w:hyperlink r:id="rId16" w:history="1">
        <w:r w:rsidR="0057068E" w:rsidRPr="0057068E">
          <w:rPr>
            <w:rFonts w:ascii="Arial" w:hAnsi="Arial"/>
            <w:color w:val="0000FF"/>
            <w:u w:val="single"/>
            <w:rtl/>
          </w:rPr>
          <w:t>סעיף 7(א)</w:t>
        </w:r>
      </w:hyperlink>
      <w:r w:rsidRPr="00505EED">
        <w:rPr>
          <w:rFonts w:ascii="Arial" w:hAnsi="Arial" w:hint="cs"/>
          <w:rtl/>
        </w:rPr>
        <w:t xml:space="preserve"> + </w:t>
      </w:r>
      <w:hyperlink r:id="rId17" w:history="1">
        <w:r w:rsidR="0057068E" w:rsidRPr="0057068E">
          <w:rPr>
            <w:rFonts w:ascii="Arial" w:hAnsi="Arial"/>
            <w:color w:val="0000FF"/>
            <w:u w:val="single"/>
            <w:rtl/>
          </w:rPr>
          <w:t>7(ג)</w:t>
        </w:r>
      </w:hyperlink>
      <w:r w:rsidRPr="00505EED">
        <w:rPr>
          <w:rFonts w:ascii="Arial" w:hAnsi="Arial" w:hint="cs"/>
          <w:rtl/>
        </w:rPr>
        <w:t xml:space="preserve"> סייפא ל</w:t>
      </w:r>
      <w:hyperlink r:id="rId18" w:history="1">
        <w:r w:rsidR="00505EED" w:rsidRPr="00505EED">
          <w:rPr>
            <w:rFonts w:ascii="Arial" w:hAnsi="Arial"/>
            <w:color w:val="0000FF"/>
            <w:u w:val="single"/>
            <w:rtl/>
          </w:rPr>
          <w:t>פקודת הסמים ה</w:t>
        </w:r>
        <w:r w:rsidR="00505EED" w:rsidRPr="00505EED">
          <w:rPr>
            <w:rFonts w:ascii="Arial" w:hAnsi="Arial"/>
            <w:color w:val="0000FF"/>
            <w:u w:val="single"/>
            <w:rtl/>
          </w:rPr>
          <w:t>מ</w:t>
        </w:r>
        <w:r w:rsidR="00505EED" w:rsidRPr="00505EED">
          <w:rPr>
            <w:rFonts w:ascii="Arial" w:hAnsi="Arial"/>
            <w:color w:val="0000FF"/>
            <w:u w:val="single"/>
            <w:rtl/>
          </w:rPr>
          <w:t>סוכנים</w:t>
        </w:r>
      </w:hyperlink>
      <w:r w:rsidRPr="00505EED">
        <w:rPr>
          <w:rFonts w:ascii="Arial" w:hAnsi="Arial" w:hint="cs"/>
          <w:rtl/>
        </w:rPr>
        <w:t xml:space="preserve"> (נוסח חדש), תשל"ג 1973.</w:t>
      </w:r>
    </w:p>
    <w:p w14:paraId="09DF40FF" w14:textId="77777777" w:rsidR="00641627" w:rsidRPr="00505EED" w:rsidRDefault="00641627" w:rsidP="00641627">
      <w:pPr>
        <w:spacing w:line="360" w:lineRule="auto"/>
        <w:ind w:left="720" w:hanging="720"/>
        <w:jc w:val="both"/>
        <w:rPr>
          <w:rFonts w:ascii="Arial" w:hAnsi="Arial"/>
          <w:rtl/>
        </w:rPr>
      </w:pPr>
    </w:p>
    <w:p w14:paraId="54CD2158" w14:textId="77777777" w:rsidR="00641627" w:rsidRPr="00505EED" w:rsidRDefault="00641627" w:rsidP="00641627">
      <w:pPr>
        <w:spacing w:line="360" w:lineRule="auto"/>
        <w:ind w:left="720" w:hanging="720"/>
        <w:jc w:val="both"/>
        <w:rPr>
          <w:rFonts w:ascii="Arial" w:hAnsi="Arial"/>
          <w:rtl/>
        </w:rPr>
      </w:pPr>
      <w:r w:rsidRPr="00505EED">
        <w:rPr>
          <w:rFonts w:ascii="Arial" w:hAnsi="Arial" w:hint="cs"/>
          <w:rtl/>
        </w:rPr>
        <w:t>2.</w:t>
      </w:r>
      <w:r w:rsidRPr="00505EED">
        <w:rPr>
          <w:rFonts w:ascii="Arial" w:hAnsi="Arial" w:hint="cs"/>
          <w:rtl/>
        </w:rPr>
        <w:tab/>
        <w:t xml:space="preserve">עפ"י העובדות המתוארות בכתב האישום המתוקן בהן הודה הנאשם, אזי ביום 19.2.16 הגיע הנאשם עם רכב, יצא מן הרכב כשהוא משאיר אותו מונע, ניגש לחלון, נתן דבר מה לאדם אחר וקיבל לידיו 7 אריזות מפלסטיק סגורות כל אחת בחום המכילות סם מסוכן מסוג הירואין במשקל נטו מחושב של 3.8647 גר' (+/- 0.2163) . משהתקרב לרכבו והבחין בשוטר, השליך מידו את הסם. </w:t>
      </w:r>
    </w:p>
    <w:p w14:paraId="5C851B56" w14:textId="77777777" w:rsidR="00641627" w:rsidRPr="00505EED" w:rsidRDefault="00641627" w:rsidP="00641627">
      <w:pPr>
        <w:spacing w:line="360" w:lineRule="auto"/>
        <w:ind w:left="720" w:hanging="720"/>
        <w:jc w:val="both"/>
        <w:rPr>
          <w:rFonts w:ascii="Arial" w:hAnsi="Arial"/>
          <w:rtl/>
        </w:rPr>
      </w:pPr>
    </w:p>
    <w:p w14:paraId="7976A16F" w14:textId="77777777" w:rsidR="00641627" w:rsidRPr="00505EED" w:rsidRDefault="00641627" w:rsidP="00641627">
      <w:pPr>
        <w:spacing w:line="360" w:lineRule="auto"/>
        <w:ind w:left="720" w:hanging="720"/>
        <w:jc w:val="both"/>
        <w:rPr>
          <w:rFonts w:ascii="Arial" w:hAnsi="Arial"/>
          <w:rtl/>
        </w:rPr>
      </w:pPr>
      <w:bookmarkStart w:id="8" w:name="ABSTRACT_END"/>
      <w:bookmarkEnd w:id="8"/>
      <w:r w:rsidRPr="00505EED">
        <w:rPr>
          <w:rFonts w:ascii="Arial" w:hAnsi="Arial" w:hint="cs"/>
          <w:rtl/>
        </w:rPr>
        <w:t>3.</w:t>
      </w:r>
      <w:r w:rsidRPr="00505EED">
        <w:rPr>
          <w:rFonts w:ascii="Arial" w:hAnsi="Arial" w:hint="cs"/>
          <w:rtl/>
        </w:rPr>
        <w:tab/>
        <w:t xml:space="preserve">יצוין כי במסגרת הסדר דיוני, תוקן כתב האישום מעבירת החזקת סמים שלא לצריכה עצמית לעבירת החזקת סמים לצריכה עצמית. הצדדים נימקו זאת בקושי ראייתי משמעותי. </w:t>
      </w:r>
    </w:p>
    <w:p w14:paraId="571C0E71" w14:textId="77777777" w:rsidR="00641627" w:rsidRPr="00505EED" w:rsidRDefault="00641627" w:rsidP="00641627">
      <w:pPr>
        <w:spacing w:line="360" w:lineRule="auto"/>
        <w:ind w:left="720" w:hanging="720"/>
        <w:jc w:val="both"/>
        <w:rPr>
          <w:rFonts w:ascii="Arial" w:hAnsi="Arial"/>
          <w:rtl/>
        </w:rPr>
      </w:pPr>
    </w:p>
    <w:p w14:paraId="6A62ED46" w14:textId="77777777" w:rsidR="00641627" w:rsidRPr="00505EED" w:rsidRDefault="00641627" w:rsidP="00641627">
      <w:pPr>
        <w:spacing w:line="360" w:lineRule="auto"/>
        <w:ind w:left="720" w:hanging="720"/>
        <w:jc w:val="both"/>
        <w:rPr>
          <w:rFonts w:ascii="Arial" w:hAnsi="Arial"/>
          <w:rtl/>
        </w:rPr>
      </w:pPr>
      <w:r w:rsidRPr="00505EED">
        <w:rPr>
          <w:rFonts w:ascii="Arial" w:hAnsi="Arial" w:hint="cs"/>
          <w:rtl/>
        </w:rPr>
        <w:t>4.</w:t>
      </w:r>
      <w:r w:rsidRPr="00505EED">
        <w:rPr>
          <w:rFonts w:ascii="Arial" w:hAnsi="Arial" w:hint="cs"/>
          <w:rtl/>
        </w:rPr>
        <w:tab/>
        <w:t xml:space="preserve">לא התבקש תסקיר שירות המבחן. </w:t>
      </w:r>
    </w:p>
    <w:p w14:paraId="703589AB" w14:textId="77777777" w:rsidR="00641627" w:rsidRPr="00505EED" w:rsidRDefault="00641627" w:rsidP="00641627">
      <w:pPr>
        <w:spacing w:line="360" w:lineRule="auto"/>
        <w:ind w:left="720" w:hanging="720"/>
        <w:jc w:val="both"/>
        <w:rPr>
          <w:rFonts w:ascii="Arial" w:hAnsi="Arial"/>
          <w:rtl/>
        </w:rPr>
      </w:pPr>
    </w:p>
    <w:p w14:paraId="50EF4CE5" w14:textId="77777777" w:rsidR="00641627" w:rsidRPr="00505EED" w:rsidRDefault="00641627" w:rsidP="00641627">
      <w:pPr>
        <w:spacing w:line="360" w:lineRule="auto"/>
        <w:ind w:left="720" w:hanging="720"/>
        <w:jc w:val="both"/>
        <w:rPr>
          <w:rFonts w:ascii="Arial" w:hAnsi="Arial"/>
          <w:rtl/>
        </w:rPr>
      </w:pPr>
      <w:r w:rsidRPr="00505EED">
        <w:rPr>
          <w:rFonts w:ascii="Arial" w:hAnsi="Arial" w:hint="cs"/>
          <w:rtl/>
        </w:rPr>
        <w:t>5.</w:t>
      </w:r>
      <w:r w:rsidRPr="00505EED">
        <w:rPr>
          <w:rFonts w:ascii="Arial" w:hAnsi="Arial" w:hint="cs"/>
          <w:rtl/>
        </w:rPr>
        <w:tab/>
        <w:t xml:space="preserve">הערכים המוגנים אשר נפגעו כתוצאה מביצוע העבירה, הינם פגיעה בבריאות הציבור וכיבוד הוראות החוק. </w:t>
      </w:r>
    </w:p>
    <w:p w14:paraId="0765DD10" w14:textId="77777777" w:rsidR="00641627" w:rsidRPr="00505EED" w:rsidRDefault="00641627" w:rsidP="00641627">
      <w:pPr>
        <w:spacing w:line="360" w:lineRule="auto"/>
        <w:ind w:left="720" w:hanging="720"/>
        <w:jc w:val="both"/>
        <w:rPr>
          <w:rFonts w:ascii="Arial" w:hAnsi="Arial"/>
          <w:rtl/>
        </w:rPr>
      </w:pPr>
    </w:p>
    <w:p w14:paraId="69DE698E" w14:textId="77777777" w:rsidR="00641627" w:rsidRPr="00505EED" w:rsidRDefault="00641627" w:rsidP="00641627">
      <w:pPr>
        <w:spacing w:line="360" w:lineRule="auto"/>
        <w:ind w:left="720" w:hanging="720"/>
        <w:jc w:val="both"/>
        <w:rPr>
          <w:rFonts w:ascii="Arial" w:hAnsi="Arial"/>
          <w:rtl/>
        </w:rPr>
      </w:pPr>
      <w:r w:rsidRPr="00505EED">
        <w:rPr>
          <w:rFonts w:ascii="Arial" w:hAnsi="Arial" w:hint="cs"/>
          <w:rtl/>
        </w:rPr>
        <w:t>6.</w:t>
      </w:r>
      <w:r w:rsidRPr="00505EED">
        <w:rPr>
          <w:rFonts w:ascii="Arial" w:hAnsi="Arial" w:hint="cs"/>
          <w:rtl/>
        </w:rPr>
        <w:tab/>
        <w:t xml:space="preserve">העבירה אותה ביצע הנאשם מחייבת תכנון. הנאשם ידע להיכן להגיע. אין זו עבירה ספונטנית או לפחות לא הוצגו ראיות הטוענות לכך.  הנאשם נושא במלוא האחריות לביצוע העבירה, אין לו שותפים. </w:t>
      </w:r>
    </w:p>
    <w:p w14:paraId="14845603" w14:textId="77777777" w:rsidR="00641627" w:rsidRPr="00505EED" w:rsidRDefault="00641627" w:rsidP="00641627">
      <w:pPr>
        <w:spacing w:line="360" w:lineRule="auto"/>
        <w:ind w:left="720" w:hanging="720"/>
        <w:jc w:val="both"/>
        <w:rPr>
          <w:rFonts w:ascii="Arial" w:hAnsi="Arial"/>
          <w:rtl/>
        </w:rPr>
      </w:pPr>
    </w:p>
    <w:p w14:paraId="33E47A5F" w14:textId="77777777" w:rsidR="00641627" w:rsidRPr="00505EED" w:rsidRDefault="00641627" w:rsidP="00641627">
      <w:pPr>
        <w:spacing w:line="360" w:lineRule="auto"/>
        <w:ind w:left="720" w:hanging="720"/>
        <w:jc w:val="both"/>
        <w:rPr>
          <w:rFonts w:ascii="Arial" w:hAnsi="Arial"/>
          <w:rtl/>
        </w:rPr>
      </w:pPr>
      <w:r w:rsidRPr="00505EED">
        <w:rPr>
          <w:rFonts w:ascii="Arial" w:hAnsi="Arial" w:hint="cs"/>
          <w:rtl/>
        </w:rPr>
        <w:t>7.</w:t>
      </w:r>
      <w:r w:rsidRPr="00505EED">
        <w:rPr>
          <w:rFonts w:ascii="Arial" w:hAnsi="Arial" w:hint="cs"/>
          <w:rtl/>
        </w:rPr>
        <w:tab/>
        <w:t xml:space="preserve">הסנגורית טוענת כי מצבו הרפואי של הנאשם הביא אותו לביצוע העבירה. לצורך כך הציגה אישור רפואי מחודש דצמבר 2018. אציין כי בהתאם לאותו אישור רפואי, הנאשם עבר תאונה קשה בשנת 1995 ומאז סובל מכאבים כרוניים "נוטה לאורך השנים אופיאטים במינונים גבוהים, אינו יכול בלי" מצוין כי בעבר נעזר במינונים ובמגוון נרקוטי עשיר יותר. הרופא עורך אותו אישור לצורך בקשה לקבלת קנאביס רפואי כתחליף תוך שהוא מציין כי לא נדרשת גמילה מאחר ומדובר בעזרה עם כאבים. יחד עם זאת, הוא אומר כי הכרותו עם הנאשם הינה קצרה מאוד. אינני מוצאת כי הוכחו לי במקרה זה נסיבות מיוחדות אשר הביאו את הנאשם לבצע את העבירה (כהוראות </w:t>
      </w:r>
      <w:hyperlink r:id="rId19" w:history="1">
        <w:r w:rsidR="0057068E" w:rsidRPr="0057068E">
          <w:rPr>
            <w:rStyle w:val="Hyperlink"/>
            <w:rFonts w:ascii="Arial" w:hAnsi="Arial" w:hint="eastAsia"/>
            <w:color w:val="0000FF"/>
            <w:rtl/>
          </w:rPr>
          <w:t>סעיף</w:t>
        </w:r>
        <w:r w:rsidR="0057068E" w:rsidRPr="0057068E">
          <w:rPr>
            <w:rStyle w:val="Hyperlink"/>
            <w:rFonts w:ascii="Arial" w:hAnsi="Arial"/>
            <w:color w:val="0000FF"/>
            <w:rtl/>
          </w:rPr>
          <w:t xml:space="preserve"> 40ט(א)(5))</w:t>
        </w:r>
      </w:hyperlink>
      <w:r w:rsidRPr="00505EED">
        <w:rPr>
          <w:rFonts w:ascii="Arial" w:hAnsi="Arial" w:hint="cs"/>
          <w:rtl/>
        </w:rPr>
        <w:t xml:space="preserve"> שכן מדובר בהירואין ולא מדובר במריחואנה, לדוגמא, או קנאביס ומצוין באופן מפורש שבאותה עת כן קיבל תרופות נרקוטיות. הבקשה לקבלת קנאביס רפואי נושא תאריך 13.9.18 כשנתיים וחצי לאחר מועד ביצוע העבירה. </w:t>
      </w:r>
    </w:p>
    <w:p w14:paraId="5F375AB6" w14:textId="77777777" w:rsidR="00641627" w:rsidRPr="00505EED" w:rsidRDefault="00641627" w:rsidP="00641627">
      <w:pPr>
        <w:spacing w:line="360" w:lineRule="auto"/>
        <w:ind w:left="720" w:hanging="720"/>
        <w:jc w:val="both"/>
        <w:rPr>
          <w:rFonts w:ascii="Arial" w:hAnsi="Arial"/>
          <w:rtl/>
        </w:rPr>
      </w:pPr>
    </w:p>
    <w:bookmarkEnd w:id="0"/>
    <w:bookmarkEnd w:id="1"/>
    <w:p w14:paraId="699FEDE7" w14:textId="77777777" w:rsidR="00641627" w:rsidRDefault="00641627" w:rsidP="00641627">
      <w:pPr>
        <w:spacing w:line="360" w:lineRule="auto"/>
        <w:ind w:left="720" w:hanging="720"/>
        <w:jc w:val="both"/>
        <w:rPr>
          <w:rFonts w:ascii="Arial" w:hAnsi="Arial"/>
          <w:rtl/>
        </w:rPr>
      </w:pPr>
      <w:r>
        <w:rPr>
          <w:rFonts w:ascii="Arial" w:hAnsi="Arial" w:hint="cs"/>
          <w:rtl/>
        </w:rPr>
        <w:t>8.</w:t>
      </w:r>
      <w:r>
        <w:rPr>
          <w:rFonts w:ascii="Arial" w:hAnsi="Arial" w:hint="cs"/>
          <w:rtl/>
        </w:rPr>
        <w:tab/>
        <w:t xml:space="preserve">לעניין קביעת מתחם הענישה, יש להתייחס לכך כי לא מדובר בסם הנחשב אחד מבין הסמים "הקלים". בטווח של שימוש עצמי בסמים, מדובר בכמות גדולה יחסית. לפיכך, ולאור כתב האישום המתוקן, יש להתייחס במתחם הענישה לעובדה כי עסקינן בעברה הקלה יותר מבין השתיים </w:t>
      </w:r>
      <w:hyperlink r:id="rId20" w:history="1">
        <w:r w:rsidR="0057068E" w:rsidRPr="0057068E">
          <w:rPr>
            <w:rStyle w:val="Hyperlink"/>
            <w:rFonts w:ascii="Arial" w:hAnsi="Arial" w:hint="eastAsia"/>
            <w:color w:val="0000FF"/>
            <w:rtl/>
          </w:rPr>
          <w:t>שבסעיף</w:t>
        </w:r>
        <w:r w:rsidR="0057068E" w:rsidRPr="0057068E">
          <w:rPr>
            <w:rStyle w:val="Hyperlink"/>
            <w:rFonts w:ascii="Arial" w:hAnsi="Arial"/>
            <w:color w:val="0000FF"/>
            <w:rtl/>
          </w:rPr>
          <w:t xml:space="preserve"> 7(ג)</w:t>
        </w:r>
      </w:hyperlink>
      <w:r>
        <w:rPr>
          <w:rFonts w:ascii="Arial" w:hAnsi="Arial" w:hint="cs"/>
          <w:rtl/>
        </w:rPr>
        <w:t xml:space="preserve"> לפקודת הסמים אך מאידך, כי נסיבותיה אינן קלות שבשימוש עצמי שכן נסיבה קלה לשימוש עצמי הינה שימוש בסם "קל" ובכמות שמתאימה למנה אחת לדוגמא. </w:t>
      </w:r>
    </w:p>
    <w:p w14:paraId="3776A570" w14:textId="77777777" w:rsidR="00641627" w:rsidRDefault="00641627" w:rsidP="00641627">
      <w:pPr>
        <w:spacing w:line="360" w:lineRule="auto"/>
        <w:ind w:left="720" w:hanging="720"/>
        <w:jc w:val="both"/>
        <w:rPr>
          <w:rFonts w:ascii="Arial" w:hAnsi="Arial"/>
          <w:rtl/>
        </w:rPr>
      </w:pPr>
    </w:p>
    <w:p w14:paraId="5DB59074" w14:textId="77777777" w:rsidR="00641627" w:rsidRDefault="00641627" w:rsidP="00641627">
      <w:pPr>
        <w:spacing w:line="360" w:lineRule="auto"/>
        <w:ind w:left="720" w:hanging="720"/>
        <w:jc w:val="both"/>
        <w:rPr>
          <w:rFonts w:ascii="Arial" w:hAnsi="Arial"/>
          <w:rtl/>
        </w:rPr>
      </w:pPr>
      <w:r>
        <w:rPr>
          <w:rFonts w:ascii="Arial" w:hAnsi="Arial" w:hint="cs"/>
          <w:rtl/>
        </w:rPr>
        <w:t>9.</w:t>
      </w:r>
      <w:r>
        <w:rPr>
          <w:rFonts w:ascii="Arial" w:hAnsi="Arial"/>
          <w:rtl/>
        </w:rPr>
        <w:tab/>
      </w:r>
      <w:r>
        <w:rPr>
          <w:rFonts w:ascii="Arial" w:hAnsi="Arial" w:hint="cs"/>
          <w:rtl/>
        </w:rPr>
        <w:t xml:space="preserve">המאשימה טוענת למתחם ענישה שהינו בין חודשיים ל </w:t>
      </w:r>
      <w:r>
        <w:rPr>
          <w:rFonts w:ascii="Arial" w:hAnsi="Arial"/>
          <w:rtl/>
        </w:rPr>
        <w:t>–</w:t>
      </w:r>
      <w:r>
        <w:rPr>
          <w:rFonts w:ascii="Arial" w:hAnsi="Arial" w:hint="cs"/>
          <w:rtl/>
        </w:rPr>
        <w:t xml:space="preserve"> 8 חודשי מאסר. הסנגורית טוענת כי מתחם הענישה אמור להתחיל במאסר מותנה. </w:t>
      </w:r>
    </w:p>
    <w:p w14:paraId="19739905" w14:textId="77777777" w:rsidR="00641627" w:rsidRDefault="00641627" w:rsidP="00641627">
      <w:pPr>
        <w:spacing w:line="360" w:lineRule="auto"/>
        <w:ind w:left="720" w:hanging="720"/>
        <w:jc w:val="both"/>
        <w:rPr>
          <w:rFonts w:ascii="Arial" w:hAnsi="Arial"/>
          <w:rtl/>
        </w:rPr>
      </w:pPr>
    </w:p>
    <w:p w14:paraId="02C2175B" w14:textId="77777777" w:rsidR="00641627" w:rsidRDefault="00641627" w:rsidP="00641627">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המאשימה הפנתה לגז"ד אשר ניתן על ידי במסגרת </w:t>
      </w:r>
      <w:hyperlink r:id="rId21" w:history="1">
        <w:r w:rsidR="00505EED" w:rsidRPr="00505EED">
          <w:rPr>
            <w:rFonts w:ascii="Arial" w:hAnsi="Arial"/>
            <w:color w:val="0000FF"/>
            <w:u w:val="single"/>
            <w:rtl/>
          </w:rPr>
          <w:t>ת.פ. 52946-03-16</w:t>
        </w:r>
      </w:hyperlink>
      <w:r>
        <w:rPr>
          <w:rFonts w:ascii="Arial" w:hAnsi="Arial" w:hint="cs"/>
          <w:rtl/>
        </w:rPr>
        <w:t xml:space="preserve"> שם נדון אדם בגין החזקת סם מסוג הירואין, אותו סוג סם כבמקרה שבפניי, במשקל של כ </w:t>
      </w:r>
      <w:r>
        <w:rPr>
          <w:rFonts w:ascii="Arial" w:hAnsi="Arial"/>
          <w:rtl/>
        </w:rPr>
        <w:t>–</w:t>
      </w:r>
      <w:r>
        <w:rPr>
          <w:rFonts w:ascii="Arial" w:hAnsi="Arial" w:hint="cs"/>
          <w:rtl/>
        </w:rPr>
        <w:t xml:space="preserve"> 3.0294 גר' שהינו משקל נמוך במקצת מזה המונח בפניי כעת. באותו מקרה היה הסם ארוז ב </w:t>
      </w:r>
      <w:r>
        <w:rPr>
          <w:rFonts w:ascii="Arial" w:hAnsi="Arial"/>
          <w:rtl/>
        </w:rPr>
        <w:t>–</w:t>
      </w:r>
      <w:r>
        <w:rPr>
          <w:rFonts w:ascii="Arial" w:hAnsi="Arial" w:hint="cs"/>
          <w:rtl/>
        </w:rPr>
        <w:t xml:space="preserve"> 6 אריזות אך שם החדיר הנאשם לגופו ונתפס בשעת כניסה לבית מעצר. באותו מקרה קבעתי כי מתחם הענישה נע בין 5 חודשי מאסר ועד 18 חודשי מאסר אך כאמור יש להתחשב בסוג הסם, כמותו ונסיבות החזקתו. עוד יש לציין כי שם הורשע הנאשם בהחזקת סמים שלא לצריכה </w:t>
      </w:r>
      <w:r>
        <w:rPr>
          <w:rFonts w:ascii="Arial" w:hAnsi="Arial" w:hint="cs"/>
          <w:rtl/>
        </w:rPr>
        <w:lastRenderedPageBreak/>
        <w:t xml:space="preserve">עצמית. כתב האישום במקרה זה תוקן להחזקת סמים לצריכה עצמית. עיון בהוראות </w:t>
      </w:r>
      <w:hyperlink r:id="rId22" w:history="1">
        <w:r w:rsidR="0057068E" w:rsidRPr="0057068E">
          <w:rPr>
            <w:rStyle w:val="Hyperlink"/>
            <w:rFonts w:ascii="Arial" w:hAnsi="Arial" w:hint="eastAsia"/>
            <w:color w:val="0000FF"/>
            <w:rtl/>
          </w:rPr>
          <w:t>סעיף</w:t>
        </w:r>
        <w:r w:rsidR="0057068E" w:rsidRPr="0057068E">
          <w:rPr>
            <w:rStyle w:val="Hyperlink"/>
            <w:rFonts w:ascii="Arial" w:hAnsi="Arial"/>
            <w:color w:val="0000FF"/>
            <w:rtl/>
          </w:rPr>
          <w:t xml:space="preserve"> 7(ג)</w:t>
        </w:r>
      </w:hyperlink>
      <w:r>
        <w:rPr>
          <w:rFonts w:ascii="Arial" w:hAnsi="Arial" w:hint="cs"/>
          <w:rtl/>
        </w:rPr>
        <w:t xml:space="preserve"> ל</w:t>
      </w:r>
      <w:hyperlink r:id="rId23" w:history="1">
        <w:r w:rsidR="00505EED" w:rsidRPr="00505EED">
          <w:rPr>
            <w:rFonts w:ascii="Arial" w:hAnsi="Arial"/>
            <w:color w:val="0000FF"/>
            <w:u w:val="single"/>
            <w:rtl/>
          </w:rPr>
          <w:t>פקודת הסמים המסוכנים</w:t>
        </w:r>
      </w:hyperlink>
      <w:r>
        <w:rPr>
          <w:rFonts w:ascii="Arial" w:hAnsi="Arial" w:hint="cs"/>
          <w:rtl/>
        </w:rPr>
        <w:t xml:space="preserve"> מלמד כי רף הענישה העליון להחזקת סמים שלא לצריכה עצמית הינו 20 שנים מאסר ואילו בהחזקת סם לצריכה עצמית, 3 שנות מאסר. כך גם ביחס לקנס לצד המאסר. ללמדך, שמרגע שבחרה המאשימה להגיש כתב האישום בגין החזקת סמים לצריכה עצמית, הרי שרף הענישה יורד באופן משמעותי. הגם, שיש לקבוע את המתחם בהתחשב בכמות הסם וטיבו. יחד עם זאת, אין להלום את המתחם לזה אשר היה נקבע באותן נסיבות בדיוק אך עם הרשעה בעבירה החמורה יותר, החזקת הסם שלא לצריכה עצמית. מכל האמור לעיל נלמד כי על המתחם להיות נמוך באופן משמעותי מזה אשר נקבע באותו הליך אליו הפנתה המאשימה. </w:t>
      </w:r>
    </w:p>
    <w:p w14:paraId="6B06BCEC" w14:textId="77777777" w:rsidR="00641627" w:rsidRDefault="00641627" w:rsidP="00641627">
      <w:pPr>
        <w:spacing w:line="360" w:lineRule="auto"/>
        <w:ind w:left="720" w:hanging="720"/>
        <w:jc w:val="both"/>
        <w:rPr>
          <w:rFonts w:ascii="Arial" w:hAnsi="Arial"/>
          <w:rtl/>
        </w:rPr>
      </w:pPr>
    </w:p>
    <w:p w14:paraId="7C8A92C8" w14:textId="77777777" w:rsidR="00641627" w:rsidRDefault="00641627" w:rsidP="00641627">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על כן, מוצאת אני כי מתחם הענישה אכן מתחיל במאסר מותנה אשר תקופתו צריכה להתייחס לטיב הסם וכמותו ועד כדי 18 חודשי מאסר. </w:t>
      </w:r>
    </w:p>
    <w:p w14:paraId="6B2E0CE6" w14:textId="77777777" w:rsidR="00641627" w:rsidRDefault="00641627" w:rsidP="00641627">
      <w:pPr>
        <w:spacing w:line="360" w:lineRule="auto"/>
        <w:ind w:left="720" w:hanging="720"/>
        <w:jc w:val="both"/>
        <w:rPr>
          <w:rFonts w:ascii="Arial" w:hAnsi="Arial"/>
          <w:rtl/>
        </w:rPr>
      </w:pPr>
    </w:p>
    <w:p w14:paraId="60B1B256" w14:textId="77777777" w:rsidR="00641627" w:rsidRDefault="00641627" w:rsidP="00641627">
      <w:pPr>
        <w:spacing w:line="360" w:lineRule="auto"/>
        <w:ind w:left="720" w:hanging="720"/>
        <w:jc w:val="both"/>
        <w:rPr>
          <w:rFonts w:ascii="Arial" w:hAnsi="Arial"/>
          <w:rtl/>
        </w:rPr>
      </w:pPr>
      <w:r>
        <w:rPr>
          <w:rFonts w:ascii="Arial" w:hAnsi="Arial" w:hint="cs"/>
          <w:rtl/>
        </w:rPr>
        <w:t>12.</w:t>
      </w:r>
      <w:r>
        <w:rPr>
          <w:rFonts w:ascii="Arial" w:hAnsi="Arial" w:hint="cs"/>
          <w:rtl/>
        </w:rPr>
        <w:tab/>
        <w:t xml:space="preserve">באשר למיקומו של הנאשם בתוך המתחם, טענה הסנגורית לשיקומו של הנאשם ולצורך כך הובא לעדות מר פריאנטה  דוד אשר  העיד כי הוא עובד סוציאלי, מדריך מוסמך לנפגעי סמים, מנחה בקבוצות ומטפל בזוגיות ובגישור וכי הנאשם היה בטיפול במרכז גמילה בקריית אתא באשפוזית ומאז הוא יושב איתו לשיחות, הנאשם מגיע מדי פעם  למכורים אנונימיים. יחד עם זאת, הוא אישר כי אינו פועל מטעם ארגון ממשלתי כלשהו. כאמור, הנאשם לא הופנה לקבלת תסקיר שירות המבחן ואין בפניי תוצאות של בדיקות שתן. </w:t>
      </w:r>
    </w:p>
    <w:p w14:paraId="1C1384E8" w14:textId="77777777" w:rsidR="00641627" w:rsidRDefault="00641627" w:rsidP="00641627">
      <w:pPr>
        <w:spacing w:line="360" w:lineRule="auto"/>
        <w:ind w:left="720" w:hanging="720"/>
        <w:jc w:val="both"/>
        <w:rPr>
          <w:rFonts w:ascii="Arial" w:hAnsi="Arial"/>
          <w:rtl/>
        </w:rPr>
      </w:pPr>
    </w:p>
    <w:p w14:paraId="33DE6ED5" w14:textId="77777777" w:rsidR="00641627" w:rsidRDefault="00641627" w:rsidP="00641627">
      <w:pPr>
        <w:spacing w:line="360" w:lineRule="auto"/>
        <w:ind w:left="720" w:hanging="720"/>
        <w:jc w:val="both"/>
        <w:rPr>
          <w:rFonts w:ascii="Arial" w:hAnsi="Arial"/>
          <w:rtl/>
        </w:rPr>
      </w:pPr>
      <w:r>
        <w:rPr>
          <w:rFonts w:ascii="Arial" w:hAnsi="Arial" w:hint="cs"/>
          <w:rtl/>
        </w:rPr>
        <w:t>13.</w:t>
      </w:r>
      <w:r>
        <w:rPr>
          <w:rFonts w:ascii="Arial" w:hAnsi="Arial"/>
          <w:rtl/>
        </w:rPr>
        <w:tab/>
      </w:r>
      <w:r>
        <w:rPr>
          <w:rFonts w:ascii="Arial" w:hAnsi="Arial" w:hint="cs"/>
          <w:rtl/>
        </w:rPr>
        <w:t xml:space="preserve">יחד עם זאת, קיים אישור קרבה אשפוזית וקיים מכתב מטעם המוסד לבטוח לאומי מיום 11.12.18 נ/2 על פיו נקבעו לנאשם 51% נכות רפואית ודרגת אי כושר עבודה לצמיתות. למרות זאת, הנאשם חיפש לאורך השנים עבודה ובשנת 2014 הופנה לקורס החזקת מבנים. הוא השתלב במספר מקומות עבודה עד שהחל לעבוד בעבודה קבועה מאז 01.9.17. מנהלת התחום בשיקום מציינת כי חשוב לשמר מצב זה של יציבות בעבודה המשליכה באופן חיובי על תחומי החיים האחרים. </w:t>
      </w:r>
    </w:p>
    <w:p w14:paraId="774E9DD8" w14:textId="77777777" w:rsidR="00641627" w:rsidRDefault="00641627" w:rsidP="00641627">
      <w:pPr>
        <w:spacing w:line="360" w:lineRule="auto"/>
        <w:ind w:left="720" w:hanging="720"/>
        <w:jc w:val="both"/>
        <w:rPr>
          <w:rFonts w:ascii="Arial" w:hAnsi="Arial"/>
          <w:rtl/>
        </w:rPr>
      </w:pPr>
    </w:p>
    <w:p w14:paraId="1E0A57B7" w14:textId="77777777" w:rsidR="00641627" w:rsidRDefault="00641627" w:rsidP="00641627">
      <w:pPr>
        <w:spacing w:line="360" w:lineRule="auto"/>
        <w:ind w:left="720" w:hanging="720"/>
        <w:jc w:val="both"/>
        <w:rPr>
          <w:rFonts w:ascii="Arial" w:hAnsi="Arial"/>
          <w:rtl/>
        </w:rPr>
      </w:pPr>
      <w:r>
        <w:rPr>
          <w:rFonts w:ascii="Arial" w:hAnsi="Arial" w:hint="cs"/>
          <w:rtl/>
        </w:rPr>
        <w:t>14.</w:t>
      </w:r>
      <w:r>
        <w:rPr>
          <w:rFonts w:ascii="Arial" w:hAnsi="Arial" w:hint="cs"/>
          <w:rtl/>
        </w:rPr>
        <w:tab/>
        <w:t xml:space="preserve">לנאשם עבר פלילי הכולל הרשעות רבות בתחום הרכוש ושתי הרשעות בתחום הסמים כאשר באחרונה ניתן גז"ד ביום 19.4.16. משמעות הדבר כי בעת מתן גזה"ד האחרון בעבירה בתחום הסמים, כבר היה הליך חקירה בגין תיק זה. התיק לא צורף, אין בפניי הסבר מלא מדוע ויש להתחשב בכך. באותו הליך נדון למאסר מותנה. </w:t>
      </w:r>
    </w:p>
    <w:p w14:paraId="0DD3BEDB" w14:textId="77777777" w:rsidR="00641627" w:rsidRDefault="00641627" w:rsidP="00641627">
      <w:pPr>
        <w:spacing w:line="360" w:lineRule="auto"/>
        <w:ind w:left="720" w:hanging="720"/>
        <w:jc w:val="both"/>
        <w:rPr>
          <w:rFonts w:ascii="Arial" w:hAnsi="Arial"/>
          <w:rtl/>
        </w:rPr>
      </w:pPr>
    </w:p>
    <w:p w14:paraId="0F4D93F4" w14:textId="77777777" w:rsidR="00641627" w:rsidRDefault="00641627" w:rsidP="00641627">
      <w:pPr>
        <w:spacing w:line="360" w:lineRule="auto"/>
        <w:ind w:left="720" w:hanging="720"/>
        <w:jc w:val="both"/>
        <w:rPr>
          <w:rFonts w:ascii="Arial" w:hAnsi="Arial"/>
          <w:rtl/>
        </w:rPr>
      </w:pPr>
      <w:r>
        <w:rPr>
          <w:rFonts w:ascii="Arial" w:hAnsi="Arial" w:hint="cs"/>
          <w:rtl/>
        </w:rPr>
        <w:t>15.</w:t>
      </w:r>
      <w:r>
        <w:rPr>
          <w:rFonts w:ascii="Arial" w:hAnsi="Arial" w:hint="cs"/>
          <w:rtl/>
        </w:rPr>
        <w:tab/>
        <w:t xml:space="preserve">מכל האמור לעיל, יש לקבוע כי הנאשם מצוי בחלק הנמוך של מתחם הענישה אם כי לא בתחתיתו. משמעות הדבר במקרה של הנאשם הינה, כי יש לגזור עליו מאסר מותנה שכן השלכות ריצוי מאסר בפועל גם אם בדרך של עבודות שירות, הינה קטיעת ההליך השיקומי בו הוא מצוי ונסיגה אחורנית. יחד עם זאת, על אורכו של המאסר המותנה להביא לידי ביטוי את היקף העבירה  ועברו. </w:t>
      </w:r>
    </w:p>
    <w:p w14:paraId="2E31BA8E" w14:textId="77777777" w:rsidR="00641627" w:rsidRDefault="00641627" w:rsidP="00641627">
      <w:pPr>
        <w:spacing w:line="360" w:lineRule="auto"/>
        <w:ind w:left="720" w:hanging="720"/>
        <w:jc w:val="both"/>
        <w:rPr>
          <w:rFonts w:ascii="Arial" w:hAnsi="Arial"/>
          <w:rtl/>
        </w:rPr>
      </w:pPr>
    </w:p>
    <w:p w14:paraId="44CE94EE" w14:textId="77777777" w:rsidR="00641627" w:rsidRDefault="00641627" w:rsidP="00641627">
      <w:pPr>
        <w:spacing w:line="360" w:lineRule="auto"/>
        <w:ind w:left="720" w:hanging="720"/>
        <w:jc w:val="both"/>
        <w:rPr>
          <w:rFonts w:ascii="Arial" w:hAnsi="Arial"/>
          <w:rtl/>
        </w:rPr>
      </w:pPr>
      <w:r>
        <w:rPr>
          <w:rFonts w:ascii="Arial" w:hAnsi="Arial" w:hint="cs"/>
          <w:rtl/>
        </w:rPr>
        <w:t>16.</w:t>
      </w:r>
      <w:r>
        <w:rPr>
          <w:rFonts w:ascii="Arial" w:hAnsi="Arial" w:hint="cs"/>
          <w:rtl/>
        </w:rPr>
        <w:tab/>
        <w:t>לפיכך, הנני משיתה על הנאשם את העונשים הבאים:</w:t>
      </w:r>
    </w:p>
    <w:p w14:paraId="443442E8" w14:textId="77777777" w:rsidR="00641627" w:rsidRDefault="00641627" w:rsidP="00641627">
      <w:pPr>
        <w:spacing w:line="360" w:lineRule="auto"/>
        <w:ind w:left="720" w:hanging="720"/>
        <w:jc w:val="both"/>
        <w:rPr>
          <w:rFonts w:ascii="Arial" w:hAnsi="Arial"/>
          <w:rtl/>
        </w:rPr>
      </w:pPr>
    </w:p>
    <w:p w14:paraId="23F78CF5" w14:textId="77777777" w:rsidR="00641627" w:rsidRDefault="00641627" w:rsidP="00641627">
      <w:pPr>
        <w:overflowPunct w:val="0"/>
        <w:autoSpaceDE w:val="0"/>
        <w:autoSpaceDN w:val="0"/>
        <w:adjustRightInd w:val="0"/>
        <w:spacing w:line="360" w:lineRule="auto"/>
        <w:ind w:left="1440" w:hanging="720"/>
        <w:jc w:val="both"/>
        <w:rPr>
          <w:rtl/>
        </w:rPr>
      </w:pPr>
      <w:r>
        <w:rPr>
          <w:rFonts w:hint="cs"/>
          <w:rtl/>
        </w:rPr>
        <w:t>א.</w:t>
      </w:r>
      <w:r>
        <w:rPr>
          <w:rFonts w:hint="cs"/>
          <w:rtl/>
        </w:rPr>
        <w:tab/>
        <w:t xml:space="preserve">מאסר על תנאי לתקופה של 3 חודשים, למשך  3  שנים מהיום, והתנאי הוא כי הנאשם לא יעבור בתקופה זו עבירה על </w:t>
      </w:r>
      <w:hyperlink r:id="rId24" w:history="1">
        <w:r w:rsidR="00505EED" w:rsidRPr="00505EED">
          <w:rPr>
            <w:color w:val="0000FF"/>
            <w:u w:val="single"/>
            <w:rtl/>
          </w:rPr>
          <w:t>פקודת הסמים המסוכנים</w:t>
        </w:r>
      </w:hyperlink>
      <w:r>
        <w:rPr>
          <w:rFonts w:hint="cs"/>
          <w:rtl/>
        </w:rPr>
        <w:t xml:space="preserve">  ויורשע עליה בדין. </w:t>
      </w:r>
    </w:p>
    <w:p w14:paraId="6AE76233" w14:textId="77777777" w:rsidR="00641627" w:rsidRDefault="00641627" w:rsidP="00641627">
      <w:pPr>
        <w:overflowPunct w:val="0"/>
        <w:autoSpaceDE w:val="0"/>
        <w:autoSpaceDN w:val="0"/>
        <w:adjustRightInd w:val="0"/>
        <w:spacing w:line="360" w:lineRule="auto"/>
        <w:ind w:left="1440" w:hanging="720"/>
        <w:jc w:val="both"/>
        <w:rPr>
          <w:rtl/>
        </w:rPr>
      </w:pPr>
    </w:p>
    <w:p w14:paraId="49AF3E81" w14:textId="77777777" w:rsidR="00641627" w:rsidRDefault="00641627" w:rsidP="00641627">
      <w:pPr>
        <w:overflowPunct w:val="0"/>
        <w:autoSpaceDE w:val="0"/>
        <w:autoSpaceDN w:val="0"/>
        <w:adjustRightInd w:val="0"/>
        <w:spacing w:line="360" w:lineRule="auto"/>
        <w:ind w:left="1440" w:hanging="720"/>
        <w:jc w:val="both"/>
        <w:rPr>
          <w:rtl/>
        </w:rPr>
      </w:pPr>
      <w:r>
        <w:rPr>
          <w:rFonts w:hint="cs"/>
          <w:rtl/>
        </w:rPr>
        <w:t>ב.</w:t>
      </w:r>
      <w:r>
        <w:rPr>
          <w:rFonts w:hint="cs"/>
          <w:rtl/>
        </w:rPr>
        <w:tab/>
        <w:t>חתימה על התחייבות כספית בסך 5,000 ש"ח, להמנע מלעבור על עבירה על פקודתה הסמים המסוכנים  בתוך שנתיים מהיום.  אם לא יחתום היום על ההתחייבות, יש לאסור אותו למשך 7  ימים.</w:t>
      </w:r>
    </w:p>
    <w:p w14:paraId="62FDBDFE" w14:textId="77777777" w:rsidR="00641627" w:rsidRDefault="00641627" w:rsidP="00641627">
      <w:pPr>
        <w:overflowPunct w:val="0"/>
        <w:autoSpaceDE w:val="0"/>
        <w:autoSpaceDN w:val="0"/>
        <w:adjustRightInd w:val="0"/>
        <w:spacing w:line="360" w:lineRule="auto"/>
        <w:rPr>
          <w:rtl/>
        </w:rPr>
      </w:pPr>
    </w:p>
    <w:p w14:paraId="3B6E9F07" w14:textId="77777777" w:rsidR="00641627" w:rsidRDefault="00641627" w:rsidP="00641627">
      <w:pPr>
        <w:overflowPunct w:val="0"/>
        <w:autoSpaceDE w:val="0"/>
        <w:autoSpaceDN w:val="0"/>
        <w:adjustRightInd w:val="0"/>
        <w:spacing w:line="360" w:lineRule="auto"/>
        <w:ind w:left="1440" w:hanging="720"/>
        <w:jc w:val="both"/>
        <w:rPr>
          <w:rtl/>
        </w:rPr>
      </w:pPr>
      <w:r>
        <w:rPr>
          <w:rFonts w:hint="cs"/>
          <w:rtl/>
        </w:rPr>
        <w:t>ג.</w:t>
      </w:r>
      <w:r>
        <w:rPr>
          <w:rFonts w:hint="cs"/>
          <w:rtl/>
        </w:rPr>
        <w:tab/>
        <w:t xml:space="preserve">קנס בסך 3,000 ש"ח, או 6  ימי מאסר תמורתו.  הקנס ישולם ב-   תשלומים חודשיים שווים ע"ס 500 ש"ח כל אחד, החל מיום  28.1.19    ובכל 28 לחודש עוקב. </w:t>
      </w:r>
    </w:p>
    <w:p w14:paraId="1DD79CA6" w14:textId="77777777" w:rsidR="00641627" w:rsidRDefault="00641627" w:rsidP="00641627">
      <w:pPr>
        <w:overflowPunct w:val="0"/>
        <w:autoSpaceDE w:val="0"/>
        <w:autoSpaceDN w:val="0"/>
        <w:adjustRightInd w:val="0"/>
        <w:spacing w:line="360" w:lineRule="auto"/>
        <w:rPr>
          <w:rtl/>
        </w:rPr>
      </w:pPr>
      <w:r>
        <w:rPr>
          <w:rtl/>
        </w:rPr>
        <w:tab/>
      </w:r>
      <w:r>
        <w:rPr>
          <w:rFonts w:hint="cs"/>
          <w:rtl/>
        </w:rPr>
        <w:tab/>
        <w:t xml:space="preserve">אי עמידה באחד מתשלומי הקנס, תעמיד את יתרת הקנס לפרעון מיידי. </w:t>
      </w:r>
    </w:p>
    <w:p w14:paraId="73A13C42" w14:textId="77777777" w:rsidR="00641627" w:rsidRDefault="00641627" w:rsidP="00641627">
      <w:pPr>
        <w:overflowPunct w:val="0"/>
        <w:autoSpaceDE w:val="0"/>
        <w:autoSpaceDN w:val="0"/>
        <w:adjustRightInd w:val="0"/>
        <w:spacing w:line="360" w:lineRule="auto"/>
        <w:ind w:left="720" w:hanging="720"/>
        <w:jc w:val="both"/>
        <w:rPr>
          <w:rtl/>
        </w:rPr>
      </w:pPr>
    </w:p>
    <w:p w14:paraId="0B919369" w14:textId="77777777" w:rsidR="00641627" w:rsidRDefault="00641627" w:rsidP="00641627">
      <w:pPr>
        <w:overflowPunct w:val="0"/>
        <w:autoSpaceDE w:val="0"/>
        <w:autoSpaceDN w:val="0"/>
        <w:adjustRightInd w:val="0"/>
        <w:spacing w:line="360" w:lineRule="auto"/>
        <w:ind w:left="1440" w:hanging="720"/>
        <w:jc w:val="both"/>
        <w:rPr>
          <w:rtl/>
        </w:rPr>
      </w:pPr>
      <w:r>
        <w:rPr>
          <w:rFonts w:hint="cs"/>
          <w:rtl/>
        </w:rPr>
        <w:t>ד.</w:t>
      </w:r>
      <w:r>
        <w:rPr>
          <w:rtl/>
        </w:rPr>
        <w:tab/>
        <w:t>הנני פוסל</w:t>
      </w:r>
      <w:r>
        <w:rPr>
          <w:rFonts w:hint="cs"/>
          <w:rtl/>
        </w:rPr>
        <w:t>ת</w:t>
      </w:r>
      <w:r>
        <w:rPr>
          <w:rtl/>
        </w:rPr>
        <w:t xml:space="preserve"> את הנאשם מלקבל או מלהחזיק רשיון נהיגה לתקופה של </w:t>
      </w:r>
      <w:r>
        <w:rPr>
          <w:rFonts w:hint="cs"/>
          <w:rtl/>
        </w:rPr>
        <w:t>3</w:t>
      </w:r>
      <w:r>
        <w:rPr>
          <w:rtl/>
        </w:rPr>
        <w:t xml:space="preserve">  חודשים וזאת על תנאי למשך שנתיים והתנאי הוא שהנאשם לא יעבור עבירה </w:t>
      </w:r>
      <w:r>
        <w:rPr>
          <w:rFonts w:hint="cs"/>
          <w:rtl/>
        </w:rPr>
        <w:t xml:space="preserve">על </w:t>
      </w:r>
      <w:hyperlink r:id="rId25" w:history="1">
        <w:r w:rsidR="00505EED" w:rsidRPr="00505EED">
          <w:rPr>
            <w:color w:val="0000FF"/>
            <w:u w:val="single"/>
            <w:rtl/>
          </w:rPr>
          <w:t>פקודת הסמים המסוכנים</w:t>
        </w:r>
      </w:hyperlink>
      <w:r>
        <w:rPr>
          <w:rFonts w:hint="cs"/>
          <w:rtl/>
        </w:rPr>
        <w:t xml:space="preserve"> </w:t>
      </w:r>
      <w:r>
        <w:rPr>
          <w:rtl/>
        </w:rPr>
        <w:t xml:space="preserve">ויורשע בה. </w:t>
      </w:r>
    </w:p>
    <w:p w14:paraId="6AD0D81E" w14:textId="77777777" w:rsidR="00641627" w:rsidRDefault="00641627" w:rsidP="00641627">
      <w:pPr>
        <w:overflowPunct w:val="0"/>
        <w:autoSpaceDE w:val="0"/>
        <w:autoSpaceDN w:val="0"/>
        <w:adjustRightInd w:val="0"/>
        <w:spacing w:line="360" w:lineRule="auto"/>
        <w:rPr>
          <w:rtl/>
        </w:rPr>
      </w:pPr>
    </w:p>
    <w:p w14:paraId="68FFE0D8" w14:textId="77777777" w:rsidR="00641627" w:rsidRDefault="00641627" w:rsidP="00641627">
      <w:pPr>
        <w:overflowPunct w:val="0"/>
        <w:autoSpaceDE w:val="0"/>
        <w:autoSpaceDN w:val="0"/>
        <w:adjustRightInd w:val="0"/>
        <w:spacing w:line="360" w:lineRule="auto"/>
        <w:rPr>
          <w:rtl/>
        </w:rPr>
      </w:pPr>
      <w:r>
        <w:rPr>
          <w:rFonts w:hint="cs"/>
          <w:rtl/>
        </w:rPr>
        <w:t xml:space="preserve">זכות ערעור תוך 45 יום. </w:t>
      </w:r>
    </w:p>
    <w:p w14:paraId="3B61B8AD" w14:textId="77777777" w:rsidR="00641627" w:rsidRPr="00505EED" w:rsidRDefault="00505EED" w:rsidP="00641627">
      <w:pPr>
        <w:overflowPunct w:val="0"/>
        <w:autoSpaceDE w:val="0"/>
        <w:autoSpaceDN w:val="0"/>
        <w:adjustRightInd w:val="0"/>
        <w:spacing w:line="360" w:lineRule="auto"/>
        <w:rPr>
          <w:color w:val="FFFFFF"/>
          <w:sz w:val="2"/>
          <w:szCs w:val="2"/>
          <w:rtl/>
        </w:rPr>
      </w:pPr>
      <w:r w:rsidRPr="00505EED">
        <w:rPr>
          <w:color w:val="FFFFFF"/>
          <w:sz w:val="2"/>
          <w:szCs w:val="2"/>
          <w:rtl/>
        </w:rPr>
        <w:t>5129371</w:t>
      </w:r>
    </w:p>
    <w:p w14:paraId="2EF6A881" w14:textId="77777777" w:rsidR="00641627" w:rsidRDefault="00505EED" w:rsidP="00641627">
      <w:pPr>
        <w:overflowPunct w:val="0"/>
        <w:autoSpaceDE w:val="0"/>
        <w:autoSpaceDN w:val="0"/>
        <w:adjustRightInd w:val="0"/>
        <w:spacing w:line="360" w:lineRule="auto"/>
        <w:rPr>
          <w:rtl/>
        </w:rPr>
      </w:pPr>
      <w:r w:rsidRPr="00505EED">
        <w:rPr>
          <w:color w:val="FFFFFF"/>
          <w:sz w:val="2"/>
          <w:szCs w:val="2"/>
          <w:rtl/>
        </w:rPr>
        <w:t>54678313</w:t>
      </w:r>
      <w:r w:rsidR="00641627">
        <w:rPr>
          <w:rFonts w:hint="cs"/>
          <w:rtl/>
        </w:rPr>
        <w:t>המזכירות תשלח העתק ההחלטה לצדדים.</w:t>
      </w:r>
    </w:p>
    <w:p w14:paraId="47AB26AB" w14:textId="77777777" w:rsidR="00641627" w:rsidRDefault="00641627" w:rsidP="00641627">
      <w:pPr>
        <w:spacing w:line="360" w:lineRule="auto"/>
        <w:jc w:val="both"/>
        <w:rPr>
          <w:rFonts w:ascii="Arial" w:hAnsi="Arial"/>
          <w:rtl/>
        </w:rPr>
      </w:pPr>
    </w:p>
    <w:p w14:paraId="0BF744BE" w14:textId="77777777" w:rsidR="00641627" w:rsidRDefault="00505EED" w:rsidP="00641627">
      <w:pPr>
        <w:tabs>
          <w:tab w:val="left" w:pos="2553"/>
        </w:tabs>
        <w:ind w:left="5040"/>
        <w:rPr>
          <w:rtl/>
        </w:rPr>
      </w:pPr>
      <w:r>
        <w:rPr>
          <w:rFonts w:ascii="Arial" w:hAnsi="Arial"/>
          <w:rtl/>
        </w:rPr>
        <w:t xml:space="preserve">ניתנה היום, ח' שבט תשע"ט, 14 ינואר 2019, בהעדר הצדדים. </w:t>
      </w:r>
      <w:r w:rsidR="00641627">
        <w:rPr>
          <w:rFonts w:hint="cs"/>
          <w:rtl/>
        </w:rPr>
        <w:t xml:space="preserve">     </w:t>
      </w:r>
    </w:p>
    <w:p w14:paraId="2814DF9A" w14:textId="77777777" w:rsidR="00641627" w:rsidRDefault="00641627" w:rsidP="00641627">
      <w:pPr>
        <w:tabs>
          <w:tab w:val="left" w:pos="2553"/>
        </w:tabs>
      </w:pPr>
      <w:r>
        <w:rPr>
          <w:rFonts w:hint="cs"/>
          <w:rtl/>
        </w:rPr>
        <w:tab/>
      </w:r>
      <w:r>
        <w:rPr>
          <w:rFonts w:hint="cs"/>
          <w:rtl/>
        </w:rPr>
        <w:tab/>
      </w:r>
      <w:r>
        <w:rPr>
          <w:rFonts w:hint="cs"/>
          <w:rtl/>
        </w:rPr>
        <w:tab/>
      </w:r>
      <w:r>
        <w:rPr>
          <w:rFonts w:hint="cs"/>
          <w:rtl/>
        </w:rPr>
        <w:tab/>
        <w:t xml:space="preserve">        </w:t>
      </w:r>
      <w:r>
        <w:rPr>
          <w:rtl/>
        </w:rPr>
        <w:t xml:space="preserve">     </w:t>
      </w:r>
    </w:p>
    <w:p w14:paraId="43D2E1B9" w14:textId="77777777" w:rsidR="00641627" w:rsidRPr="0057068E" w:rsidRDefault="0057068E" w:rsidP="00641627">
      <w:pPr>
        <w:tabs>
          <w:tab w:val="left" w:pos="2553"/>
        </w:tabs>
        <w:rPr>
          <w:rFonts w:ascii="Arial" w:hAnsi="Arial"/>
          <w:color w:val="FFFFFF"/>
          <w:sz w:val="2"/>
          <w:szCs w:val="2"/>
          <w:rtl/>
        </w:rPr>
      </w:pPr>
      <w:r w:rsidRPr="0057068E">
        <w:rPr>
          <w:rFonts w:ascii="Arial" w:hAnsi="Arial"/>
          <w:color w:val="FFFFFF"/>
          <w:sz w:val="2"/>
          <w:szCs w:val="2"/>
          <w:rtl/>
        </w:rPr>
        <w:t>5129371</w:t>
      </w:r>
    </w:p>
    <w:p w14:paraId="0C2A5AB0" w14:textId="77777777" w:rsidR="00421DFF" w:rsidRPr="0057068E" w:rsidRDefault="0057068E" w:rsidP="00505EED">
      <w:pPr>
        <w:keepNext/>
        <w:rPr>
          <w:rFonts w:ascii="David" w:hAnsi="David"/>
          <w:color w:val="FFFFFF"/>
          <w:sz w:val="2"/>
          <w:szCs w:val="2"/>
          <w:rtl/>
        </w:rPr>
      </w:pPr>
      <w:r w:rsidRPr="0057068E">
        <w:rPr>
          <w:rFonts w:ascii="David" w:hAnsi="David"/>
          <w:color w:val="FFFFFF"/>
          <w:sz w:val="2"/>
          <w:szCs w:val="2"/>
          <w:rtl/>
        </w:rPr>
        <w:t>54678313</w:t>
      </w:r>
    </w:p>
    <w:p w14:paraId="4FE5DBAB" w14:textId="77777777" w:rsidR="00505EED" w:rsidRPr="00505EED" w:rsidRDefault="00505EED" w:rsidP="00505EED">
      <w:pPr>
        <w:keepNext/>
        <w:rPr>
          <w:rFonts w:ascii="David" w:hAnsi="David"/>
          <w:color w:val="000000"/>
          <w:sz w:val="22"/>
          <w:szCs w:val="22"/>
          <w:rtl/>
        </w:rPr>
      </w:pPr>
      <w:r w:rsidRPr="00505EED">
        <w:rPr>
          <w:rFonts w:ascii="David" w:hAnsi="David"/>
          <w:color w:val="000000"/>
          <w:sz w:val="22"/>
          <w:szCs w:val="22"/>
          <w:rtl/>
        </w:rPr>
        <w:t>שושנה פיינסוד כהן 54678313</w:t>
      </w:r>
    </w:p>
    <w:p w14:paraId="4028FEC5" w14:textId="77777777" w:rsidR="00505EED" w:rsidRDefault="00505EED" w:rsidP="00505EED">
      <w:r w:rsidRPr="00505EED">
        <w:rPr>
          <w:color w:val="000000"/>
          <w:rtl/>
        </w:rPr>
        <w:t>נוסח מסמך זה כפוף לשינויי ניסוח ועריכה</w:t>
      </w:r>
    </w:p>
    <w:p w14:paraId="7FC2A8A0" w14:textId="77777777" w:rsidR="00505EED" w:rsidRDefault="00505EED" w:rsidP="00505EED">
      <w:pPr>
        <w:rPr>
          <w:rtl/>
        </w:rPr>
      </w:pPr>
    </w:p>
    <w:p w14:paraId="69CBF2E4" w14:textId="77777777" w:rsidR="00505EED" w:rsidRDefault="00505EED" w:rsidP="00505EED">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r w:rsidR="00B76C1B">
        <w:rPr>
          <w:rFonts w:hint="cs"/>
          <w:color w:val="0000FF"/>
          <w:u w:val="single"/>
          <w:rtl/>
        </w:rPr>
        <w:t xml:space="preserve"> </w:t>
      </w:r>
    </w:p>
    <w:p w14:paraId="5031FCE7" w14:textId="77777777" w:rsidR="00505EED" w:rsidRPr="00505EED" w:rsidRDefault="00505EED" w:rsidP="0057068E">
      <w:pPr>
        <w:rPr>
          <w:color w:val="0000FF"/>
          <w:u w:val="single"/>
        </w:rPr>
      </w:pPr>
    </w:p>
    <w:sectPr w:rsidR="00505EED" w:rsidRPr="00505EED" w:rsidSect="0057068E">
      <w:headerReference w:type="even" r:id="rId27"/>
      <w:headerReference w:type="default" r:id="rId28"/>
      <w:footerReference w:type="even" r:id="rId29"/>
      <w:footerReference w:type="default" r:id="rId30"/>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8B814" w14:textId="77777777" w:rsidR="002D4C1A" w:rsidRDefault="002D4C1A" w:rsidP="00CF5B03">
      <w:r>
        <w:separator/>
      </w:r>
    </w:p>
  </w:endnote>
  <w:endnote w:type="continuationSeparator" w:id="0">
    <w:p w14:paraId="4F79624B" w14:textId="77777777" w:rsidR="002D4C1A" w:rsidRDefault="002D4C1A" w:rsidP="00CF5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0B309" w14:textId="77777777" w:rsidR="0057068E" w:rsidRDefault="0057068E" w:rsidP="005706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31450D" w14:textId="77777777" w:rsidR="00505EED" w:rsidRPr="0057068E" w:rsidRDefault="0057068E" w:rsidP="0057068E">
    <w:pPr>
      <w:pStyle w:val="a5"/>
      <w:pBdr>
        <w:top w:val="single" w:sz="4" w:space="1" w:color="auto"/>
        <w:between w:val="single" w:sz="4" w:space="0" w:color="auto"/>
      </w:pBdr>
      <w:spacing w:after="60"/>
      <w:jc w:val="center"/>
      <w:rPr>
        <w:rFonts w:ascii="FrankRuehl" w:hAnsi="FrankRuehl" w:cs="FrankRuehl"/>
        <w:color w:val="000000"/>
      </w:rPr>
    </w:pPr>
    <w:r w:rsidRPr="005706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E3CE6" w14:textId="77777777" w:rsidR="0057068E" w:rsidRDefault="0057068E" w:rsidP="0057068E">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rPr>
      <w:instrText>PAGE</w:instrText>
    </w:r>
    <w:r>
      <w:rPr>
        <w:rStyle w:val="a8"/>
        <w:rFonts w:ascii="FrankRuehl" w:hAnsi="FrankRuehl" w:cs="FrankRuehl"/>
        <w:rtl/>
      </w:rPr>
      <w:instrText xml:space="preserve">  \* </w:instrText>
    </w:r>
    <w:r>
      <w:rPr>
        <w:rStyle w:val="a8"/>
        <w:rFonts w:ascii="FrankRuehl" w:hAnsi="FrankRuehl" w:cs="FrankRuehl"/>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394EF1">
      <w:rPr>
        <w:rStyle w:val="a8"/>
        <w:rFonts w:ascii="FrankRuehl" w:hAnsi="FrankRuehl" w:cs="FrankRuehl"/>
        <w:noProof/>
        <w:rtl/>
      </w:rPr>
      <w:t>1</w:t>
    </w:r>
    <w:r>
      <w:rPr>
        <w:rStyle w:val="a8"/>
        <w:rFonts w:ascii="FrankRuehl" w:hAnsi="FrankRuehl" w:cs="FrankRuehl"/>
        <w:rtl/>
      </w:rPr>
      <w:fldChar w:fldCharType="end"/>
    </w:r>
  </w:p>
  <w:p w14:paraId="0822FBD4" w14:textId="77777777" w:rsidR="0024466B" w:rsidRPr="0057068E" w:rsidRDefault="0057068E" w:rsidP="0057068E">
    <w:pPr>
      <w:pStyle w:val="a5"/>
      <w:pBdr>
        <w:top w:val="single" w:sz="4" w:space="1" w:color="auto"/>
        <w:between w:val="single" w:sz="4" w:space="0" w:color="auto"/>
      </w:pBdr>
      <w:spacing w:after="60"/>
      <w:jc w:val="center"/>
      <w:rPr>
        <w:rStyle w:val="a8"/>
        <w:rFonts w:ascii="FrankRuehl" w:hAnsi="FrankRuehl" w:cs="FrankRuehl"/>
        <w:color w:val="000000"/>
      </w:rPr>
    </w:pPr>
    <w:r w:rsidRPr="0057068E">
      <w:rPr>
        <w:rStyle w:val="a8"/>
        <w:rFonts w:ascii="FrankRuehl" w:hAnsi="FrankRuehl" w:cs="FrankRuehl"/>
        <w:color w:val="000000"/>
      </w:rPr>
      <w:pict w14:anchorId="1E865B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4C75C" w14:textId="77777777" w:rsidR="002D4C1A" w:rsidRDefault="002D4C1A" w:rsidP="00CF5B03">
      <w:r>
        <w:separator/>
      </w:r>
    </w:p>
  </w:footnote>
  <w:footnote w:type="continuationSeparator" w:id="0">
    <w:p w14:paraId="4E5ECD90" w14:textId="77777777" w:rsidR="002D4C1A" w:rsidRDefault="002D4C1A" w:rsidP="00CF5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80F73" w14:textId="77777777" w:rsidR="00505EED" w:rsidRPr="0057068E" w:rsidRDefault="0057068E" w:rsidP="005706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1659-04-17</w:t>
    </w:r>
    <w:r>
      <w:rPr>
        <w:rFonts w:ascii="David" w:hAnsi="David"/>
        <w:color w:val="000000"/>
        <w:sz w:val="22"/>
        <w:szCs w:val="22"/>
        <w:rtl/>
      </w:rPr>
      <w:tab/>
      <w:t xml:space="preserve"> מדינת ישראל נ' יוסף בן שיטרית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32966" w14:textId="77777777" w:rsidR="00505EED" w:rsidRPr="0057068E" w:rsidRDefault="0057068E" w:rsidP="005706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(עכו) 1659-04-17</w:t>
    </w:r>
    <w:r>
      <w:rPr>
        <w:rFonts w:ascii="David" w:hAnsi="David"/>
        <w:color w:val="000000"/>
        <w:sz w:val="22"/>
        <w:szCs w:val="22"/>
        <w:rtl/>
      </w:rPr>
      <w:tab/>
      <w:t xml:space="preserve"> מדינת ישראל נ' יוסף בן שיטרית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41627"/>
    <w:rsid w:val="0024466B"/>
    <w:rsid w:val="002D4C1A"/>
    <w:rsid w:val="00381020"/>
    <w:rsid w:val="00394EF1"/>
    <w:rsid w:val="00421DFF"/>
    <w:rsid w:val="00505EED"/>
    <w:rsid w:val="00541C4B"/>
    <w:rsid w:val="0057068E"/>
    <w:rsid w:val="00641627"/>
    <w:rsid w:val="008064CE"/>
    <w:rsid w:val="00973482"/>
    <w:rsid w:val="00AC7278"/>
    <w:rsid w:val="00B76C1B"/>
    <w:rsid w:val="00CF5B03"/>
    <w:rsid w:val="00E86F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C25416D"/>
  <w15:chartTrackingRefBased/>
  <w15:docId w15:val="{6339EA47-ABFF-4498-876B-48DD2604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16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41627"/>
    <w:pPr>
      <w:tabs>
        <w:tab w:val="center" w:pos="4153"/>
        <w:tab w:val="right" w:pos="8306"/>
      </w:tabs>
    </w:pPr>
  </w:style>
  <w:style w:type="character" w:customStyle="1" w:styleId="a4">
    <w:name w:val="כותרת עליונה תו"/>
    <w:link w:val="a3"/>
    <w:rsid w:val="00641627"/>
    <w:rPr>
      <w:rFonts w:ascii="Times New Roman" w:eastAsia="Times New Roman" w:hAnsi="Times New Roman" w:cs="David"/>
      <w:sz w:val="24"/>
      <w:szCs w:val="24"/>
    </w:rPr>
  </w:style>
  <w:style w:type="paragraph" w:styleId="a5">
    <w:name w:val="footer"/>
    <w:basedOn w:val="a"/>
    <w:link w:val="a6"/>
    <w:rsid w:val="00641627"/>
    <w:pPr>
      <w:tabs>
        <w:tab w:val="center" w:pos="4153"/>
        <w:tab w:val="right" w:pos="8306"/>
      </w:tabs>
    </w:pPr>
  </w:style>
  <w:style w:type="character" w:customStyle="1" w:styleId="a6">
    <w:name w:val="כותרת תחתונה תו"/>
    <w:link w:val="a5"/>
    <w:rsid w:val="00641627"/>
    <w:rPr>
      <w:rFonts w:ascii="Times New Roman" w:eastAsia="Times New Roman" w:hAnsi="Times New Roman" w:cs="David"/>
      <w:sz w:val="24"/>
      <w:szCs w:val="24"/>
    </w:rPr>
  </w:style>
  <w:style w:type="table" w:styleId="a7">
    <w:name w:val="Table Grid"/>
    <w:basedOn w:val="a1"/>
    <w:rsid w:val="006416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41627"/>
    <w:rPr>
      <w:noProof w:val="0"/>
    </w:rPr>
  </w:style>
  <w:style w:type="character" w:styleId="a9">
    <w:name w:val="line number"/>
    <w:rsid w:val="00641627"/>
  </w:style>
  <w:style w:type="character" w:styleId="Hyperlink">
    <w:name w:val="Hyperlink"/>
    <w:rsid w:val="00505E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1054184"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law/4216/7.a" TargetMode="External"/><Relationship Id="rId20" Type="http://schemas.openxmlformats.org/officeDocument/2006/relationships/hyperlink" Target="http://www.nevo.co.il/law/4216/7.c"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40i.a.5" TargetMode="External"/><Relationship Id="rId23" Type="http://schemas.openxmlformats.org/officeDocument/2006/relationships/hyperlink" Target="http://www.nevo.co.il/law/4216" TargetMode="External"/><Relationship Id="rId28" Type="http://schemas.openxmlformats.org/officeDocument/2006/relationships/header" Target="header2.xml"/><Relationship Id="rId10" Type="http://schemas.openxmlformats.org/officeDocument/2006/relationships/hyperlink" Target="http://www.nevo.co.il/law/70301/40i.a.5" TargetMode="External"/><Relationship Id="rId19" Type="http://schemas.openxmlformats.org/officeDocument/2006/relationships/hyperlink" Target="http://www.nevo.co.il/law/70301/40i.a.5"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c"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1291</Words>
  <Characters>6456</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7732</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4063345</vt:i4>
      </vt:variant>
      <vt:variant>
        <vt:i4>45</vt:i4>
      </vt:variant>
      <vt:variant>
        <vt:i4>0</vt:i4>
      </vt:variant>
      <vt:variant>
        <vt:i4>5</vt:i4>
      </vt:variant>
      <vt:variant>
        <vt:lpwstr>http://www.nevo.co.il/case/21054184</vt:lpwstr>
      </vt:variant>
      <vt:variant>
        <vt:lpwstr/>
      </vt:variant>
      <vt:variant>
        <vt:i4>2752612</vt:i4>
      </vt:variant>
      <vt:variant>
        <vt:i4>42</vt:i4>
      </vt:variant>
      <vt:variant>
        <vt:i4>0</vt:i4>
      </vt:variant>
      <vt:variant>
        <vt:i4>5</vt:i4>
      </vt:variant>
      <vt:variant>
        <vt:lpwstr>http://www.nevo.co.il/law/4216/7.c</vt:lpwstr>
      </vt:variant>
      <vt:variant>
        <vt:lpwstr/>
      </vt:variant>
      <vt:variant>
        <vt:i4>6619241</vt:i4>
      </vt:variant>
      <vt:variant>
        <vt:i4>39</vt:i4>
      </vt:variant>
      <vt:variant>
        <vt:i4>0</vt:i4>
      </vt:variant>
      <vt:variant>
        <vt:i4>5</vt:i4>
      </vt:variant>
      <vt:variant>
        <vt:lpwstr>http://www.nevo.co.il/law/70301/40i.a.5</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6619241</vt:i4>
      </vt:variant>
      <vt:variant>
        <vt:i4>27</vt:i4>
      </vt:variant>
      <vt:variant>
        <vt:i4>0</vt:i4>
      </vt:variant>
      <vt:variant>
        <vt:i4>5</vt:i4>
      </vt:variant>
      <vt:variant>
        <vt:lpwstr>http://www.nevo.co.il/law/70301/40i.a.5</vt:lpwstr>
      </vt:variant>
      <vt:variant>
        <vt:lpwstr/>
      </vt:variant>
      <vt:variant>
        <vt:i4>7995492</vt:i4>
      </vt:variant>
      <vt:variant>
        <vt:i4>24</vt:i4>
      </vt:variant>
      <vt:variant>
        <vt:i4>0</vt:i4>
      </vt:variant>
      <vt:variant>
        <vt:i4>5</vt:i4>
      </vt:variant>
      <vt:variant>
        <vt:lpwstr>http://www.nevo.co.il/law/70301</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6619241</vt:i4>
      </vt:variant>
      <vt:variant>
        <vt:i4>12</vt:i4>
      </vt:variant>
      <vt:variant>
        <vt:i4>0</vt:i4>
      </vt:variant>
      <vt:variant>
        <vt:i4>5</vt:i4>
      </vt:variant>
      <vt:variant>
        <vt:lpwstr>http://www.nevo.co.il/law/70301/40i.a.5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2025-04-22T23:22:00Z</dcterms:created>
  <dcterms:modified xsi:type="dcterms:W3CDTF">2025-04-22T23:22:00Z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1659</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יוסף בן שיטרית</vt:lpwstr>
  </property>
  <property fmtid="{D5CDD505-2E9C-101B-9397-08002B2CF9AE}" pid="10" name="LAWYER">
    <vt:lpwstr>גבריאלה בבלי</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20190114</vt:lpwstr>
  </property>
  <property fmtid="{D5CDD505-2E9C-101B-9397-08002B2CF9AE}" pid="14" name="TYPE_N_DATE">
    <vt:lpwstr>38020190114</vt:lpwstr>
  </property>
  <property fmtid="{D5CDD505-2E9C-101B-9397-08002B2CF9AE}" pid="15" name="WORDNUMPAGES">
    <vt:lpwstr>4</vt:lpwstr>
  </property>
  <property fmtid="{D5CDD505-2E9C-101B-9397-08002B2CF9AE}" pid="16" name="TYPE_ABS_DATE">
    <vt:lpwstr>380020190114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21054184</vt:lpwstr>
  </property>
  <property fmtid="{D5CDD505-2E9C-101B-9397-08002B2CF9AE}" pid="36" name="LAWLISTTMP1">
    <vt:lpwstr>4216/007.a;007.c:3</vt:lpwstr>
  </property>
  <property fmtid="{D5CDD505-2E9C-101B-9397-08002B2CF9AE}" pid="37" name="LAWLISTTMP2">
    <vt:lpwstr>70301/040i.a.5</vt:lpwstr>
  </property>
</Properties>
</file>