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32576" w:rsidRPr="00E06E1D" w14:paraId="4FA3D506" w14:textId="77777777" w:rsidTr="0047137E">
        <w:trPr>
          <w:trHeight w:hRule="exact" w:val="418"/>
          <w:jc w:val="center"/>
        </w:trPr>
        <w:tc>
          <w:tcPr>
            <w:tcW w:w="8721" w:type="dxa"/>
            <w:gridSpan w:val="2"/>
          </w:tcPr>
          <w:p w14:paraId="2E1751A4" w14:textId="77777777" w:rsidR="00532576" w:rsidRPr="00E06E1D" w:rsidRDefault="00532576" w:rsidP="00DF7BE8">
            <w:pPr>
              <w:pStyle w:val="a3"/>
              <w:jc w:val="center"/>
              <w:rPr>
                <w:rFonts w:ascii="Tahoma" w:hAnsi="Tahoma" w:cs="Tahoma"/>
                <w:color w:val="000080"/>
                <w:rtl/>
              </w:rPr>
            </w:pPr>
            <w:bookmarkStart w:id="0" w:name="LastJudge"/>
            <w:r w:rsidRPr="00E06E1D">
              <w:rPr>
                <w:rFonts w:ascii="Tahoma" w:hAnsi="Tahoma" w:cs="Tahoma"/>
                <w:b/>
                <w:bCs/>
                <w:color w:val="000080"/>
                <w:rtl/>
              </w:rPr>
              <w:t>בית משפט השלום בקריות</w:t>
            </w:r>
          </w:p>
        </w:tc>
      </w:tr>
      <w:tr w:rsidR="00532576" w:rsidRPr="00E06E1D" w14:paraId="3F9E1A7C" w14:textId="77777777" w:rsidTr="0047137E">
        <w:trPr>
          <w:trHeight w:val="337"/>
          <w:jc w:val="center"/>
        </w:trPr>
        <w:tc>
          <w:tcPr>
            <w:tcW w:w="5054" w:type="dxa"/>
          </w:tcPr>
          <w:p w14:paraId="5B3015DA" w14:textId="77777777" w:rsidR="00532576" w:rsidRPr="00E06E1D" w:rsidRDefault="00532576" w:rsidP="00DF7BE8">
            <w:pPr>
              <w:rPr>
                <w:rFonts w:cs="FrankRuehl"/>
                <w:sz w:val="28"/>
                <w:szCs w:val="28"/>
                <w:rtl/>
              </w:rPr>
            </w:pPr>
            <w:r w:rsidRPr="00E06E1D">
              <w:rPr>
                <w:rFonts w:cs="FrankRuehl"/>
                <w:sz w:val="28"/>
                <w:szCs w:val="28"/>
                <w:rtl/>
              </w:rPr>
              <w:t>ת"פ</w:t>
            </w:r>
            <w:r w:rsidRPr="00E06E1D">
              <w:rPr>
                <w:rFonts w:cs="FrankRuehl" w:hint="cs"/>
                <w:sz w:val="28"/>
                <w:szCs w:val="28"/>
                <w:rtl/>
              </w:rPr>
              <w:t xml:space="preserve"> </w:t>
            </w:r>
            <w:r w:rsidRPr="00E06E1D">
              <w:rPr>
                <w:rFonts w:cs="FrankRuehl"/>
                <w:sz w:val="28"/>
                <w:szCs w:val="28"/>
                <w:rtl/>
              </w:rPr>
              <w:t>21666-04-17</w:t>
            </w:r>
            <w:r w:rsidRPr="00E06E1D">
              <w:rPr>
                <w:rFonts w:cs="FrankRuehl" w:hint="cs"/>
                <w:sz w:val="28"/>
                <w:szCs w:val="28"/>
                <w:rtl/>
              </w:rPr>
              <w:t xml:space="preserve"> </w:t>
            </w:r>
            <w:r w:rsidRPr="00E06E1D">
              <w:rPr>
                <w:rFonts w:cs="FrankRuehl"/>
                <w:sz w:val="28"/>
                <w:szCs w:val="28"/>
                <w:rtl/>
              </w:rPr>
              <w:t>מדינת ישראל נ' אלטר</w:t>
            </w:r>
          </w:p>
          <w:p w14:paraId="5EC341C2" w14:textId="77777777" w:rsidR="00532576" w:rsidRPr="00E06E1D" w:rsidRDefault="00532576" w:rsidP="00DF7BE8">
            <w:pPr>
              <w:pStyle w:val="a3"/>
              <w:rPr>
                <w:rFonts w:cs="FrankRuehl"/>
                <w:sz w:val="28"/>
                <w:szCs w:val="28"/>
                <w:rtl/>
              </w:rPr>
            </w:pPr>
          </w:p>
        </w:tc>
        <w:tc>
          <w:tcPr>
            <w:tcW w:w="3667" w:type="dxa"/>
          </w:tcPr>
          <w:p w14:paraId="03BE8918" w14:textId="77777777" w:rsidR="00532576" w:rsidRPr="00E06E1D" w:rsidRDefault="00532576" w:rsidP="00DF7BE8">
            <w:pPr>
              <w:pStyle w:val="a3"/>
              <w:jc w:val="right"/>
              <w:rPr>
                <w:rFonts w:cs="FrankRuehl"/>
                <w:sz w:val="28"/>
                <w:szCs w:val="28"/>
                <w:rtl/>
              </w:rPr>
            </w:pPr>
          </w:p>
        </w:tc>
      </w:tr>
    </w:tbl>
    <w:p w14:paraId="2F6AECCD" w14:textId="77777777" w:rsidR="00532576" w:rsidRPr="00E06E1D" w:rsidRDefault="00532576" w:rsidP="00532576">
      <w:pPr>
        <w:pStyle w:val="a3"/>
        <w:rPr>
          <w:rtl/>
        </w:rPr>
      </w:pPr>
      <w:r w:rsidRPr="00E06E1D">
        <w:rPr>
          <w:rFonts w:hint="cs"/>
          <w:rtl/>
        </w:rPr>
        <w:t xml:space="preserve"> </w:t>
      </w:r>
    </w:p>
    <w:p w14:paraId="340B4193" w14:textId="77777777" w:rsidR="00532576" w:rsidRPr="00E06E1D" w:rsidRDefault="00532576" w:rsidP="0053257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32576" w:rsidRPr="00E06E1D" w14:paraId="4FCDC6F9" w14:textId="77777777" w:rsidTr="00532576">
        <w:trPr>
          <w:trHeight w:val="295"/>
          <w:jc w:val="center"/>
        </w:trPr>
        <w:tc>
          <w:tcPr>
            <w:tcW w:w="923" w:type="dxa"/>
            <w:tcBorders>
              <w:top w:val="nil"/>
              <w:left w:val="nil"/>
              <w:bottom w:val="nil"/>
              <w:right w:val="nil"/>
            </w:tcBorders>
            <w:shd w:val="clear" w:color="auto" w:fill="auto"/>
          </w:tcPr>
          <w:p w14:paraId="2EDF7AB9" w14:textId="77777777" w:rsidR="00532576" w:rsidRPr="00E06E1D" w:rsidRDefault="00532576" w:rsidP="00532576">
            <w:pPr>
              <w:jc w:val="both"/>
              <w:rPr>
                <w:rFonts w:ascii="Arial" w:hAnsi="Arial"/>
                <w:b/>
                <w:bCs/>
              </w:rPr>
            </w:pPr>
            <w:r w:rsidRPr="00E06E1D">
              <w:rPr>
                <w:rFonts w:ascii="Arial" w:hAnsi="Arial" w:hint="cs"/>
                <w:b/>
                <w:bCs/>
                <w:rtl/>
              </w:rPr>
              <w:t>ב</w:t>
            </w:r>
            <w:r w:rsidRPr="00E06E1D">
              <w:rPr>
                <w:rFonts w:ascii="Arial" w:hAnsi="Arial"/>
                <w:b/>
                <w:bCs/>
                <w:rtl/>
              </w:rPr>
              <w:t xml:space="preserve">פני </w:t>
            </w:r>
          </w:p>
        </w:tc>
        <w:tc>
          <w:tcPr>
            <w:tcW w:w="7897" w:type="dxa"/>
            <w:gridSpan w:val="2"/>
            <w:tcBorders>
              <w:top w:val="nil"/>
              <w:left w:val="nil"/>
              <w:bottom w:val="nil"/>
              <w:right w:val="nil"/>
            </w:tcBorders>
            <w:shd w:val="clear" w:color="auto" w:fill="auto"/>
          </w:tcPr>
          <w:p w14:paraId="4E73C846" w14:textId="77777777" w:rsidR="00532576" w:rsidRPr="00E06E1D" w:rsidRDefault="00532576" w:rsidP="00DF7BE8">
            <w:pPr>
              <w:rPr>
                <w:rFonts w:ascii="Arial" w:hAnsi="Arial"/>
                <w:b/>
                <w:bCs/>
                <w:rtl/>
              </w:rPr>
            </w:pPr>
            <w:r w:rsidRPr="00E06E1D">
              <w:rPr>
                <w:rFonts w:ascii="Arial" w:hAnsi="Arial" w:hint="cs"/>
                <w:b/>
                <w:bCs/>
                <w:rtl/>
              </w:rPr>
              <w:t>כבוד ה</w:t>
            </w:r>
            <w:r w:rsidRPr="00E06E1D">
              <w:rPr>
                <w:rFonts w:ascii="Arial" w:hAnsi="Arial"/>
                <w:b/>
                <w:bCs/>
                <w:rtl/>
              </w:rPr>
              <w:t>שופט</w:t>
            </w:r>
            <w:r w:rsidRPr="00E06E1D">
              <w:rPr>
                <w:rFonts w:ascii="Arial" w:hAnsi="Arial" w:hint="cs"/>
                <w:b/>
                <w:bCs/>
                <w:rtl/>
              </w:rPr>
              <w:t xml:space="preserve">  </w:t>
            </w:r>
            <w:r w:rsidRPr="00E06E1D">
              <w:rPr>
                <w:rFonts w:ascii="Arial" w:hAnsi="Arial"/>
                <w:b/>
                <w:bCs/>
                <w:rtl/>
              </w:rPr>
              <w:t>יוסי טורס</w:t>
            </w:r>
          </w:p>
          <w:p w14:paraId="4AD700B1" w14:textId="77777777" w:rsidR="00532576" w:rsidRPr="00E06E1D" w:rsidRDefault="00532576" w:rsidP="00DF7BE8">
            <w:pPr>
              <w:rPr>
                <w:b/>
                <w:bCs/>
                <w:rtl/>
              </w:rPr>
            </w:pPr>
          </w:p>
          <w:p w14:paraId="35426948" w14:textId="77777777" w:rsidR="00532576" w:rsidRPr="00E06E1D" w:rsidRDefault="00532576" w:rsidP="00532576">
            <w:pPr>
              <w:jc w:val="both"/>
              <w:rPr>
                <w:rFonts w:ascii="Arial" w:hAnsi="Arial"/>
                <w:b/>
                <w:bCs/>
              </w:rPr>
            </w:pPr>
          </w:p>
        </w:tc>
      </w:tr>
      <w:tr w:rsidR="00532576" w:rsidRPr="00E06E1D" w14:paraId="679D48EB" w14:textId="77777777" w:rsidTr="00532576">
        <w:trPr>
          <w:trHeight w:val="355"/>
          <w:jc w:val="center"/>
        </w:trPr>
        <w:tc>
          <w:tcPr>
            <w:tcW w:w="923" w:type="dxa"/>
            <w:tcBorders>
              <w:top w:val="nil"/>
              <w:left w:val="nil"/>
              <w:bottom w:val="nil"/>
              <w:right w:val="nil"/>
            </w:tcBorders>
            <w:shd w:val="clear" w:color="auto" w:fill="auto"/>
          </w:tcPr>
          <w:p w14:paraId="245713CD" w14:textId="77777777" w:rsidR="00532576" w:rsidRPr="00E06E1D" w:rsidRDefault="00532576" w:rsidP="00532576">
            <w:pPr>
              <w:jc w:val="both"/>
              <w:rPr>
                <w:rFonts w:ascii="Arial" w:hAnsi="Arial"/>
                <w:b/>
                <w:bCs/>
              </w:rPr>
            </w:pPr>
            <w:bookmarkStart w:id="1" w:name="FirstAppellant"/>
            <w:r w:rsidRPr="00E06E1D">
              <w:rPr>
                <w:rFonts w:ascii="Arial" w:hAnsi="Arial" w:hint="cs"/>
                <w:b/>
                <w:bCs/>
                <w:rtl/>
              </w:rPr>
              <w:t>בעניין:</w:t>
            </w:r>
          </w:p>
        </w:tc>
        <w:tc>
          <w:tcPr>
            <w:tcW w:w="4126" w:type="dxa"/>
            <w:tcBorders>
              <w:top w:val="nil"/>
              <w:left w:val="nil"/>
              <w:bottom w:val="nil"/>
              <w:right w:val="nil"/>
            </w:tcBorders>
            <w:shd w:val="clear" w:color="auto" w:fill="auto"/>
          </w:tcPr>
          <w:p w14:paraId="3B9F750B" w14:textId="77777777" w:rsidR="00532576" w:rsidRPr="00E06E1D" w:rsidRDefault="00532576" w:rsidP="00DF7BE8">
            <w:pPr>
              <w:rPr>
                <w:b/>
                <w:bCs/>
              </w:rPr>
            </w:pPr>
            <w:r w:rsidRPr="00E06E1D">
              <w:rPr>
                <w:rFonts w:ascii="Arial" w:hAnsi="Arial"/>
                <w:b/>
                <w:bCs/>
                <w:rtl/>
              </w:rPr>
              <w:t>מדינת ישראל</w:t>
            </w:r>
          </w:p>
        </w:tc>
        <w:tc>
          <w:tcPr>
            <w:tcW w:w="3771" w:type="dxa"/>
            <w:tcBorders>
              <w:top w:val="nil"/>
              <w:left w:val="nil"/>
              <w:bottom w:val="nil"/>
              <w:right w:val="nil"/>
            </w:tcBorders>
            <w:shd w:val="clear" w:color="auto" w:fill="auto"/>
          </w:tcPr>
          <w:p w14:paraId="6F59EB1A" w14:textId="77777777" w:rsidR="00532576" w:rsidRPr="00E06E1D" w:rsidRDefault="00532576" w:rsidP="00532576">
            <w:pPr>
              <w:jc w:val="both"/>
              <w:rPr>
                <w:rFonts w:ascii="Arial" w:hAnsi="Arial"/>
                <w:b/>
                <w:bCs/>
              </w:rPr>
            </w:pPr>
          </w:p>
        </w:tc>
      </w:tr>
      <w:bookmarkEnd w:id="1"/>
      <w:tr w:rsidR="00532576" w:rsidRPr="00E06E1D" w14:paraId="6FE81840" w14:textId="77777777" w:rsidTr="00532576">
        <w:trPr>
          <w:trHeight w:val="355"/>
          <w:jc w:val="center"/>
        </w:trPr>
        <w:tc>
          <w:tcPr>
            <w:tcW w:w="923" w:type="dxa"/>
            <w:tcBorders>
              <w:top w:val="nil"/>
              <w:left w:val="nil"/>
              <w:bottom w:val="nil"/>
              <w:right w:val="nil"/>
            </w:tcBorders>
            <w:shd w:val="clear" w:color="auto" w:fill="auto"/>
          </w:tcPr>
          <w:p w14:paraId="18033E9C" w14:textId="77777777" w:rsidR="00532576" w:rsidRPr="00E06E1D" w:rsidRDefault="00532576" w:rsidP="00532576">
            <w:pPr>
              <w:jc w:val="both"/>
              <w:rPr>
                <w:rFonts w:ascii="Arial" w:hAnsi="Arial"/>
                <w:b/>
                <w:bCs/>
                <w:rtl/>
              </w:rPr>
            </w:pPr>
          </w:p>
        </w:tc>
        <w:tc>
          <w:tcPr>
            <w:tcW w:w="4126" w:type="dxa"/>
            <w:tcBorders>
              <w:top w:val="nil"/>
              <w:left w:val="nil"/>
              <w:bottom w:val="nil"/>
              <w:right w:val="nil"/>
            </w:tcBorders>
            <w:shd w:val="clear" w:color="auto" w:fill="auto"/>
          </w:tcPr>
          <w:p w14:paraId="4F8594FA" w14:textId="77777777" w:rsidR="00532576" w:rsidRPr="00E06E1D" w:rsidRDefault="00532576" w:rsidP="00532576">
            <w:pPr>
              <w:jc w:val="both"/>
              <w:rPr>
                <w:b/>
                <w:bCs/>
                <w:rtl/>
              </w:rPr>
            </w:pPr>
          </w:p>
        </w:tc>
        <w:tc>
          <w:tcPr>
            <w:tcW w:w="3771" w:type="dxa"/>
            <w:tcBorders>
              <w:top w:val="nil"/>
              <w:left w:val="nil"/>
              <w:bottom w:val="nil"/>
              <w:right w:val="nil"/>
            </w:tcBorders>
            <w:shd w:val="clear" w:color="auto" w:fill="auto"/>
          </w:tcPr>
          <w:p w14:paraId="52B11E66" w14:textId="77777777" w:rsidR="00532576" w:rsidRPr="00E06E1D" w:rsidRDefault="00532576" w:rsidP="00532576">
            <w:pPr>
              <w:jc w:val="right"/>
              <w:rPr>
                <w:rFonts w:ascii="Arial" w:hAnsi="Arial"/>
                <w:b/>
                <w:bCs/>
                <w:rtl/>
              </w:rPr>
            </w:pPr>
            <w:r w:rsidRPr="00E06E1D">
              <w:rPr>
                <w:rFonts w:ascii="Arial" w:hAnsi="Arial" w:hint="cs"/>
                <w:b/>
                <w:bCs/>
                <w:rtl/>
              </w:rPr>
              <w:t>ה</w:t>
            </w:r>
            <w:r w:rsidRPr="00E06E1D">
              <w:rPr>
                <w:rFonts w:ascii="Arial" w:hAnsi="Arial"/>
                <w:b/>
                <w:bCs/>
                <w:rtl/>
              </w:rPr>
              <w:t>מאשימה</w:t>
            </w:r>
          </w:p>
        </w:tc>
      </w:tr>
      <w:tr w:rsidR="00532576" w:rsidRPr="00E06E1D" w14:paraId="0B9000C7" w14:textId="77777777" w:rsidTr="00532576">
        <w:trPr>
          <w:trHeight w:val="355"/>
          <w:jc w:val="center"/>
        </w:trPr>
        <w:tc>
          <w:tcPr>
            <w:tcW w:w="923" w:type="dxa"/>
            <w:tcBorders>
              <w:top w:val="nil"/>
              <w:left w:val="nil"/>
              <w:bottom w:val="nil"/>
              <w:right w:val="nil"/>
            </w:tcBorders>
            <w:shd w:val="clear" w:color="auto" w:fill="auto"/>
          </w:tcPr>
          <w:p w14:paraId="35F7505A" w14:textId="77777777" w:rsidR="00532576" w:rsidRPr="00E06E1D" w:rsidRDefault="00532576" w:rsidP="00532576">
            <w:pPr>
              <w:jc w:val="both"/>
              <w:rPr>
                <w:rFonts w:ascii="Arial" w:hAnsi="Arial"/>
                <w:b/>
                <w:bCs/>
                <w:rtl/>
              </w:rPr>
            </w:pPr>
          </w:p>
        </w:tc>
        <w:tc>
          <w:tcPr>
            <w:tcW w:w="7897" w:type="dxa"/>
            <w:gridSpan w:val="2"/>
            <w:tcBorders>
              <w:top w:val="nil"/>
              <w:left w:val="nil"/>
              <w:bottom w:val="nil"/>
              <w:right w:val="nil"/>
            </w:tcBorders>
            <w:shd w:val="clear" w:color="auto" w:fill="auto"/>
          </w:tcPr>
          <w:p w14:paraId="6BD26555" w14:textId="77777777" w:rsidR="00532576" w:rsidRPr="00E06E1D" w:rsidRDefault="00532576" w:rsidP="00532576">
            <w:pPr>
              <w:jc w:val="center"/>
              <w:rPr>
                <w:rFonts w:ascii="Arial" w:hAnsi="Arial"/>
                <w:b/>
                <w:bCs/>
                <w:rtl/>
              </w:rPr>
            </w:pPr>
          </w:p>
          <w:p w14:paraId="01866984" w14:textId="77777777" w:rsidR="00532576" w:rsidRPr="00E06E1D" w:rsidRDefault="00532576" w:rsidP="00532576">
            <w:pPr>
              <w:jc w:val="center"/>
              <w:rPr>
                <w:rFonts w:ascii="Arial" w:hAnsi="Arial"/>
                <w:b/>
                <w:bCs/>
                <w:rtl/>
              </w:rPr>
            </w:pPr>
            <w:r w:rsidRPr="00E06E1D">
              <w:rPr>
                <w:rFonts w:ascii="Arial" w:hAnsi="Arial"/>
                <w:b/>
                <w:bCs/>
                <w:rtl/>
              </w:rPr>
              <w:t>נגד</w:t>
            </w:r>
          </w:p>
          <w:p w14:paraId="1C8A9558" w14:textId="77777777" w:rsidR="00532576" w:rsidRPr="00E06E1D" w:rsidRDefault="00532576" w:rsidP="00532576">
            <w:pPr>
              <w:jc w:val="both"/>
              <w:rPr>
                <w:rFonts w:ascii="Arial" w:hAnsi="Arial"/>
                <w:b/>
                <w:bCs/>
              </w:rPr>
            </w:pPr>
          </w:p>
        </w:tc>
      </w:tr>
      <w:tr w:rsidR="00532576" w:rsidRPr="00E06E1D" w14:paraId="6F6AABCF" w14:textId="77777777" w:rsidTr="00532576">
        <w:trPr>
          <w:trHeight w:val="355"/>
          <w:jc w:val="center"/>
        </w:trPr>
        <w:tc>
          <w:tcPr>
            <w:tcW w:w="923" w:type="dxa"/>
            <w:tcBorders>
              <w:top w:val="nil"/>
              <w:left w:val="nil"/>
              <w:bottom w:val="nil"/>
              <w:right w:val="nil"/>
            </w:tcBorders>
            <w:shd w:val="clear" w:color="auto" w:fill="auto"/>
          </w:tcPr>
          <w:p w14:paraId="2E7A8CED" w14:textId="77777777" w:rsidR="00532576" w:rsidRPr="00E06E1D" w:rsidRDefault="00532576" w:rsidP="00DF7BE8">
            <w:pPr>
              <w:rPr>
                <w:rFonts w:ascii="Arial" w:hAnsi="Arial"/>
                <w:b/>
                <w:bCs/>
                <w:rtl/>
              </w:rPr>
            </w:pPr>
          </w:p>
        </w:tc>
        <w:tc>
          <w:tcPr>
            <w:tcW w:w="4126" w:type="dxa"/>
            <w:tcBorders>
              <w:top w:val="nil"/>
              <w:left w:val="nil"/>
              <w:bottom w:val="nil"/>
              <w:right w:val="nil"/>
            </w:tcBorders>
            <w:shd w:val="clear" w:color="auto" w:fill="auto"/>
          </w:tcPr>
          <w:p w14:paraId="2E7D2BE4" w14:textId="77777777" w:rsidR="00532576" w:rsidRPr="00E06E1D" w:rsidRDefault="00532576" w:rsidP="00DF7BE8">
            <w:pPr>
              <w:rPr>
                <w:b/>
                <w:bCs/>
                <w:rtl/>
              </w:rPr>
            </w:pPr>
            <w:r w:rsidRPr="00E06E1D">
              <w:rPr>
                <w:rFonts w:ascii="Arial" w:hAnsi="Arial"/>
                <w:b/>
                <w:bCs/>
                <w:rtl/>
              </w:rPr>
              <w:t>ישראל אלטר</w:t>
            </w:r>
          </w:p>
        </w:tc>
        <w:tc>
          <w:tcPr>
            <w:tcW w:w="3771" w:type="dxa"/>
            <w:tcBorders>
              <w:top w:val="nil"/>
              <w:left w:val="nil"/>
              <w:bottom w:val="nil"/>
              <w:right w:val="nil"/>
            </w:tcBorders>
            <w:shd w:val="clear" w:color="auto" w:fill="auto"/>
          </w:tcPr>
          <w:p w14:paraId="1309861C" w14:textId="77777777" w:rsidR="00532576" w:rsidRPr="00E06E1D" w:rsidRDefault="00532576" w:rsidP="00532576">
            <w:pPr>
              <w:jc w:val="right"/>
              <w:rPr>
                <w:rFonts w:ascii="Arial" w:hAnsi="Arial"/>
                <w:b/>
                <w:bCs/>
              </w:rPr>
            </w:pPr>
          </w:p>
        </w:tc>
      </w:tr>
      <w:tr w:rsidR="00532576" w:rsidRPr="00E06E1D" w14:paraId="4E87928F" w14:textId="77777777" w:rsidTr="00532576">
        <w:trPr>
          <w:trHeight w:val="355"/>
          <w:jc w:val="center"/>
        </w:trPr>
        <w:tc>
          <w:tcPr>
            <w:tcW w:w="923" w:type="dxa"/>
            <w:tcBorders>
              <w:top w:val="nil"/>
              <w:left w:val="nil"/>
              <w:bottom w:val="nil"/>
              <w:right w:val="nil"/>
            </w:tcBorders>
            <w:shd w:val="clear" w:color="auto" w:fill="auto"/>
          </w:tcPr>
          <w:p w14:paraId="6A4E1F44" w14:textId="77777777" w:rsidR="00532576" w:rsidRPr="00E06E1D" w:rsidRDefault="00532576" w:rsidP="00532576">
            <w:pPr>
              <w:jc w:val="both"/>
              <w:rPr>
                <w:rFonts w:ascii="Arial" w:hAnsi="Arial"/>
                <w:b/>
                <w:bCs/>
                <w:rtl/>
              </w:rPr>
            </w:pPr>
          </w:p>
        </w:tc>
        <w:tc>
          <w:tcPr>
            <w:tcW w:w="4126" w:type="dxa"/>
            <w:tcBorders>
              <w:top w:val="nil"/>
              <w:left w:val="nil"/>
              <w:bottom w:val="nil"/>
              <w:right w:val="nil"/>
            </w:tcBorders>
            <w:shd w:val="clear" w:color="auto" w:fill="auto"/>
          </w:tcPr>
          <w:p w14:paraId="52126E0F" w14:textId="77777777" w:rsidR="00532576" w:rsidRPr="00E06E1D" w:rsidRDefault="00532576" w:rsidP="00532576">
            <w:pPr>
              <w:jc w:val="both"/>
              <w:rPr>
                <w:b/>
                <w:bCs/>
                <w:rtl/>
              </w:rPr>
            </w:pPr>
          </w:p>
        </w:tc>
        <w:tc>
          <w:tcPr>
            <w:tcW w:w="3771" w:type="dxa"/>
            <w:tcBorders>
              <w:top w:val="nil"/>
              <w:left w:val="nil"/>
              <w:bottom w:val="nil"/>
              <w:right w:val="nil"/>
            </w:tcBorders>
            <w:shd w:val="clear" w:color="auto" w:fill="auto"/>
          </w:tcPr>
          <w:p w14:paraId="2815270B" w14:textId="77777777" w:rsidR="00532576" w:rsidRPr="00E06E1D" w:rsidRDefault="00532576" w:rsidP="00532576">
            <w:pPr>
              <w:jc w:val="right"/>
              <w:rPr>
                <w:rFonts w:ascii="Arial" w:hAnsi="Arial"/>
                <w:b/>
                <w:bCs/>
              </w:rPr>
            </w:pPr>
            <w:r w:rsidRPr="00E06E1D">
              <w:rPr>
                <w:rFonts w:ascii="Arial" w:hAnsi="Arial" w:hint="cs"/>
                <w:b/>
                <w:bCs/>
                <w:rtl/>
              </w:rPr>
              <w:t>הנאשם</w:t>
            </w:r>
          </w:p>
        </w:tc>
      </w:tr>
    </w:tbl>
    <w:p w14:paraId="420E4F51" w14:textId="77777777" w:rsidR="00FC2910" w:rsidRDefault="00FC2910" w:rsidP="00532576">
      <w:pPr>
        <w:rPr>
          <w:rtl/>
        </w:rPr>
      </w:pPr>
      <w:bookmarkStart w:id="2" w:name="LawTable"/>
      <w:bookmarkEnd w:id="2"/>
    </w:p>
    <w:p w14:paraId="3A05A853" w14:textId="77777777" w:rsidR="00FC2910" w:rsidRPr="00FC2910" w:rsidRDefault="00FC2910" w:rsidP="00FC2910">
      <w:pPr>
        <w:spacing w:after="120" w:line="240" w:lineRule="exact"/>
        <w:ind w:left="283" w:hanging="283"/>
        <w:jc w:val="both"/>
        <w:rPr>
          <w:rFonts w:ascii="FrankRuehl" w:hAnsi="FrankRuehl" w:cs="FrankRuehl"/>
          <w:rtl/>
        </w:rPr>
      </w:pPr>
    </w:p>
    <w:p w14:paraId="06174016" w14:textId="77777777" w:rsidR="00FC2910" w:rsidRPr="00FC2910" w:rsidRDefault="00FC2910" w:rsidP="00FC2910">
      <w:pPr>
        <w:spacing w:after="120" w:line="240" w:lineRule="exact"/>
        <w:ind w:left="283" w:hanging="283"/>
        <w:jc w:val="both"/>
        <w:rPr>
          <w:rFonts w:ascii="FrankRuehl" w:hAnsi="FrankRuehl" w:cs="FrankRuehl"/>
          <w:rtl/>
        </w:rPr>
      </w:pPr>
      <w:r w:rsidRPr="00FC2910">
        <w:rPr>
          <w:rFonts w:ascii="FrankRuehl" w:hAnsi="FrankRuehl" w:cs="FrankRuehl"/>
          <w:rtl/>
        </w:rPr>
        <w:t xml:space="preserve">חקיקה שאוזכרה: </w:t>
      </w:r>
    </w:p>
    <w:p w14:paraId="45024DDB" w14:textId="77777777" w:rsidR="00FC2910" w:rsidRPr="00FC2910" w:rsidRDefault="00FC2910" w:rsidP="00FC2910">
      <w:pPr>
        <w:spacing w:after="120" w:line="240" w:lineRule="exact"/>
        <w:ind w:left="283" w:hanging="283"/>
        <w:jc w:val="both"/>
        <w:rPr>
          <w:rFonts w:ascii="FrankRuehl" w:hAnsi="FrankRuehl" w:cs="FrankRuehl"/>
          <w:rtl/>
        </w:rPr>
      </w:pPr>
      <w:hyperlink r:id="rId6" w:history="1">
        <w:r w:rsidRPr="00FC2910">
          <w:rPr>
            <w:rFonts w:ascii="FrankRuehl" w:hAnsi="FrankRuehl" w:cs="FrankRuehl"/>
            <w:color w:val="0000FF"/>
            <w:u w:val="single"/>
            <w:rtl/>
          </w:rPr>
          <w:t>פקודת הסמים המסוכנים [נוסח חדש], תשל"ג-1973</w:t>
        </w:r>
      </w:hyperlink>
      <w:r w:rsidRPr="00FC2910">
        <w:rPr>
          <w:rFonts w:ascii="FrankRuehl" w:hAnsi="FrankRuehl" w:cs="FrankRuehl"/>
          <w:rtl/>
        </w:rPr>
        <w:t xml:space="preserve">: סע'  </w:t>
      </w:r>
      <w:hyperlink r:id="rId7" w:history="1">
        <w:r w:rsidRPr="00FC2910">
          <w:rPr>
            <w:rFonts w:ascii="FrankRuehl" w:hAnsi="FrankRuehl" w:cs="FrankRuehl"/>
            <w:color w:val="0000FF"/>
            <w:u w:val="single"/>
            <w:rtl/>
          </w:rPr>
          <w:t>6</w:t>
        </w:r>
      </w:hyperlink>
      <w:r w:rsidRPr="00FC2910">
        <w:rPr>
          <w:rFonts w:ascii="FrankRuehl" w:hAnsi="FrankRuehl" w:cs="FrankRuehl"/>
          <w:rtl/>
        </w:rPr>
        <w:t xml:space="preserve">, </w:t>
      </w:r>
      <w:hyperlink r:id="rId8" w:history="1">
        <w:r w:rsidRPr="00FC2910">
          <w:rPr>
            <w:rFonts w:ascii="FrankRuehl" w:hAnsi="FrankRuehl" w:cs="FrankRuehl"/>
            <w:color w:val="0000FF"/>
            <w:u w:val="single"/>
            <w:rtl/>
          </w:rPr>
          <w:t>10</w:t>
        </w:r>
      </w:hyperlink>
    </w:p>
    <w:p w14:paraId="04719770" w14:textId="77777777" w:rsidR="00FC2910" w:rsidRPr="00FC2910" w:rsidRDefault="00FC2910" w:rsidP="00FC2910">
      <w:pPr>
        <w:spacing w:after="120" w:line="240" w:lineRule="exact"/>
        <w:ind w:left="283" w:hanging="283"/>
        <w:jc w:val="both"/>
        <w:rPr>
          <w:rFonts w:ascii="FrankRuehl" w:hAnsi="FrankRuehl" w:cs="FrankRuehl"/>
          <w:rtl/>
        </w:rPr>
      </w:pPr>
      <w:hyperlink r:id="rId9" w:history="1">
        <w:r w:rsidRPr="00FC2910">
          <w:rPr>
            <w:rFonts w:ascii="FrankRuehl" w:hAnsi="FrankRuehl" w:cs="FrankRuehl"/>
            <w:color w:val="0000FF"/>
            <w:u w:val="single"/>
            <w:rtl/>
          </w:rPr>
          <w:t>חוק העונשין, תשל"ז-1977</w:t>
        </w:r>
      </w:hyperlink>
      <w:r w:rsidRPr="00FC2910">
        <w:rPr>
          <w:rFonts w:ascii="FrankRuehl" w:hAnsi="FrankRuehl" w:cs="FrankRuehl"/>
          <w:rtl/>
        </w:rPr>
        <w:t xml:space="preserve">: סע'  </w:t>
      </w:r>
      <w:hyperlink r:id="rId10" w:history="1">
        <w:r w:rsidRPr="00FC2910">
          <w:rPr>
            <w:rFonts w:ascii="FrankRuehl" w:hAnsi="FrankRuehl" w:cs="FrankRuehl"/>
            <w:color w:val="0000FF"/>
            <w:u w:val="single"/>
            <w:rtl/>
          </w:rPr>
          <w:t>40ד'</w:t>
        </w:r>
      </w:hyperlink>
      <w:r w:rsidRPr="00FC2910">
        <w:rPr>
          <w:rFonts w:ascii="FrankRuehl" w:hAnsi="FrankRuehl" w:cs="FrankRuehl"/>
          <w:rtl/>
        </w:rPr>
        <w:t xml:space="preserve">, </w:t>
      </w:r>
      <w:hyperlink r:id="rId11" w:history="1">
        <w:r w:rsidRPr="00FC2910">
          <w:rPr>
            <w:rFonts w:ascii="FrankRuehl" w:hAnsi="FrankRuehl" w:cs="FrankRuehl"/>
            <w:color w:val="0000FF"/>
            <w:u w:val="single"/>
            <w:rtl/>
          </w:rPr>
          <w:t>40ט'</w:t>
        </w:r>
      </w:hyperlink>
    </w:p>
    <w:p w14:paraId="14CB651A" w14:textId="77777777" w:rsidR="00FC2910" w:rsidRPr="00FC2910" w:rsidRDefault="00FC2910" w:rsidP="00FC2910">
      <w:pPr>
        <w:spacing w:after="120" w:line="240" w:lineRule="exact"/>
        <w:ind w:left="283" w:hanging="283"/>
        <w:jc w:val="both"/>
        <w:rPr>
          <w:rFonts w:ascii="FrankRuehl" w:hAnsi="FrankRuehl" w:cs="FrankRuehl"/>
          <w:rtl/>
        </w:rPr>
      </w:pPr>
      <w:hyperlink r:id="rId12" w:history="1">
        <w:r w:rsidRPr="00FC2910">
          <w:rPr>
            <w:rFonts w:ascii="FrankRuehl" w:hAnsi="FrankRuehl" w:cs="FrankRuehl"/>
            <w:color w:val="0000FF"/>
            <w:u w:val="single"/>
            <w:rtl/>
          </w:rPr>
          <w:t>פקודת המבחן [נוסח חדש], תשכ"ט-1969</w:t>
        </w:r>
      </w:hyperlink>
      <w:r w:rsidRPr="00FC2910">
        <w:rPr>
          <w:rFonts w:ascii="FrankRuehl" w:hAnsi="FrankRuehl" w:cs="FrankRuehl"/>
          <w:rtl/>
        </w:rPr>
        <w:t xml:space="preserve">: סע'  </w:t>
      </w:r>
      <w:hyperlink r:id="rId13" w:history="1">
        <w:r w:rsidRPr="00FC2910">
          <w:rPr>
            <w:rFonts w:ascii="FrankRuehl" w:hAnsi="FrankRuehl" w:cs="FrankRuehl"/>
            <w:color w:val="0000FF"/>
            <w:u w:val="single"/>
            <w:rtl/>
          </w:rPr>
          <w:t>1</w:t>
        </w:r>
      </w:hyperlink>
    </w:p>
    <w:p w14:paraId="59F25FE0" w14:textId="77777777" w:rsidR="00FC2910" w:rsidRPr="00FC2910" w:rsidRDefault="00FC2910" w:rsidP="00FC2910">
      <w:pPr>
        <w:spacing w:after="120" w:line="240" w:lineRule="exact"/>
        <w:ind w:left="283" w:hanging="283"/>
        <w:jc w:val="both"/>
        <w:rPr>
          <w:rFonts w:ascii="FrankRuehl" w:hAnsi="FrankRuehl" w:cs="FrankRuehl"/>
          <w:rtl/>
        </w:rPr>
      </w:pPr>
    </w:p>
    <w:p w14:paraId="4254EE84" w14:textId="77777777" w:rsidR="00FC2910" w:rsidRPr="00FC2910" w:rsidRDefault="00FC2910" w:rsidP="00532576">
      <w:pPr>
        <w:rPr>
          <w:rtl/>
        </w:rPr>
      </w:pPr>
      <w:bookmarkStart w:id="3" w:name="LawTable_End"/>
      <w:bookmarkEnd w:id="3"/>
    </w:p>
    <w:p w14:paraId="4F4F0522" w14:textId="77777777" w:rsidR="00532576" w:rsidRDefault="00532576" w:rsidP="00532576">
      <w:pPr>
        <w:rPr>
          <w:rFonts w:hint="cs"/>
          <w:rtl/>
        </w:rPr>
      </w:pPr>
    </w:p>
    <w:p w14:paraId="2584D89F" w14:textId="77777777" w:rsidR="0047137E" w:rsidRPr="00E06E1D" w:rsidRDefault="0047137E" w:rsidP="00532576">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2576" w14:paraId="26E7EDA0" w14:textId="77777777" w:rsidTr="00532576">
        <w:trPr>
          <w:trHeight w:val="355"/>
          <w:jc w:val="center"/>
        </w:trPr>
        <w:tc>
          <w:tcPr>
            <w:tcW w:w="8820" w:type="dxa"/>
            <w:tcBorders>
              <w:top w:val="nil"/>
              <w:left w:val="nil"/>
              <w:bottom w:val="nil"/>
              <w:right w:val="nil"/>
            </w:tcBorders>
            <w:shd w:val="clear" w:color="auto" w:fill="auto"/>
          </w:tcPr>
          <w:p w14:paraId="74771B7C" w14:textId="77777777" w:rsidR="00E06E1D" w:rsidRPr="00E06E1D" w:rsidRDefault="00E06E1D" w:rsidP="00E06E1D">
            <w:pPr>
              <w:jc w:val="center"/>
              <w:rPr>
                <w:rFonts w:ascii="Arial" w:hAnsi="Arial" w:cs="FrankRuehl"/>
                <w:b/>
                <w:bCs/>
                <w:sz w:val="32"/>
                <w:szCs w:val="32"/>
                <w:u w:val="single"/>
                <w:rtl/>
              </w:rPr>
            </w:pPr>
            <w:bookmarkStart w:id="4" w:name="PsakDin" w:colFirst="0" w:colLast="0"/>
            <w:bookmarkEnd w:id="0"/>
            <w:r w:rsidRPr="00E06E1D">
              <w:rPr>
                <w:rFonts w:ascii="Arial" w:hAnsi="Arial" w:cs="FrankRuehl"/>
                <w:b/>
                <w:bCs/>
                <w:sz w:val="32"/>
                <w:szCs w:val="32"/>
                <w:u w:val="single"/>
                <w:rtl/>
              </w:rPr>
              <w:t>גזר דין</w:t>
            </w:r>
          </w:p>
          <w:p w14:paraId="18664814" w14:textId="77777777" w:rsidR="00532576" w:rsidRPr="00E06E1D" w:rsidRDefault="00532576" w:rsidP="00E06E1D">
            <w:pPr>
              <w:jc w:val="center"/>
              <w:rPr>
                <w:rFonts w:ascii="Arial" w:hAnsi="Arial" w:cs="FrankRuehl"/>
                <w:bCs/>
                <w:sz w:val="32"/>
                <w:szCs w:val="32"/>
                <w:u w:val="single"/>
                <w:rtl/>
              </w:rPr>
            </w:pPr>
          </w:p>
        </w:tc>
      </w:tr>
      <w:bookmarkEnd w:id="4"/>
    </w:tbl>
    <w:p w14:paraId="2A93DC1B" w14:textId="77777777" w:rsidR="00532576" w:rsidRPr="00B05847" w:rsidRDefault="00532576" w:rsidP="00532576">
      <w:pPr>
        <w:rPr>
          <w:rFonts w:ascii="Arial" w:hAnsi="Arial"/>
          <w:rtl/>
        </w:rPr>
      </w:pPr>
    </w:p>
    <w:p w14:paraId="056FCE81" w14:textId="77777777" w:rsidR="00532576" w:rsidRPr="00E06FAB" w:rsidRDefault="00532576" w:rsidP="00532576">
      <w:pPr>
        <w:rPr>
          <w:b/>
          <w:bCs/>
          <w:u w:val="single"/>
          <w:rtl/>
        </w:rPr>
      </w:pPr>
      <w:r w:rsidRPr="00E06FAB">
        <w:rPr>
          <w:b/>
          <w:bCs/>
          <w:u w:val="single"/>
          <w:rtl/>
        </w:rPr>
        <w:t>כתב האישום וההליכים</w:t>
      </w:r>
    </w:p>
    <w:p w14:paraId="2D51E469" w14:textId="77777777" w:rsidR="00532576" w:rsidRDefault="00532576" w:rsidP="00532576">
      <w:pPr>
        <w:spacing w:line="360" w:lineRule="auto"/>
        <w:contextualSpacing/>
        <w:jc w:val="both"/>
        <w:rPr>
          <w:rtl/>
        </w:rPr>
      </w:pPr>
      <w:r>
        <w:rPr>
          <w:rtl/>
        </w:rPr>
        <w:tab/>
      </w:r>
    </w:p>
    <w:p w14:paraId="39B456CD" w14:textId="77777777" w:rsidR="00532576" w:rsidRDefault="00532576" w:rsidP="00532576">
      <w:pPr>
        <w:spacing w:line="360" w:lineRule="auto"/>
        <w:contextualSpacing/>
        <w:jc w:val="both"/>
        <w:rPr>
          <w:rtl/>
        </w:rPr>
      </w:pPr>
      <w:r>
        <w:rPr>
          <w:rFonts w:hint="cs"/>
          <w:rtl/>
        </w:rPr>
        <w:t xml:space="preserve">1. </w:t>
      </w:r>
      <w:r>
        <w:rPr>
          <w:rtl/>
        </w:rPr>
        <w:tab/>
      </w:r>
      <w:bookmarkStart w:id="5" w:name="ABSTRACT_START"/>
      <w:bookmarkEnd w:id="5"/>
      <w:r w:rsidRPr="001D460C">
        <w:rPr>
          <w:rFonts w:hint="cs"/>
          <w:rtl/>
        </w:rPr>
        <w:t xml:space="preserve">הנאשם הורשע, לאחר שמיעת ראיות, בעבירה של גידול, ייצור והכנת סמים מסוכנים, לפי </w:t>
      </w:r>
      <w:hyperlink r:id="rId14" w:history="1">
        <w:r w:rsidR="0047137E" w:rsidRPr="0047137E">
          <w:rPr>
            <w:color w:val="0000FF"/>
            <w:u w:val="single"/>
            <w:rtl/>
          </w:rPr>
          <w:t>סעיף 6</w:t>
        </w:r>
      </w:hyperlink>
      <w:r w:rsidRPr="001D460C">
        <w:rPr>
          <w:rFonts w:hint="cs"/>
          <w:rtl/>
        </w:rPr>
        <w:t xml:space="preserve"> ל</w:t>
      </w:r>
      <w:hyperlink r:id="rId15" w:history="1">
        <w:r w:rsidR="00E06E1D" w:rsidRPr="00E06E1D">
          <w:rPr>
            <w:color w:val="0000FF"/>
            <w:u w:val="single"/>
            <w:rtl/>
          </w:rPr>
          <w:t>פקודת הסמים המסוכנים</w:t>
        </w:r>
      </w:hyperlink>
      <w:r w:rsidRPr="001D460C">
        <w:rPr>
          <w:rFonts w:hint="cs"/>
          <w:rtl/>
        </w:rPr>
        <w:t xml:space="preserve"> </w:t>
      </w:r>
      <w:r>
        <w:rPr>
          <w:rFonts w:hint="cs"/>
          <w:rtl/>
        </w:rPr>
        <w:t>[</w:t>
      </w:r>
      <w:r w:rsidRPr="001D460C">
        <w:rPr>
          <w:rFonts w:hint="cs"/>
          <w:rtl/>
        </w:rPr>
        <w:t>נוסח חדש</w:t>
      </w:r>
      <w:r>
        <w:rPr>
          <w:rFonts w:hint="cs"/>
          <w:rtl/>
        </w:rPr>
        <w:t>]</w:t>
      </w:r>
      <w:r w:rsidRPr="001D460C">
        <w:rPr>
          <w:rFonts w:hint="cs"/>
          <w:rtl/>
        </w:rPr>
        <w:t>, תשל"ג- 1973 (להלן</w:t>
      </w:r>
      <w:r>
        <w:rPr>
          <w:rFonts w:hint="cs"/>
          <w:rtl/>
        </w:rPr>
        <w:t xml:space="preserve"> -</w:t>
      </w:r>
      <w:r w:rsidRPr="001D460C">
        <w:rPr>
          <w:rFonts w:hint="cs"/>
          <w:rtl/>
        </w:rPr>
        <w:t xml:space="preserve"> </w:t>
      </w:r>
      <w:r w:rsidRPr="00DF0E5A">
        <w:rPr>
          <w:rFonts w:cs="Miriam" w:hint="cs"/>
          <w:rtl/>
        </w:rPr>
        <w:t>פקודת הסמים</w:t>
      </w:r>
      <w:r w:rsidRPr="001D460C">
        <w:rPr>
          <w:rFonts w:hint="cs"/>
          <w:rtl/>
        </w:rPr>
        <w:t xml:space="preserve">) ובעבירה של החזקת כלים להכנת סם שלא לצריכה עצמית, לפי </w:t>
      </w:r>
      <w:hyperlink r:id="rId16" w:history="1">
        <w:r w:rsidR="0047137E" w:rsidRPr="0047137E">
          <w:rPr>
            <w:color w:val="0000FF"/>
            <w:u w:val="single"/>
            <w:rtl/>
          </w:rPr>
          <w:t>סעיף 10</w:t>
        </w:r>
      </w:hyperlink>
      <w:r w:rsidRPr="001D460C">
        <w:rPr>
          <w:rFonts w:hint="cs"/>
          <w:rtl/>
        </w:rPr>
        <w:t xml:space="preserve"> רישא לפקודת הסמים.</w:t>
      </w:r>
      <w:r>
        <w:rPr>
          <w:rFonts w:hint="cs"/>
          <w:rtl/>
        </w:rPr>
        <w:t xml:space="preserve"> כפי שנקבע בהכרעת הדין, שכר הנאשם יחידת דיור בעלות של  -3,500 ₪ בחודש, אותה ייעד לצורך הקמת מעבדה לייצור שתילי סם מסוכן מסוג קנבוס (להלן -  </w:t>
      </w:r>
      <w:r>
        <w:rPr>
          <w:rFonts w:cs="Miriam" w:hint="cs"/>
          <w:rtl/>
        </w:rPr>
        <w:t>המעבדה</w:t>
      </w:r>
      <w:r>
        <w:rPr>
          <w:rFonts w:hint="cs"/>
          <w:rtl/>
        </w:rPr>
        <w:t>). ביום 09.04.17 גידל הנאשם במעבדה 100 שתילי קנבוס במשקל כולל של 12.8 ק"ג נטו. כן החזיק הנאשם בדירה כלים המשמשים לגידול סמים ובכללם מדי לחות; בקבוקי דישון; מנורות; צינור עם פילטר; אדניות ועוד.</w:t>
      </w:r>
    </w:p>
    <w:p w14:paraId="5672DB53" w14:textId="77777777" w:rsidR="00532576" w:rsidRDefault="00532576" w:rsidP="00532576">
      <w:pPr>
        <w:spacing w:line="360" w:lineRule="auto"/>
        <w:rPr>
          <w:rtl/>
        </w:rPr>
      </w:pPr>
    </w:p>
    <w:p w14:paraId="0F54EBBA" w14:textId="77777777" w:rsidR="00532576" w:rsidRDefault="00532576" w:rsidP="00532576">
      <w:pPr>
        <w:spacing w:line="360" w:lineRule="auto"/>
        <w:jc w:val="both"/>
        <w:rPr>
          <w:rFonts w:cs="Miriam"/>
          <w:rtl/>
        </w:rPr>
      </w:pPr>
      <w:r>
        <w:rPr>
          <w:rFonts w:hint="cs"/>
          <w:rtl/>
        </w:rPr>
        <w:t xml:space="preserve">2. </w:t>
      </w:r>
      <w:r>
        <w:rPr>
          <w:rtl/>
        </w:rPr>
        <w:tab/>
      </w:r>
      <w:r>
        <w:rPr>
          <w:rFonts w:hint="cs"/>
          <w:rtl/>
        </w:rPr>
        <w:t xml:space="preserve">כאמור לעיל, הנאשם הורשע לאחר ניהול הוכחות, ואולם כפירתו התמקדה בשאלת מטרת גידול הסמים בלבד, כאשר לא הייתה מחלוקת עובדתית בין הצדדים. בשים לב לעמדה זו, הסכים </w:t>
      </w:r>
      <w:r>
        <w:rPr>
          <w:rFonts w:hint="cs"/>
          <w:rtl/>
        </w:rPr>
        <w:lastRenderedPageBreak/>
        <w:t xml:space="preserve">הנאשם להגשת כל ראיות המאשימה ללא חקירת עדים. הנאשם העיד במסגרת פרשת ההגנה ועדותו עסקה בניסיון לשכנע כי גידל את הסמים לשימושו האישי בלבד. </w:t>
      </w:r>
      <w:bookmarkStart w:id="6" w:name="ABSTRACT_END"/>
      <w:bookmarkEnd w:id="6"/>
      <w:r>
        <w:rPr>
          <w:rFonts w:hint="cs"/>
          <w:rtl/>
        </w:rPr>
        <w:t>בהכרעת הדין דחיתי באופן חלקי את טענת הנאשם וקבעתי כך:</w:t>
      </w:r>
      <w:r>
        <w:rPr>
          <w:rFonts w:cs="Miriam" w:hint="cs"/>
          <w:rtl/>
        </w:rPr>
        <w:t xml:space="preserve"> </w:t>
      </w:r>
    </w:p>
    <w:p w14:paraId="47E3F99D" w14:textId="77777777" w:rsidR="00532576" w:rsidRDefault="00532576" w:rsidP="00532576">
      <w:pPr>
        <w:spacing w:line="360" w:lineRule="auto"/>
        <w:ind w:left="1134"/>
        <w:rPr>
          <w:rFonts w:cs="Miriam"/>
          <w:rtl/>
        </w:rPr>
      </w:pPr>
    </w:p>
    <w:p w14:paraId="0FEBDAF9" w14:textId="77777777" w:rsidR="00532576" w:rsidRDefault="00532576" w:rsidP="00532576">
      <w:pPr>
        <w:spacing w:line="360" w:lineRule="auto"/>
        <w:ind w:left="1134" w:right="1134"/>
        <w:jc w:val="both"/>
        <w:rPr>
          <w:rtl/>
        </w:rPr>
      </w:pPr>
      <w:r>
        <w:rPr>
          <w:rFonts w:cs="Miriam" w:hint="cs"/>
          <w:rtl/>
        </w:rPr>
        <w:t xml:space="preserve">"הנאשם גידל כמות משמעותית מאוד של שתילים. הוא לא הצליח להוכיח (ובוודאי שלא ברמה של עמידה במאזן ההסתברויות) כי מטרתו הייתה לעשות שימוש בעצמו </w:t>
      </w:r>
      <w:r>
        <w:rPr>
          <w:rFonts w:cs="Miriam" w:hint="cs"/>
          <w:u w:val="single"/>
          <w:rtl/>
        </w:rPr>
        <w:t>בכל</w:t>
      </w:r>
      <w:r>
        <w:rPr>
          <w:rFonts w:cs="Miriam" w:hint="cs"/>
          <w:rtl/>
        </w:rPr>
        <w:t xml:space="preserve"> הכמות שהיו מניבים שתילים אלו... מקובל עלי שהנאשם עשה בתקופה הרלוונטית לכתב האישום שימוש מאסיבי בסמים והיה מכור להם. לאור כך, הנאשם הוכיח שהיה עושה שימוש בסמים שגידל לצריכתו האישית, אך לא הוכיח כי היה עושה כן ביחס לכל הכמות" </w:t>
      </w:r>
      <w:r>
        <w:rPr>
          <w:rFonts w:hint="cs"/>
          <w:rtl/>
        </w:rPr>
        <w:t>(פסקאות 30,33 להכרעת הדין)</w:t>
      </w:r>
    </w:p>
    <w:p w14:paraId="663C3B40" w14:textId="77777777" w:rsidR="00532576" w:rsidRPr="00B05847" w:rsidRDefault="00532576" w:rsidP="00532576">
      <w:pPr>
        <w:rPr>
          <w:rtl/>
        </w:rPr>
      </w:pPr>
    </w:p>
    <w:p w14:paraId="2FB9FA51" w14:textId="77777777" w:rsidR="00532576" w:rsidRPr="00E06FAB" w:rsidRDefault="00532576" w:rsidP="00532576">
      <w:pPr>
        <w:spacing w:line="360" w:lineRule="auto"/>
        <w:jc w:val="both"/>
        <w:rPr>
          <w:b/>
          <w:bCs/>
          <w:u w:val="single"/>
          <w:rtl/>
        </w:rPr>
      </w:pPr>
      <w:r w:rsidRPr="00E06FAB">
        <w:rPr>
          <w:b/>
          <w:bCs/>
          <w:u w:val="single"/>
          <w:rtl/>
        </w:rPr>
        <w:t>תסקיר שירות המבחן</w:t>
      </w:r>
    </w:p>
    <w:p w14:paraId="0CC4B6C4" w14:textId="77777777" w:rsidR="00532576" w:rsidRDefault="00532576" w:rsidP="00532576">
      <w:pPr>
        <w:rPr>
          <w:rtl/>
        </w:rPr>
      </w:pPr>
    </w:p>
    <w:p w14:paraId="71A43FA9" w14:textId="77777777" w:rsidR="00532576" w:rsidRDefault="00532576" w:rsidP="00532576">
      <w:pPr>
        <w:spacing w:line="360" w:lineRule="auto"/>
        <w:jc w:val="both"/>
        <w:rPr>
          <w:rtl/>
        </w:rPr>
      </w:pPr>
      <w:r>
        <w:rPr>
          <w:rFonts w:hint="cs"/>
          <w:rtl/>
        </w:rPr>
        <w:t xml:space="preserve">3. </w:t>
      </w:r>
      <w:r>
        <w:rPr>
          <w:rtl/>
        </w:rPr>
        <w:tab/>
      </w:r>
      <w:r>
        <w:rPr>
          <w:rFonts w:hint="cs"/>
          <w:rtl/>
        </w:rPr>
        <w:t xml:space="preserve">שירות המבחן הגיש תסקיר בעניינו של הנאשם. מהתסקיר עולה כי הנאשם כבן 60, נעדר עבר פלילי, גרוש ואב ל-4 ילדים, עובד כיומיים בשבוע במחסום הרכבת בנהריה. שירות המבחן פירט בהרחבה את נסיבות חייו של הנאשם ומפאת צנעת הפרט לא אחזור על הדברים. בתמצית ייאמר כי הנאשם עשה שימוש בסמים מגיל צעיר, ובמשך שנים רבות ניהל אורח חיים דתי ונמנע משימוש בחומרים ממכרים, עד אשר נקלע למצוקה אישית שהובילה אותו לשוב ולהשתמש בסמים. </w:t>
      </w:r>
    </w:p>
    <w:p w14:paraId="452B3B05" w14:textId="77777777" w:rsidR="00532576" w:rsidRDefault="00532576" w:rsidP="00532576">
      <w:pPr>
        <w:spacing w:line="360" w:lineRule="auto"/>
        <w:jc w:val="both"/>
        <w:rPr>
          <w:rtl/>
        </w:rPr>
      </w:pPr>
    </w:p>
    <w:p w14:paraId="2683F5C6" w14:textId="77777777" w:rsidR="00532576" w:rsidRDefault="00532576" w:rsidP="00532576">
      <w:pPr>
        <w:spacing w:line="360" w:lineRule="auto"/>
        <w:jc w:val="both"/>
        <w:rPr>
          <w:rtl/>
        </w:rPr>
      </w:pPr>
      <w:r>
        <w:rPr>
          <w:rtl/>
        </w:rPr>
        <w:tab/>
      </w:r>
      <w:r>
        <w:rPr>
          <w:rFonts w:hint="cs"/>
          <w:rtl/>
        </w:rPr>
        <w:t xml:space="preserve">ביחס לביצוע העבירות, ציין שירות המבחן כי הנאשם מקבל אחריות מלאה למעשיו ומביע חרטה. כן צוין כי הנאשם מבין כיום את חומרת מעשיו ואת השלכות מעשיו על חייו וחיי משפחתו. הנאשם טען בפני שירות המבחן כי לא התכוון בשום שלב למכור או לשתף חברים בסמים שגידל. </w:t>
      </w:r>
    </w:p>
    <w:p w14:paraId="2F78874B" w14:textId="77777777" w:rsidR="00532576" w:rsidRDefault="00532576" w:rsidP="00532576">
      <w:pPr>
        <w:spacing w:line="360" w:lineRule="auto"/>
        <w:jc w:val="both"/>
        <w:rPr>
          <w:rtl/>
        </w:rPr>
      </w:pPr>
    </w:p>
    <w:p w14:paraId="3DEB2455" w14:textId="77777777" w:rsidR="00532576" w:rsidRDefault="00532576" w:rsidP="00532576">
      <w:pPr>
        <w:spacing w:line="360" w:lineRule="auto"/>
        <w:jc w:val="both"/>
        <w:rPr>
          <w:rtl/>
        </w:rPr>
      </w:pPr>
      <w:r>
        <w:rPr>
          <w:rFonts w:hint="cs"/>
          <w:rtl/>
        </w:rPr>
        <w:t xml:space="preserve">4. </w:t>
      </w:r>
      <w:r>
        <w:rPr>
          <w:rtl/>
        </w:rPr>
        <w:tab/>
      </w:r>
      <w:r>
        <w:rPr>
          <w:rFonts w:hint="cs"/>
          <w:rtl/>
        </w:rPr>
        <w:t xml:space="preserve">הנאשם החל תהליך טיפולי ביחידה לנפגעי התמכרויות בנהריה. מהדיווח שנמסר עולה כי הנאשם מגיע בקביעות לשיחות פרטניות, לוקח בהן חלק פעיל, ומוסר בדיקות שתן נקיות משרידי סמים. כן פנה הנאשם בחודש אפריל האחרון למרפאה לבריאות הנפש בנהריה, שם החל לווי פסיכיאטרי וטיפול תרופתי.  </w:t>
      </w:r>
    </w:p>
    <w:p w14:paraId="00DDB3CA" w14:textId="77777777" w:rsidR="00532576" w:rsidRDefault="00532576" w:rsidP="00532576">
      <w:pPr>
        <w:spacing w:line="360" w:lineRule="auto"/>
        <w:jc w:val="both"/>
        <w:rPr>
          <w:rtl/>
        </w:rPr>
      </w:pPr>
    </w:p>
    <w:p w14:paraId="5446F6DE" w14:textId="77777777" w:rsidR="00532576" w:rsidRPr="00B05847" w:rsidRDefault="00532576" w:rsidP="00532576">
      <w:pPr>
        <w:spacing w:line="360" w:lineRule="auto"/>
        <w:jc w:val="both"/>
        <w:rPr>
          <w:rtl/>
        </w:rPr>
      </w:pPr>
      <w:r>
        <w:rPr>
          <w:rtl/>
        </w:rPr>
        <w:tab/>
      </w:r>
      <w:r>
        <w:rPr>
          <w:rFonts w:hint="cs"/>
          <w:rtl/>
        </w:rPr>
        <w:t xml:space="preserve">שירות המבחן התרשם כי הנאשם מחויב להליך שהחל, הוא נמצא בעיצומו של הליך טיפולי משמעותי, וקיימת חשיבות להמשך התהליך השיקומי. לאור כך, סבר שירות המבחן כי ראוי להעדיף בעניינו של הנאשם את האפיק השיקומי ולהעמידו בצו מבחן למשך 18 חודשים, במסגרתו ימשיך הטיפול ביחידה להתמכרויות, זאת לצד מעקב במרפאה לבריאות הנפש. כן הומלץ על הטלת ענישה מרתיעה בדמות מאסר בעבודות שירות ומאסר מותנה. </w:t>
      </w:r>
    </w:p>
    <w:p w14:paraId="41797C1D" w14:textId="77777777" w:rsidR="00532576" w:rsidRDefault="00532576" w:rsidP="00532576">
      <w:pPr>
        <w:jc w:val="both"/>
        <w:rPr>
          <w:rtl/>
        </w:rPr>
      </w:pPr>
    </w:p>
    <w:p w14:paraId="6C9B4531" w14:textId="77777777" w:rsidR="00532576" w:rsidRPr="005D0A5D" w:rsidRDefault="00532576" w:rsidP="00532576">
      <w:pPr>
        <w:spacing w:line="360" w:lineRule="auto"/>
        <w:jc w:val="both"/>
        <w:rPr>
          <w:b/>
          <w:bCs/>
          <w:u w:val="single"/>
          <w:rtl/>
        </w:rPr>
      </w:pPr>
      <w:r w:rsidRPr="005D0A5D">
        <w:rPr>
          <w:b/>
          <w:bCs/>
          <w:u w:val="single"/>
          <w:rtl/>
        </w:rPr>
        <w:lastRenderedPageBreak/>
        <w:t>טיעוני הצדדים לעונש</w:t>
      </w:r>
    </w:p>
    <w:p w14:paraId="1BBA4EC8" w14:textId="77777777" w:rsidR="00532576" w:rsidRDefault="00532576" w:rsidP="00532576">
      <w:pPr>
        <w:rPr>
          <w:rtl/>
        </w:rPr>
      </w:pPr>
    </w:p>
    <w:p w14:paraId="556D0A60" w14:textId="77777777" w:rsidR="00532576" w:rsidRDefault="00532576" w:rsidP="00532576">
      <w:pPr>
        <w:spacing w:line="360" w:lineRule="auto"/>
        <w:jc w:val="both"/>
        <w:rPr>
          <w:rtl/>
        </w:rPr>
      </w:pPr>
      <w:r>
        <w:rPr>
          <w:rFonts w:hint="cs"/>
          <w:rtl/>
        </w:rPr>
        <w:t xml:space="preserve">5. </w:t>
      </w:r>
      <w:r>
        <w:rPr>
          <w:rtl/>
        </w:rPr>
        <w:tab/>
      </w:r>
      <w:r>
        <w:rPr>
          <w:rFonts w:hint="cs"/>
          <w:rtl/>
        </w:rPr>
        <w:t xml:space="preserve">ב"כ המאשימה הפנה לעובדות כתב האישום ולקביעות בהכרעת הדין, וציין את חומרתן. ביחס לתסקיר נטען כי נתוני הנאשם אינם מצדיקים סטייה לקולה משיקולי שיקום ועל כן יש להעדיף את שיקולי ההלימה. לשיטת המאשימה, העובדה כי הנאשם נמצא בקשר עם שירות המבחן מספר חודשים אינה מעידה על הליך שיקומי. ביחס למתחם העונש ההולם נטען למתחם שנע בין 9 חודשי מאסר ל-24 חודשי מאסר, כשעתירת המאשימה הינה למאסר בפועל בגדרי המתחם, מאסר על תנאי, קנס ופסילת רישיון. </w:t>
      </w:r>
    </w:p>
    <w:p w14:paraId="5333D5CC" w14:textId="77777777" w:rsidR="00532576" w:rsidRDefault="00532576" w:rsidP="00532576">
      <w:pPr>
        <w:spacing w:line="360" w:lineRule="auto"/>
        <w:jc w:val="both"/>
        <w:rPr>
          <w:rtl/>
        </w:rPr>
      </w:pPr>
      <w:r>
        <w:rPr>
          <w:rFonts w:hint="cs"/>
          <w:rtl/>
        </w:rPr>
        <w:t xml:space="preserve">6. </w:t>
      </w:r>
      <w:r>
        <w:rPr>
          <w:rtl/>
        </w:rPr>
        <w:tab/>
      </w:r>
      <w:r>
        <w:rPr>
          <w:rFonts w:hint="cs"/>
          <w:rtl/>
        </w:rPr>
        <w:t xml:space="preserve">ב"כ הנאשם  טען כי הנאשם קיבל אחריות מלאה למעשיו והודה בגידול הסמים עוד בשלבי החקירה. צוין כי ניהול ההליך נועד לצורך הוכחת מטרת המעשה </w:t>
      </w:r>
      <w:r>
        <w:rPr>
          <w:rtl/>
        </w:rPr>
        <w:t>–</w:t>
      </w:r>
      <w:r>
        <w:rPr>
          <w:rFonts w:hint="cs"/>
          <w:rtl/>
        </w:rPr>
        <w:t xml:space="preserve"> צריכה עצמית </w:t>
      </w:r>
      <w:r>
        <w:rPr>
          <w:rtl/>
        </w:rPr>
        <w:t>–</w:t>
      </w:r>
      <w:r>
        <w:rPr>
          <w:rFonts w:hint="cs"/>
          <w:rtl/>
        </w:rPr>
        <w:t xml:space="preserve"> ולכן אין לראותו כמי שלא קיבל אחריות. לשיטת ההגנה, יש לאבחן בין סוגי הסמים, כך שעבירה הקשורה בסם מסוג קנאביס תחשב קלה יותר. כן נטען כי נסיבות חייו הקשות; גילו של הנאשם; היעדר עבר פלילי; ההליך הטיפולי שהוא עובר; והשפעתו השלילית של עונש בכליאה, מביאים לכלל מסקנה כי יש להעדיף את האינטרס השיקומי ולקבל את המלצת שירות המבחן. ביחס למתחם העונש ההולם נטען כי המתחם נע בין של"צ ומאסר על תנאי ועד עונש מאסר בפועל, ועתירת ההגנה הייתה לעונש מאסר שניתן לשאת בעבודות שירות. אציין כבר עתה כי לאחר שהתקבלה חוות דעת הממונה על עבודות השירות, בה צוין כי הנאשם אינו כשיר לבצע עבודות שירות בשל מצבו הנפשי, ביקשה ההגנה לחייבו בצו של"צ ולהימנע משליחתו למאסר. </w:t>
      </w:r>
    </w:p>
    <w:p w14:paraId="069DD38C" w14:textId="77777777" w:rsidR="00532576" w:rsidRDefault="00532576" w:rsidP="00532576">
      <w:pPr>
        <w:spacing w:line="360" w:lineRule="auto"/>
        <w:rPr>
          <w:rtl/>
        </w:rPr>
      </w:pPr>
    </w:p>
    <w:p w14:paraId="6FC94C91" w14:textId="77777777" w:rsidR="00532576" w:rsidRDefault="00532576" w:rsidP="00532576">
      <w:pPr>
        <w:spacing w:line="360" w:lineRule="auto"/>
        <w:jc w:val="both"/>
        <w:rPr>
          <w:rtl/>
        </w:rPr>
      </w:pPr>
      <w:r>
        <w:rPr>
          <w:rFonts w:hint="cs"/>
          <w:rtl/>
        </w:rPr>
        <w:t xml:space="preserve">7. </w:t>
      </w:r>
      <w:r>
        <w:rPr>
          <w:rtl/>
        </w:rPr>
        <w:tab/>
      </w:r>
      <w:r>
        <w:rPr>
          <w:rFonts w:hint="cs"/>
          <w:rtl/>
        </w:rPr>
        <w:t>הנאשם בדברו האחרון הביע חרטה על מעשיו. במעמד זה  תיאר הנאשם מצבו הנפשי הקשה כיום ואת ההשלכות הקשות של ההליך הפלילי על חייו.</w:t>
      </w:r>
    </w:p>
    <w:p w14:paraId="188B450C" w14:textId="77777777" w:rsidR="00532576" w:rsidRDefault="00532576" w:rsidP="00532576">
      <w:pPr>
        <w:rPr>
          <w:rtl/>
        </w:rPr>
      </w:pPr>
    </w:p>
    <w:p w14:paraId="31E4A644" w14:textId="77777777" w:rsidR="00532576" w:rsidRDefault="00532576" w:rsidP="00532576">
      <w:pPr>
        <w:rPr>
          <w:rtl/>
        </w:rPr>
      </w:pPr>
    </w:p>
    <w:p w14:paraId="2BCB4E6E" w14:textId="77777777" w:rsidR="00532576" w:rsidRPr="005D0A5D" w:rsidRDefault="00532576" w:rsidP="00532576">
      <w:pPr>
        <w:spacing w:line="360" w:lineRule="auto"/>
        <w:contextualSpacing/>
        <w:jc w:val="both"/>
        <w:rPr>
          <w:b/>
          <w:bCs/>
          <w:u w:val="single"/>
          <w:rtl/>
        </w:rPr>
      </w:pPr>
      <w:r w:rsidRPr="005D0A5D">
        <w:rPr>
          <w:b/>
          <w:bCs/>
          <w:u w:val="single"/>
          <w:rtl/>
        </w:rPr>
        <w:t>דיון והכרעה</w:t>
      </w:r>
    </w:p>
    <w:p w14:paraId="318C8FA1" w14:textId="77777777" w:rsidR="00532576" w:rsidRDefault="00532576" w:rsidP="00532576">
      <w:pPr>
        <w:rPr>
          <w:b/>
          <w:bCs/>
          <w:u w:val="single"/>
          <w:rtl/>
        </w:rPr>
      </w:pPr>
      <w:r>
        <w:rPr>
          <w:rFonts w:hint="cs"/>
          <w:b/>
          <w:bCs/>
          <w:u w:val="single"/>
          <w:rtl/>
        </w:rPr>
        <w:t>קביעת מתחם הענישה</w:t>
      </w:r>
    </w:p>
    <w:p w14:paraId="786ED9C5" w14:textId="77777777" w:rsidR="00532576" w:rsidRDefault="00532576" w:rsidP="00532576">
      <w:pPr>
        <w:rPr>
          <w:b/>
          <w:bCs/>
          <w:u w:val="single"/>
          <w:rtl/>
        </w:rPr>
      </w:pPr>
    </w:p>
    <w:p w14:paraId="4FA542F1" w14:textId="77777777" w:rsidR="00532576" w:rsidRDefault="00532576" w:rsidP="00532576">
      <w:pPr>
        <w:spacing w:line="360" w:lineRule="auto"/>
        <w:rPr>
          <w:rtl/>
        </w:rPr>
      </w:pPr>
    </w:p>
    <w:p w14:paraId="1205F271" w14:textId="77777777" w:rsidR="00532576" w:rsidRDefault="00532576" w:rsidP="00532576">
      <w:pPr>
        <w:spacing w:line="360" w:lineRule="auto"/>
        <w:jc w:val="both"/>
        <w:rPr>
          <w:rtl/>
        </w:rPr>
      </w:pPr>
      <w:r>
        <w:rPr>
          <w:rFonts w:hint="cs"/>
          <w:rtl/>
        </w:rPr>
        <w:t>8.</w:t>
      </w:r>
      <w:r>
        <w:rPr>
          <w:rtl/>
        </w:rPr>
        <w:tab/>
      </w:r>
      <w:r w:rsidRPr="00083FA7">
        <w:rPr>
          <w:rtl/>
        </w:rPr>
        <w:t>בהתאם לתיקון 113 ל</w:t>
      </w:r>
      <w:hyperlink r:id="rId17" w:history="1">
        <w:r w:rsidR="00E06E1D" w:rsidRPr="00E06E1D">
          <w:rPr>
            <w:color w:val="0000FF"/>
            <w:u w:val="single"/>
            <w:rtl/>
          </w:rPr>
          <w:t>חוק העונשין</w:t>
        </w:r>
      </w:hyperlink>
      <w:r w:rsidRPr="00083FA7">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w:t>
      </w:r>
      <w:r>
        <w:rPr>
          <w:rtl/>
        </w:rPr>
        <w:t xml:space="preserve">מתחם </w:t>
      </w:r>
      <w:r w:rsidRPr="00083FA7">
        <w:rPr>
          <w:rtl/>
        </w:rPr>
        <w:t xml:space="preserve">העונש ההולם מתחשב בית המשפט </w:t>
      </w:r>
      <w:r>
        <w:rPr>
          <w:rtl/>
        </w:rPr>
        <w:t xml:space="preserve">בעקרון המנחה בענישה – הלימה, </w:t>
      </w:r>
      <w:r w:rsidRPr="00083FA7">
        <w:rPr>
          <w:rtl/>
        </w:rPr>
        <w:t xml:space="preserve">בערך החברתי שנפגע, במידת הפגיעה בו, במדיניות הענישה הנוהגת ובנסיבות הקשורות בביצוע העבירה, על פי </w:t>
      </w:r>
      <w:hyperlink r:id="rId18" w:history="1">
        <w:r w:rsidR="0047137E" w:rsidRPr="0047137E">
          <w:rPr>
            <w:color w:val="0000FF"/>
            <w:u w:val="single"/>
            <w:rtl/>
          </w:rPr>
          <w:t>סעיף 40ט'</w:t>
        </w:r>
      </w:hyperlink>
      <w:r w:rsidRPr="00083FA7">
        <w:rPr>
          <w:rtl/>
        </w:rPr>
        <w:t xml:space="preserve"> ל</w:t>
      </w:r>
      <w:hyperlink r:id="rId19" w:history="1">
        <w:r w:rsidR="00E06E1D" w:rsidRPr="00E06E1D">
          <w:rPr>
            <w:color w:val="0000FF"/>
            <w:u w:val="single"/>
            <w:rtl/>
          </w:rPr>
          <w:t>חוק העונשין</w:t>
        </w:r>
      </w:hyperlink>
      <w:r w:rsidRPr="00083FA7">
        <w:rPr>
          <w:rtl/>
        </w:rPr>
        <w:t xml:space="preserve">. </w:t>
      </w:r>
      <w:r w:rsidRPr="0083183C">
        <w:rPr>
          <w:rtl/>
        </w:rPr>
        <w:t>בנסיבות עניינו ברי שמדובר במתחם ענישה אחד הכולל את שתי העבירות בהן הורשע הנאשם.</w:t>
      </w:r>
      <w:r>
        <w:rPr>
          <w:rFonts w:hint="cs"/>
          <w:rtl/>
        </w:rPr>
        <w:t xml:space="preserve"> </w:t>
      </w:r>
      <w:r w:rsidRPr="00184721">
        <w:rPr>
          <w:rtl/>
        </w:rPr>
        <w:t>(</w:t>
      </w:r>
      <w:hyperlink r:id="rId20" w:history="1">
        <w:r w:rsidR="00E06E1D" w:rsidRPr="00E06E1D">
          <w:rPr>
            <w:color w:val="0000FF"/>
            <w:u w:val="single"/>
            <w:rtl/>
          </w:rPr>
          <w:t>ע"פ 4910/13</w:t>
        </w:r>
      </w:hyperlink>
      <w:r w:rsidRPr="00184721">
        <w:rPr>
          <w:rtl/>
        </w:rPr>
        <w:t xml:space="preserve"> </w:t>
      </w:r>
      <w:r w:rsidRPr="00184721">
        <w:rPr>
          <w:b/>
          <w:bCs/>
          <w:rtl/>
        </w:rPr>
        <w:t>ג'אבר נ' מדינת ישראל</w:t>
      </w:r>
      <w:r w:rsidRPr="00184721">
        <w:rPr>
          <w:rtl/>
        </w:rPr>
        <w:t xml:space="preserve"> (29.10.14)).</w:t>
      </w:r>
    </w:p>
    <w:p w14:paraId="09329931" w14:textId="77777777" w:rsidR="00532576" w:rsidRPr="0083183C" w:rsidRDefault="00532576" w:rsidP="00532576">
      <w:pPr>
        <w:spacing w:line="360" w:lineRule="auto"/>
        <w:contextualSpacing/>
        <w:jc w:val="both"/>
        <w:rPr>
          <w:rtl/>
        </w:rPr>
      </w:pPr>
      <w:r>
        <w:rPr>
          <w:rFonts w:hint="cs"/>
          <w:rtl/>
        </w:rPr>
        <w:t xml:space="preserve"> </w:t>
      </w:r>
    </w:p>
    <w:p w14:paraId="752BB2DB" w14:textId="77777777" w:rsidR="00532576" w:rsidRDefault="00532576" w:rsidP="00532576">
      <w:pPr>
        <w:rPr>
          <w:rtl/>
        </w:rPr>
      </w:pPr>
    </w:p>
    <w:p w14:paraId="28797565" w14:textId="77777777" w:rsidR="00532576" w:rsidRPr="00816D81" w:rsidRDefault="00532576" w:rsidP="00532576">
      <w:pPr>
        <w:spacing w:line="360" w:lineRule="auto"/>
        <w:jc w:val="both"/>
        <w:rPr>
          <w:rFonts w:ascii="David" w:hAnsi="David" w:cs="Miriam"/>
        </w:rPr>
      </w:pPr>
      <w:r>
        <w:rPr>
          <w:rFonts w:hint="cs"/>
          <w:rtl/>
        </w:rPr>
        <w:t xml:space="preserve">9. </w:t>
      </w:r>
      <w:r>
        <w:rPr>
          <w:rtl/>
        </w:rPr>
        <w:tab/>
      </w:r>
      <w:r w:rsidRPr="0083183C">
        <w:rPr>
          <w:b/>
          <w:bCs/>
          <w:u w:val="single"/>
          <w:rtl/>
        </w:rPr>
        <w:t>הערכים המוגנים בבסיס העבירה:</w:t>
      </w:r>
      <w:r w:rsidRPr="0083183C">
        <w:rPr>
          <w:rtl/>
        </w:rPr>
        <w:t xml:space="preserve"> </w:t>
      </w:r>
      <w:r w:rsidRPr="00BF3082">
        <w:rPr>
          <w:rFonts w:ascii="David" w:hAnsi="David" w:hint="eastAsia"/>
          <w:rtl/>
        </w:rPr>
        <w:t>במעשיו</w:t>
      </w:r>
      <w:r w:rsidRPr="00BF3082">
        <w:rPr>
          <w:rFonts w:ascii="David" w:hAnsi="David"/>
          <w:rtl/>
        </w:rPr>
        <w:t xml:space="preserve"> </w:t>
      </w:r>
      <w:r w:rsidRPr="00BF3082">
        <w:rPr>
          <w:rFonts w:ascii="David" w:hAnsi="David" w:hint="eastAsia"/>
          <w:rtl/>
        </w:rPr>
        <w:t>פגע</w:t>
      </w:r>
      <w:r w:rsidRPr="00BF3082">
        <w:rPr>
          <w:rFonts w:ascii="David" w:hAnsi="David"/>
          <w:rtl/>
        </w:rPr>
        <w:t xml:space="preserve"> </w:t>
      </w:r>
      <w:r w:rsidRPr="00BF3082">
        <w:rPr>
          <w:rFonts w:ascii="David" w:hAnsi="David" w:hint="eastAsia"/>
          <w:rtl/>
        </w:rPr>
        <w:t>הנאשם</w:t>
      </w:r>
      <w:r w:rsidRPr="00BF3082">
        <w:rPr>
          <w:rFonts w:ascii="David" w:hAnsi="David"/>
          <w:rtl/>
        </w:rPr>
        <w:t xml:space="preserve"> </w:t>
      </w:r>
      <w:r w:rsidRPr="00BF3082">
        <w:rPr>
          <w:rFonts w:ascii="David" w:hAnsi="David" w:hint="eastAsia"/>
          <w:rtl/>
        </w:rPr>
        <w:t>בערכים</w:t>
      </w:r>
      <w:r w:rsidRPr="00BF3082">
        <w:rPr>
          <w:rFonts w:ascii="David" w:hAnsi="David"/>
          <w:rtl/>
        </w:rPr>
        <w:t xml:space="preserve"> </w:t>
      </w:r>
      <w:r w:rsidRPr="00BF3082">
        <w:rPr>
          <w:rFonts w:ascii="David" w:hAnsi="David" w:hint="eastAsia"/>
          <w:rtl/>
        </w:rPr>
        <w:t>של</w:t>
      </w:r>
      <w:r w:rsidRPr="00BF3082">
        <w:rPr>
          <w:rFonts w:ascii="David" w:hAnsi="David"/>
          <w:rtl/>
        </w:rPr>
        <w:t xml:space="preserve"> </w:t>
      </w:r>
      <w:r w:rsidRPr="00BF3082">
        <w:rPr>
          <w:rFonts w:ascii="David" w:hAnsi="David" w:hint="eastAsia"/>
          <w:rtl/>
        </w:rPr>
        <w:t>בטחון</w:t>
      </w:r>
      <w:r w:rsidRPr="00BF3082">
        <w:rPr>
          <w:rFonts w:ascii="David" w:hAnsi="David"/>
          <w:rtl/>
        </w:rPr>
        <w:t xml:space="preserve"> </w:t>
      </w:r>
      <w:r w:rsidRPr="00BF3082">
        <w:rPr>
          <w:rFonts w:ascii="David" w:hAnsi="David" w:hint="eastAsia"/>
          <w:rtl/>
        </w:rPr>
        <w:t>הציבור</w:t>
      </w:r>
      <w:r w:rsidRPr="00BF3082">
        <w:rPr>
          <w:rFonts w:ascii="David" w:hAnsi="David"/>
          <w:rtl/>
        </w:rPr>
        <w:t xml:space="preserve"> </w:t>
      </w:r>
      <w:r w:rsidRPr="00BF3082">
        <w:rPr>
          <w:rFonts w:ascii="David" w:hAnsi="David" w:hint="eastAsia"/>
          <w:rtl/>
        </w:rPr>
        <w:t>ושלומו</w:t>
      </w:r>
      <w:r w:rsidRPr="00BF3082">
        <w:rPr>
          <w:rFonts w:ascii="David" w:hAnsi="David"/>
          <w:rtl/>
        </w:rPr>
        <w:t xml:space="preserve">. </w:t>
      </w:r>
      <w:r w:rsidRPr="00BF3082">
        <w:rPr>
          <w:rFonts w:ascii="David" w:hAnsi="David" w:hint="eastAsia"/>
          <w:rtl/>
        </w:rPr>
        <w:t>הסכנות</w:t>
      </w:r>
      <w:r w:rsidRPr="00BF3082">
        <w:rPr>
          <w:rFonts w:ascii="David" w:hAnsi="David"/>
          <w:rtl/>
        </w:rPr>
        <w:t xml:space="preserve"> </w:t>
      </w:r>
      <w:r w:rsidRPr="00BF3082">
        <w:rPr>
          <w:rFonts w:ascii="David" w:hAnsi="David" w:hint="eastAsia"/>
          <w:rtl/>
        </w:rPr>
        <w:t>הטמונות</w:t>
      </w:r>
      <w:r w:rsidRPr="00BF3082">
        <w:rPr>
          <w:rFonts w:ascii="David" w:hAnsi="David"/>
          <w:rtl/>
        </w:rPr>
        <w:t xml:space="preserve"> </w:t>
      </w:r>
      <w:r w:rsidRPr="00BF3082">
        <w:rPr>
          <w:rFonts w:ascii="David" w:hAnsi="David" w:hint="eastAsia"/>
          <w:rtl/>
        </w:rPr>
        <w:t>בהחזקת</w:t>
      </w:r>
      <w:r w:rsidRPr="00BF3082">
        <w:rPr>
          <w:rFonts w:ascii="David" w:hAnsi="David"/>
          <w:rtl/>
        </w:rPr>
        <w:t xml:space="preserve"> </w:t>
      </w:r>
      <w:r w:rsidRPr="00BF3082">
        <w:rPr>
          <w:rFonts w:ascii="David" w:hAnsi="David" w:hint="eastAsia"/>
          <w:rtl/>
        </w:rPr>
        <w:t>סם</w:t>
      </w:r>
      <w:r w:rsidRPr="00BF3082">
        <w:rPr>
          <w:rFonts w:ascii="David" w:hAnsi="David"/>
          <w:rtl/>
        </w:rPr>
        <w:t xml:space="preserve">, </w:t>
      </w:r>
      <w:r w:rsidRPr="00BF3082">
        <w:rPr>
          <w:rFonts w:ascii="David" w:hAnsi="David" w:hint="eastAsia"/>
          <w:rtl/>
        </w:rPr>
        <w:t>לצורך</w:t>
      </w:r>
      <w:r w:rsidRPr="00BF3082">
        <w:rPr>
          <w:rFonts w:ascii="David" w:hAnsi="David"/>
          <w:rtl/>
        </w:rPr>
        <w:t xml:space="preserve"> </w:t>
      </w:r>
      <w:r w:rsidRPr="00BF3082">
        <w:rPr>
          <w:rFonts w:ascii="David" w:hAnsi="David" w:hint="eastAsia"/>
          <w:rtl/>
        </w:rPr>
        <w:t>גידולו</w:t>
      </w:r>
      <w:r w:rsidRPr="00BF3082">
        <w:rPr>
          <w:rFonts w:ascii="David" w:hAnsi="David"/>
          <w:rtl/>
        </w:rPr>
        <w:t xml:space="preserve"> </w:t>
      </w:r>
      <w:r w:rsidRPr="00BF3082">
        <w:rPr>
          <w:rFonts w:ascii="David" w:hAnsi="David" w:hint="eastAsia"/>
          <w:rtl/>
        </w:rPr>
        <w:t>והפצתו</w:t>
      </w:r>
      <w:r>
        <w:rPr>
          <w:rFonts w:ascii="David" w:hAnsi="David" w:hint="cs"/>
          <w:rtl/>
        </w:rPr>
        <w:t>,</w:t>
      </w:r>
      <w:r w:rsidRPr="00BF3082">
        <w:rPr>
          <w:rFonts w:ascii="David" w:hAnsi="David"/>
          <w:rtl/>
        </w:rPr>
        <w:t xml:space="preserve"> </w:t>
      </w:r>
      <w:r w:rsidRPr="00BF3082">
        <w:rPr>
          <w:rFonts w:ascii="David" w:hAnsi="David" w:hint="eastAsia"/>
          <w:rtl/>
        </w:rPr>
        <w:t>ידועות</w:t>
      </w:r>
      <w:r w:rsidRPr="00BF3082">
        <w:rPr>
          <w:rFonts w:ascii="David" w:hAnsi="David"/>
          <w:rtl/>
        </w:rPr>
        <w:t xml:space="preserve"> </w:t>
      </w:r>
      <w:r w:rsidRPr="00BF3082">
        <w:rPr>
          <w:rFonts w:ascii="David" w:hAnsi="David" w:hint="eastAsia"/>
          <w:rtl/>
        </w:rPr>
        <w:t>ואין</w:t>
      </w:r>
      <w:r w:rsidRPr="00BF3082">
        <w:rPr>
          <w:rFonts w:ascii="David" w:hAnsi="David"/>
          <w:rtl/>
        </w:rPr>
        <w:t xml:space="preserve"> </w:t>
      </w:r>
      <w:r w:rsidRPr="00BF3082">
        <w:rPr>
          <w:rFonts w:ascii="David" w:hAnsi="David" w:hint="eastAsia"/>
          <w:rtl/>
        </w:rPr>
        <w:t>צורך</w:t>
      </w:r>
      <w:r w:rsidRPr="00BF3082">
        <w:rPr>
          <w:rFonts w:ascii="David" w:hAnsi="David"/>
          <w:rtl/>
        </w:rPr>
        <w:t xml:space="preserve"> </w:t>
      </w:r>
      <w:r w:rsidRPr="00BF3082">
        <w:rPr>
          <w:rFonts w:ascii="David" w:hAnsi="David" w:hint="eastAsia"/>
          <w:rtl/>
        </w:rPr>
        <w:t>להכביר</w:t>
      </w:r>
      <w:r w:rsidRPr="00BF3082">
        <w:rPr>
          <w:rFonts w:ascii="David" w:hAnsi="David"/>
          <w:rtl/>
        </w:rPr>
        <w:t xml:space="preserve"> </w:t>
      </w:r>
      <w:r w:rsidRPr="00BF3082">
        <w:rPr>
          <w:rFonts w:ascii="David" w:hAnsi="David" w:hint="eastAsia"/>
          <w:rtl/>
        </w:rPr>
        <w:t>מילים</w:t>
      </w:r>
      <w:r w:rsidRPr="00BF3082">
        <w:rPr>
          <w:rFonts w:ascii="David" w:hAnsi="David"/>
          <w:rtl/>
        </w:rPr>
        <w:t xml:space="preserve"> </w:t>
      </w:r>
      <w:r w:rsidRPr="00BF3082">
        <w:rPr>
          <w:rFonts w:ascii="David" w:hAnsi="David" w:hint="eastAsia"/>
          <w:rtl/>
        </w:rPr>
        <w:t>על</w:t>
      </w:r>
      <w:r w:rsidRPr="00BF3082">
        <w:rPr>
          <w:rFonts w:ascii="David" w:hAnsi="David"/>
          <w:rtl/>
        </w:rPr>
        <w:t xml:space="preserve"> </w:t>
      </w:r>
      <w:r w:rsidRPr="00BF3082">
        <w:rPr>
          <w:rFonts w:ascii="David" w:hAnsi="David" w:hint="eastAsia"/>
          <w:rtl/>
        </w:rPr>
        <w:t>הנזקים</w:t>
      </w:r>
      <w:r w:rsidRPr="00BF3082">
        <w:rPr>
          <w:rFonts w:ascii="David" w:hAnsi="David"/>
          <w:rtl/>
        </w:rPr>
        <w:t xml:space="preserve"> </w:t>
      </w:r>
      <w:r w:rsidRPr="00BF3082">
        <w:rPr>
          <w:rFonts w:ascii="David" w:hAnsi="David" w:hint="eastAsia"/>
          <w:rtl/>
        </w:rPr>
        <w:t>שעלולים</w:t>
      </w:r>
      <w:r w:rsidRPr="00BF3082">
        <w:rPr>
          <w:rFonts w:ascii="David" w:hAnsi="David"/>
          <w:rtl/>
        </w:rPr>
        <w:t xml:space="preserve"> </w:t>
      </w:r>
      <w:r w:rsidRPr="00BF3082">
        <w:rPr>
          <w:rFonts w:ascii="David" w:hAnsi="David" w:hint="eastAsia"/>
          <w:rtl/>
        </w:rPr>
        <w:t>להיגרם</w:t>
      </w:r>
      <w:r w:rsidRPr="00BF3082">
        <w:rPr>
          <w:rFonts w:ascii="David" w:hAnsi="David"/>
          <w:rtl/>
        </w:rPr>
        <w:t xml:space="preserve"> </w:t>
      </w:r>
      <w:r w:rsidRPr="00BF3082">
        <w:rPr>
          <w:rFonts w:ascii="David" w:hAnsi="David" w:hint="eastAsia"/>
          <w:rtl/>
        </w:rPr>
        <w:t>לחברה</w:t>
      </w:r>
      <w:r w:rsidRPr="00BF3082">
        <w:rPr>
          <w:rFonts w:ascii="David" w:hAnsi="David"/>
          <w:rtl/>
        </w:rPr>
        <w:t xml:space="preserve"> </w:t>
      </w:r>
      <w:r w:rsidRPr="00BF3082">
        <w:rPr>
          <w:rFonts w:ascii="David" w:hAnsi="David" w:hint="eastAsia"/>
          <w:rtl/>
        </w:rPr>
        <w:t>ולפרט</w:t>
      </w:r>
      <w:r w:rsidRPr="00BF3082">
        <w:rPr>
          <w:rFonts w:ascii="David" w:hAnsi="David"/>
          <w:rtl/>
        </w:rPr>
        <w:t xml:space="preserve"> </w:t>
      </w:r>
      <w:r w:rsidRPr="00BF3082">
        <w:rPr>
          <w:rFonts w:ascii="David" w:hAnsi="David" w:hint="eastAsia"/>
          <w:rtl/>
        </w:rPr>
        <w:t>ממעשים</w:t>
      </w:r>
      <w:r w:rsidRPr="00BF3082">
        <w:rPr>
          <w:rFonts w:ascii="David" w:hAnsi="David"/>
          <w:rtl/>
        </w:rPr>
        <w:t xml:space="preserve"> </w:t>
      </w:r>
      <w:r w:rsidRPr="00BF3082">
        <w:rPr>
          <w:rFonts w:ascii="David" w:hAnsi="David" w:hint="eastAsia"/>
          <w:rtl/>
        </w:rPr>
        <w:t>אלו</w:t>
      </w:r>
      <w:r w:rsidRPr="00BF3082">
        <w:rPr>
          <w:rFonts w:ascii="David" w:hAnsi="David"/>
          <w:rtl/>
        </w:rPr>
        <w:t>.</w:t>
      </w:r>
      <w:r w:rsidRPr="00816D81">
        <w:rPr>
          <w:rFonts w:ascii="David" w:hAnsi="David" w:hint="eastAsia"/>
          <w:rtl/>
        </w:rPr>
        <w:t xml:space="preserve"> פעם</w:t>
      </w:r>
      <w:r w:rsidRPr="00816D81">
        <w:rPr>
          <w:rFonts w:ascii="David" w:hAnsi="David"/>
          <w:rtl/>
        </w:rPr>
        <w:t xml:space="preserve"> </w:t>
      </w:r>
      <w:r w:rsidRPr="00816D81">
        <w:rPr>
          <w:rFonts w:ascii="David" w:hAnsi="David" w:hint="eastAsia"/>
          <w:rtl/>
        </w:rPr>
        <w:t>אחר</w:t>
      </w:r>
      <w:r w:rsidRPr="00816D81">
        <w:rPr>
          <w:rFonts w:ascii="David" w:hAnsi="David"/>
          <w:rtl/>
        </w:rPr>
        <w:t xml:space="preserve"> </w:t>
      </w:r>
      <w:r w:rsidRPr="00816D81">
        <w:rPr>
          <w:rFonts w:ascii="David" w:hAnsi="David" w:hint="eastAsia"/>
          <w:rtl/>
        </w:rPr>
        <w:t>פעם</w:t>
      </w:r>
      <w:r w:rsidRPr="00816D81">
        <w:rPr>
          <w:rFonts w:ascii="David" w:hAnsi="David"/>
          <w:rtl/>
        </w:rPr>
        <w:t xml:space="preserve"> </w:t>
      </w:r>
      <w:r w:rsidRPr="00816D81">
        <w:rPr>
          <w:rFonts w:ascii="David" w:hAnsi="David" w:hint="eastAsia"/>
          <w:rtl/>
        </w:rPr>
        <w:t>נפסק</w:t>
      </w:r>
      <w:r w:rsidRPr="00816D81">
        <w:rPr>
          <w:rFonts w:ascii="David" w:hAnsi="David"/>
          <w:rtl/>
        </w:rPr>
        <w:t xml:space="preserve"> </w:t>
      </w:r>
      <w:r w:rsidRPr="00816D81">
        <w:rPr>
          <w:rFonts w:ascii="David" w:hAnsi="David" w:hint="eastAsia"/>
          <w:rtl/>
        </w:rPr>
        <w:t>כי</w:t>
      </w:r>
      <w:r w:rsidRPr="00816D81">
        <w:rPr>
          <w:rFonts w:ascii="David" w:hAnsi="David"/>
          <w:rtl/>
        </w:rPr>
        <w:t xml:space="preserve"> </w:t>
      </w:r>
      <w:r w:rsidRPr="00816D81">
        <w:rPr>
          <w:rFonts w:ascii="David" w:hAnsi="David" w:hint="eastAsia"/>
          <w:rtl/>
        </w:rPr>
        <w:t>יש</w:t>
      </w:r>
      <w:r w:rsidRPr="00816D81">
        <w:rPr>
          <w:rFonts w:ascii="David" w:hAnsi="David"/>
          <w:rtl/>
        </w:rPr>
        <w:t xml:space="preserve"> </w:t>
      </w:r>
      <w:r w:rsidRPr="00816D81">
        <w:rPr>
          <w:rFonts w:ascii="David" w:hAnsi="David" w:hint="eastAsia"/>
          <w:rtl/>
        </w:rPr>
        <w:t>לראות</w:t>
      </w:r>
      <w:r w:rsidRPr="00816D81">
        <w:rPr>
          <w:rFonts w:ascii="David" w:hAnsi="David"/>
          <w:rtl/>
        </w:rPr>
        <w:t xml:space="preserve"> </w:t>
      </w:r>
      <w:r w:rsidRPr="00816D81">
        <w:rPr>
          <w:rFonts w:ascii="David" w:hAnsi="David" w:hint="eastAsia"/>
          <w:rtl/>
        </w:rPr>
        <w:t>בחומרה</w:t>
      </w:r>
      <w:r w:rsidRPr="00816D81">
        <w:rPr>
          <w:rFonts w:ascii="David" w:hAnsi="David"/>
          <w:rtl/>
        </w:rPr>
        <w:t xml:space="preserve"> </w:t>
      </w:r>
      <w:r w:rsidRPr="00816D81">
        <w:rPr>
          <w:rFonts w:ascii="David" w:hAnsi="David" w:hint="eastAsia"/>
          <w:rtl/>
        </w:rPr>
        <w:t>רבה</w:t>
      </w:r>
      <w:r w:rsidRPr="00816D81">
        <w:rPr>
          <w:rFonts w:ascii="David" w:hAnsi="David"/>
          <w:rtl/>
        </w:rPr>
        <w:t xml:space="preserve"> </w:t>
      </w:r>
      <w:r w:rsidRPr="00816D81">
        <w:rPr>
          <w:rFonts w:ascii="David" w:hAnsi="David" w:hint="eastAsia"/>
          <w:rtl/>
        </w:rPr>
        <w:t>את</w:t>
      </w:r>
      <w:r w:rsidRPr="00816D81">
        <w:rPr>
          <w:rFonts w:ascii="David" w:hAnsi="David"/>
          <w:rtl/>
        </w:rPr>
        <w:t xml:space="preserve"> </w:t>
      </w:r>
      <w:r w:rsidRPr="00816D81">
        <w:rPr>
          <w:rFonts w:ascii="David" w:hAnsi="David" w:hint="eastAsia"/>
          <w:rtl/>
        </w:rPr>
        <w:t>עבירות</w:t>
      </w:r>
      <w:r w:rsidRPr="00816D81">
        <w:rPr>
          <w:rFonts w:ascii="David" w:hAnsi="David"/>
          <w:rtl/>
        </w:rPr>
        <w:t xml:space="preserve"> </w:t>
      </w:r>
      <w:r w:rsidRPr="00816D81">
        <w:rPr>
          <w:rFonts w:ascii="David" w:hAnsi="David" w:hint="eastAsia"/>
          <w:rtl/>
        </w:rPr>
        <w:t>הסמים</w:t>
      </w:r>
      <w:r w:rsidRPr="00816D81">
        <w:rPr>
          <w:rFonts w:ascii="David" w:hAnsi="David"/>
          <w:rtl/>
        </w:rPr>
        <w:t xml:space="preserve"> </w:t>
      </w:r>
      <w:r w:rsidRPr="00816D81">
        <w:rPr>
          <w:rFonts w:ascii="David" w:hAnsi="David" w:hint="eastAsia"/>
          <w:rtl/>
        </w:rPr>
        <w:t>אשר</w:t>
      </w:r>
      <w:r w:rsidRPr="00816D81">
        <w:rPr>
          <w:rFonts w:ascii="David" w:hAnsi="David"/>
          <w:rtl/>
        </w:rPr>
        <w:t xml:space="preserve"> </w:t>
      </w:r>
      <w:r w:rsidRPr="00816D81">
        <w:rPr>
          <w:rFonts w:ascii="David" w:hAnsi="David" w:hint="eastAsia"/>
          <w:rtl/>
        </w:rPr>
        <w:t>הפכו</w:t>
      </w:r>
      <w:r w:rsidRPr="00816D81">
        <w:rPr>
          <w:rFonts w:ascii="David" w:hAnsi="David"/>
          <w:rtl/>
        </w:rPr>
        <w:t xml:space="preserve"> </w:t>
      </w:r>
      <w:r w:rsidRPr="00816D81">
        <w:rPr>
          <w:rFonts w:ascii="David" w:hAnsi="David" w:hint="eastAsia"/>
          <w:rtl/>
        </w:rPr>
        <w:t>מכת</w:t>
      </w:r>
      <w:r w:rsidRPr="00816D81">
        <w:rPr>
          <w:rFonts w:ascii="David" w:hAnsi="David"/>
          <w:rtl/>
        </w:rPr>
        <w:t xml:space="preserve"> </w:t>
      </w:r>
      <w:r w:rsidRPr="00816D81">
        <w:rPr>
          <w:rFonts w:ascii="David" w:hAnsi="David" w:hint="eastAsia"/>
          <w:rtl/>
        </w:rPr>
        <w:t>מדינה</w:t>
      </w:r>
      <w:r w:rsidRPr="00816D81">
        <w:rPr>
          <w:rFonts w:ascii="David" w:hAnsi="David"/>
          <w:rtl/>
        </w:rPr>
        <w:t xml:space="preserve"> </w:t>
      </w:r>
      <w:r w:rsidRPr="00816D81">
        <w:rPr>
          <w:rFonts w:ascii="David" w:hAnsi="David" w:hint="eastAsia"/>
          <w:rtl/>
        </w:rPr>
        <w:t>וכי</w:t>
      </w:r>
      <w:r w:rsidRPr="00816D81">
        <w:rPr>
          <w:rFonts w:ascii="David" w:hAnsi="David"/>
          <w:rtl/>
        </w:rPr>
        <w:t xml:space="preserve"> </w:t>
      </w:r>
      <w:r w:rsidRPr="00816D81">
        <w:rPr>
          <w:rFonts w:ascii="David" w:hAnsi="David" w:hint="eastAsia"/>
          <w:rtl/>
        </w:rPr>
        <w:t>תוצאותיהן</w:t>
      </w:r>
      <w:r w:rsidRPr="00816D81">
        <w:rPr>
          <w:rFonts w:ascii="David" w:hAnsi="David"/>
          <w:rtl/>
        </w:rPr>
        <w:t xml:space="preserve"> </w:t>
      </w:r>
      <w:r w:rsidRPr="00816D81">
        <w:rPr>
          <w:rFonts w:ascii="David" w:hAnsi="David" w:hint="eastAsia"/>
          <w:rtl/>
        </w:rPr>
        <w:t>הישירות</w:t>
      </w:r>
      <w:r w:rsidRPr="00816D81">
        <w:rPr>
          <w:rFonts w:ascii="David" w:hAnsi="David"/>
          <w:rtl/>
        </w:rPr>
        <w:t xml:space="preserve"> </w:t>
      </w:r>
      <w:r w:rsidRPr="00816D81">
        <w:rPr>
          <w:rFonts w:ascii="David" w:hAnsi="David" w:hint="eastAsia"/>
          <w:rtl/>
        </w:rPr>
        <w:t>והעקיפות</w:t>
      </w:r>
      <w:r w:rsidRPr="00816D81">
        <w:rPr>
          <w:rFonts w:ascii="David" w:hAnsi="David"/>
          <w:rtl/>
        </w:rPr>
        <w:t xml:space="preserve"> </w:t>
      </w:r>
      <w:r w:rsidRPr="00816D81">
        <w:rPr>
          <w:rFonts w:ascii="David" w:hAnsi="David" w:hint="eastAsia"/>
          <w:rtl/>
        </w:rPr>
        <w:t>הן</w:t>
      </w:r>
      <w:r w:rsidRPr="00816D81">
        <w:rPr>
          <w:rFonts w:ascii="David" w:hAnsi="David"/>
          <w:rtl/>
        </w:rPr>
        <w:t xml:space="preserve"> </w:t>
      </w:r>
      <w:r w:rsidRPr="00816D81">
        <w:rPr>
          <w:rFonts w:ascii="David" w:hAnsi="David" w:hint="eastAsia"/>
          <w:rtl/>
        </w:rPr>
        <w:t>הרות</w:t>
      </w:r>
      <w:r w:rsidRPr="00816D81">
        <w:rPr>
          <w:rFonts w:ascii="David" w:hAnsi="David"/>
          <w:rtl/>
        </w:rPr>
        <w:t xml:space="preserve"> </w:t>
      </w:r>
      <w:r w:rsidRPr="00816D81">
        <w:rPr>
          <w:rFonts w:ascii="David" w:hAnsi="David" w:hint="eastAsia"/>
          <w:rtl/>
        </w:rPr>
        <w:t>אסון</w:t>
      </w:r>
      <w:r w:rsidRPr="00816D81">
        <w:rPr>
          <w:rFonts w:ascii="David" w:hAnsi="David"/>
          <w:rtl/>
        </w:rPr>
        <w:t xml:space="preserve"> </w:t>
      </w:r>
      <w:r w:rsidRPr="00816D81">
        <w:rPr>
          <w:rFonts w:ascii="David" w:hAnsi="David" w:hint="eastAsia"/>
          <w:rtl/>
        </w:rPr>
        <w:t>לשלומה</w:t>
      </w:r>
      <w:r w:rsidRPr="00816D81">
        <w:rPr>
          <w:rFonts w:ascii="David" w:hAnsi="David"/>
          <w:rtl/>
        </w:rPr>
        <w:t xml:space="preserve"> </w:t>
      </w:r>
      <w:r w:rsidRPr="00816D81">
        <w:rPr>
          <w:rFonts w:ascii="David" w:hAnsi="David" w:hint="eastAsia"/>
          <w:rtl/>
        </w:rPr>
        <w:t>של</w:t>
      </w:r>
      <w:r w:rsidRPr="00816D81">
        <w:rPr>
          <w:rFonts w:ascii="David" w:hAnsi="David"/>
          <w:rtl/>
        </w:rPr>
        <w:t xml:space="preserve"> </w:t>
      </w:r>
      <w:r w:rsidRPr="00816D81">
        <w:rPr>
          <w:rFonts w:ascii="David" w:hAnsi="David" w:hint="eastAsia"/>
          <w:rtl/>
        </w:rPr>
        <w:t>החברה</w:t>
      </w:r>
      <w:r w:rsidRPr="00816D81">
        <w:rPr>
          <w:rFonts w:ascii="David" w:hAnsi="David"/>
          <w:rtl/>
        </w:rPr>
        <w:t xml:space="preserve">, </w:t>
      </w:r>
      <w:r w:rsidRPr="00816D81">
        <w:rPr>
          <w:rFonts w:ascii="David" w:hAnsi="David" w:hint="eastAsia"/>
          <w:rtl/>
        </w:rPr>
        <w:t>לבריאותה</w:t>
      </w:r>
      <w:r w:rsidRPr="00816D81">
        <w:rPr>
          <w:rFonts w:ascii="David" w:hAnsi="David"/>
          <w:rtl/>
        </w:rPr>
        <w:t xml:space="preserve"> </w:t>
      </w:r>
      <w:r w:rsidRPr="00816D81">
        <w:rPr>
          <w:rFonts w:ascii="David" w:hAnsi="David" w:hint="eastAsia"/>
          <w:rtl/>
        </w:rPr>
        <w:t>ולביטחונה</w:t>
      </w:r>
      <w:r w:rsidRPr="00816D81">
        <w:rPr>
          <w:rFonts w:ascii="David" w:hAnsi="David"/>
          <w:rtl/>
        </w:rPr>
        <w:t xml:space="preserve">.  </w:t>
      </w:r>
    </w:p>
    <w:p w14:paraId="569964A7" w14:textId="77777777" w:rsidR="00532576" w:rsidRDefault="00532576" w:rsidP="00532576">
      <w:pPr>
        <w:spacing w:line="360" w:lineRule="auto"/>
        <w:contextualSpacing/>
        <w:rPr>
          <w:b/>
          <w:bCs/>
          <w:rtl/>
        </w:rPr>
      </w:pPr>
    </w:p>
    <w:p w14:paraId="55B74703" w14:textId="77777777" w:rsidR="00532576" w:rsidRDefault="00532576" w:rsidP="00532576">
      <w:pPr>
        <w:spacing w:line="360" w:lineRule="auto"/>
        <w:contextualSpacing/>
        <w:rPr>
          <w:b/>
          <w:bCs/>
          <w:rtl/>
        </w:rPr>
      </w:pPr>
    </w:p>
    <w:p w14:paraId="732C30F4" w14:textId="77777777" w:rsidR="00532576" w:rsidRDefault="00532576" w:rsidP="00532576">
      <w:pPr>
        <w:spacing w:line="360" w:lineRule="auto"/>
        <w:contextualSpacing/>
        <w:rPr>
          <w:b/>
          <w:bCs/>
          <w:rtl/>
        </w:rPr>
      </w:pPr>
    </w:p>
    <w:p w14:paraId="015EEBF1" w14:textId="77777777" w:rsidR="00532576" w:rsidRPr="0083183C" w:rsidRDefault="00532576" w:rsidP="00532576">
      <w:pPr>
        <w:spacing w:line="360" w:lineRule="auto"/>
        <w:contextualSpacing/>
        <w:rPr>
          <w:b/>
          <w:bCs/>
        </w:rPr>
      </w:pPr>
    </w:p>
    <w:p w14:paraId="318E3439" w14:textId="77777777" w:rsidR="00532576" w:rsidRPr="0083183C" w:rsidRDefault="00532576" w:rsidP="00532576">
      <w:pPr>
        <w:spacing w:line="360" w:lineRule="auto"/>
        <w:contextualSpacing/>
        <w:jc w:val="both"/>
        <w:rPr>
          <w:b/>
          <w:bCs/>
          <w:u w:val="single"/>
        </w:rPr>
      </w:pPr>
      <w:r>
        <w:rPr>
          <w:rFonts w:hint="cs"/>
          <w:rtl/>
        </w:rPr>
        <w:t xml:space="preserve">10. </w:t>
      </w:r>
      <w:r>
        <w:rPr>
          <w:rtl/>
        </w:rPr>
        <w:tab/>
      </w:r>
      <w:r w:rsidRPr="0083183C">
        <w:rPr>
          <w:b/>
          <w:bCs/>
          <w:u w:val="single"/>
          <w:rtl/>
        </w:rPr>
        <w:t xml:space="preserve">נסיבות הקשורות </w:t>
      </w:r>
      <w:r>
        <w:rPr>
          <w:rFonts w:hint="cs"/>
          <w:b/>
          <w:bCs/>
          <w:u w:val="single"/>
          <w:rtl/>
        </w:rPr>
        <w:t>ב</w:t>
      </w:r>
      <w:r w:rsidRPr="0083183C">
        <w:rPr>
          <w:b/>
          <w:bCs/>
          <w:u w:val="single"/>
          <w:rtl/>
        </w:rPr>
        <w:t xml:space="preserve">ביצוע העבירה: </w:t>
      </w:r>
    </w:p>
    <w:p w14:paraId="377646F9" w14:textId="77777777" w:rsidR="00532576" w:rsidRPr="0083183C" w:rsidRDefault="00532576" w:rsidP="00532576">
      <w:pPr>
        <w:spacing w:line="360" w:lineRule="auto"/>
        <w:ind w:left="720"/>
        <w:contextualSpacing/>
        <w:jc w:val="both"/>
        <w:rPr>
          <w:b/>
          <w:bCs/>
        </w:rPr>
      </w:pPr>
    </w:p>
    <w:p w14:paraId="4F8DA2BF" w14:textId="77777777" w:rsidR="00532576" w:rsidRDefault="00532576" w:rsidP="00532576">
      <w:pPr>
        <w:spacing w:line="360" w:lineRule="auto"/>
        <w:contextualSpacing/>
        <w:jc w:val="both"/>
        <w:rPr>
          <w:rtl/>
        </w:rPr>
      </w:pPr>
      <w:r w:rsidRPr="0083183C">
        <w:rPr>
          <w:rFonts w:hint="cs"/>
          <w:rtl/>
        </w:rPr>
        <w:t xml:space="preserve">א. </w:t>
      </w:r>
      <w:r w:rsidRPr="0083183C">
        <w:rPr>
          <w:rtl/>
        </w:rPr>
        <w:tab/>
      </w:r>
      <w:r w:rsidRPr="0083183C">
        <w:rPr>
          <w:u w:val="single"/>
          <w:rtl/>
        </w:rPr>
        <w:t>התכנון שקדם לביצוע העבירה</w:t>
      </w:r>
      <w:r w:rsidRPr="0083183C">
        <w:rPr>
          <w:rtl/>
        </w:rPr>
        <w:t xml:space="preserve"> – נסיבות ביצוע העבירה מלמדות בבירור על תכנון מוקדם, שהתבטא</w:t>
      </w:r>
      <w:r w:rsidRPr="0083183C">
        <w:rPr>
          <w:b/>
          <w:bCs/>
          <w:rtl/>
        </w:rPr>
        <w:t xml:space="preserve"> </w:t>
      </w:r>
      <w:r w:rsidRPr="0083183C">
        <w:rPr>
          <w:rtl/>
        </w:rPr>
        <w:t xml:space="preserve">בהצטיידות בכלים מתאימים לצורך גידול השתילים. מדובר בשיטת גידול משוכללת יחסית שיש בה להעיד על השקעה מחשבתית וכספית. </w:t>
      </w:r>
      <w:r>
        <w:rPr>
          <w:rFonts w:hint="cs"/>
          <w:rtl/>
        </w:rPr>
        <w:t xml:space="preserve">הנאשם שכר דירה, בעלות כספית בלתי מבוטלת, ובה גידל את הסמים. עם זאת, בהכרעת הדין לא קבעתי כי מדובר היה בדירה שיעודה היה לגידול סמים בלבד. </w:t>
      </w:r>
    </w:p>
    <w:p w14:paraId="07A96B48" w14:textId="77777777" w:rsidR="00532576" w:rsidRDefault="00532576" w:rsidP="00532576">
      <w:pPr>
        <w:spacing w:line="360" w:lineRule="auto"/>
        <w:contextualSpacing/>
        <w:jc w:val="both"/>
        <w:rPr>
          <w:rtl/>
        </w:rPr>
      </w:pPr>
    </w:p>
    <w:p w14:paraId="0985603B" w14:textId="77777777" w:rsidR="00532576" w:rsidRPr="0083183C" w:rsidRDefault="00532576" w:rsidP="00532576">
      <w:pPr>
        <w:spacing w:line="360" w:lineRule="auto"/>
        <w:contextualSpacing/>
        <w:jc w:val="both"/>
      </w:pPr>
      <w:r w:rsidRPr="0083183C">
        <w:rPr>
          <w:rFonts w:hint="cs"/>
          <w:rtl/>
        </w:rPr>
        <w:t>ב.</w:t>
      </w:r>
      <w:r>
        <w:rPr>
          <w:rtl/>
        </w:rPr>
        <w:tab/>
      </w:r>
      <w:r w:rsidRPr="0083183C">
        <w:rPr>
          <w:u w:val="single"/>
          <w:rtl/>
        </w:rPr>
        <w:t>הנזק שנגרם וכן שהיה צפוי להיגרם מביצוע העבירה</w:t>
      </w:r>
      <w:r>
        <w:rPr>
          <w:rtl/>
        </w:rPr>
        <w:t xml:space="preserve"> –</w:t>
      </w:r>
      <w:r>
        <w:rPr>
          <w:rFonts w:hint="cs"/>
          <w:rtl/>
        </w:rPr>
        <w:t xml:space="preserve"> </w:t>
      </w:r>
      <w:r w:rsidRPr="0083183C">
        <w:rPr>
          <w:rtl/>
        </w:rPr>
        <w:t>כמות הסמים שגידל הנאשם משמעותית ביותר. מדובר בכ-100 שתילים אשר שקלו במועד התפיסה מעל</w:t>
      </w:r>
      <w:r>
        <w:rPr>
          <w:rFonts w:hint="cs"/>
          <w:rtl/>
        </w:rPr>
        <w:t xml:space="preserve"> 12</w:t>
      </w:r>
      <w:r w:rsidRPr="0083183C">
        <w:rPr>
          <w:rtl/>
        </w:rPr>
        <w:t xml:space="preserve"> ק"ג. </w:t>
      </w:r>
      <w:r>
        <w:rPr>
          <w:rFonts w:hint="cs"/>
          <w:rtl/>
        </w:rPr>
        <w:t>ה</w:t>
      </w:r>
      <w:r w:rsidRPr="0083183C">
        <w:rPr>
          <w:rtl/>
        </w:rPr>
        <w:t>כמות משמעותית וממנה יש להסיק את הנזק שהיה צפוי</w:t>
      </w:r>
      <w:r>
        <w:rPr>
          <w:rFonts w:hint="cs"/>
          <w:rtl/>
        </w:rPr>
        <w:t xml:space="preserve"> להיגרם מביצוע העבירה. כאן המקום לציין כי יש לדחות את טענת הסנגור בדבר חומרתה הפחותה של העבירה </w:t>
      </w:r>
      <w:r w:rsidRPr="0083183C">
        <w:rPr>
          <w:rtl/>
        </w:rPr>
        <w:t xml:space="preserve"> </w:t>
      </w:r>
      <w:r>
        <w:rPr>
          <w:rFonts w:hint="cs"/>
          <w:rtl/>
        </w:rPr>
        <w:t xml:space="preserve">בשל כך שמדובר בסם מסוג קנאביס, לגביו נקבעה לאחרונה בחוק מדיניות אכיפה מקלה (הכוונה לחוק הסמים המסוכנים (עבירת קנס מיוחדת </w:t>
      </w:r>
      <w:r>
        <w:rPr>
          <w:rtl/>
        </w:rPr>
        <w:t>–</w:t>
      </w:r>
      <w:r>
        <w:rPr>
          <w:rFonts w:hint="cs"/>
          <w:rtl/>
        </w:rPr>
        <w:t xml:space="preserve"> הוראת שעה), התשע"ח -2018). בעניין זה אפנה לדברים הבאים שנאמרו לאחרונה:</w:t>
      </w:r>
    </w:p>
    <w:p w14:paraId="5CC97E50" w14:textId="77777777" w:rsidR="00532576" w:rsidRPr="00F315A5" w:rsidRDefault="00532576" w:rsidP="00532576">
      <w:pPr>
        <w:spacing w:line="360" w:lineRule="auto"/>
        <w:ind w:left="1440"/>
        <w:contextualSpacing/>
        <w:jc w:val="both"/>
        <w:rPr>
          <w:rtl/>
        </w:rPr>
      </w:pPr>
    </w:p>
    <w:p w14:paraId="38FFBCD2" w14:textId="77777777" w:rsidR="00532576" w:rsidRPr="00F315A5" w:rsidRDefault="00532576" w:rsidP="00532576">
      <w:pPr>
        <w:spacing w:line="360" w:lineRule="auto"/>
        <w:ind w:left="1440" w:right="1134"/>
        <w:contextualSpacing/>
        <w:jc w:val="both"/>
        <w:rPr>
          <w:rFonts w:cs="Miriam"/>
          <w:rtl/>
        </w:rPr>
      </w:pPr>
      <w:r>
        <w:rPr>
          <w:rFonts w:ascii="Arial TUR" w:hAnsi="Arial TUR" w:cs="Miriam" w:hint="cs"/>
          <w:spacing w:val="10"/>
          <w:rtl/>
        </w:rPr>
        <w:t>"</w:t>
      </w:r>
      <w:r w:rsidRPr="00F315A5">
        <w:rPr>
          <w:rFonts w:ascii="Arial TUR" w:hAnsi="Arial TUR" w:cs="Miriam" w:hint="cs"/>
          <w:spacing w:val="10"/>
          <w:rtl/>
        </w:rPr>
        <w:t>טענה נוספת אותה טען מערער 2, היא כי יש מקום להקל בענישה, הואיל ומדובר בעבירות סמים מסוג קנבוס, אשר לאחרונה רשויות האכיפה הציגו מדיניות מקלה יותר. 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w:t>
      </w:r>
      <w:r>
        <w:rPr>
          <w:rFonts w:ascii="Arial TUR" w:hAnsi="Arial TUR" w:cs="Miriam" w:hint="cs"/>
          <w:spacing w:val="10"/>
          <w:rtl/>
        </w:rPr>
        <w:t xml:space="preserve">סוחר ולמגדל, ולמסייע להם – לחוד" </w:t>
      </w:r>
      <w:r w:rsidRPr="00196E83">
        <w:rPr>
          <w:rFonts w:ascii="Arial TUR" w:hAnsi="Arial TUR" w:hint="cs"/>
          <w:spacing w:val="10"/>
          <w:rtl/>
        </w:rPr>
        <w:t>(</w:t>
      </w:r>
      <w:hyperlink r:id="rId21" w:history="1">
        <w:r w:rsidR="00E06E1D" w:rsidRPr="00E06E1D">
          <w:rPr>
            <w:rFonts w:ascii="Arial TUR" w:hAnsi="Arial TUR" w:hint="eastAsia"/>
            <w:color w:val="0000FF"/>
            <w:spacing w:val="10"/>
            <w:u w:val="single"/>
            <w:rtl/>
          </w:rPr>
          <w:t>ע</w:t>
        </w:r>
        <w:r w:rsidR="00E06E1D" w:rsidRPr="00E06E1D">
          <w:rPr>
            <w:rFonts w:ascii="Arial TUR" w:hAnsi="Arial TUR"/>
            <w:color w:val="0000FF"/>
            <w:spacing w:val="10"/>
            <w:u w:val="single"/>
            <w:rtl/>
          </w:rPr>
          <w:t>"</w:t>
        </w:r>
        <w:r w:rsidR="00E06E1D" w:rsidRPr="00E06E1D">
          <w:rPr>
            <w:rFonts w:ascii="Arial TUR" w:hAnsi="Arial TUR" w:hint="eastAsia"/>
            <w:color w:val="0000FF"/>
            <w:spacing w:val="10"/>
            <w:u w:val="single"/>
            <w:rtl/>
          </w:rPr>
          <w:t>פ</w:t>
        </w:r>
        <w:r w:rsidR="00E06E1D" w:rsidRPr="00E06E1D">
          <w:rPr>
            <w:rFonts w:ascii="Arial TUR" w:hAnsi="Arial TUR"/>
            <w:color w:val="0000FF"/>
            <w:spacing w:val="10"/>
            <w:u w:val="single"/>
            <w:rtl/>
          </w:rPr>
          <w:t xml:space="preserve"> 5807/17</w:t>
        </w:r>
      </w:hyperlink>
      <w:r w:rsidRPr="00196E83">
        <w:rPr>
          <w:rFonts w:ascii="Arial TUR" w:hAnsi="Arial TUR" w:hint="cs"/>
          <w:spacing w:val="10"/>
          <w:rtl/>
        </w:rPr>
        <w:t xml:space="preserve"> </w:t>
      </w:r>
      <w:r w:rsidRPr="00196E83">
        <w:rPr>
          <w:rFonts w:ascii="Arial TUR" w:hAnsi="Arial TUR" w:hint="cs"/>
          <w:b/>
          <w:bCs/>
          <w:spacing w:val="10"/>
          <w:rtl/>
        </w:rPr>
        <w:t>דרחי ואח' נ' מדינת ישראל</w:t>
      </w:r>
      <w:r w:rsidRPr="00196E83">
        <w:rPr>
          <w:rFonts w:ascii="Arial TUR" w:hAnsi="Arial TUR" w:hint="cs"/>
          <w:spacing w:val="10"/>
          <w:rtl/>
        </w:rPr>
        <w:t xml:space="preserve"> (18.6.18))</w:t>
      </w:r>
    </w:p>
    <w:p w14:paraId="45FBA47F" w14:textId="77777777" w:rsidR="00532576" w:rsidRDefault="00532576" w:rsidP="00532576">
      <w:pPr>
        <w:spacing w:line="360" w:lineRule="auto"/>
        <w:ind w:left="1440"/>
        <w:contextualSpacing/>
        <w:jc w:val="both"/>
        <w:rPr>
          <w:rtl/>
        </w:rPr>
      </w:pPr>
    </w:p>
    <w:p w14:paraId="61E27EAA" w14:textId="77777777" w:rsidR="00532576" w:rsidRPr="0083183C" w:rsidRDefault="00532576" w:rsidP="00532576">
      <w:pPr>
        <w:spacing w:line="360" w:lineRule="auto"/>
        <w:ind w:left="1440"/>
        <w:contextualSpacing/>
        <w:jc w:val="both"/>
      </w:pPr>
    </w:p>
    <w:p w14:paraId="49223A7D" w14:textId="77777777" w:rsidR="00532576" w:rsidRDefault="00532576" w:rsidP="00532576">
      <w:pPr>
        <w:spacing w:line="360" w:lineRule="auto"/>
        <w:contextualSpacing/>
        <w:jc w:val="both"/>
        <w:rPr>
          <w:rtl/>
        </w:rPr>
      </w:pPr>
      <w:r>
        <w:rPr>
          <w:rFonts w:hint="cs"/>
          <w:rtl/>
        </w:rPr>
        <w:t xml:space="preserve">ג. </w:t>
      </w:r>
      <w:r>
        <w:rPr>
          <w:rtl/>
        </w:rPr>
        <w:tab/>
      </w:r>
      <w:r w:rsidRPr="0083183C">
        <w:rPr>
          <w:u w:val="single"/>
          <w:rtl/>
        </w:rPr>
        <w:t>הסיבות שהביאו את הנאשם לביצוע העבירות</w:t>
      </w:r>
      <w:r w:rsidRPr="0083183C">
        <w:rPr>
          <w:rtl/>
        </w:rPr>
        <w:t xml:space="preserve"> – בהכרעת הדין דחיתי את טענת הנאשם לפיה גידל את</w:t>
      </w:r>
      <w:r>
        <w:rPr>
          <w:rFonts w:hint="cs"/>
          <w:rtl/>
        </w:rPr>
        <w:t xml:space="preserve"> </w:t>
      </w:r>
      <w:r w:rsidRPr="00154E1C">
        <w:rPr>
          <w:rFonts w:hint="cs"/>
          <w:u w:val="single"/>
          <w:rtl/>
        </w:rPr>
        <w:t>כל</w:t>
      </w:r>
      <w:r w:rsidRPr="0083183C">
        <w:rPr>
          <w:rtl/>
        </w:rPr>
        <w:t xml:space="preserve"> הסמים לשימושו האישי ב</w:t>
      </w:r>
      <w:r>
        <w:rPr>
          <w:rtl/>
        </w:rPr>
        <w:t>לבד. מסקנה זו נלמדה</w:t>
      </w:r>
      <w:r>
        <w:rPr>
          <w:rFonts w:hint="cs"/>
          <w:rtl/>
        </w:rPr>
        <w:t xml:space="preserve"> בראש ובראשונה מהכמות שגידל, אשר השכל הישר מעיד לגביה כי הייתה אמורה להניב כמות משמעותית של סם, שאינה מתיישבת עם שימוש עצמי בלבד. לא זו אף זו, הנאשם לא הצליח לסתור את חזקת הכמות,</w:t>
      </w:r>
      <w:r w:rsidRPr="0083183C">
        <w:rPr>
          <w:rtl/>
        </w:rPr>
        <w:t xml:space="preserve"> </w:t>
      </w:r>
      <w:r>
        <w:rPr>
          <w:rFonts w:hint="cs"/>
          <w:rtl/>
        </w:rPr>
        <w:t>ו</w:t>
      </w:r>
      <w:r w:rsidRPr="0083183C">
        <w:rPr>
          <w:rtl/>
        </w:rPr>
        <w:t xml:space="preserve">ברי לכל כי </w:t>
      </w:r>
      <w:r w:rsidRPr="0083183C">
        <w:rPr>
          <w:rFonts w:cs="Miriam"/>
          <w:rtl/>
        </w:rPr>
        <w:t>"מי שמגדל סם בכמויות כאלה חזקה עליו שאיננו מתכוון רק לשימוש עצמי"</w:t>
      </w:r>
      <w:r w:rsidRPr="0083183C">
        <w:rPr>
          <w:rtl/>
        </w:rPr>
        <w:t xml:space="preserve"> (</w:t>
      </w:r>
      <w:hyperlink r:id="rId22" w:history="1">
        <w:r w:rsidR="00E06E1D" w:rsidRPr="00E06E1D">
          <w:rPr>
            <w:color w:val="0000FF"/>
            <w:u w:val="single"/>
            <w:rtl/>
          </w:rPr>
          <w:t>עפ"ג 12819-11-15</w:t>
        </w:r>
      </w:hyperlink>
      <w:r w:rsidRPr="0083183C">
        <w:rPr>
          <w:rtl/>
        </w:rPr>
        <w:t xml:space="preserve"> </w:t>
      </w:r>
      <w:r w:rsidRPr="0083183C">
        <w:rPr>
          <w:b/>
          <w:bCs/>
          <w:rtl/>
        </w:rPr>
        <w:t>מדינת ישראל נ' בן צבי</w:t>
      </w:r>
      <w:r w:rsidRPr="0083183C">
        <w:rPr>
          <w:rtl/>
        </w:rPr>
        <w:t xml:space="preserve"> (16.12.15)</w:t>
      </w:r>
      <w:r>
        <w:rPr>
          <w:rFonts w:hint="cs"/>
          <w:rtl/>
        </w:rPr>
        <w:t>;</w:t>
      </w:r>
      <w:r w:rsidRPr="0083183C">
        <w:rPr>
          <w:rtl/>
        </w:rPr>
        <w:t xml:space="preserve"> לאפשרות הסקת מסקנות בדבר כוונת העבריין מנסיבות החזקת הסם והכמות, ראו למשל: </w:t>
      </w:r>
      <w:hyperlink r:id="rId23" w:history="1">
        <w:r w:rsidR="00E06E1D" w:rsidRPr="00E06E1D">
          <w:rPr>
            <w:color w:val="0000FF"/>
            <w:u w:val="single"/>
            <w:rtl/>
          </w:rPr>
          <w:t>דנ"פ 10402/07</w:t>
        </w:r>
      </w:hyperlink>
      <w:r w:rsidRPr="0083183C">
        <w:rPr>
          <w:rtl/>
        </w:rPr>
        <w:t xml:space="preserve"> </w:t>
      </w:r>
      <w:r w:rsidRPr="0083183C">
        <w:rPr>
          <w:b/>
          <w:bCs/>
          <w:rtl/>
        </w:rPr>
        <w:t>מטיס נ' מדינת ישראל</w:t>
      </w:r>
      <w:r w:rsidRPr="0083183C">
        <w:rPr>
          <w:rtl/>
        </w:rPr>
        <w:t xml:space="preserve"> (29.1.08); (</w:t>
      </w:r>
      <w:hyperlink r:id="rId24" w:history="1">
        <w:r w:rsidR="003639E2" w:rsidRPr="003639E2">
          <w:rPr>
            <w:color w:val="0000FF"/>
            <w:u w:val="single"/>
            <w:rtl/>
          </w:rPr>
          <w:t>ת"פ (חי) 472/02</w:t>
        </w:r>
      </w:hyperlink>
      <w:r w:rsidR="004D4001" w:rsidRPr="004D4001">
        <w:rPr>
          <w:rtl/>
        </w:rPr>
        <w:t xml:space="preserve"> </w:t>
      </w:r>
      <w:r w:rsidRPr="0083183C">
        <w:rPr>
          <w:b/>
          <w:bCs/>
          <w:rtl/>
        </w:rPr>
        <w:t>מדינת ישראל נ' עבד אל רחמן תאפל</w:t>
      </w:r>
      <w:r w:rsidRPr="0083183C">
        <w:rPr>
          <w:rtl/>
        </w:rPr>
        <w:t xml:space="preserve"> (16.5.05); השופט עמית). </w:t>
      </w:r>
    </w:p>
    <w:p w14:paraId="412ABB7B" w14:textId="77777777" w:rsidR="00532576" w:rsidRDefault="00532576" w:rsidP="00532576">
      <w:pPr>
        <w:spacing w:line="360" w:lineRule="auto"/>
        <w:contextualSpacing/>
        <w:jc w:val="both"/>
        <w:rPr>
          <w:rtl/>
        </w:rPr>
      </w:pPr>
    </w:p>
    <w:p w14:paraId="1F673102" w14:textId="77777777" w:rsidR="00532576" w:rsidRDefault="00532576" w:rsidP="00532576">
      <w:pPr>
        <w:spacing w:line="360" w:lineRule="auto"/>
        <w:ind w:firstLine="720"/>
        <w:contextualSpacing/>
        <w:jc w:val="both"/>
        <w:rPr>
          <w:rtl/>
        </w:rPr>
      </w:pPr>
      <w:r>
        <w:rPr>
          <w:rFonts w:hint="cs"/>
          <w:rtl/>
        </w:rPr>
        <w:t xml:space="preserve">עם זאת, ראוי להדגיש בהקשר זה את קביעתי בהכרעת הדין כי שוכנעתי שהנאשם עשה שימוש מאסיבי בסמים בתקופה הרלוונטית לכתב האישום וכי התכוון לעשות שימוש בעצמו בסמים שגידל, אם כי, כאמור, הדבר לא הוכח ביחס לכל הכמות.  </w:t>
      </w:r>
    </w:p>
    <w:p w14:paraId="54CFCC9A" w14:textId="77777777" w:rsidR="00532576" w:rsidRDefault="00532576" w:rsidP="00532576">
      <w:pPr>
        <w:spacing w:line="360" w:lineRule="auto"/>
        <w:contextualSpacing/>
        <w:jc w:val="both"/>
        <w:rPr>
          <w:rtl/>
        </w:rPr>
      </w:pPr>
    </w:p>
    <w:p w14:paraId="42E91699" w14:textId="77777777" w:rsidR="00532576" w:rsidRPr="00950E20" w:rsidRDefault="00532576" w:rsidP="00532576">
      <w:pPr>
        <w:spacing w:line="360" w:lineRule="auto"/>
        <w:contextualSpacing/>
        <w:jc w:val="both"/>
        <w:rPr>
          <w:b/>
          <w:bCs/>
          <w:u w:val="single"/>
        </w:rPr>
      </w:pPr>
      <w:r>
        <w:rPr>
          <w:rFonts w:hint="cs"/>
          <w:rtl/>
        </w:rPr>
        <w:t xml:space="preserve">11. </w:t>
      </w:r>
      <w:r>
        <w:rPr>
          <w:rtl/>
        </w:rPr>
        <w:tab/>
      </w:r>
      <w:r>
        <w:rPr>
          <w:rFonts w:hint="cs"/>
          <w:b/>
          <w:bCs/>
          <w:u w:val="single"/>
          <w:rtl/>
        </w:rPr>
        <w:t>מדיניות הענישה:</w:t>
      </w:r>
      <w:r>
        <w:rPr>
          <w:rFonts w:hint="cs"/>
          <w:b/>
          <w:bCs/>
          <w:rtl/>
        </w:rPr>
        <w:t xml:space="preserve"> </w:t>
      </w:r>
      <w:r w:rsidRPr="003D66BF">
        <w:rPr>
          <w:rtl/>
        </w:rPr>
        <w:t>הענישה המוטלת בעבירות מסוג זה משתנה ממקרה למקרה והיא תלויה בין היתר בכמות הסם (מספר השתילים והמשקל) ובנסיבותיו של הנאשם (עבר פלילי, שיקום, תסקיר חיובי וכיוצב'). עם זאת נקבע לא אחת כי יש להחמיר עם אלו שמגדלים סמים</w:t>
      </w:r>
      <w:r>
        <w:rPr>
          <w:rFonts w:hint="cs"/>
          <w:rtl/>
        </w:rPr>
        <w:t xml:space="preserve">. </w:t>
      </w:r>
      <w:r>
        <w:rPr>
          <w:rFonts w:ascii="David" w:hAnsi="David" w:hint="eastAsia"/>
          <w:rtl/>
        </w:rPr>
        <w:t>ורא</w:t>
      </w:r>
      <w:r>
        <w:rPr>
          <w:rFonts w:ascii="David" w:hAnsi="David" w:hint="cs"/>
          <w:rtl/>
        </w:rPr>
        <w:t>ו</w:t>
      </w:r>
      <w:r w:rsidRPr="003D66BF">
        <w:rPr>
          <w:rFonts w:ascii="David" w:hAnsi="David"/>
          <w:rtl/>
        </w:rPr>
        <w:t xml:space="preserve"> </w:t>
      </w:r>
      <w:r w:rsidRPr="003D66BF">
        <w:rPr>
          <w:rFonts w:ascii="David" w:hAnsi="David" w:hint="eastAsia"/>
          <w:rtl/>
        </w:rPr>
        <w:t>למשל</w:t>
      </w:r>
      <w:r w:rsidRPr="003D66BF">
        <w:rPr>
          <w:rFonts w:ascii="David" w:hAnsi="David"/>
          <w:rtl/>
        </w:rPr>
        <w:t xml:space="preserve"> </w:t>
      </w:r>
      <w:hyperlink r:id="rId25" w:history="1">
        <w:r w:rsidR="00E06E1D" w:rsidRPr="00E06E1D">
          <w:rPr>
            <w:rFonts w:ascii="David" w:hAnsi="David"/>
            <w:color w:val="0000FF"/>
            <w:u w:val="single"/>
            <w:rtl/>
          </w:rPr>
          <w:t>ע"פ (י-ם) 1987-04-10</w:t>
        </w:r>
      </w:hyperlink>
      <w:r w:rsidRPr="003D66BF">
        <w:rPr>
          <w:rFonts w:ascii="David" w:hAnsi="David"/>
          <w:rtl/>
        </w:rPr>
        <w:t xml:space="preserve"> </w:t>
      </w:r>
      <w:r w:rsidRPr="003D66BF">
        <w:rPr>
          <w:rFonts w:ascii="David" w:hAnsi="David" w:hint="eastAsia"/>
          <w:b/>
          <w:bCs/>
          <w:rtl/>
        </w:rPr>
        <w:t>מדינת</w:t>
      </w:r>
      <w:r w:rsidRPr="003D66BF">
        <w:rPr>
          <w:rFonts w:ascii="David" w:hAnsi="David"/>
          <w:b/>
          <w:bCs/>
          <w:rtl/>
        </w:rPr>
        <w:t xml:space="preserve"> </w:t>
      </w:r>
      <w:r w:rsidRPr="003D66BF">
        <w:rPr>
          <w:rFonts w:ascii="David" w:hAnsi="David" w:hint="eastAsia"/>
          <w:b/>
          <w:bCs/>
          <w:rtl/>
        </w:rPr>
        <w:t>ישראל</w:t>
      </w:r>
      <w:r w:rsidRPr="003D66BF">
        <w:rPr>
          <w:rFonts w:ascii="David" w:hAnsi="David"/>
          <w:b/>
          <w:bCs/>
          <w:rtl/>
        </w:rPr>
        <w:t xml:space="preserve"> </w:t>
      </w:r>
      <w:r w:rsidRPr="003D66BF">
        <w:rPr>
          <w:rFonts w:ascii="David" w:hAnsi="David" w:hint="eastAsia"/>
          <w:b/>
          <w:bCs/>
          <w:rtl/>
        </w:rPr>
        <w:t>נ</w:t>
      </w:r>
      <w:r w:rsidRPr="003D66BF">
        <w:rPr>
          <w:rFonts w:ascii="David" w:hAnsi="David"/>
          <w:b/>
          <w:bCs/>
          <w:rtl/>
        </w:rPr>
        <w:t xml:space="preserve">' </w:t>
      </w:r>
      <w:r w:rsidRPr="003D66BF">
        <w:rPr>
          <w:rFonts w:ascii="David" w:hAnsi="David" w:hint="eastAsia"/>
          <w:b/>
          <w:bCs/>
          <w:rtl/>
        </w:rPr>
        <w:t>אלוני</w:t>
      </w:r>
      <w:r w:rsidRPr="003D66BF">
        <w:rPr>
          <w:rFonts w:ascii="David" w:hAnsi="David"/>
          <w:rtl/>
        </w:rPr>
        <w:t xml:space="preserve"> (28.6.2010):</w:t>
      </w:r>
    </w:p>
    <w:p w14:paraId="0314BF95" w14:textId="77777777" w:rsidR="00532576" w:rsidRPr="003D66BF" w:rsidRDefault="00532576" w:rsidP="00532576">
      <w:pPr>
        <w:tabs>
          <w:tab w:val="left" w:pos="7530"/>
        </w:tabs>
        <w:spacing w:line="360" w:lineRule="auto"/>
        <w:ind w:left="1440"/>
        <w:contextualSpacing/>
        <w:jc w:val="both"/>
        <w:rPr>
          <w:rFonts w:ascii="David" w:hAnsi="David" w:cs="Miriam"/>
          <w:rtl/>
        </w:rPr>
      </w:pPr>
    </w:p>
    <w:p w14:paraId="4E065BFE" w14:textId="77777777" w:rsidR="00532576" w:rsidRPr="003D66BF" w:rsidRDefault="00532576" w:rsidP="00532576">
      <w:pPr>
        <w:spacing w:line="360" w:lineRule="auto"/>
        <w:ind w:left="1134" w:right="1134"/>
        <w:contextualSpacing/>
        <w:jc w:val="both"/>
        <w:rPr>
          <w:rFonts w:cs="Miriam"/>
        </w:rPr>
      </w:pPr>
      <w:r w:rsidRPr="003D66BF">
        <w:rPr>
          <w:rFonts w:cs="Miriam"/>
          <w:rtl/>
        </w:rPr>
        <w:t>"סבורים אנו, אפוא, כי יש צורך להחמיר עם עבריינים המגדלים סמים בחצרותיהם. כך הם פני הדברים לגבי עבריינים בעלי עבר פלילי וכך הם פני הדברים גם כלפי מי שזו לו הרשעה ראשונה. נזכיר את הידוע, כי עבירות הסמים חמורות הן בעיקר נוכח הנזק הרב שהן גורמות לציבור ולחברה, ואיש לא יחלוק על כך כי במלחמה סיזיפית זו שומה על בית המשפט לתרום את חלקו בדרך של הכבדה בהטלת עונשים מרתיעים."</w:t>
      </w:r>
    </w:p>
    <w:p w14:paraId="65040733" w14:textId="77777777" w:rsidR="00532576" w:rsidRDefault="00532576" w:rsidP="00532576">
      <w:pPr>
        <w:spacing w:line="360" w:lineRule="auto"/>
        <w:jc w:val="both"/>
        <w:rPr>
          <w:rtl/>
        </w:rPr>
      </w:pPr>
    </w:p>
    <w:p w14:paraId="66951DE5" w14:textId="77777777" w:rsidR="00532576" w:rsidRPr="00E50464" w:rsidRDefault="00532576" w:rsidP="00532576">
      <w:pPr>
        <w:spacing w:line="360" w:lineRule="auto"/>
        <w:ind w:firstLine="720"/>
        <w:contextualSpacing/>
        <w:jc w:val="both"/>
        <w:rPr>
          <w:rtl/>
        </w:rPr>
      </w:pPr>
      <w:r>
        <w:rPr>
          <w:rFonts w:hint="cs"/>
          <w:rtl/>
        </w:rPr>
        <w:t xml:space="preserve">בעניין זה לא ניתן להתעלם מנפיצותה של עבירה זו בעת האחרונה ואף צוין כי </w:t>
      </w:r>
      <w:r w:rsidRPr="004755A3">
        <w:rPr>
          <w:rFonts w:cs="Miriam"/>
          <w:rtl/>
        </w:rPr>
        <w:t>"נראה כי התופעה של מעבדות סמים הפכה להיות "להיט". העבירה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w:t>
      </w:r>
      <w:r w:rsidRPr="004755A3">
        <w:rPr>
          <w:rtl/>
        </w:rPr>
        <w:t xml:space="preserve"> (</w:t>
      </w:r>
      <w:hyperlink r:id="rId26" w:history="1">
        <w:r w:rsidR="00E06E1D" w:rsidRPr="00E06E1D">
          <w:rPr>
            <w:color w:val="0000FF"/>
            <w:u w:val="single"/>
            <w:rtl/>
          </w:rPr>
          <w:t>עפ"ג 24376-07-14</w:t>
        </w:r>
      </w:hyperlink>
      <w:r w:rsidRPr="004755A3">
        <w:rPr>
          <w:rtl/>
        </w:rPr>
        <w:t xml:space="preserve"> </w:t>
      </w:r>
      <w:r w:rsidRPr="004755A3">
        <w:rPr>
          <w:b/>
          <w:bCs/>
          <w:rtl/>
        </w:rPr>
        <w:t>עמר נ' מדינת ישראל</w:t>
      </w:r>
      <w:r w:rsidRPr="004755A3">
        <w:rPr>
          <w:rtl/>
        </w:rPr>
        <w:t xml:space="preserve"> (18.2.15)).</w:t>
      </w:r>
      <w:r>
        <w:rPr>
          <w:rFonts w:hint="cs"/>
          <w:rtl/>
        </w:rPr>
        <w:t xml:space="preserve"> כן צוין לאחרונה כי </w:t>
      </w:r>
      <w:r w:rsidRPr="00E50464">
        <w:rPr>
          <w:rFonts w:hint="cs"/>
          <w:rtl/>
        </w:rPr>
        <w:t>"</w:t>
      </w:r>
      <w:r w:rsidRPr="00E50464">
        <w:rPr>
          <w:rFonts w:ascii="Arial TUR" w:hAnsi="Arial TUR" w:cs="Miriam" w:hint="cs"/>
          <w:spacing w:val="10"/>
          <w:rtl/>
        </w:rPr>
        <w:t>על מנת להילחם נגד תופעת הפצת סמים מסוכנים, המוצאת ביטויה בקבוצות חברתיות רבות ומגוונות – נדרש עונש שכולל ממד הרתעתי. לצד זאת, הגישה האינדיבידואלית בענישה היא השולטת בשיטת משפטנו</w:t>
      </w:r>
      <w:r w:rsidRPr="00E50464">
        <w:rPr>
          <w:rFonts w:ascii="Arial TUR" w:hAnsi="Arial TUR" w:hint="cs"/>
          <w:spacing w:val="10"/>
          <w:rtl/>
        </w:rPr>
        <w:t>" (</w:t>
      </w:r>
      <w:hyperlink r:id="rId27" w:history="1">
        <w:r w:rsidR="00E06E1D" w:rsidRPr="00E06E1D">
          <w:rPr>
            <w:rFonts w:ascii="Arial TUR" w:hAnsi="Arial TUR" w:hint="eastAsia"/>
            <w:color w:val="0000FF"/>
            <w:spacing w:val="10"/>
            <w:u w:val="single"/>
            <w:rtl/>
          </w:rPr>
          <w:t>ע</w:t>
        </w:r>
        <w:r w:rsidR="00E06E1D" w:rsidRPr="00E06E1D">
          <w:rPr>
            <w:rFonts w:ascii="Arial TUR" w:hAnsi="Arial TUR"/>
            <w:color w:val="0000FF"/>
            <w:spacing w:val="10"/>
            <w:u w:val="single"/>
            <w:rtl/>
          </w:rPr>
          <w:t>"</w:t>
        </w:r>
        <w:r w:rsidR="00E06E1D" w:rsidRPr="00E06E1D">
          <w:rPr>
            <w:rFonts w:ascii="Arial TUR" w:hAnsi="Arial TUR" w:hint="eastAsia"/>
            <w:color w:val="0000FF"/>
            <w:spacing w:val="10"/>
            <w:u w:val="single"/>
            <w:rtl/>
          </w:rPr>
          <w:t>פ</w:t>
        </w:r>
        <w:r w:rsidR="00E06E1D" w:rsidRPr="00E06E1D">
          <w:rPr>
            <w:rFonts w:ascii="Arial TUR" w:hAnsi="Arial TUR"/>
            <w:color w:val="0000FF"/>
            <w:spacing w:val="10"/>
            <w:u w:val="single"/>
            <w:rtl/>
          </w:rPr>
          <w:t xml:space="preserve"> 5807/17</w:t>
        </w:r>
      </w:hyperlink>
      <w:r w:rsidRPr="00E50464">
        <w:rPr>
          <w:rFonts w:ascii="Arial TUR" w:hAnsi="Arial TUR" w:hint="cs"/>
          <w:spacing w:val="10"/>
          <w:rtl/>
        </w:rPr>
        <w:t xml:space="preserve"> </w:t>
      </w:r>
      <w:r w:rsidRPr="00E50464">
        <w:rPr>
          <w:rFonts w:ascii="Arial TUR" w:hAnsi="Arial TUR" w:hint="cs"/>
          <w:b/>
          <w:bCs/>
          <w:spacing w:val="10"/>
          <w:rtl/>
        </w:rPr>
        <w:t>דרחי ואח' נ' מדינת ישראל</w:t>
      </w:r>
      <w:r w:rsidRPr="00E50464">
        <w:rPr>
          <w:rFonts w:ascii="Arial TUR" w:hAnsi="Arial TUR" w:hint="cs"/>
          <w:spacing w:val="10"/>
          <w:rtl/>
        </w:rPr>
        <w:t xml:space="preserve"> (18.6.18))</w:t>
      </w:r>
    </w:p>
    <w:p w14:paraId="01A8C964" w14:textId="77777777" w:rsidR="00532576" w:rsidRPr="00E50464" w:rsidRDefault="00532576" w:rsidP="00532576">
      <w:pPr>
        <w:spacing w:line="360" w:lineRule="auto"/>
        <w:ind w:left="1440"/>
        <w:contextualSpacing/>
        <w:jc w:val="both"/>
        <w:rPr>
          <w:rtl/>
        </w:rPr>
      </w:pPr>
    </w:p>
    <w:p w14:paraId="4342A3B8" w14:textId="77777777" w:rsidR="00532576" w:rsidRDefault="00532576" w:rsidP="00532576">
      <w:pPr>
        <w:spacing w:line="360" w:lineRule="auto"/>
        <w:contextualSpacing/>
        <w:jc w:val="both"/>
        <w:rPr>
          <w:rtl/>
        </w:rPr>
      </w:pPr>
      <w:r>
        <w:rPr>
          <w:rtl/>
        </w:rPr>
        <w:tab/>
      </w:r>
      <w:r w:rsidRPr="003D66BF">
        <w:rPr>
          <w:rtl/>
        </w:rPr>
        <w:t xml:space="preserve">לעניין הענישה הנוהגת בעבירות דומות ניתן להפנות לפסקי הדין הבאים: </w:t>
      </w:r>
      <w:hyperlink r:id="rId28" w:history="1">
        <w:r w:rsidR="00E06E1D" w:rsidRPr="00E06E1D">
          <w:rPr>
            <w:color w:val="0000FF"/>
            <w:u w:val="single"/>
            <w:rtl/>
          </w:rPr>
          <w:t>רע"פ 314/16</w:t>
        </w:r>
      </w:hyperlink>
      <w:r w:rsidRPr="00950E20">
        <w:rPr>
          <w:rtl/>
        </w:rPr>
        <w:t xml:space="preserve"> בן </w:t>
      </w:r>
      <w:r w:rsidRPr="00950E20">
        <w:rPr>
          <w:b/>
          <w:bCs/>
          <w:rtl/>
        </w:rPr>
        <w:t>צבי נ' מדינת ישראל</w:t>
      </w:r>
      <w:r w:rsidRPr="00950E20">
        <w:rPr>
          <w:rtl/>
        </w:rPr>
        <w:t xml:space="preserve"> (22.2.16), בו הוחמר עונשו של נאשם ל-10 חודשי מאסר, בשל גידול תשעה שתילי קנבוס במשקל של 2.5 קילו</w:t>
      </w:r>
      <w:r>
        <w:rPr>
          <w:rFonts w:hint="cs"/>
          <w:rtl/>
        </w:rPr>
        <w:t xml:space="preserve">; </w:t>
      </w:r>
      <w:hyperlink r:id="rId29" w:history="1">
        <w:r w:rsidR="00E06E1D" w:rsidRPr="00E06E1D">
          <w:rPr>
            <w:color w:val="0000FF"/>
            <w:u w:val="single"/>
            <w:rtl/>
          </w:rPr>
          <w:t>רע"פ 6987/13</w:t>
        </w:r>
      </w:hyperlink>
      <w:r w:rsidRPr="00601140">
        <w:rPr>
          <w:rtl/>
        </w:rPr>
        <w:t xml:space="preserve"> </w:t>
      </w:r>
      <w:r w:rsidRPr="00601140">
        <w:rPr>
          <w:b/>
          <w:bCs/>
          <w:rtl/>
        </w:rPr>
        <w:t>אברמוב נ' מדינת ישראל</w:t>
      </w:r>
      <w:r w:rsidRPr="00601140">
        <w:rPr>
          <w:rtl/>
        </w:rPr>
        <w:t xml:space="preserve"> (21.10.13), בו הוטלו על הנאשם 12 חודשי מאסר בפועל בשל גידול  סם מסוג קנביס במשקל כולל של 10 ק"ג. </w:t>
      </w:r>
      <w:hyperlink r:id="rId30" w:history="1">
        <w:r w:rsidR="00E06E1D" w:rsidRPr="00E06E1D">
          <w:rPr>
            <w:color w:val="0000FF"/>
            <w:u w:val="single"/>
            <w:rtl/>
          </w:rPr>
          <w:t>ת"פ (מחוזי מרכז) 2456-07-10</w:t>
        </w:r>
      </w:hyperlink>
      <w:r w:rsidRPr="001D118D">
        <w:rPr>
          <w:rtl/>
        </w:rPr>
        <w:t xml:space="preserve"> </w:t>
      </w:r>
      <w:r w:rsidRPr="001D118D">
        <w:rPr>
          <w:b/>
          <w:bCs/>
          <w:rtl/>
        </w:rPr>
        <w:t>מדינת ישראל נ' תבל</w:t>
      </w:r>
      <w:r w:rsidRPr="001D118D">
        <w:rPr>
          <w:rtl/>
        </w:rPr>
        <w:t xml:space="preserve"> (8.5.11), בו הוטל על נאשם עונש מאסר בן 8 חודשים בשל גידול סם</w:t>
      </w:r>
      <w:r>
        <w:rPr>
          <w:rtl/>
        </w:rPr>
        <w:t xml:space="preserve"> מסוג קנבוס בכמות של כ- 8.9 ק"ג</w:t>
      </w:r>
      <w:r>
        <w:rPr>
          <w:rFonts w:hint="cs"/>
          <w:rtl/>
        </w:rPr>
        <w:t xml:space="preserve">; </w:t>
      </w:r>
      <w:hyperlink r:id="rId31" w:history="1">
        <w:r w:rsidR="00E06E1D" w:rsidRPr="00E06E1D">
          <w:rPr>
            <w:color w:val="0000FF"/>
            <w:u w:val="single"/>
            <w:rtl/>
          </w:rPr>
          <w:t>עפ"ג 10700-11-16</w:t>
        </w:r>
      </w:hyperlink>
      <w:r>
        <w:rPr>
          <w:rFonts w:hint="cs"/>
          <w:rtl/>
        </w:rPr>
        <w:t xml:space="preserve"> </w:t>
      </w:r>
      <w:r w:rsidRPr="00207113">
        <w:rPr>
          <w:rFonts w:hint="cs"/>
          <w:b/>
          <w:bCs/>
          <w:rtl/>
        </w:rPr>
        <w:t>מדינת ישראל נגד טולידו</w:t>
      </w:r>
      <w:r>
        <w:rPr>
          <w:rFonts w:hint="cs"/>
          <w:rtl/>
        </w:rPr>
        <w:t xml:space="preserve"> (17.1.17) בו הוטלו על נאשם 4 חודשי מאסר בעבודות שירות בגין גידול 93 שתילים של קנבוס וזאת לאחר שהנאשם עבר הליך טיפול משמעותי; </w:t>
      </w:r>
      <w:hyperlink r:id="rId32" w:history="1">
        <w:r w:rsidR="00E06E1D" w:rsidRPr="00E06E1D">
          <w:rPr>
            <w:color w:val="0000FF"/>
            <w:u w:val="single"/>
            <w:rtl/>
          </w:rPr>
          <w:t>עפ"ג 62171-05-17</w:t>
        </w:r>
      </w:hyperlink>
      <w:r>
        <w:rPr>
          <w:rFonts w:hint="cs"/>
          <w:rtl/>
        </w:rPr>
        <w:t xml:space="preserve"> </w:t>
      </w:r>
      <w:r>
        <w:rPr>
          <w:rFonts w:hint="cs"/>
          <w:b/>
          <w:bCs/>
          <w:rtl/>
        </w:rPr>
        <w:t>אסי חן נ' מדינת ישראל</w:t>
      </w:r>
      <w:r>
        <w:rPr>
          <w:rFonts w:hint="cs"/>
          <w:rtl/>
        </w:rPr>
        <w:t xml:space="preserve"> (10.7.17) בו הוטלו על נאשם שגידל 19 שתילים 12 חודשי מאסר. אציין כי בית המשפט המחוזי אישר במסגרת ערעור הנאשם את מתחם הענישה שקבע בית משפט השלום (8-20 חודשי מאסר); </w:t>
      </w:r>
      <w:hyperlink r:id="rId33" w:history="1">
        <w:r w:rsidR="00E06E1D" w:rsidRPr="00E06E1D">
          <w:rPr>
            <w:color w:val="0000FF"/>
            <w:u w:val="single"/>
            <w:rtl/>
          </w:rPr>
          <w:t>ת"פ 1788-06-17</w:t>
        </w:r>
      </w:hyperlink>
      <w:r>
        <w:rPr>
          <w:rFonts w:hint="cs"/>
          <w:rtl/>
        </w:rPr>
        <w:t xml:space="preserve"> </w:t>
      </w:r>
      <w:r w:rsidRPr="00825A10">
        <w:rPr>
          <w:rFonts w:hint="cs"/>
          <w:b/>
          <w:bCs/>
          <w:rtl/>
        </w:rPr>
        <w:t>מדינת ישראל נ' אברהם אבירם גבאי</w:t>
      </w:r>
      <w:r>
        <w:rPr>
          <w:rFonts w:hint="cs"/>
          <w:rtl/>
        </w:rPr>
        <w:t xml:space="preserve"> (21.5.18) בו הוטלו על נאשם 6 חודשי מאסר בעבודות שירות בגין גידול קנבוס במשקל 4.8 ק"ג; </w:t>
      </w:r>
      <w:hyperlink r:id="rId34" w:history="1">
        <w:r w:rsidR="00E06E1D" w:rsidRPr="00E06E1D">
          <w:rPr>
            <w:color w:val="0000FF"/>
            <w:u w:val="single"/>
            <w:rtl/>
          </w:rPr>
          <w:t>ת"פ 1969-02-17</w:t>
        </w:r>
      </w:hyperlink>
      <w:r>
        <w:rPr>
          <w:rtl/>
        </w:rPr>
        <w:t xml:space="preserve"> </w:t>
      </w:r>
      <w:r w:rsidRPr="00916341">
        <w:rPr>
          <w:b/>
          <w:bCs/>
          <w:rtl/>
        </w:rPr>
        <w:t>מדינת ישראל נ' אלישייב</w:t>
      </w:r>
      <w:r>
        <w:rPr>
          <w:rFonts w:hint="cs"/>
          <w:rtl/>
        </w:rPr>
        <w:t xml:space="preserve"> (21.2.18) בו הוטלו על נאשם 6 חודשי מאסר בעבודות שירות בגין גידול 52 שתילי קנבוס במשקל 1.2 ק"ג וכן החזקת כלים להכנת סם שלא לצריכה עצמית; </w:t>
      </w:r>
      <w:hyperlink r:id="rId35" w:history="1">
        <w:r w:rsidR="00E06E1D" w:rsidRPr="00E06E1D">
          <w:rPr>
            <w:color w:val="0000FF"/>
            <w:u w:val="single"/>
            <w:rtl/>
          </w:rPr>
          <w:t>עפ"ג 22919-08-18</w:t>
        </w:r>
      </w:hyperlink>
      <w:r>
        <w:rPr>
          <w:rFonts w:hint="cs"/>
          <w:rtl/>
        </w:rPr>
        <w:t xml:space="preserve"> </w:t>
      </w:r>
      <w:r w:rsidRPr="002759B0">
        <w:rPr>
          <w:rFonts w:hint="cs"/>
          <w:b/>
          <w:bCs/>
          <w:rtl/>
        </w:rPr>
        <w:t>מדינת ישראל נ' חכים</w:t>
      </w:r>
      <w:r>
        <w:rPr>
          <w:rFonts w:hint="cs"/>
          <w:rtl/>
        </w:rPr>
        <w:t xml:space="preserve"> (29.5.18) הוטלו על נאשם 6 חודשי מאסר בעבודות שירות בגין גידול קנבוס במשקל של 33.2 ק"ג. בית המשפט המחוזי ציין כי העונש חורג במידה ניכרת מהמתחם וזאת לנוכח נסיבות חריגות ומיוחדות.  </w:t>
      </w:r>
    </w:p>
    <w:p w14:paraId="6E8FB1FE" w14:textId="77777777" w:rsidR="00532576" w:rsidRDefault="00532576" w:rsidP="00532576">
      <w:pPr>
        <w:spacing w:line="360" w:lineRule="auto"/>
        <w:contextualSpacing/>
        <w:jc w:val="both"/>
        <w:rPr>
          <w:rtl/>
        </w:rPr>
      </w:pPr>
    </w:p>
    <w:p w14:paraId="19AC5503" w14:textId="77777777" w:rsidR="00532576" w:rsidRPr="004744D0" w:rsidRDefault="00532576" w:rsidP="00532576">
      <w:pPr>
        <w:spacing w:line="360" w:lineRule="auto"/>
        <w:contextualSpacing/>
        <w:jc w:val="both"/>
        <w:rPr>
          <w:b/>
          <w:bCs/>
        </w:rPr>
      </w:pPr>
      <w:r>
        <w:rPr>
          <w:rtl/>
        </w:rPr>
        <w:tab/>
      </w:r>
      <w:r w:rsidRPr="004744D0">
        <w:rPr>
          <w:rtl/>
        </w:rPr>
        <w:t xml:space="preserve">לאור כל זאת, אני בדעה כי מתחם הענישה ההולם את העבירה מושא ענייננו נע בין </w:t>
      </w:r>
      <w:r>
        <w:rPr>
          <w:rFonts w:hint="cs"/>
          <w:rtl/>
        </w:rPr>
        <w:t>10</w:t>
      </w:r>
      <w:r w:rsidRPr="004744D0">
        <w:rPr>
          <w:rtl/>
        </w:rPr>
        <w:t xml:space="preserve"> חודשי מאסר בפועל </w:t>
      </w:r>
      <w:r>
        <w:rPr>
          <w:rFonts w:hint="cs"/>
          <w:rtl/>
        </w:rPr>
        <w:t>ועד 24</w:t>
      </w:r>
      <w:r w:rsidRPr="004744D0">
        <w:rPr>
          <w:rtl/>
        </w:rPr>
        <w:t xml:space="preserve"> חודשי מאסר בפועל. </w:t>
      </w:r>
    </w:p>
    <w:p w14:paraId="034611C3" w14:textId="77777777" w:rsidR="00532576" w:rsidRPr="003D66BF" w:rsidRDefault="00532576" w:rsidP="00532576">
      <w:pPr>
        <w:spacing w:line="360" w:lineRule="auto"/>
        <w:contextualSpacing/>
        <w:jc w:val="both"/>
        <w:rPr>
          <w:rtl/>
        </w:rPr>
      </w:pPr>
    </w:p>
    <w:p w14:paraId="322405C3" w14:textId="77777777" w:rsidR="00532576" w:rsidRPr="00C549C1" w:rsidRDefault="00532576" w:rsidP="00532576">
      <w:pPr>
        <w:spacing w:line="360" w:lineRule="auto"/>
        <w:jc w:val="both"/>
        <w:rPr>
          <w:b/>
          <w:bCs/>
          <w:u w:val="single"/>
          <w:rtl/>
        </w:rPr>
      </w:pPr>
      <w:r w:rsidRPr="00C549C1">
        <w:rPr>
          <w:b/>
          <w:bCs/>
          <w:u w:val="single"/>
          <w:rtl/>
        </w:rPr>
        <w:t>קביעת עונשו של הנאשם</w:t>
      </w:r>
    </w:p>
    <w:p w14:paraId="2AFDCBDB" w14:textId="77777777" w:rsidR="00532576" w:rsidRDefault="00532576" w:rsidP="00532576">
      <w:pPr>
        <w:spacing w:line="360" w:lineRule="auto"/>
        <w:jc w:val="both"/>
        <w:rPr>
          <w:rtl/>
        </w:rPr>
      </w:pPr>
      <w:r>
        <w:rPr>
          <w:rtl/>
        </w:rPr>
        <w:tab/>
      </w:r>
    </w:p>
    <w:p w14:paraId="65825C02" w14:textId="77777777" w:rsidR="00532576" w:rsidRDefault="00532576" w:rsidP="00532576">
      <w:pPr>
        <w:spacing w:line="360" w:lineRule="auto"/>
        <w:jc w:val="both"/>
        <w:rPr>
          <w:rtl/>
        </w:rPr>
      </w:pPr>
      <w:r>
        <w:rPr>
          <w:rFonts w:hint="cs"/>
          <w:rtl/>
        </w:rPr>
        <w:t xml:space="preserve">12. </w:t>
      </w:r>
      <w:r>
        <w:rPr>
          <w:rtl/>
        </w:rPr>
        <w:tab/>
        <w:t>אקדים ואומר</w:t>
      </w:r>
      <w:r>
        <w:rPr>
          <w:rFonts w:hint="cs"/>
          <w:rtl/>
        </w:rPr>
        <w:t xml:space="preserve"> כבר עתה</w:t>
      </w:r>
      <w:r>
        <w:rPr>
          <w:rtl/>
        </w:rPr>
        <w:t xml:space="preserve">, כי ראוי לדעתי לחרוג במקרה זה ממתחם הענישה ולהעדיף את הפן השיקומי. הסיבות לכך יפורטו להלן. </w:t>
      </w:r>
    </w:p>
    <w:p w14:paraId="5510B58E" w14:textId="77777777" w:rsidR="00532576" w:rsidRDefault="00532576" w:rsidP="00532576">
      <w:pPr>
        <w:spacing w:line="360" w:lineRule="auto"/>
        <w:jc w:val="both"/>
        <w:rPr>
          <w:rtl/>
        </w:rPr>
      </w:pPr>
    </w:p>
    <w:p w14:paraId="7D11F9F3" w14:textId="77777777" w:rsidR="00532576" w:rsidRDefault="00532576" w:rsidP="00532576">
      <w:pPr>
        <w:spacing w:line="360" w:lineRule="auto"/>
        <w:jc w:val="both"/>
        <w:rPr>
          <w:rFonts w:ascii="David" w:hAnsi="David"/>
          <w:rtl/>
        </w:rPr>
      </w:pPr>
      <w:r>
        <w:rPr>
          <w:rFonts w:hint="cs"/>
          <w:rtl/>
        </w:rPr>
        <w:t xml:space="preserve">13. </w:t>
      </w:r>
      <w:r>
        <w:rPr>
          <w:rtl/>
        </w:rPr>
        <w:tab/>
        <w:t xml:space="preserve">הנאשם שלפני </w:t>
      </w:r>
      <w:r>
        <w:rPr>
          <w:rFonts w:hint="cs"/>
          <w:rtl/>
        </w:rPr>
        <w:t>הוא כבן 60</w:t>
      </w:r>
      <w:r>
        <w:rPr>
          <w:rtl/>
        </w:rPr>
        <w:t>. עברו</w:t>
      </w:r>
      <w:r>
        <w:rPr>
          <w:rFonts w:hint="cs"/>
          <w:rtl/>
        </w:rPr>
        <w:t xml:space="preserve"> הפלילי</w:t>
      </w:r>
      <w:r>
        <w:rPr>
          <w:rtl/>
        </w:rPr>
        <w:t xml:space="preserve"> נקי. </w:t>
      </w:r>
      <w:r>
        <w:rPr>
          <w:rFonts w:hint="cs"/>
          <w:rtl/>
        </w:rPr>
        <w:t xml:space="preserve">הגם שקבעתי שהנאשם לא הוכיח שהתכוון לעשות שימוש עצמי בכל הכמות שגידל, ברי בעיני שקיים קשר ישיר בין התמכרותו לסמים, לבין ביצוע העבירות. </w:t>
      </w:r>
      <w:r>
        <w:rPr>
          <w:rtl/>
        </w:rPr>
        <w:t xml:space="preserve">שירות המבחן התרשם כי הנאשם </w:t>
      </w:r>
      <w:r>
        <w:rPr>
          <w:rFonts w:hint="cs"/>
          <w:rtl/>
        </w:rPr>
        <w:t>עושה כיום מאמצים רבים לתפקד כמיטב יכולתו, זאת לצד נסיבות חיים קשות שפורטו בתסקיר, וכי כיום הוא מגויס להליך הטיפולי ומגלה מוטיבציה לשינוי</w:t>
      </w:r>
      <w:r>
        <w:rPr>
          <w:rtl/>
        </w:rPr>
        <w:t xml:space="preserve">. </w:t>
      </w:r>
      <w:r>
        <w:rPr>
          <w:rFonts w:hint="cs"/>
          <w:rtl/>
        </w:rPr>
        <w:t xml:space="preserve">מזה תקופה הנאשם נקי מסמים והפרוגנוזה לגביו חיובית. </w:t>
      </w:r>
      <w:r>
        <w:rPr>
          <w:rtl/>
        </w:rPr>
        <w:t>לאור כך, המליץ שירות המבחן על העמדת הנאשם בצו מבחן</w:t>
      </w:r>
      <w:r>
        <w:rPr>
          <w:rFonts w:hint="cs"/>
          <w:rtl/>
        </w:rPr>
        <w:t xml:space="preserve"> והעדפת הפן השיקומי. </w:t>
      </w:r>
      <w:r>
        <w:rPr>
          <w:rtl/>
        </w:rPr>
        <w:t xml:space="preserve">המלצה זו מקובלת עלי. </w:t>
      </w:r>
    </w:p>
    <w:p w14:paraId="35AED8AA" w14:textId="77777777" w:rsidR="00532576" w:rsidRPr="005C64FB" w:rsidRDefault="00532576" w:rsidP="00532576">
      <w:pPr>
        <w:spacing w:line="360" w:lineRule="auto"/>
        <w:jc w:val="both"/>
        <w:rPr>
          <w:rtl/>
        </w:rPr>
      </w:pPr>
    </w:p>
    <w:p w14:paraId="0FBAAF21" w14:textId="77777777" w:rsidR="00532576" w:rsidRDefault="00532576" w:rsidP="00532576">
      <w:pPr>
        <w:spacing w:line="360" w:lineRule="auto"/>
        <w:jc w:val="both"/>
        <w:rPr>
          <w:rFonts w:ascii="Century" w:hAnsi="Century"/>
          <w:spacing w:val="10"/>
          <w:rtl/>
        </w:rPr>
      </w:pPr>
      <w:r w:rsidRPr="005C64FB">
        <w:rPr>
          <w:rFonts w:hint="cs"/>
          <w:rtl/>
        </w:rPr>
        <w:t xml:space="preserve">14. </w:t>
      </w:r>
      <w:r w:rsidRPr="005C64FB">
        <w:rPr>
          <w:rtl/>
        </w:rPr>
        <w:tab/>
      </w:r>
      <w:r w:rsidRPr="005C64FB">
        <w:rPr>
          <w:rFonts w:hint="eastAsia"/>
          <w:rtl/>
        </w:rPr>
        <w:t>כידוע</w:t>
      </w:r>
      <w:r w:rsidRPr="005C64FB">
        <w:rPr>
          <w:rtl/>
        </w:rPr>
        <w:t xml:space="preserve">, </w:t>
      </w:r>
      <w:r w:rsidRPr="005C64FB">
        <w:rPr>
          <w:rFonts w:hint="eastAsia"/>
          <w:rtl/>
        </w:rPr>
        <w:t>בהתאם</w:t>
      </w:r>
      <w:r w:rsidRPr="005C64FB">
        <w:rPr>
          <w:rtl/>
        </w:rPr>
        <w:t xml:space="preserve"> </w:t>
      </w:r>
      <w:hyperlink r:id="rId36" w:history="1">
        <w:r w:rsidR="0047137E" w:rsidRPr="0047137E">
          <w:rPr>
            <w:color w:val="0000FF"/>
            <w:u w:val="single"/>
            <w:rtl/>
          </w:rPr>
          <w:t>לסעיף 40ד'</w:t>
        </w:r>
      </w:hyperlink>
      <w:r w:rsidRPr="005C64FB">
        <w:rPr>
          <w:rtl/>
        </w:rPr>
        <w:t xml:space="preserve"> </w:t>
      </w:r>
      <w:r w:rsidRPr="005C64FB">
        <w:rPr>
          <w:rFonts w:hint="eastAsia"/>
          <w:rtl/>
        </w:rPr>
        <w:t>ל</w:t>
      </w:r>
      <w:hyperlink r:id="rId37" w:history="1">
        <w:r w:rsidR="00E06E1D" w:rsidRPr="00E06E1D">
          <w:rPr>
            <w:color w:val="0000FF"/>
            <w:u w:val="single"/>
            <w:rtl/>
          </w:rPr>
          <w:t>חוק העונשין</w:t>
        </w:r>
      </w:hyperlink>
      <w:r w:rsidRPr="005C64FB">
        <w:rPr>
          <w:rtl/>
        </w:rPr>
        <w:t xml:space="preserve"> </w:t>
      </w:r>
      <w:r w:rsidRPr="005C64FB">
        <w:rPr>
          <w:rFonts w:hint="eastAsia"/>
          <w:rtl/>
        </w:rPr>
        <w:t>רשאי</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לחרוג</w:t>
      </w:r>
      <w:r>
        <w:rPr>
          <w:rFonts w:ascii="David" w:hAnsi="David"/>
          <w:rtl/>
        </w:rPr>
        <w:t xml:space="preserve"> </w:t>
      </w:r>
      <w:r>
        <w:rPr>
          <w:rFonts w:ascii="David" w:hAnsi="David" w:hint="eastAsia"/>
          <w:rtl/>
        </w:rPr>
        <w:t>לקולה</w:t>
      </w:r>
      <w:r>
        <w:rPr>
          <w:rFonts w:ascii="David" w:hAnsi="David"/>
          <w:rtl/>
        </w:rPr>
        <w:t xml:space="preserve"> </w:t>
      </w:r>
      <w:r>
        <w:rPr>
          <w:rFonts w:ascii="David" w:hAnsi="David" w:hint="eastAsia"/>
          <w:rtl/>
        </w:rPr>
        <w:t>ממתחם</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שקבע</w:t>
      </w:r>
      <w:r>
        <w:rPr>
          <w:rFonts w:ascii="David" w:hAnsi="David"/>
          <w:rtl/>
        </w:rPr>
        <w:t xml:space="preserve">, </w:t>
      </w:r>
      <w:r>
        <w:rPr>
          <w:rFonts w:ascii="David" w:hAnsi="David" w:hint="eastAsia"/>
          <w:rtl/>
        </w:rPr>
        <w:t>אם</w:t>
      </w:r>
      <w:r>
        <w:rPr>
          <w:rFonts w:ascii="David" w:hAnsi="David"/>
          <w:rtl/>
        </w:rPr>
        <w:t xml:space="preserve"> </w:t>
      </w:r>
      <w:r>
        <w:rPr>
          <w:rFonts w:ascii="David" w:hAnsi="David" w:hint="eastAsia"/>
          <w:rtl/>
        </w:rPr>
        <w:t>מצא</w:t>
      </w:r>
      <w:r>
        <w:rPr>
          <w:rFonts w:ascii="David" w:hAnsi="David"/>
          <w:rtl/>
        </w:rPr>
        <w:t xml:space="preserve"> </w:t>
      </w:r>
      <w:r>
        <w:rPr>
          <w:rFonts w:ascii="David" w:hAnsi="David" w:hint="eastAsia"/>
          <w:rtl/>
        </w:rPr>
        <w:t>כי</w:t>
      </w:r>
      <w:r>
        <w:rPr>
          <w:rFonts w:ascii="David" w:hAnsi="David"/>
          <w:rtl/>
        </w:rPr>
        <w:t xml:space="preserve"> </w:t>
      </w:r>
      <w:r w:rsidRPr="009C4228">
        <w:rPr>
          <w:rFonts w:ascii="David" w:hAnsi="David"/>
          <w:rtl/>
        </w:rPr>
        <w:t>"</w:t>
      </w:r>
      <w:r w:rsidRPr="009C4228">
        <w:rPr>
          <w:rFonts w:ascii="David" w:hAnsi="David" w:cs="Miriam" w:hint="eastAsia"/>
          <w:rtl/>
        </w:rPr>
        <w:t>הנאשם</w:t>
      </w:r>
      <w:r w:rsidRPr="009C4228">
        <w:rPr>
          <w:rFonts w:ascii="David" w:hAnsi="David" w:cs="Miriam"/>
          <w:rtl/>
        </w:rPr>
        <w:t xml:space="preserve"> </w:t>
      </w:r>
      <w:r w:rsidRPr="009C4228">
        <w:rPr>
          <w:rFonts w:ascii="David" w:hAnsi="David" w:cs="Miriam" w:hint="eastAsia"/>
          <w:rtl/>
        </w:rPr>
        <w:t>השתקם</w:t>
      </w:r>
      <w:r w:rsidRPr="009C4228">
        <w:rPr>
          <w:rFonts w:ascii="David" w:hAnsi="David" w:cs="Miriam"/>
          <w:rtl/>
        </w:rPr>
        <w:t xml:space="preserve"> </w:t>
      </w:r>
      <w:r w:rsidRPr="009C4228">
        <w:rPr>
          <w:rFonts w:ascii="David" w:hAnsi="David" w:cs="Miriam" w:hint="eastAsia"/>
          <w:rtl/>
        </w:rPr>
        <w:t>או</w:t>
      </w:r>
      <w:r w:rsidRPr="009C4228">
        <w:rPr>
          <w:rFonts w:ascii="David" w:hAnsi="David" w:cs="Miriam"/>
          <w:rtl/>
        </w:rPr>
        <w:t xml:space="preserve"> </w:t>
      </w:r>
      <w:r w:rsidRPr="009C4228">
        <w:rPr>
          <w:rFonts w:ascii="David" w:hAnsi="David" w:cs="Miriam" w:hint="eastAsia"/>
          <w:rtl/>
        </w:rPr>
        <w:t>כי</w:t>
      </w:r>
      <w:r w:rsidRPr="009C4228">
        <w:rPr>
          <w:rFonts w:ascii="David" w:hAnsi="David" w:cs="Miriam"/>
          <w:rtl/>
        </w:rPr>
        <w:t xml:space="preserve"> </w:t>
      </w:r>
      <w:r w:rsidRPr="009C4228">
        <w:rPr>
          <w:rFonts w:ascii="David" w:hAnsi="David" w:cs="Miriam" w:hint="eastAsia"/>
          <w:rtl/>
        </w:rPr>
        <w:t>יש</w:t>
      </w:r>
      <w:r w:rsidRPr="009C4228">
        <w:rPr>
          <w:rFonts w:ascii="David" w:hAnsi="David" w:cs="Miriam"/>
          <w:rtl/>
        </w:rPr>
        <w:t xml:space="preserve"> </w:t>
      </w:r>
      <w:r w:rsidRPr="009C4228">
        <w:rPr>
          <w:rFonts w:ascii="David" w:hAnsi="David" w:cs="Miriam" w:hint="eastAsia"/>
          <w:rtl/>
        </w:rPr>
        <w:t>סיכוי</w:t>
      </w:r>
      <w:r w:rsidRPr="009C4228">
        <w:rPr>
          <w:rFonts w:ascii="David" w:hAnsi="David" w:cs="Miriam"/>
          <w:rtl/>
        </w:rPr>
        <w:t xml:space="preserve">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ממש</w:t>
      </w:r>
      <w:r w:rsidRPr="009C4228">
        <w:rPr>
          <w:rFonts w:ascii="David" w:hAnsi="David" w:cs="Miriam"/>
          <w:rtl/>
        </w:rPr>
        <w:t xml:space="preserve"> </w:t>
      </w:r>
      <w:r w:rsidRPr="009C4228">
        <w:rPr>
          <w:rFonts w:ascii="David" w:hAnsi="David" w:cs="Miriam" w:hint="eastAsia"/>
          <w:rtl/>
        </w:rPr>
        <w:t>שישתקם</w:t>
      </w:r>
      <w:r w:rsidRPr="009C4228">
        <w:rPr>
          <w:rFonts w:ascii="David" w:hAnsi="David"/>
          <w:rtl/>
        </w:rPr>
        <w:t>"</w:t>
      </w:r>
      <w:r>
        <w:rPr>
          <w:rFonts w:ascii="David" w:hAnsi="David"/>
          <w:rtl/>
        </w:rPr>
        <w:t xml:space="preserve">. </w:t>
      </w:r>
      <w:r>
        <w:rPr>
          <w:rFonts w:ascii="David" w:hAnsi="David" w:hint="eastAsia"/>
          <w:rtl/>
        </w:rPr>
        <w:t>בעניין</w:t>
      </w:r>
      <w:r>
        <w:rPr>
          <w:rFonts w:ascii="David" w:hAnsi="David"/>
          <w:rtl/>
        </w:rPr>
        <w:t xml:space="preserve"> </w:t>
      </w:r>
      <w:r>
        <w:rPr>
          <w:rFonts w:ascii="David" w:hAnsi="David" w:hint="eastAsia"/>
          <w:rtl/>
        </w:rPr>
        <w:t>זה</w:t>
      </w:r>
      <w:r>
        <w:rPr>
          <w:rFonts w:ascii="David" w:hAnsi="David"/>
          <w:rtl/>
        </w:rPr>
        <w:t xml:space="preserve"> </w:t>
      </w:r>
      <w:r>
        <w:rPr>
          <w:rFonts w:ascii="David" w:hAnsi="David" w:hint="eastAsia"/>
          <w:rtl/>
        </w:rPr>
        <w:t>נקבע</w:t>
      </w:r>
      <w:r>
        <w:rPr>
          <w:rFonts w:ascii="David" w:hAnsi="David"/>
          <w:rtl/>
        </w:rPr>
        <w:t xml:space="preserve"> </w:t>
      </w:r>
      <w:r>
        <w:rPr>
          <w:rFonts w:ascii="David" w:hAnsi="David" w:hint="eastAsia"/>
          <w:rtl/>
        </w:rPr>
        <w:t>כי</w:t>
      </w:r>
      <w:r>
        <w:rPr>
          <w:rFonts w:ascii="David" w:hAnsi="David"/>
          <w:rtl/>
        </w:rPr>
        <w:t xml:space="preserve"> </w:t>
      </w:r>
      <w:r w:rsidRPr="009C4228">
        <w:rPr>
          <w:rFonts w:ascii="David" w:hAnsi="David"/>
          <w:rtl/>
        </w:rPr>
        <w:t>"</w:t>
      </w:r>
      <w:r w:rsidRPr="009C4228">
        <w:rPr>
          <w:rFonts w:ascii="David" w:hAnsi="David" w:cs="Miriam" w:hint="eastAsia"/>
          <w:rtl/>
        </w:rPr>
        <w:t>על</w:t>
      </w:r>
      <w:r w:rsidRPr="009C4228">
        <w:rPr>
          <w:rFonts w:ascii="David" w:hAnsi="David" w:cs="Miriam"/>
          <w:rtl/>
        </w:rPr>
        <w:t xml:space="preserve"> </w:t>
      </w:r>
      <w:r w:rsidRPr="009C4228">
        <w:rPr>
          <w:rFonts w:ascii="David" w:hAnsi="David" w:cs="Miriam" w:hint="eastAsia"/>
          <w:rtl/>
        </w:rPr>
        <w:t>קיומו</w:t>
      </w:r>
      <w:r w:rsidRPr="009C4228">
        <w:rPr>
          <w:rFonts w:ascii="David" w:hAnsi="David" w:cs="Miriam"/>
          <w:rtl/>
        </w:rPr>
        <w:t xml:space="preserve">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פוטנציאל</w:t>
      </w:r>
      <w:r w:rsidRPr="009C4228">
        <w:rPr>
          <w:rFonts w:ascii="David" w:hAnsi="David" w:cs="Miriam"/>
          <w:rtl/>
        </w:rPr>
        <w:t xml:space="preserve"> </w:t>
      </w:r>
      <w:r w:rsidRPr="009C4228">
        <w:rPr>
          <w:rFonts w:ascii="David" w:hAnsi="David" w:cs="Miriam" w:hint="eastAsia"/>
          <w:rtl/>
        </w:rPr>
        <w:t>זה</w:t>
      </w:r>
      <w:r w:rsidRPr="009C4228">
        <w:rPr>
          <w:rFonts w:ascii="David" w:hAnsi="David" w:cs="Miriam"/>
          <w:rtl/>
        </w:rPr>
        <w:t xml:space="preserve">, </w:t>
      </w:r>
      <w:r w:rsidRPr="009C4228">
        <w:rPr>
          <w:rFonts w:ascii="David" w:hAnsi="David" w:cs="Miriam" w:hint="eastAsia"/>
          <w:rtl/>
        </w:rPr>
        <w:t>ניתן</w:t>
      </w:r>
      <w:r w:rsidRPr="009C4228">
        <w:rPr>
          <w:rFonts w:ascii="David" w:hAnsi="David" w:cs="Miriam"/>
          <w:rtl/>
        </w:rPr>
        <w:t xml:space="preserve"> </w:t>
      </w:r>
      <w:r w:rsidRPr="009C4228">
        <w:rPr>
          <w:rFonts w:ascii="David" w:hAnsi="David" w:cs="Miriam" w:hint="eastAsia"/>
          <w:rtl/>
        </w:rPr>
        <w:t>ללמוד</w:t>
      </w:r>
      <w:r w:rsidRPr="009C4228">
        <w:rPr>
          <w:rFonts w:ascii="David" w:hAnsi="David" w:cs="Miriam"/>
          <w:rtl/>
        </w:rPr>
        <w:t xml:space="preserve">, </w:t>
      </w:r>
      <w:r w:rsidRPr="009C4228">
        <w:rPr>
          <w:rFonts w:ascii="David" w:hAnsi="David" w:cs="Miriam" w:hint="eastAsia"/>
          <w:rtl/>
        </w:rPr>
        <w:t>בין</w:t>
      </w:r>
      <w:r w:rsidRPr="009C4228">
        <w:rPr>
          <w:rFonts w:ascii="David" w:hAnsi="David" w:cs="Miriam"/>
          <w:rtl/>
        </w:rPr>
        <w:t xml:space="preserve"> </w:t>
      </w:r>
      <w:r w:rsidRPr="009C4228">
        <w:rPr>
          <w:rFonts w:ascii="David" w:hAnsi="David" w:cs="Miriam" w:hint="eastAsia"/>
          <w:rtl/>
        </w:rPr>
        <w:t>היתר</w:t>
      </w:r>
      <w:r w:rsidRPr="009C4228">
        <w:rPr>
          <w:rFonts w:ascii="David" w:hAnsi="David" w:cs="Miriam"/>
          <w:rtl/>
        </w:rPr>
        <w:t xml:space="preserve">, </w:t>
      </w:r>
      <w:r w:rsidRPr="009C4228">
        <w:rPr>
          <w:rFonts w:ascii="David" w:hAnsi="David" w:cs="Miriam" w:hint="eastAsia"/>
          <w:rtl/>
        </w:rPr>
        <w:t>מעברו</w:t>
      </w:r>
      <w:r w:rsidRPr="009C4228">
        <w:rPr>
          <w:rFonts w:ascii="David" w:hAnsi="David" w:cs="Miriam"/>
          <w:rtl/>
        </w:rPr>
        <w:t xml:space="preserve">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הנאשם</w:t>
      </w:r>
      <w:r w:rsidRPr="009C4228">
        <w:rPr>
          <w:rFonts w:ascii="David" w:hAnsi="David" w:cs="Miriam"/>
          <w:rtl/>
        </w:rPr>
        <w:t xml:space="preserve">; </w:t>
      </w:r>
      <w:r w:rsidRPr="009C4228">
        <w:rPr>
          <w:rFonts w:ascii="David" w:hAnsi="David" w:cs="Miriam" w:hint="eastAsia"/>
          <w:rtl/>
        </w:rPr>
        <w:t>משיתוף</w:t>
      </w:r>
      <w:r w:rsidRPr="009C4228">
        <w:rPr>
          <w:rFonts w:ascii="David" w:hAnsi="David" w:cs="Miriam"/>
          <w:rtl/>
        </w:rPr>
        <w:t xml:space="preserve"> </w:t>
      </w:r>
      <w:r w:rsidRPr="009C4228">
        <w:rPr>
          <w:rFonts w:ascii="David" w:hAnsi="David" w:cs="Miriam" w:hint="eastAsia"/>
          <w:rtl/>
        </w:rPr>
        <w:t>הפעולה</w:t>
      </w:r>
      <w:r w:rsidRPr="009C4228">
        <w:rPr>
          <w:rFonts w:ascii="David" w:hAnsi="David" w:cs="Miriam"/>
          <w:rtl/>
        </w:rPr>
        <w:t xml:space="preserve"> </w:t>
      </w:r>
      <w:r w:rsidRPr="009C4228">
        <w:rPr>
          <w:rFonts w:ascii="David" w:hAnsi="David" w:cs="Miriam" w:hint="eastAsia"/>
          <w:rtl/>
        </w:rPr>
        <w:t>שלו</w:t>
      </w:r>
      <w:r w:rsidRPr="009C4228">
        <w:rPr>
          <w:rFonts w:ascii="David" w:hAnsi="David" w:cs="Miriam"/>
          <w:rtl/>
        </w:rPr>
        <w:t xml:space="preserve"> </w:t>
      </w:r>
      <w:r w:rsidRPr="009C4228">
        <w:rPr>
          <w:rFonts w:ascii="David" w:hAnsi="David" w:cs="Miriam" w:hint="eastAsia"/>
          <w:rtl/>
        </w:rPr>
        <w:t>עם</w:t>
      </w:r>
      <w:r w:rsidRPr="009C4228">
        <w:rPr>
          <w:rFonts w:ascii="David" w:hAnsi="David" w:cs="Miriam"/>
          <w:rtl/>
        </w:rPr>
        <w:t xml:space="preserve"> </w:t>
      </w:r>
      <w:r w:rsidRPr="009C4228">
        <w:rPr>
          <w:rFonts w:ascii="David" w:hAnsi="David" w:cs="Miriam" w:hint="eastAsia"/>
          <w:rtl/>
        </w:rPr>
        <w:t>רשויות</w:t>
      </w:r>
      <w:r w:rsidRPr="009C4228">
        <w:rPr>
          <w:rFonts w:ascii="David" w:hAnsi="David" w:cs="Miriam"/>
          <w:rtl/>
        </w:rPr>
        <w:t xml:space="preserve"> </w:t>
      </w:r>
      <w:r w:rsidRPr="009C4228">
        <w:rPr>
          <w:rFonts w:ascii="David" w:hAnsi="David" w:cs="Miriam" w:hint="eastAsia"/>
          <w:rtl/>
        </w:rPr>
        <w:t>החוק</w:t>
      </w:r>
      <w:r w:rsidRPr="009C4228">
        <w:rPr>
          <w:rFonts w:ascii="David" w:hAnsi="David" w:cs="Miriam"/>
          <w:rtl/>
        </w:rPr>
        <w:t xml:space="preserve"> </w:t>
      </w:r>
      <w:r w:rsidRPr="009C4228">
        <w:rPr>
          <w:rFonts w:ascii="David" w:hAnsi="David" w:cs="Miriam" w:hint="eastAsia"/>
          <w:rtl/>
        </w:rPr>
        <w:t>ועם</w:t>
      </w:r>
      <w:r w:rsidRPr="009C4228">
        <w:rPr>
          <w:rFonts w:ascii="David" w:hAnsi="David" w:cs="Miriam"/>
          <w:rtl/>
        </w:rPr>
        <w:t xml:space="preserve"> </w:t>
      </w:r>
      <w:r w:rsidRPr="009C4228">
        <w:rPr>
          <w:rFonts w:ascii="David" w:hAnsi="David" w:cs="Miriam" w:hint="eastAsia"/>
          <w:rtl/>
        </w:rPr>
        <w:t>שירות</w:t>
      </w:r>
      <w:r w:rsidRPr="009C4228">
        <w:rPr>
          <w:rFonts w:ascii="David" w:hAnsi="David" w:cs="Miriam"/>
          <w:rtl/>
        </w:rPr>
        <w:t xml:space="preserve"> </w:t>
      </w:r>
      <w:r w:rsidRPr="009C4228">
        <w:rPr>
          <w:rFonts w:ascii="David" w:hAnsi="David" w:cs="Miriam" w:hint="eastAsia"/>
          <w:rtl/>
        </w:rPr>
        <w:t>המבחן</w:t>
      </w:r>
      <w:r w:rsidRPr="009C4228">
        <w:rPr>
          <w:rFonts w:ascii="David" w:hAnsi="David" w:cs="Miriam"/>
          <w:rtl/>
        </w:rPr>
        <w:t xml:space="preserve">; </w:t>
      </w:r>
      <w:r w:rsidRPr="009C4228">
        <w:rPr>
          <w:rFonts w:ascii="David" w:hAnsi="David" w:cs="Miriam" w:hint="eastAsia"/>
          <w:rtl/>
        </w:rPr>
        <w:t>ומקיומה</w:t>
      </w:r>
      <w:r w:rsidRPr="009C4228">
        <w:rPr>
          <w:rFonts w:ascii="David" w:hAnsi="David" w:cs="Miriam"/>
          <w:rtl/>
        </w:rPr>
        <w:t xml:space="preserve">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תמיכה</w:t>
      </w:r>
      <w:r w:rsidRPr="009C4228">
        <w:rPr>
          <w:rFonts w:ascii="David" w:hAnsi="David" w:cs="Miriam"/>
          <w:rtl/>
        </w:rPr>
        <w:t xml:space="preserve"> </w:t>
      </w:r>
      <w:r w:rsidRPr="009C4228">
        <w:rPr>
          <w:rFonts w:ascii="David" w:hAnsi="David" w:cs="Miriam" w:hint="eastAsia"/>
          <w:rtl/>
        </w:rPr>
        <w:t>והתגייסות</w:t>
      </w:r>
      <w:r w:rsidRPr="009C4228">
        <w:rPr>
          <w:rFonts w:ascii="David" w:hAnsi="David" w:cs="Miriam"/>
          <w:rtl/>
        </w:rPr>
        <w:t xml:space="preserve"> </w:t>
      </w:r>
      <w:r w:rsidRPr="009C4228">
        <w:rPr>
          <w:rFonts w:ascii="David" w:hAnsi="David" w:cs="Miriam" w:hint="eastAsia"/>
          <w:rtl/>
        </w:rPr>
        <w:t>משפחתית</w:t>
      </w:r>
      <w:r w:rsidRPr="009C4228">
        <w:rPr>
          <w:rFonts w:ascii="David" w:hAnsi="David" w:cs="Miriam"/>
          <w:rtl/>
        </w:rPr>
        <w:t xml:space="preserve"> </w:t>
      </w:r>
      <w:r w:rsidRPr="009C4228">
        <w:rPr>
          <w:rFonts w:ascii="David" w:hAnsi="David" w:cs="Miriam" w:hint="eastAsia"/>
          <w:rtl/>
        </w:rPr>
        <w:t>לצידו</w:t>
      </w:r>
      <w:r w:rsidRPr="009C4228">
        <w:rPr>
          <w:rFonts w:ascii="David" w:hAnsi="David" w:cs="Miriam"/>
          <w:rtl/>
        </w:rPr>
        <w:t xml:space="preserve">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הנאשם</w:t>
      </w:r>
      <w:r w:rsidRPr="009C4228">
        <w:rPr>
          <w:rFonts w:ascii="David" w:hAnsi="David"/>
          <w:rtl/>
        </w:rPr>
        <w:t>."</w:t>
      </w:r>
      <w:r>
        <w:rPr>
          <w:rFonts w:ascii="David" w:hAnsi="David"/>
          <w:rtl/>
        </w:rPr>
        <w:t xml:space="preserve"> (</w:t>
      </w:r>
      <w:hyperlink r:id="rId38" w:history="1">
        <w:r w:rsidR="00E06E1D" w:rsidRPr="00E06E1D">
          <w:rPr>
            <w:rFonts w:ascii="David" w:hAnsi="David"/>
            <w:color w:val="0000FF"/>
            <w:u w:val="single"/>
            <w:rtl/>
          </w:rPr>
          <w:t>רע"פ 7683/13</w:t>
        </w:r>
      </w:hyperlink>
      <w:r>
        <w:rPr>
          <w:rFonts w:ascii="David" w:hAnsi="David"/>
          <w:rtl/>
        </w:rPr>
        <w:t xml:space="preserve"> </w:t>
      </w:r>
      <w:r w:rsidRPr="009C4228">
        <w:rPr>
          <w:rFonts w:ascii="David" w:hAnsi="David" w:hint="eastAsia"/>
          <w:b/>
          <w:bCs/>
          <w:rtl/>
        </w:rPr>
        <w:t>דוד</w:t>
      </w:r>
      <w:r w:rsidRPr="009C4228">
        <w:rPr>
          <w:rFonts w:ascii="David" w:hAnsi="David"/>
          <w:b/>
          <w:bCs/>
          <w:rtl/>
        </w:rPr>
        <w:t xml:space="preserve"> </w:t>
      </w:r>
      <w:r w:rsidRPr="009C4228">
        <w:rPr>
          <w:rFonts w:ascii="David" w:hAnsi="David" w:hint="eastAsia"/>
          <w:b/>
          <w:bCs/>
          <w:rtl/>
        </w:rPr>
        <w:t>פרלמן</w:t>
      </w:r>
      <w:r w:rsidRPr="009C4228">
        <w:rPr>
          <w:rFonts w:ascii="David" w:hAnsi="David"/>
          <w:b/>
          <w:bCs/>
          <w:rtl/>
        </w:rPr>
        <w:t xml:space="preserve"> </w:t>
      </w:r>
      <w:r w:rsidRPr="009C4228">
        <w:rPr>
          <w:rFonts w:ascii="David" w:hAnsi="David" w:hint="eastAsia"/>
          <w:b/>
          <w:bCs/>
          <w:rtl/>
        </w:rPr>
        <w:t>נ</w:t>
      </w:r>
      <w:r w:rsidRPr="009C4228">
        <w:rPr>
          <w:rFonts w:ascii="David" w:hAnsi="David"/>
          <w:b/>
          <w:bCs/>
          <w:rtl/>
        </w:rPr>
        <w:t xml:space="preserve">' </w:t>
      </w:r>
      <w:r w:rsidRPr="009C4228">
        <w:rPr>
          <w:rFonts w:ascii="David" w:hAnsi="David" w:hint="eastAsia"/>
          <w:b/>
          <w:bCs/>
          <w:rtl/>
        </w:rPr>
        <w:t>מדינת</w:t>
      </w:r>
      <w:r w:rsidRPr="009C4228">
        <w:rPr>
          <w:rFonts w:ascii="David" w:hAnsi="David"/>
          <w:b/>
          <w:bCs/>
          <w:rtl/>
        </w:rPr>
        <w:t xml:space="preserve"> </w:t>
      </w:r>
      <w:r w:rsidRPr="009C4228">
        <w:rPr>
          <w:rFonts w:ascii="David" w:hAnsi="David" w:hint="eastAsia"/>
          <w:b/>
          <w:bCs/>
          <w:rtl/>
        </w:rPr>
        <w:t>ישראל</w:t>
      </w:r>
      <w:r>
        <w:rPr>
          <w:rFonts w:ascii="David" w:hAnsi="David"/>
          <w:rtl/>
        </w:rPr>
        <w:t xml:space="preserve"> (23.2.14)). </w:t>
      </w:r>
      <w:r>
        <w:rPr>
          <w:rFonts w:ascii="David" w:hAnsi="David" w:hint="eastAsia"/>
          <w:rtl/>
        </w:rPr>
        <w:t>לאחרונה</w:t>
      </w:r>
      <w:r>
        <w:rPr>
          <w:rFonts w:ascii="David" w:hAnsi="David"/>
          <w:rtl/>
        </w:rPr>
        <w:t xml:space="preserve"> </w:t>
      </w:r>
      <w:r>
        <w:rPr>
          <w:rFonts w:ascii="David" w:hAnsi="David" w:hint="eastAsia"/>
          <w:rtl/>
        </w:rPr>
        <w:t>שב</w:t>
      </w:r>
      <w:r>
        <w:rPr>
          <w:rFonts w:ascii="David" w:hAnsi="David"/>
          <w:rtl/>
        </w:rPr>
        <w:t xml:space="preserve"> </w:t>
      </w:r>
      <w:r>
        <w:rPr>
          <w:rFonts w:ascii="David" w:hAnsi="David" w:hint="eastAsia"/>
          <w:rtl/>
        </w:rPr>
        <w:t>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והדגיש</w:t>
      </w:r>
      <w:r>
        <w:rPr>
          <w:rFonts w:ascii="David" w:hAnsi="David"/>
          <w:rtl/>
        </w:rPr>
        <w:t xml:space="preserve"> </w:t>
      </w:r>
      <w:r>
        <w:rPr>
          <w:rFonts w:ascii="David" w:hAnsi="David" w:hint="eastAsia"/>
          <w:rtl/>
        </w:rPr>
        <w:t>כי</w:t>
      </w:r>
      <w:r>
        <w:rPr>
          <w:rFonts w:ascii="David" w:hAnsi="David"/>
          <w:rtl/>
        </w:rPr>
        <w:t xml:space="preserve"> </w:t>
      </w:r>
      <w:r w:rsidRPr="009C4228">
        <w:rPr>
          <w:rFonts w:ascii="David" w:hAnsi="David"/>
          <w:rtl/>
        </w:rPr>
        <w:t>"</w:t>
      </w:r>
      <w:r w:rsidRPr="009C4228">
        <w:rPr>
          <w:rFonts w:ascii="David" w:hAnsi="David" w:cs="Miriam" w:hint="eastAsia"/>
          <w:rtl/>
        </w:rPr>
        <w:t>את</w:t>
      </w:r>
      <w:r w:rsidRPr="009C4228">
        <w:rPr>
          <w:rFonts w:ascii="David" w:hAnsi="David" w:cs="Miriam"/>
          <w:rtl/>
        </w:rPr>
        <w:t xml:space="preserve"> </w:t>
      </w:r>
      <w:r w:rsidRPr="009C4228">
        <w:rPr>
          <w:rFonts w:ascii="David" w:hAnsi="David" w:cs="Miriam" w:hint="eastAsia"/>
          <w:rtl/>
        </w:rPr>
        <w:t>התשתית</w:t>
      </w:r>
      <w:r w:rsidRPr="009C4228">
        <w:rPr>
          <w:rFonts w:ascii="David" w:hAnsi="David" w:cs="Miriam"/>
          <w:rtl/>
        </w:rPr>
        <w:t xml:space="preserve"> </w:t>
      </w:r>
      <w:r w:rsidRPr="009C4228">
        <w:rPr>
          <w:rFonts w:ascii="David" w:hAnsi="David" w:cs="Miriam" w:hint="eastAsia"/>
          <w:rtl/>
        </w:rPr>
        <w:t>העובדתית</w:t>
      </w:r>
      <w:r w:rsidRPr="009C4228">
        <w:rPr>
          <w:rFonts w:ascii="David" w:hAnsi="David" w:cs="Miriam"/>
          <w:rtl/>
        </w:rPr>
        <w:t xml:space="preserve"> </w:t>
      </w:r>
      <w:r w:rsidRPr="009C4228">
        <w:rPr>
          <w:rFonts w:ascii="David" w:hAnsi="David" w:cs="Miriam" w:hint="eastAsia"/>
          <w:rtl/>
        </w:rPr>
        <w:t>להוכחת</w:t>
      </w:r>
      <w:r w:rsidRPr="009C4228">
        <w:rPr>
          <w:rFonts w:ascii="David" w:hAnsi="David" w:cs="Miriam"/>
          <w:rtl/>
        </w:rPr>
        <w:t xml:space="preserve"> </w:t>
      </w:r>
      <w:r w:rsidRPr="009C4228">
        <w:rPr>
          <w:rFonts w:ascii="David" w:hAnsi="David" w:cs="Miriam" w:hint="eastAsia"/>
          <w:rtl/>
        </w:rPr>
        <w:t>סיכויי</w:t>
      </w:r>
      <w:r w:rsidRPr="009C4228">
        <w:rPr>
          <w:rFonts w:ascii="David" w:hAnsi="David" w:cs="Miriam"/>
          <w:rtl/>
        </w:rPr>
        <w:t xml:space="preserve"> </w:t>
      </w:r>
      <w:r w:rsidRPr="009C4228">
        <w:rPr>
          <w:rFonts w:ascii="David" w:hAnsi="David" w:cs="Miriam" w:hint="eastAsia"/>
          <w:rtl/>
        </w:rPr>
        <w:t>השיקום</w:t>
      </w:r>
      <w:r w:rsidRPr="009C4228">
        <w:rPr>
          <w:rFonts w:ascii="David" w:hAnsi="David" w:cs="Miriam"/>
          <w:rtl/>
        </w:rPr>
        <w:t xml:space="preserve"> </w:t>
      </w:r>
      <w:r w:rsidRPr="009C4228">
        <w:rPr>
          <w:rFonts w:ascii="David" w:hAnsi="David" w:cs="Miriam" w:hint="eastAsia"/>
          <w:rtl/>
        </w:rPr>
        <w:t>ניתן</w:t>
      </w:r>
      <w:r w:rsidRPr="009C4228">
        <w:rPr>
          <w:rFonts w:ascii="David" w:hAnsi="David" w:cs="Miriam"/>
          <w:rtl/>
        </w:rPr>
        <w:t xml:space="preserve"> </w:t>
      </w:r>
      <w:r w:rsidRPr="009C4228">
        <w:rPr>
          <w:rFonts w:ascii="David" w:hAnsi="David" w:cs="Miriam" w:hint="eastAsia"/>
          <w:rtl/>
        </w:rPr>
        <w:t>לגבש</w:t>
      </w:r>
      <w:r w:rsidRPr="009C4228">
        <w:rPr>
          <w:rFonts w:ascii="David" w:hAnsi="David" w:cs="Miriam"/>
          <w:rtl/>
        </w:rPr>
        <w:t xml:space="preserve"> </w:t>
      </w:r>
      <w:r w:rsidRPr="009C4228">
        <w:rPr>
          <w:rFonts w:ascii="David" w:hAnsi="David" w:cs="Miriam" w:hint="eastAsia"/>
          <w:rtl/>
        </w:rPr>
        <w:t>באמצעים</w:t>
      </w:r>
      <w:r w:rsidRPr="009C4228">
        <w:rPr>
          <w:rFonts w:ascii="David" w:hAnsi="David" w:cs="Miriam"/>
          <w:rtl/>
        </w:rPr>
        <w:t xml:space="preserve"> </w:t>
      </w:r>
      <w:r w:rsidRPr="009C4228">
        <w:rPr>
          <w:rFonts w:ascii="David" w:hAnsi="David" w:cs="Miriam" w:hint="eastAsia"/>
          <w:rtl/>
        </w:rPr>
        <w:t>ראייתיים</w:t>
      </w:r>
      <w:r w:rsidRPr="009C4228">
        <w:rPr>
          <w:rFonts w:ascii="David" w:hAnsi="David" w:cs="Miriam"/>
          <w:rtl/>
        </w:rPr>
        <w:t xml:space="preserve"> </w:t>
      </w:r>
      <w:r w:rsidRPr="009C4228">
        <w:rPr>
          <w:rFonts w:ascii="David" w:hAnsi="David" w:cs="Miriam" w:hint="eastAsia"/>
          <w:rtl/>
        </w:rPr>
        <w:t>שונים</w:t>
      </w:r>
      <w:r w:rsidRPr="009C4228">
        <w:rPr>
          <w:rFonts w:ascii="David" w:hAnsi="David" w:cs="Miriam"/>
          <w:rtl/>
        </w:rPr>
        <w:t xml:space="preserve">, </w:t>
      </w:r>
      <w:r w:rsidRPr="009C4228">
        <w:rPr>
          <w:rFonts w:ascii="David" w:hAnsi="David" w:cs="Miriam" w:hint="eastAsia"/>
          <w:rtl/>
        </w:rPr>
        <w:t>ובראשם</w:t>
      </w:r>
      <w:r w:rsidRPr="009C4228">
        <w:rPr>
          <w:rFonts w:ascii="David" w:hAnsi="David" w:cs="Miriam"/>
          <w:rtl/>
        </w:rPr>
        <w:t xml:space="preserve"> </w:t>
      </w:r>
      <w:r w:rsidRPr="009C4228">
        <w:rPr>
          <w:rFonts w:ascii="David" w:hAnsi="David" w:cs="Miriam" w:hint="eastAsia"/>
          <w:rtl/>
        </w:rPr>
        <w:t>התסקיר</w:t>
      </w:r>
      <w:r w:rsidRPr="009C4228">
        <w:rPr>
          <w:rFonts w:ascii="David" w:hAnsi="David" w:cs="Miriam"/>
          <w:rtl/>
        </w:rPr>
        <w:t xml:space="preserve">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שירות</w:t>
      </w:r>
      <w:r w:rsidRPr="009C4228">
        <w:rPr>
          <w:rFonts w:ascii="David" w:hAnsi="David" w:cs="Miriam"/>
          <w:rtl/>
        </w:rPr>
        <w:t xml:space="preserve"> </w:t>
      </w:r>
      <w:r w:rsidRPr="009C4228">
        <w:rPr>
          <w:rFonts w:ascii="David" w:hAnsi="David" w:cs="Miriam" w:hint="eastAsia"/>
          <w:rtl/>
        </w:rPr>
        <w:t>המבחן</w:t>
      </w:r>
      <w:r w:rsidRPr="009C4228">
        <w:rPr>
          <w:rFonts w:ascii="David" w:hAnsi="David" w:cs="Miriam"/>
          <w:rtl/>
        </w:rPr>
        <w:t xml:space="preserve">... </w:t>
      </w:r>
      <w:r w:rsidRPr="009C4228">
        <w:rPr>
          <w:rFonts w:ascii="David" w:hAnsi="David" w:cs="Miriam" w:hint="eastAsia"/>
          <w:rtl/>
        </w:rPr>
        <w:t>במקרים</w:t>
      </w:r>
      <w:r w:rsidRPr="009C4228">
        <w:rPr>
          <w:rFonts w:ascii="David" w:hAnsi="David" w:cs="Miriam"/>
          <w:rtl/>
        </w:rPr>
        <w:t xml:space="preserve"> </w:t>
      </w:r>
      <w:r w:rsidRPr="009C4228">
        <w:rPr>
          <w:rFonts w:ascii="David" w:hAnsi="David" w:cs="Miriam" w:hint="eastAsia"/>
          <w:rtl/>
        </w:rPr>
        <w:t>קודמים</w:t>
      </w:r>
      <w:r w:rsidRPr="009C4228">
        <w:rPr>
          <w:rFonts w:ascii="David" w:hAnsi="David" w:cs="Miriam"/>
          <w:rtl/>
        </w:rPr>
        <w:t xml:space="preserve"> </w:t>
      </w:r>
      <w:r w:rsidRPr="009C4228">
        <w:rPr>
          <w:rFonts w:ascii="David" w:hAnsi="David" w:cs="Miriam" w:hint="eastAsia"/>
          <w:rtl/>
        </w:rPr>
        <w:t>שבהם</w:t>
      </w:r>
      <w:r w:rsidRPr="009C4228">
        <w:rPr>
          <w:rFonts w:ascii="David" w:hAnsi="David" w:cs="Miriam"/>
          <w:rtl/>
        </w:rPr>
        <w:t xml:space="preserve"> </w:t>
      </w:r>
      <w:r w:rsidRPr="009C4228">
        <w:rPr>
          <w:rFonts w:ascii="David" w:hAnsi="David" w:cs="Miriam" w:hint="eastAsia"/>
          <w:rtl/>
        </w:rPr>
        <w:t>נדרש</w:t>
      </w:r>
      <w:r w:rsidRPr="009C4228">
        <w:rPr>
          <w:rFonts w:ascii="David" w:hAnsi="David" w:cs="Miriam"/>
          <w:rtl/>
        </w:rPr>
        <w:t xml:space="preserve"> </w:t>
      </w:r>
      <w:r w:rsidRPr="009C4228">
        <w:rPr>
          <w:rFonts w:ascii="David" w:hAnsi="David" w:cs="Miriam" w:hint="eastAsia"/>
          <w:rtl/>
        </w:rPr>
        <w:t>בית</w:t>
      </w:r>
      <w:r w:rsidRPr="009C4228">
        <w:rPr>
          <w:rFonts w:ascii="David" w:hAnsi="David" w:cs="Miriam"/>
          <w:rtl/>
        </w:rPr>
        <w:t xml:space="preserve"> </w:t>
      </w:r>
      <w:r w:rsidRPr="009C4228">
        <w:rPr>
          <w:rFonts w:ascii="David" w:hAnsi="David" w:cs="Miriam" w:hint="eastAsia"/>
          <w:rtl/>
        </w:rPr>
        <w:t>המשפט</w:t>
      </w:r>
      <w:r w:rsidRPr="009C4228">
        <w:rPr>
          <w:rFonts w:ascii="David" w:hAnsi="David" w:cs="Miriam"/>
          <w:rtl/>
        </w:rPr>
        <w:t xml:space="preserve"> </w:t>
      </w:r>
      <w:r w:rsidRPr="009C4228">
        <w:rPr>
          <w:rFonts w:ascii="David" w:hAnsi="David" w:cs="Miriam" w:hint="eastAsia"/>
          <w:rtl/>
        </w:rPr>
        <w:t>להעריך</w:t>
      </w:r>
      <w:r w:rsidRPr="009C4228">
        <w:rPr>
          <w:rFonts w:ascii="David" w:hAnsi="David" w:cs="Miriam"/>
          <w:rtl/>
        </w:rPr>
        <w:t xml:space="preserve"> </w:t>
      </w:r>
      <w:r w:rsidRPr="009C4228">
        <w:rPr>
          <w:rFonts w:ascii="David" w:hAnsi="David" w:cs="Miriam" w:hint="eastAsia"/>
          <w:rtl/>
        </w:rPr>
        <w:t>את</w:t>
      </w:r>
      <w:r w:rsidRPr="009C4228">
        <w:rPr>
          <w:rFonts w:ascii="David" w:hAnsi="David" w:cs="Miriam"/>
          <w:rtl/>
        </w:rPr>
        <w:t xml:space="preserve"> </w:t>
      </w:r>
      <w:r w:rsidRPr="009C4228">
        <w:rPr>
          <w:rFonts w:ascii="David" w:hAnsi="David" w:cs="Miriam" w:hint="eastAsia"/>
          <w:rtl/>
        </w:rPr>
        <w:t>סיכויי</w:t>
      </w:r>
      <w:r w:rsidRPr="009C4228">
        <w:rPr>
          <w:rFonts w:ascii="David" w:hAnsi="David" w:cs="Miriam"/>
          <w:rtl/>
        </w:rPr>
        <w:t xml:space="preserve"> </w:t>
      </w:r>
      <w:r w:rsidRPr="009C4228">
        <w:rPr>
          <w:rFonts w:ascii="David" w:hAnsi="David" w:cs="Miriam" w:hint="eastAsia"/>
          <w:rtl/>
        </w:rPr>
        <w:t>השיקום</w:t>
      </w:r>
      <w:r w:rsidRPr="009C4228">
        <w:rPr>
          <w:rFonts w:ascii="David" w:hAnsi="David" w:cs="Miriam"/>
          <w:rtl/>
        </w:rPr>
        <w:t xml:space="preserve"> </w:t>
      </w:r>
      <w:r w:rsidRPr="009C4228">
        <w:rPr>
          <w:rFonts w:ascii="David" w:hAnsi="David" w:cs="Miriam" w:hint="eastAsia"/>
          <w:rtl/>
        </w:rPr>
        <w:t>במסגרת</w:t>
      </w:r>
      <w:r w:rsidRPr="009C4228">
        <w:rPr>
          <w:rFonts w:ascii="David" w:hAnsi="David" w:cs="Miriam"/>
          <w:rtl/>
        </w:rPr>
        <w:t xml:space="preserve"> </w:t>
      </w:r>
      <w:r w:rsidRPr="009C4228">
        <w:rPr>
          <w:rFonts w:ascii="David" w:hAnsi="David" w:cs="Miriam" w:hint="eastAsia"/>
          <w:rtl/>
        </w:rPr>
        <w:t>סעיף</w:t>
      </w:r>
      <w:r w:rsidRPr="009C4228">
        <w:rPr>
          <w:rFonts w:ascii="David" w:hAnsi="David" w:cs="Miriam"/>
          <w:rtl/>
        </w:rPr>
        <w:t xml:space="preserve"> 40</w:t>
      </w:r>
      <w:r w:rsidRPr="009C4228">
        <w:rPr>
          <w:rFonts w:ascii="David" w:hAnsi="David" w:cs="Miriam" w:hint="eastAsia"/>
          <w:rtl/>
        </w:rPr>
        <w:t>ד</w:t>
      </w:r>
      <w:r w:rsidRPr="009C4228">
        <w:rPr>
          <w:rFonts w:ascii="David" w:hAnsi="David" w:cs="Miriam"/>
          <w:rtl/>
        </w:rPr>
        <w:t xml:space="preserve"> </w:t>
      </w:r>
      <w:r w:rsidRPr="009C4228">
        <w:rPr>
          <w:rFonts w:ascii="David" w:hAnsi="David" w:cs="Miriam" w:hint="eastAsia"/>
          <w:rtl/>
        </w:rPr>
        <w:t>ל</w:t>
      </w:r>
      <w:hyperlink r:id="rId39" w:history="1">
        <w:r w:rsidR="00E06E1D" w:rsidRPr="00E06E1D">
          <w:rPr>
            <w:rFonts w:ascii="David" w:hAnsi="David" w:cs="Miriam"/>
            <w:color w:val="0000FF"/>
            <w:u w:val="single"/>
            <w:rtl/>
          </w:rPr>
          <w:t>חוק העונשין</w:t>
        </w:r>
      </w:hyperlink>
      <w:r w:rsidRPr="009C4228">
        <w:rPr>
          <w:rFonts w:ascii="David" w:hAnsi="David" w:cs="Miriam"/>
          <w:rtl/>
        </w:rPr>
        <w:t xml:space="preserve"> </w:t>
      </w:r>
      <w:r w:rsidRPr="009C4228">
        <w:rPr>
          <w:rFonts w:ascii="David" w:hAnsi="David" w:cs="Miriam" w:hint="eastAsia"/>
          <w:rtl/>
        </w:rPr>
        <w:t>הובאו</w:t>
      </w:r>
      <w:r w:rsidRPr="009C4228">
        <w:rPr>
          <w:rFonts w:ascii="David" w:hAnsi="David" w:cs="Miriam"/>
          <w:rtl/>
        </w:rPr>
        <w:t xml:space="preserve"> </w:t>
      </w:r>
      <w:r w:rsidRPr="009C4228">
        <w:rPr>
          <w:rFonts w:ascii="David" w:hAnsi="David" w:cs="Miriam" w:hint="eastAsia"/>
          <w:rtl/>
        </w:rPr>
        <w:t>בחשבון</w:t>
      </w:r>
      <w:r w:rsidRPr="009C4228">
        <w:rPr>
          <w:rFonts w:ascii="David" w:hAnsi="David" w:cs="Miriam"/>
          <w:rtl/>
        </w:rPr>
        <w:t xml:space="preserve">, </w:t>
      </w:r>
      <w:r w:rsidRPr="009C4228">
        <w:rPr>
          <w:rFonts w:ascii="David" w:hAnsi="David" w:cs="Miriam" w:hint="eastAsia"/>
          <w:rtl/>
        </w:rPr>
        <w:t>בין</w:t>
      </w:r>
      <w:r w:rsidRPr="009C4228">
        <w:rPr>
          <w:rFonts w:ascii="David" w:hAnsi="David" w:cs="Miriam"/>
          <w:rtl/>
        </w:rPr>
        <w:t xml:space="preserve"> </w:t>
      </w:r>
      <w:r w:rsidRPr="009C4228">
        <w:rPr>
          <w:rFonts w:ascii="David" w:hAnsi="David" w:cs="Miriam" w:hint="eastAsia"/>
          <w:rtl/>
        </w:rPr>
        <w:t>היתר</w:t>
      </w:r>
      <w:r w:rsidRPr="009C4228">
        <w:rPr>
          <w:rFonts w:ascii="David" w:hAnsi="David" w:cs="Miriam"/>
          <w:rtl/>
        </w:rPr>
        <w:t xml:space="preserve">, </w:t>
      </w:r>
      <w:r w:rsidRPr="009C4228">
        <w:rPr>
          <w:rFonts w:ascii="David" w:hAnsi="David" w:cs="Miriam" w:hint="eastAsia"/>
          <w:rtl/>
        </w:rPr>
        <w:t>השיקולים</w:t>
      </w:r>
      <w:r w:rsidRPr="009C4228">
        <w:rPr>
          <w:rFonts w:ascii="David" w:hAnsi="David" w:cs="Miriam"/>
          <w:rtl/>
        </w:rPr>
        <w:t xml:space="preserve"> </w:t>
      </w:r>
      <w:r w:rsidRPr="009C4228">
        <w:rPr>
          <w:rFonts w:ascii="David" w:hAnsi="David" w:cs="Miriam" w:hint="eastAsia"/>
          <w:rtl/>
        </w:rPr>
        <w:t>המרכזיים</w:t>
      </w:r>
      <w:r w:rsidRPr="009C4228">
        <w:rPr>
          <w:rFonts w:ascii="David" w:hAnsi="David" w:cs="Miriam"/>
          <w:rtl/>
        </w:rPr>
        <w:t xml:space="preserve"> </w:t>
      </w:r>
      <w:r w:rsidRPr="009C4228">
        <w:rPr>
          <w:rFonts w:ascii="David" w:hAnsi="David" w:cs="Miriam" w:hint="eastAsia"/>
          <w:rtl/>
        </w:rPr>
        <w:t>הבאים</w:t>
      </w:r>
      <w:r w:rsidRPr="009C4228">
        <w:rPr>
          <w:rFonts w:ascii="David" w:hAnsi="David" w:cs="Miriam"/>
          <w:rtl/>
        </w:rPr>
        <w:t xml:space="preserve">: </w:t>
      </w:r>
      <w:r w:rsidRPr="009C4228">
        <w:rPr>
          <w:rFonts w:ascii="David" w:hAnsi="David" w:cs="Miriam" w:hint="eastAsia"/>
          <w:rtl/>
        </w:rPr>
        <w:t>המוטיבציה</w:t>
      </w:r>
      <w:r w:rsidRPr="009C4228">
        <w:rPr>
          <w:rFonts w:ascii="David" w:hAnsi="David" w:cs="Miriam"/>
          <w:rtl/>
        </w:rPr>
        <w:t xml:space="preserve"> </w:t>
      </w:r>
      <w:r w:rsidRPr="009C4228">
        <w:rPr>
          <w:rFonts w:ascii="David" w:hAnsi="David" w:cs="Miriam" w:hint="eastAsia"/>
          <w:rtl/>
        </w:rPr>
        <w:t>שהפגין</w:t>
      </w:r>
      <w:r w:rsidRPr="009C4228">
        <w:rPr>
          <w:rFonts w:ascii="David" w:hAnsi="David" w:cs="Miriam"/>
          <w:rtl/>
        </w:rPr>
        <w:t xml:space="preserve"> </w:t>
      </w:r>
      <w:r w:rsidRPr="009C4228">
        <w:rPr>
          <w:rFonts w:ascii="David" w:hAnsi="David" w:cs="Miriam" w:hint="eastAsia"/>
          <w:rtl/>
        </w:rPr>
        <w:t>האדם</w:t>
      </w:r>
      <w:r w:rsidRPr="009C4228">
        <w:rPr>
          <w:rFonts w:ascii="David" w:hAnsi="David" w:cs="Miriam"/>
          <w:rtl/>
        </w:rPr>
        <w:t xml:space="preserve"> </w:t>
      </w:r>
      <w:r w:rsidRPr="009C4228">
        <w:rPr>
          <w:rFonts w:ascii="David" w:hAnsi="David" w:cs="Miriam" w:hint="eastAsia"/>
          <w:rtl/>
        </w:rPr>
        <w:t>שהורשע</w:t>
      </w:r>
      <w:r w:rsidRPr="009C4228">
        <w:rPr>
          <w:rFonts w:ascii="David" w:hAnsi="David" w:cs="Miriam"/>
          <w:rtl/>
        </w:rPr>
        <w:t xml:space="preserve"> </w:t>
      </w:r>
      <w:r w:rsidRPr="009C4228">
        <w:rPr>
          <w:rFonts w:ascii="David" w:hAnsi="David" w:cs="Miriam" w:hint="eastAsia"/>
          <w:rtl/>
        </w:rPr>
        <w:t>להשתקם</w:t>
      </w:r>
      <w:r w:rsidRPr="009C4228">
        <w:rPr>
          <w:rFonts w:ascii="David" w:hAnsi="David" w:cs="Miriam"/>
          <w:rtl/>
        </w:rPr>
        <w:t xml:space="preserve">; </w:t>
      </w:r>
      <w:r w:rsidRPr="009C4228">
        <w:rPr>
          <w:rFonts w:ascii="David" w:hAnsi="David" w:cs="Miriam" w:hint="eastAsia"/>
          <w:rtl/>
        </w:rPr>
        <w:t>הליך</w:t>
      </w:r>
      <w:r w:rsidRPr="009C4228">
        <w:rPr>
          <w:rFonts w:ascii="David" w:hAnsi="David" w:cs="Miriam"/>
          <w:rtl/>
        </w:rPr>
        <w:t xml:space="preserve">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גמילה</w:t>
      </w:r>
      <w:r w:rsidRPr="009C4228">
        <w:rPr>
          <w:rFonts w:ascii="David" w:hAnsi="David" w:cs="Miriam"/>
          <w:rtl/>
        </w:rPr>
        <w:t xml:space="preserve"> </w:t>
      </w:r>
      <w:r w:rsidRPr="009C4228">
        <w:rPr>
          <w:rFonts w:ascii="David" w:hAnsi="David" w:cs="Miriam" w:hint="eastAsia"/>
          <w:rtl/>
        </w:rPr>
        <w:t>מהתמכרות</w:t>
      </w:r>
      <w:r w:rsidRPr="009C4228">
        <w:rPr>
          <w:rFonts w:ascii="David" w:hAnsi="David" w:cs="Miriam"/>
          <w:rtl/>
        </w:rPr>
        <w:t xml:space="preserve"> </w:t>
      </w:r>
      <w:r w:rsidRPr="009C4228">
        <w:rPr>
          <w:rFonts w:ascii="David" w:hAnsi="David" w:cs="Miriam" w:hint="eastAsia"/>
          <w:rtl/>
        </w:rPr>
        <w:t>שהוא</w:t>
      </w:r>
      <w:r w:rsidRPr="009C4228">
        <w:rPr>
          <w:rFonts w:ascii="David" w:hAnsi="David" w:cs="Miriam"/>
          <w:rtl/>
        </w:rPr>
        <w:t xml:space="preserve"> </w:t>
      </w:r>
      <w:r w:rsidRPr="009C4228">
        <w:rPr>
          <w:rFonts w:ascii="David" w:hAnsi="David" w:cs="Miriam" w:hint="eastAsia"/>
          <w:rtl/>
        </w:rPr>
        <w:t>עובר</w:t>
      </w:r>
      <w:r w:rsidRPr="009C4228">
        <w:rPr>
          <w:rFonts w:ascii="David" w:hAnsi="David" w:cs="Miriam"/>
          <w:rtl/>
        </w:rPr>
        <w:t xml:space="preserve">; </w:t>
      </w:r>
      <w:r w:rsidRPr="009C4228">
        <w:rPr>
          <w:rFonts w:ascii="David" w:hAnsi="David" w:cs="Miriam" w:hint="eastAsia"/>
          <w:rtl/>
        </w:rPr>
        <w:t>השתלבות</w:t>
      </w:r>
      <w:r w:rsidRPr="009C4228">
        <w:rPr>
          <w:rFonts w:ascii="David" w:hAnsi="David" w:cs="Miriam"/>
          <w:rtl/>
        </w:rPr>
        <w:t xml:space="preserve"> </w:t>
      </w:r>
      <w:r w:rsidRPr="009C4228">
        <w:rPr>
          <w:rFonts w:ascii="David" w:hAnsi="David" w:cs="Miriam" w:hint="eastAsia"/>
          <w:rtl/>
        </w:rPr>
        <w:t>מוצלחת</w:t>
      </w:r>
      <w:r w:rsidRPr="009C4228">
        <w:rPr>
          <w:rFonts w:ascii="David" w:hAnsi="David" w:cs="Miriam"/>
          <w:rtl/>
        </w:rPr>
        <w:t xml:space="preserve"> </w:t>
      </w:r>
      <w:r w:rsidRPr="009C4228">
        <w:rPr>
          <w:rFonts w:ascii="David" w:hAnsi="David" w:cs="Miriam" w:hint="eastAsia"/>
          <w:rtl/>
        </w:rPr>
        <w:t>בהליכים</w:t>
      </w:r>
      <w:r w:rsidRPr="009C4228">
        <w:rPr>
          <w:rFonts w:ascii="David" w:hAnsi="David" w:cs="Miriam"/>
          <w:rtl/>
        </w:rPr>
        <w:t xml:space="preserve"> </w:t>
      </w:r>
      <w:r w:rsidRPr="009C4228">
        <w:rPr>
          <w:rFonts w:ascii="David" w:hAnsi="David" w:cs="Miriam" w:hint="eastAsia"/>
          <w:rtl/>
        </w:rPr>
        <w:t>טיפוליים</w:t>
      </w:r>
      <w:r w:rsidRPr="009C4228">
        <w:rPr>
          <w:rFonts w:ascii="David" w:hAnsi="David" w:cs="Miriam"/>
          <w:rtl/>
        </w:rPr>
        <w:t xml:space="preserve"> </w:t>
      </w:r>
      <w:r w:rsidRPr="009C4228">
        <w:rPr>
          <w:rFonts w:ascii="David" w:hAnsi="David" w:cs="Miriam" w:hint="eastAsia"/>
          <w:rtl/>
        </w:rPr>
        <w:t>שונים</w:t>
      </w:r>
      <w:r w:rsidRPr="009C4228">
        <w:rPr>
          <w:rFonts w:ascii="David" w:hAnsi="David" w:cs="Miriam"/>
          <w:rtl/>
        </w:rPr>
        <w:t xml:space="preserve">; </w:t>
      </w:r>
      <w:r w:rsidRPr="009C4228">
        <w:rPr>
          <w:rFonts w:ascii="David" w:hAnsi="David" w:cs="Miriam" w:hint="eastAsia"/>
          <w:rtl/>
        </w:rPr>
        <w:t>אינדיקציות</w:t>
      </w:r>
      <w:r w:rsidRPr="009C4228">
        <w:rPr>
          <w:rFonts w:ascii="David" w:hAnsi="David" w:cs="Miriam"/>
          <w:rtl/>
        </w:rPr>
        <w:t xml:space="preserve"> </w:t>
      </w:r>
      <w:r w:rsidRPr="009C4228">
        <w:rPr>
          <w:rFonts w:ascii="David" w:hAnsi="David" w:cs="Miriam" w:hint="eastAsia"/>
          <w:rtl/>
        </w:rPr>
        <w:t>לשינוי</w:t>
      </w:r>
      <w:r w:rsidRPr="009C4228">
        <w:rPr>
          <w:rFonts w:ascii="David" w:hAnsi="David" w:cs="Miriam"/>
          <w:rtl/>
        </w:rPr>
        <w:t xml:space="preserve"> </w:t>
      </w:r>
      <w:r w:rsidRPr="009C4228">
        <w:rPr>
          <w:rFonts w:ascii="David" w:hAnsi="David" w:cs="Miriam" w:hint="eastAsia"/>
          <w:rtl/>
        </w:rPr>
        <w:t>עמוק</w:t>
      </w:r>
      <w:r w:rsidRPr="009C4228">
        <w:rPr>
          <w:rFonts w:ascii="David" w:hAnsi="David" w:cs="Miriam"/>
          <w:rtl/>
        </w:rPr>
        <w:t xml:space="preserve"> </w:t>
      </w:r>
      <w:r w:rsidRPr="009C4228">
        <w:rPr>
          <w:rFonts w:ascii="David" w:hAnsi="David" w:cs="Miriam" w:hint="eastAsia"/>
          <w:rtl/>
        </w:rPr>
        <w:t>בהתנהגות</w:t>
      </w:r>
      <w:r w:rsidRPr="009C4228">
        <w:rPr>
          <w:rFonts w:ascii="David" w:hAnsi="David" w:cs="Miriam"/>
          <w:rtl/>
        </w:rPr>
        <w:t xml:space="preserve"> </w:t>
      </w:r>
      <w:r w:rsidRPr="009C4228">
        <w:rPr>
          <w:rFonts w:ascii="David" w:hAnsi="David" w:cs="Miriam" w:hint="eastAsia"/>
          <w:rtl/>
        </w:rPr>
        <w:t>ובדרך</w:t>
      </w:r>
      <w:r w:rsidRPr="009C4228">
        <w:rPr>
          <w:rFonts w:ascii="David" w:hAnsi="David" w:cs="Miriam"/>
          <w:rtl/>
        </w:rPr>
        <w:t xml:space="preserve"> </w:t>
      </w:r>
      <w:r w:rsidRPr="009C4228">
        <w:rPr>
          <w:rFonts w:ascii="David" w:hAnsi="David" w:cs="Miriam" w:hint="eastAsia"/>
          <w:rtl/>
        </w:rPr>
        <w:t>החשיבה</w:t>
      </w:r>
      <w:r w:rsidRPr="009C4228">
        <w:rPr>
          <w:rFonts w:ascii="David" w:hAnsi="David" w:cs="Miriam"/>
          <w:rtl/>
        </w:rPr>
        <w:t xml:space="preserve">; הבעת חרטה כנה על המעשים והפגנת אמפתיה כלפי נפגעי העבירה... מבלי לקבוע מסמרות, ניתן לציין ששילוב בין </w:t>
      </w:r>
      <w:r w:rsidRPr="009C4228">
        <w:rPr>
          <w:rFonts w:ascii="David" w:hAnsi="David" w:cs="Miriam" w:hint="eastAsia"/>
          <w:rtl/>
        </w:rPr>
        <w:t>שינוי</w:t>
      </w:r>
      <w:r w:rsidRPr="009C4228">
        <w:rPr>
          <w:rFonts w:ascii="David" w:hAnsi="David" w:cs="Miriam"/>
          <w:rtl/>
        </w:rPr>
        <w:t xml:space="preserve"> </w:t>
      </w:r>
      <w:r w:rsidRPr="009C4228">
        <w:rPr>
          <w:rFonts w:ascii="David" w:hAnsi="David" w:cs="Miriam" w:hint="eastAsia"/>
          <w:rtl/>
        </w:rPr>
        <w:t>מהותי</w:t>
      </w:r>
      <w:r w:rsidRPr="009C4228">
        <w:rPr>
          <w:rFonts w:ascii="David" w:hAnsi="David" w:cs="Miriam"/>
          <w:rtl/>
        </w:rPr>
        <w:t xml:space="preserve"> </w:t>
      </w:r>
      <w:r w:rsidRPr="009C4228">
        <w:rPr>
          <w:rFonts w:ascii="David" w:hAnsi="David" w:cs="Miriam" w:hint="eastAsia"/>
          <w:rtl/>
        </w:rPr>
        <w:t>בהתייחסות</w:t>
      </w:r>
      <w:r w:rsidRPr="009C4228">
        <w:rPr>
          <w:rFonts w:ascii="David" w:hAnsi="David" w:cs="Miriam"/>
          <w:rtl/>
        </w:rPr>
        <w:t xml:space="preserve"> </w:t>
      </w:r>
      <w:r w:rsidRPr="009C4228">
        <w:rPr>
          <w:rFonts w:ascii="David" w:hAnsi="David" w:cs="Miriam" w:hint="eastAsia"/>
          <w:rtl/>
        </w:rPr>
        <w:t>הרגשית</w:t>
      </w:r>
      <w:r w:rsidRPr="009C4228">
        <w:rPr>
          <w:rFonts w:ascii="David" w:hAnsi="David" w:cs="Miriam"/>
          <w:rtl/>
        </w:rPr>
        <w:t xml:space="preserve"> לאירוע העבירה המתבטא בנטילת אחריות, כפרה והבעת אמפתיה לנפגעי העבירה לבין </w:t>
      </w:r>
      <w:r w:rsidRPr="009C4228">
        <w:rPr>
          <w:rFonts w:ascii="David" w:hAnsi="David" w:cs="Miriam" w:hint="eastAsia"/>
          <w:rtl/>
        </w:rPr>
        <w:t>אינדיקציות</w:t>
      </w:r>
      <w:r w:rsidRPr="009C4228">
        <w:rPr>
          <w:rFonts w:ascii="David" w:hAnsi="David" w:cs="Miriam"/>
          <w:rtl/>
        </w:rPr>
        <w:t xml:space="preserve"> </w:t>
      </w:r>
      <w:r w:rsidRPr="009C4228">
        <w:rPr>
          <w:rFonts w:ascii="David" w:hAnsi="David" w:cs="Miriam" w:hint="eastAsia"/>
          <w:rtl/>
        </w:rPr>
        <w:t>אובייקטיביות</w:t>
      </w:r>
      <w:r w:rsidRPr="009C4228">
        <w:rPr>
          <w:rFonts w:ascii="David" w:hAnsi="David" w:cs="Miriam"/>
          <w:rtl/>
        </w:rPr>
        <w:t xml:space="preserve"> </w:t>
      </w:r>
      <w:r w:rsidRPr="009C4228">
        <w:rPr>
          <w:rFonts w:ascii="David" w:hAnsi="David" w:cs="Miriam" w:hint="eastAsia"/>
          <w:rtl/>
        </w:rPr>
        <w:t>לקיומו</w:t>
      </w:r>
      <w:r w:rsidRPr="009C4228">
        <w:rPr>
          <w:rFonts w:ascii="David" w:hAnsi="David" w:cs="Miriam"/>
          <w:rtl/>
        </w:rPr>
        <w:t xml:space="preserve">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תהליך</w:t>
      </w:r>
      <w:r w:rsidRPr="009C4228">
        <w:rPr>
          <w:rFonts w:ascii="David" w:hAnsi="David" w:cs="Miriam"/>
          <w:rtl/>
        </w:rPr>
        <w:t xml:space="preserve"> </w:t>
      </w:r>
      <w:r w:rsidRPr="009C4228">
        <w:rPr>
          <w:rFonts w:ascii="David" w:hAnsi="David" w:cs="Miriam" w:hint="eastAsia"/>
          <w:rtl/>
        </w:rPr>
        <w:t>שיקומי</w:t>
      </w:r>
      <w:r w:rsidRPr="009C4228">
        <w:rPr>
          <w:rFonts w:ascii="David" w:hAnsi="David" w:cs="Miriam"/>
          <w:rtl/>
        </w:rPr>
        <w:t>-</w:t>
      </w:r>
      <w:r w:rsidRPr="009C4228">
        <w:rPr>
          <w:rFonts w:ascii="David" w:hAnsi="David" w:cs="Miriam" w:hint="eastAsia"/>
          <w:rtl/>
        </w:rPr>
        <w:t>טיפולי</w:t>
      </w:r>
      <w:r w:rsidRPr="009C4228">
        <w:rPr>
          <w:rFonts w:ascii="David" w:hAnsi="David" w:cs="Miriam"/>
          <w:rtl/>
        </w:rPr>
        <w:t xml:space="preserve"> </w:t>
      </w:r>
      <w:r w:rsidRPr="009C4228">
        <w:rPr>
          <w:rFonts w:ascii="David" w:hAnsi="David" w:cs="Miriam" w:hint="eastAsia"/>
          <w:rtl/>
        </w:rPr>
        <w:t>מוצלח</w:t>
      </w:r>
      <w:r w:rsidRPr="009C4228">
        <w:rPr>
          <w:rFonts w:ascii="David" w:hAnsi="David" w:cs="Miriam"/>
          <w:rtl/>
        </w:rPr>
        <w:t xml:space="preserve"> וחזרה לדרך הישר, עשוי להצביע על "סיכוי של ממש לשיקום" כלשונו </w:t>
      </w:r>
      <w:r w:rsidRPr="009C4228">
        <w:rPr>
          <w:rFonts w:ascii="David" w:hAnsi="David" w:cs="Miriam" w:hint="eastAsia"/>
          <w:rtl/>
        </w:rPr>
        <w:t>של</w:t>
      </w:r>
      <w:r w:rsidRPr="009C4228">
        <w:rPr>
          <w:rFonts w:ascii="David" w:hAnsi="David" w:cs="Miriam"/>
          <w:rtl/>
        </w:rPr>
        <w:t xml:space="preserve"> </w:t>
      </w:r>
      <w:r w:rsidRPr="009C4228">
        <w:rPr>
          <w:rFonts w:ascii="David" w:hAnsi="David" w:cs="Miriam" w:hint="eastAsia"/>
          <w:rtl/>
        </w:rPr>
        <w:t>סעיף</w:t>
      </w:r>
      <w:r w:rsidRPr="009C4228">
        <w:rPr>
          <w:rFonts w:ascii="David" w:hAnsi="David" w:cs="Miriam"/>
          <w:rtl/>
        </w:rPr>
        <w:t xml:space="preserve"> 40</w:t>
      </w:r>
      <w:r w:rsidRPr="009C4228">
        <w:rPr>
          <w:rFonts w:ascii="David" w:hAnsi="David" w:cs="Miriam" w:hint="eastAsia"/>
          <w:rtl/>
        </w:rPr>
        <w:t>ד</w:t>
      </w:r>
      <w:r w:rsidRPr="009C4228">
        <w:rPr>
          <w:rFonts w:ascii="David" w:hAnsi="David" w:cs="Miriam"/>
          <w:rtl/>
        </w:rPr>
        <w:t>(</w:t>
      </w:r>
      <w:r w:rsidRPr="009C4228">
        <w:rPr>
          <w:rFonts w:ascii="David" w:hAnsi="David" w:cs="Miriam" w:hint="eastAsia"/>
          <w:rtl/>
        </w:rPr>
        <w:t>א</w:t>
      </w:r>
      <w:r w:rsidRPr="009C4228">
        <w:rPr>
          <w:rFonts w:ascii="David" w:hAnsi="David" w:cs="Miriam"/>
          <w:rtl/>
        </w:rPr>
        <w:t xml:space="preserve">). </w:t>
      </w:r>
      <w:r w:rsidRPr="009C4228">
        <w:rPr>
          <w:rFonts w:ascii="David" w:hAnsi="David" w:cs="Miriam" w:hint="eastAsia"/>
          <w:rtl/>
        </w:rPr>
        <w:t>דברים</w:t>
      </w:r>
      <w:r w:rsidRPr="009C4228">
        <w:rPr>
          <w:rFonts w:ascii="David" w:hAnsi="David" w:cs="Miriam"/>
          <w:rtl/>
        </w:rPr>
        <w:t xml:space="preserve"> אלה זוכים למשנה חיזוק מקום בו מדובר באדם צעיר נעדר עבר פלילי</w:t>
      </w:r>
      <w:r w:rsidRPr="009C4228">
        <w:rPr>
          <w:rFonts w:ascii="David" w:hAnsi="David"/>
          <w:rtl/>
        </w:rPr>
        <w:t>" (</w:t>
      </w:r>
      <w:hyperlink r:id="rId40" w:history="1">
        <w:r w:rsidR="00E06E1D" w:rsidRPr="00E06E1D">
          <w:rPr>
            <w:rFonts w:ascii="David" w:hAnsi="David"/>
            <w:color w:val="0000FF"/>
            <w:u w:val="single"/>
            <w:rtl/>
          </w:rPr>
          <w:t>ע"פ 6637/17</w:t>
        </w:r>
      </w:hyperlink>
      <w:r w:rsidRPr="009C4228">
        <w:rPr>
          <w:rFonts w:ascii="David" w:hAnsi="David"/>
          <w:rtl/>
        </w:rPr>
        <w:t xml:space="preserve"> </w:t>
      </w:r>
      <w:r w:rsidRPr="009C4228">
        <w:rPr>
          <w:rFonts w:ascii="David" w:hAnsi="David" w:hint="eastAsia"/>
          <w:b/>
          <w:bCs/>
          <w:rtl/>
        </w:rPr>
        <w:t>אליזבט</w:t>
      </w:r>
      <w:r w:rsidRPr="009C4228">
        <w:rPr>
          <w:rFonts w:ascii="David" w:hAnsi="David"/>
          <w:b/>
          <w:bCs/>
          <w:rtl/>
        </w:rPr>
        <w:t xml:space="preserve"> </w:t>
      </w:r>
      <w:r w:rsidRPr="009C4228">
        <w:rPr>
          <w:rFonts w:ascii="David" w:hAnsi="David" w:hint="eastAsia"/>
          <w:b/>
          <w:bCs/>
          <w:rtl/>
        </w:rPr>
        <w:t>קרינדל</w:t>
      </w:r>
      <w:r w:rsidRPr="009C4228">
        <w:rPr>
          <w:rFonts w:ascii="David" w:hAnsi="David"/>
          <w:b/>
          <w:bCs/>
          <w:rtl/>
        </w:rPr>
        <w:t xml:space="preserve"> </w:t>
      </w:r>
      <w:r w:rsidRPr="009C4228">
        <w:rPr>
          <w:rFonts w:ascii="David" w:hAnsi="David" w:hint="eastAsia"/>
          <w:b/>
          <w:bCs/>
          <w:rtl/>
        </w:rPr>
        <w:t>נ</w:t>
      </w:r>
      <w:r w:rsidRPr="009C4228">
        <w:rPr>
          <w:rFonts w:ascii="David" w:hAnsi="David"/>
          <w:b/>
          <w:bCs/>
          <w:rtl/>
        </w:rPr>
        <w:t xml:space="preserve">' </w:t>
      </w:r>
      <w:r w:rsidRPr="009C4228">
        <w:rPr>
          <w:rFonts w:ascii="David" w:hAnsi="David" w:hint="eastAsia"/>
          <w:b/>
          <w:bCs/>
          <w:rtl/>
        </w:rPr>
        <w:t>מדינת</w:t>
      </w:r>
      <w:r w:rsidRPr="009C4228">
        <w:rPr>
          <w:rFonts w:ascii="David" w:hAnsi="David"/>
          <w:b/>
          <w:bCs/>
          <w:rtl/>
        </w:rPr>
        <w:t xml:space="preserve"> </w:t>
      </w:r>
      <w:r w:rsidRPr="009C4228">
        <w:rPr>
          <w:rFonts w:ascii="David" w:hAnsi="David" w:hint="eastAsia"/>
          <w:b/>
          <w:bCs/>
          <w:rtl/>
        </w:rPr>
        <w:t>ישראל</w:t>
      </w:r>
      <w:r w:rsidRPr="009C4228">
        <w:rPr>
          <w:rFonts w:ascii="David" w:hAnsi="David"/>
          <w:rtl/>
        </w:rPr>
        <w:t xml:space="preserve"> (18.4.18)).</w:t>
      </w:r>
    </w:p>
    <w:p w14:paraId="07DD2F67" w14:textId="77777777" w:rsidR="00532576" w:rsidRDefault="00532576" w:rsidP="00532576">
      <w:pPr>
        <w:spacing w:line="360" w:lineRule="auto"/>
        <w:jc w:val="both"/>
        <w:rPr>
          <w:rFonts w:ascii="Century" w:hAnsi="Century"/>
          <w:spacing w:val="10"/>
          <w:rtl/>
        </w:rPr>
      </w:pPr>
    </w:p>
    <w:p w14:paraId="4B702E8D" w14:textId="77777777" w:rsidR="00532576" w:rsidRDefault="00532576" w:rsidP="00532576">
      <w:pPr>
        <w:spacing w:line="360" w:lineRule="auto"/>
        <w:jc w:val="both"/>
        <w:rPr>
          <w:rFonts w:ascii="David" w:hAnsi="David"/>
          <w:rtl/>
        </w:rPr>
      </w:pPr>
      <w:r>
        <w:rPr>
          <w:rFonts w:ascii="David" w:hAnsi="David"/>
          <w:rtl/>
        </w:rPr>
        <w:tab/>
      </w:r>
      <w:r>
        <w:rPr>
          <w:rFonts w:ascii="David" w:hAnsi="David" w:hint="eastAsia"/>
          <w:rtl/>
        </w:rPr>
        <w:t>יישום</w:t>
      </w:r>
      <w:r>
        <w:rPr>
          <w:rFonts w:ascii="David" w:hAnsi="David"/>
          <w:rtl/>
        </w:rPr>
        <w:t xml:space="preserve"> </w:t>
      </w:r>
      <w:r>
        <w:rPr>
          <w:rFonts w:ascii="David" w:hAnsi="David" w:hint="eastAsia"/>
          <w:rtl/>
        </w:rPr>
        <w:t>דברים</w:t>
      </w:r>
      <w:r>
        <w:rPr>
          <w:rFonts w:ascii="David" w:hAnsi="David"/>
          <w:rtl/>
        </w:rPr>
        <w:t xml:space="preserve"> </w:t>
      </w:r>
      <w:r>
        <w:rPr>
          <w:rFonts w:ascii="David" w:hAnsi="David" w:hint="eastAsia"/>
          <w:rtl/>
        </w:rPr>
        <w:t>אלו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שלפני</w:t>
      </w:r>
      <w:r>
        <w:rPr>
          <w:rFonts w:ascii="David" w:hAnsi="David"/>
          <w:rtl/>
        </w:rPr>
        <w:t xml:space="preserve"> </w:t>
      </w:r>
      <w:r>
        <w:rPr>
          <w:rFonts w:ascii="David" w:hAnsi="David" w:hint="eastAsia"/>
          <w:rtl/>
        </w:rPr>
        <w:t>מביא</w:t>
      </w:r>
      <w:r>
        <w:rPr>
          <w:rFonts w:ascii="David" w:hAnsi="David"/>
          <w:rtl/>
        </w:rPr>
        <w:t xml:space="preserve"> </w:t>
      </w:r>
      <w:r>
        <w:rPr>
          <w:rFonts w:ascii="David" w:hAnsi="David" w:hint="eastAsia"/>
          <w:rtl/>
        </w:rPr>
        <w:t>למסקנה</w:t>
      </w:r>
      <w:r>
        <w:rPr>
          <w:rFonts w:ascii="David" w:hAnsi="David"/>
          <w:rtl/>
        </w:rPr>
        <w:t xml:space="preserve"> </w:t>
      </w:r>
      <w:r>
        <w:rPr>
          <w:rFonts w:ascii="David" w:hAnsi="David" w:hint="eastAsia"/>
          <w:rtl/>
        </w:rPr>
        <w:t>לפיה</w:t>
      </w:r>
      <w:r>
        <w:rPr>
          <w:rFonts w:ascii="David" w:hAnsi="David"/>
          <w:rtl/>
        </w:rPr>
        <w:t xml:space="preserve"> </w:t>
      </w:r>
      <w:r>
        <w:rPr>
          <w:rFonts w:ascii="David" w:hAnsi="David" w:hint="eastAsia"/>
          <w:rtl/>
        </w:rPr>
        <w:t>הוכחו</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סיכויי</w:t>
      </w:r>
      <w:r>
        <w:rPr>
          <w:rFonts w:ascii="David" w:hAnsi="David"/>
          <w:rtl/>
        </w:rPr>
        <w:t xml:space="preserve"> </w:t>
      </w:r>
      <w:r>
        <w:rPr>
          <w:rFonts w:ascii="David" w:hAnsi="David" w:hint="eastAsia"/>
          <w:rtl/>
        </w:rPr>
        <w:t>שיקום</w:t>
      </w:r>
      <w:r>
        <w:rPr>
          <w:rFonts w:ascii="David" w:hAnsi="David"/>
          <w:rtl/>
        </w:rPr>
        <w:t xml:space="preserve"> </w:t>
      </w:r>
      <w:r>
        <w:rPr>
          <w:rFonts w:ascii="David" w:hAnsi="David" w:hint="eastAsia"/>
          <w:rtl/>
        </w:rPr>
        <w:t>ממשיים</w:t>
      </w:r>
      <w:r>
        <w:rPr>
          <w:rFonts w:ascii="David" w:hAnsi="David"/>
          <w:rtl/>
        </w:rPr>
        <w:t xml:space="preserve">. </w:t>
      </w:r>
      <w:r>
        <w:rPr>
          <w:rFonts w:ascii="David" w:hAnsi="David" w:hint="eastAsia"/>
          <w:rtl/>
        </w:rPr>
        <w:t>כאמור</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cs"/>
          <w:rtl/>
        </w:rPr>
        <w:t xml:space="preserve">אינו צעיר. עברו נקי. קיים קשר ברור בין העבירה לבין התמכרותו לסמים. כיום מצוי הנאשם בהליך טיפולי משמעותי. הוא נקי מסמים. הוא מגלה רצון משמעותי לשינוי. המסוכנות בעניינו פחתה.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התרשם</w:t>
      </w:r>
      <w:r>
        <w:rPr>
          <w:rFonts w:ascii="David" w:hAnsi="David"/>
          <w:rtl/>
        </w:rPr>
        <w:t xml:space="preserve"> </w:t>
      </w:r>
      <w:r>
        <w:rPr>
          <w:rFonts w:ascii="David" w:hAnsi="David" w:hint="cs"/>
          <w:rtl/>
        </w:rPr>
        <w:t>ממאמציו לשינוי ו</w:t>
      </w:r>
      <w:r>
        <w:rPr>
          <w:rFonts w:ascii="David" w:hAnsi="David" w:hint="eastAsia"/>
          <w:rtl/>
        </w:rPr>
        <w:t>לחזרה</w:t>
      </w:r>
      <w:r>
        <w:rPr>
          <w:rFonts w:ascii="David" w:hAnsi="David"/>
          <w:rtl/>
        </w:rPr>
        <w:t xml:space="preserve"> </w:t>
      </w:r>
      <w:r>
        <w:rPr>
          <w:rFonts w:ascii="David" w:hAnsi="David" w:hint="eastAsia"/>
          <w:rtl/>
        </w:rPr>
        <w:t>לדרך</w:t>
      </w:r>
      <w:r>
        <w:rPr>
          <w:rFonts w:ascii="David" w:hAnsi="David"/>
          <w:rtl/>
        </w:rPr>
        <w:t xml:space="preserve"> </w:t>
      </w:r>
      <w:r>
        <w:rPr>
          <w:rFonts w:ascii="David" w:hAnsi="David" w:hint="eastAsia"/>
          <w:rtl/>
        </w:rPr>
        <w:t>הישר</w:t>
      </w:r>
      <w:r>
        <w:rPr>
          <w:rFonts w:ascii="David" w:hAnsi="David"/>
          <w:rtl/>
        </w:rPr>
        <w:t xml:space="preserve">. </w:t>
      </w:r>
    </w:p>
    <w:p w14:paraId="29B6B08A" w14:textId="77777777" w:rsidR="00532576" w:rsidRDefault="00532576" w:rsidP="00532576">
      <w:pPr>
        <w:spacing w:line="360" w:lineRule="auto"/>
        <w:jc w:val="both"/>
        <w:rPr>
          <w:rFonts w:ascii="David" w:hAnsi="David"/>
          <w:rtl/>
        </w:rPr>
      </w:pPr>
    </w:p>
    <w:p w14:paraId="609F6563" w14:textId="77777777" w:rsidR="00532576" w:rsidRPr="00533113" w:rsidRDefault="00532576" w:rsidP="00532576">
      <w:pPr>
        <w:spacing w:line="360" w:lineRule="auto"/>
        <w:jc w:val="both"/>
        <w:rPr>
          <w:rFonts w:ascii="David" w:hAnsi="David"/>
          <w:rtl/>
        </w:rPr>
      </w:pPr>
      <w:r>
        <w:rPr>
          <w:rFonts w:ascii="David" w:hAnsi="David" w:hint="cs"/>
          <w:rtl/>
        </w:rPr>
        <w:t xml:space="preserve">15. </w:t>
      </w:r>
      <w:r>
        <w:rPr>
          <w:rFonts w:ascii="David" w:hAnsi="David"/>
          <w:rtl/>
        </w:rPr>
        <w:tab/>
      </w:r>
      <w:r>
        <w:rPr>
          <w:rFonts w:ascii="David" w:hAnsi="David" w:hint="eastAsia"/>
          <w:rtl/>
        </w:rPr>
        <w:t>לאור</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cs"/>
          <w:rtl/>
        </w:rPr>
        <w:t xml:space="preserve">לדעתי </w:t>
      </w:r>
      <w:r>
        <w:rPr>
          <w:rFonts w:ascii="David" w:hAnsi="David" w:hint="eastAsia"/>
          <w:rtl/>
        </w:rPr>
        <w:t>לחרוג</w:t>
      </w:r>
      <w:r>
        <w:rPr>
          <w:rFonts w:ascii="David" w:hAnsi="David"/>
          <w:rtl/>
        </w:rPr>
        <w:t xml:space="preserve"> </w:t>
      </w:r>
      <w:r>
        <w:rPr>
          <w:rFonts w:ascii="David" w:hAnsi="David" w:hint="eastAsia"/>
          <w:rtl/>
        </w:rPr>
        <w:t>ממתחם</w:t>
      </w:r>
      <w:r>
        <w:rPr>
          <w:rFonts w:ascii="David" w:hAnsi="David"/>
          <w:rtl/>
        </w:rPr>
        <w:t xml:space="preserve"> </w:t>
      </w:r>
      <w:r>
        <w:rPr>
          <w:rFonts w:ascii="David" w:hAnsi="David" w:hint="eastAsia"/>
          <w:rtl/>
        </w:rPr>
        <w:t>הענישה</w:t>
      </w:r>
      <w:r>
        <w:rPr>
          <w:rFonts w:ascii="David" w:hAnsi="David"/>
          <w:rtl/>
        </w:rPr>
        <w:t xml:space="preserve"> </w:t>
      </w:r>
      <w:r>
        <w:rPr>
          <w:rFonts w:ascii="David" w:hAnsi="David" w:hint="eastAsia"/>
          <w:rtl/>
        </w:rPr>
        <w:t>בעניינו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tl/>
        </w:rPr>
        <w:t xml:space="preserve">אכן, </w:t>
      </w:r>
      <w:r>
        <w:rPr>
          <w:rFonts w:hint="cs"/>
          <w:rtl/>
        </w:rPr>
        <w:t xml:space="preserve">העבירה שעבר חמורה וכלל ראויה היא לתגובה עונשית חמורה. </w:t>
      </w:r>
      <w:r>
        <w:rPr>
          <w:rtl/>
        </w:rPr>
        <w:t>חומרת העבירה לעיתים תביא למסקנה לפיה יש להעדיף את עקרון ההלימה על פני שיקומו של נאשם, שכן שיקומו של נאשם אינו חזות הכל ויש שנכון להעדיף שיקולים אחרים (</w:t>
      </w:r>
      <w:hyperlink r:id="rId41" w:history="1">
        <w:r w:rsidR="00E06E1D" w:rsidRPr="00E06E1D">
          <w:rPr>
            <w:color w:val="0000FF"/>
            <w:u w:val="single"/>
            <w:rtl/>
          </w:rPr>
          <w:t>ע"פ 5376/15</w:t>
        </w:r>
      </w:hyperlink>
      <w:r>
        <w:rPr>
          <w:rtl/>
        </w:rPr>
        <w:t xml:space="preserve"> </w:t>
      </w:r>
      <w:r>
        <w:rPr>
          <w:b/>
          <w:bCs/>
          <w:rtl/>
        </w:rPr>
        <w:t>ניסים ביטון נ' מדינת ישראל</w:t>
      </w:r>
      <w:r>
        <w:rPr>
          <w:rtl/>
        </w:rPr>
        <w:t xml:space="preserve"> (11.2.16)). עם זאת, </w:t>
      </w:r>
      <w:r>
        <w:rPr>
          <w:rFonts w:hint="cs"/>
          <w:rtl/>
        </w:rPr>
        <w:t xml:space="preserve">במקרה זה ראוי להעדיף את שיקולי השיקום על פני ההלימה. </w:t>
      </w:r>
      <w:r>
        <w:rPr>
          <w:rtl/>
        </w:rPr>
        <w:t>אציין עוד כי תמיכה בהליך שיקומו של הנאשם תניב תוצאה חיובית לא רק עבורו אלא גם עבור החברה</w:t>
      </w:r>
      <w:r>
        <w:rPr>
          <w:rFonts w:hint="cs"/>
          <w:rtl/>
        </w:rPr>
        <w:t xml:space="preserve"> כולה (</w:t>
      </w:r>
      <w:r>
        <w:rPr>
          <w:rtl/>
        </w:rPr>
        <w:t xml:space="preserve"> </w:t>
      </w:r>
      <w:hyperlink r:id="rId42" w:history="1">
        <w:r w:rsidR="00E06E1D" w:rsidRPr="00E06E1D">
          <w:rPr>
            <w:color w:val="0000FF"/>
            <w:u w:val="single"/>
            <w:rtl/>
          </w:rPr>
          <w:t>ע"פ 4944/15</w:t>
        </w:r>
      </w:hyperlink>
      <w:r>
        <w:rPr>
          <w:rtl/>
        </w:rPr>
        <w:t xml:space="preserve"> </w:t>
      </w:r>
      <w:r w:rsidRPr="009C4228">
        <w:rPr>
          <w:b/>
          <w:bCs/>
          <w:rtl/>
        </w:rPr>
        <w:t>חסדי חן שרעבי ואח' נ' מדינת ישראל</w:t>
      </w:r>
      <w:r>
        <w:rPr>
          <w:rtl/>
        </w:rPr>
        <w:t xml:space="preserve"> (4.2.16)); </w:t>
      </w:r>
      <w:hyperlink r:id="rId43" w:history="1">
        <w:r w:rsidR="00E06E1D" w:rsidRPr="00E06E1D">
          <w:rPr>
            <w:color w:val="0000FF"/>
            <w:u w:val="single"/>
            <w:rtl/>
          </w:rPr>
          <w:t>ע"פ 779/15</w:t>
        </w:r>
      </w:hyperlink>
      <w:r>
        <w:rPr>
          <w:rtl/>
        </w:rPr>
        <w:t xml:space="preserve"> </w:t>
      </w:r>
      <w:r>
        <w:rPr>
          <w:b/>
          <w:bCs/>
          <w:rtl/>
        </w:rPr>
        <w:t>פלוני נ' מדינת ישראל</w:t>
      </w:r>
      <w:r>
        <w:rPr>
          <w:rtl/>
        </w:rPr>
        <w:t xml:space="preserve"> (12.4.15)). </w:t>
      </w:r>
    </w:p>
    <w:p w14:paraId="5E017D33" w14:textId="77777777" w:rsidR="00532576" w:rsidRDefault="00532576" w:rsidP="00532576">
      <w:pPr>
        <w:spacing w:line="360" w:lineRule="auto"/>
        <w:rPr>
          <w:rtl/>
        </w:rPr>
      </w:pPr>
    </w:p>
    <w:p w14:paraId="7A2CFF7D" w14:textId="77777777" w:rsidR="00532576" w:rsidRDefault="00532576" w:rsidP="00532576">
      <w:pPr>
        <w:spacing w:line="360" w:lineRule="auto"/>
        <w:rPr>
          <w:rtl/>
        </w:rPr>
      </w:pPr>
    </w:p>
    <w:p w14:paraId="2B52692E" w14:textId="77777777" w:rsidR="00532576" w:rsidRDefault="00532576" w:rsidP="00532576">
      <w:pPr>
        <w:spacing w:line="360" w:lineRule="auto"/>
        <w:rPr>
          <w:rtl/>
        </w:rPr>
      </w:pPr>
    </w:p>
    <w:p w14:paraId="1399CC7A" w14:textId="77777777" w:rsidR="00532576" w:rsidRDefault="00532576" w:rsidP="00532576">
      <w:pPr>
        <w:spacing w:line="360" w:lineRule="auto"/>
        <w:jc w:val="both"/>
        <w:rPr>
          <w:rtl/>
        </w:rPr>
      </w:pPr>
      <w:r>
        <w:rPr>
          <w:rFonts w:ascii="David" w:hAnsi="David" w:hint="cs"/>
          <w:rtl/>
        </w:rPr>
        <w:t xml:space="preserve">16. </w:t>
      </w:r>
      <w:r>
        <w:rPr>
          <w:rFonts w:ascii="David" w:hAnsi="David"/>
          <w:rtl/>
        </w:rPr>
        <w:tab/>
      </w:r>
      <w:r>
        <w:rPr>
          <w:rFonts w:hint="cs"/>
          <w:rtl/>
        </w:rPr>
        <w:t xml:space="preserve">וכעת לשאלה מהו העונש הראוי לנאשם חרף סיכויי שיקומו. </w:t>
      </w:r>
      <w:r w:rsidRPr="00184721">
        <w:rPr>
          <w:rtl/>
        </w:rPr>
        <w:t xml:space="preserve">בצד העדפת שיקולי השיקום אין לזנוח </w:t>
      </w:r>
      <w:r>
        <w:rPr>
          <w:rFonts w:hint="cs"/>
          <w:rtl/>
        </w:rPr>
        <w:t xml:space="preserve">כליל </w:t>
      </w:r>
      <w:r w:rsidRPr="00184721">
        <w:rPr>
          <w:rtl/>
        </w:rPr>
        <w:t>את שיקול ההלימה</w:t>
      </w:r>
      <w:r>
        <w:rPr>
          <w:rFonts w:hint="cs"/>
          <w:rtl/>
        </w:rPr>
        <w:t xml:space="preserve">, שכן </w:t>
      </w:r>
      <w:r w:rsidRPr="00A56E0C">
        <w:rPr>
          <w:rtl/>
        </w:rPr>
        <w:t>"</w:t>
      </w:r>
      <w:r w:rsidRPr="009A065F">
        <w:rPr>
          <w:rFonts w:ascii="Century" w:hAnsi="Century" w:cs="Miriam" w:hint="eastAsia"/>
          <w:spacing w:val="10"/>
          <w:rtl/>
        </w:rPr>
        <w:t>לא</w:t>
      </w:r>
      <w:r w:rsidRPr="009A065F">
        <w:rPr>
          <w:rFonts w:ascii="Century" w:hAnsi="Century" w:cs="Miriam"/>
          <w:spacing w:val="10"/>
          <w:rtl/>
        </w:rPr>
        <w:t xml:space="preserve"> </w:t>
      </w:r>
      <w:r w:rsidRPr="009A065F">
        <w:rPr>
          <w:rFonts w:ascii="Century" w:hAnsi="Century" w:cs="Miriam" w:hint="eastAsia"/>
          <w:spacing w:val="10"/>
          <w:rtl/>
        </w:rPr>
        <w:t>מתפוגגים</w:t>
      </w:r>
      <w:r w:rsidRPr="009A065F">
        <w:rPr>
          <w:rFonts w:ascii="Century" w:hAnsi="Century" w:cs="Miriam"/>
          <w:spacing w:val="10"/>
          <w:rtl/>
        </w:rPr>
        <w:t xml:space="preserve"> </w:t>
      </w:r>
      <w:r w:rsidRPr="009A065F">
        <w:rPr>
          <w:rFonts w:ascii="Century" w:hAnsi="Century" w:cs="Miriam" w:hint="eastAsia"/>
          <w:spacing w:val="10"/>
          <w:rtl/>
        </w:rPr>
        <w:t>מאליהם</w:t>
      </w:r>
      <w:r w:rsidRPr="009A065F">
        <w:rPr>
          <w:rFonts w:ascii="Century" w:hAnsi="Century" w:cs="Miriam"/>
          <w:spacing w:val="10"/>
          <w:rtl/>
        </w:rPr>
        <w:t xml:space="preserve"> </w:t>
      </w:r>
      <w:r w:rsidRPr="009A065F">
        <w:rPr>
          <w:rFonts w:ascii="Century" w:hAnsi="Century" w:cs="Miriam" w:hint="eastAsia"/>
          <w:spacing w:val="10"/>
          <w:rtl/>
        </w:rPr>
        <w:t>שיקולי</w:t>
      </w:r>
      <w:r w:rsidRPr="009A065F">
        <w:rPr>
          <w:rFonts w:ascii="Century" w:hAnsi="Century" w:cs="Miriam"/>
          <w:spacing w:val="10"/>
          <w:rtl/>
        </w:rPr>
        <w:t xml:space="preserve"> </w:t>
      </w:r>
      <w:r w:rsidRPr="009A065F">
        <w:rPr>
          <w:rFonts w:ascii="Century" w:hAnsi="Century" w:cs="Miriam" w:hint="eastAsia"/>
          <w:spacing w:val="10"/>
          <w:rtl/>
        </w:rPr>
        <w:t>ההלימה</w:t>
      </w:r>
      <w:r w:rsidRPr="009A065F">
        <w:rPr>
          <w:rFonts w:ascii="Century" w:hAnsi="Century" w:cs="Miriam"/>
          <w:spacing w:val="10"/>
          <w:rtl/>
        </w:rPr>
        <w:t xml:space="preserve"> </w:t>
      </w:r>
      <w:r w:rsidRPr="009A065F">
        <w:rPr>
          <w:rFonts w:ascii="Century" w:hAnsi="Century" w:cs="Miriam" w:hint="eastAsia"/>
          <w:spacing w:val="10"/>
          <w:rtl/>
        </w:rPr>
        <w:t>גם</w:t>
      </w:r>
      <w:r w:rsidRPr="009A065F">
        <w:rPr>
          <w:rFonts w:ascii="Century" w:hAnsi="Century" w:cs="Miriam"/>
          <w:spacing w:val="10"/>
          <w:rtl/>
        </w:rPr>
        <w:t xml:space="preserve"> </w:t>
      </w:r>
      <w:r w:rsidRPr="009A065F">
        <w:rPr>
          <w:rFonts w:ascii="Century" w:hAnsi="Century" w:cs="Miriam" w:hint="eastAsia"/>
          <w:spacing w:val="10"/>
          <w:rtl/>
        </w:rPr>
        <w:t>כאשר</w:t>
      </w:r>
      <w:r w:rsidRPr="009A065F">
        <w:rPr>
          <w:rFonts w:ascii="Century" w:hAnsi="Century" w:cs="Miriam"/>
          <w:spacing w:val="10"/>
          <w:rtl/>
        </w:rPr>
        <w:t xml:space="preserve"> </w:t>
      </w:r>
      <w:r w:rsidRPr="009A065F">
        <w:rPr>
          <w:rFonts w:ascii="Century" w:hAnsi="Century" w:cs="Miriam" w:hint="eastAsia"/>
          <w:spacing w:val="10"/>
          <w:rtl/>
        </w:rPr>
        <w:t>חלים</w:t>
      </w:r>
      <w:r w:rsidRPr="009A065F">
        <w:rPr>
          <w:rFonts w:ascii="Century" w:hAnsi="Century" w:cs="Miriam"/>
          <w:spacing w:val="10"/>
          <w:rtl/>
        </w:rPr>
        <w:t xml:space="preserve"> </w:t>
      </w:r>
      <w:r w:rsidRPr="009A065F">
        <w:rPr>
          <w:rFonts w:ascii="Century" w:hAnsi="Century" w:cs="Miriam" w:hint="eastAsia"/>
          <w:spacing w:val="10"/>
          <w:rtl/>
        </w:rPr>
        <w:t>שיקולי</w:t>
      </w:r>
      <w:r w:rsidRPr="009A065F">
        <w:rPr>
          <w:rFonts w:ascii="Century" w:hAnsi="Century" w:cs="Miriam"/>
          <w:spacing w:val="10"/>
          <w:rtl/>
        </w:rPr>
        <w:t xml:space="preserve"> </w:t>
      </w:r>
      <w:r w:rsidRPr="009A065F">
        <w:rPr>
          <w:rFonts w:ascii="Century" w:hAnsi="Century" w:cs="Miriam" w:hint="eastAsia"/>
          <w:spacing w:val="10"/>
          <w:rtl/>
        </w:rPr>
        <w:t>השיקום</w:t>
      </w:r>
      <w:r w:rsidRPr="009A065F">
        <w:rPr>
          <w:rFonts w:ascii="Century" w:hAnsi="Century" w:cs="Miriam"/>
          <w:spacing w:val="10"/>
          <w:rtl/>
        </w:rPr>
        <w:t xml:space="preserve">. </w:t>
      </w:r>
      <w:r w:rsidRPr="009A065F">
        <w:rPr>
          <w:rFonts w:ascii="Century" w:hAnsi="Century" w:cs="Miriam" w:hint="eastAsia"/>
          <w:spacing w:val="10"/>
          <w:rtl/>
        </w:rPr>
        <w:t>אולם</w:t>
      </w:r>
      <w:r w:rsidRPr="009A065F">
        <w:rPr>
          <w:rFonts w:ascii="Century" w:hAnsi="Century" w:cs="Miriam"/>
          <w:spacing w:val="10"/>
          <w:rtl/>
        </w:rPr>
        <w:t xml:space="preserve">, </w:t>
      </w:r>
      <w:r w:rsidRPr="009A065F">
        <w:rPr>
          <w:rFonts w:ascii="Century" w:hAnsi="Century" w:cs="Miriam" w:hint="eastAsia"/>
          <w:spacing w:val="10"/>
          <w:rtl/>
        </w:rPr>
        <w:t>יש</w:t>
      </w:r>
      <w:r w:rsidRPr="009A065F">
        <w:rPr>
          <w:rFonts w:ascii="Century" w:hAnsi="Century" w:cs="Miriam"/>
          <w:spacing w:val="10"/>
          <w:rtl/>
        </w:rPr>
        <w:t xml:space="preserve"> </w:t>
      </w:r>
      <w:r w:rsidRPr="009A065F">
        <w:rPr>
          <w:rFonts w:ascii="Century" w:hAnsi="Century" w:cs="Miriam" w:hint="eastAsia"/>
          <w:spacing w:val="10"/>
          <w:rtl/>
        </w:rPr>
        <w:t>להקפיד</w:t>
      </w:r>
      <w:r w:rsidRPr="009A065F">
        <w:rPr>
          <w:rFonts w:ascii="Century" w:hAnsi="Century" w:cs="Miriam"/>
          <w:spacing w:val="10"/>
          <w:rtl/>
        </w:rPr>
        <w:t xml:space="preserve"> </w:t>
      </w:r>
      <w:r w:rsidRPr="009A065F">
        <w:rPr>
          <w:rFonts w:ascii="Century" w:hAnsi="Century" w:cs="Miriam" w:hint="eastAsia"/>
          <w:spacing w:val="10"/>
          <w:rtl/>
        </w:rPr>
        <w:t>על</w:t>
      </w:r>
      <w:r w:rsidRPr="009A065F">
        <w:rPr>
          <w:rFonts w:ascii="Century" w:hAnsi="Century" w:cs="Miriam"/>
          <w:spacing w:val="10"/>
          <w:rtl/>
        </w:rPr>
        <w:t xml:space="preserve"> </w:t>
      </w:r>
      <w:r w:rsidRPr="009A065F">
        <w:rPr>
          <w:rFonts w:ascii="Century" w:hAnsi="Century" w:cs="Miriam" w:hint="eastAsia"/>
          <w:spacing w:val="10"/>
          <w:rtl/>
        </w:rPr>
        <w:t>כך</w:t>
      </w:r>
      <w:r w:rsidRPr="009A065F">
        <w:rPr>
          <w:rFonts w:ascii="Century" w:hAnsi="Century" w:cs="Miriam"/>
          <w:spacing w:val="10"/>
          <w:rtl/>
        </w:rPr>
        <w:t xml:space="preserve"> </w:t>
      </w:r>
      <w:r w:rsidRPr="009A065F">
        <w:rPr>
          <w:rFonts w:ascii="Century" w:hAnsi="Century" w:cs="Miriam" w:hint="eastAsia"/>
          <w:spacing w:val="10"/>
          <w:rtl/>
        </w:rPr>
        <w:t>שהבחירה</w:t>
      </w:r>
      <w:r w:rsidRPr="009A065F">
        <w:rPr>
          <w:rFonts w:ascii="Century" w:hAnsi="Century" w:cs="Miriam"/>
          <w:spacing w:val="10"/>
          <w:rtl/>
        </w:rPr>
        <w:t xml:space="preserve"> </w:t>
      </w:r>
      <w:r w:rsidRPr="009A065F">
        <w:rPr>
          <w:rFonts w:ascii="Century" w:hAnsi="Century" w:cs="Miriam" w:hint="eastAsia"/>
          <w:spacing w:val="10"/>
          <w:rtl/>
        </w:rPr>
        <w:t>בעונש</w:t>
      </w:r>
      <w:r w:rsidRPr="009A065F">
        <w:rPr>
          <w:rFonts w:ascii="Century" w:hAnsi="Century" w:cs="Miriam"/>
          <w:spacing w:val="10"/>
          <w:rtl/>
        </w:rPr>
        <w:t xml:space="preserve"> </w:t>
      </w:r>
      <w:r w:rsidRPr="009A065F">
        <w:rPr>
          <w:rFonts w:ascii="Century" w:hAnsi="Century" w:cs="Miriam" w:hint="eastAsia"/>
          <w:spacing w:val="10"/>
          <w:rtl/>
        </w:rPr>
        <w:t>לא</w:t>
      </w:r>
      <w:r w:rsidRPr="009A065F">
        <w:rPr>
          <w:rFonts w:ascii="Century" w:hAnsi="Century" w:cs="Miriam"/>
          <w:spacing w:val="10"/>
          <w:rtl/>
        </w:rPr>
        <w:t xml:space="preserve"> </w:t>
      </w:r>
      <w:r w:rsidRPr="009A065F">
        <w:rPr>
          <w:rFonts w:ascii="Century" w:hAnsi="Century" w:cs="Miriam" w:hint="eastAsia"/>
          <w:spacing w:val="10"/>
          <w:rtl/>
        </w:rPr>
        <w:t>תפגע</w:t>
      </w:r>
      <w:r w:rsidRPr="009A065F">
        <w:rPr>
          <w:rFonts w:ascii="Century" w:hAnsi="Century" w:cs="Miriam"/>
          <w:spacing w:val="10"/>
          <w:rtl/>
        </w:rPr>
        <w:t xml:space="preserve"> </w:t>
      </w:r>
      <w:r w:rsidRPr="009A065F">
        <w:rPr>
          <w:rFonts w:ascii="Century" w:hAnsi="Century" w:cs="Miriam" w:hint="eastAsia"/>
          <w:spacing w:val="10"/>
          <w:rtl/>
        </w:rPr>
        <w:t>באופן</w:t>
      </w:r>
      <w:r w:rsidRPr="009A065F">
        <w:rPr>
          <w:rFonts w:ascii="Century" w:hAnsi="Century" w:cs="Miriam"/>
          <w:spacing w:val="10"/>
          <w:rtl/>
        </w:rPr>
        <w:t xml:space="preserve"> </w:t>
      </w:r>
      <w:r w:rsidRPr="009A065F">
        <w:rPr>
          <w:rFonts w:ascii="Century" w:hAnsi="Century" w:cs="Miriam" w:hint="eastAsia"/>
          <w:spacing w:val="10"/>
          <w:rtl/>
        </w:rPr>
        <w:t>ממשי</w:t>
      </w:r>
      <w:r w:rsidRPr="009A065F">
        <w:rPr>
          <w:rFonts w:ascii="Century" w:hAnsi="Century" w:cs="Miriam"/>
          <w:spacing w:val="10"/>
          <w:rtl/>
        </w:rPr>
        <w:t xml:space="preserve"> </w:t>
      </w:r>
      <w:r w:rsidRPr="009A065F">
        <w:rPr>
          <w:rFonts w:ascii="Century" w:hAnsi="Century" w:cs="Miriam" w:hint="eastAsia"/>
          <w:spacing w:val="10"/>
          <w:rtl/>
        </w:rPr>
        <w:t>בסיכויי</w:t>
      </w:r>
      <w:r w:rsidRPr="009A065F">
        <w:rPr>
          <w:rFonts w:ascii="Century" w:hAnsi="Century" w:cs="Miriam"/>
          <w:spacing w:val="10"/>
          <w:rtl/>
        </w:rPr>
        <w:t xml:space="preserve"> </w:t>
      </w:r>
      <w:r w:rsidRPr="009A065F">
        <w:rPr>
          <w:rFonts w:ascii="Century" w:hAnsi="Century" w:cs="Miriam" w:hint="eastAsia"/>
          <w:spacing w:val="10"/>
          <w:rtl/>
        </w:rPr>
        <w:t>השיקום</w:t>
      </w:r>
      <w:r w:rsidRPr="004A7956">
        <w:rPr>
          <w:rtl/>
        </w:rPr>
        <w:t>" (</w:t>
      </w:r>
      <w:hyperlink r:id="rId44" w:history="1">
        <w:r w:rsidR="00E06E1D" w:rsidRPr="00E06E1D">
          <w:rPr>
            <w:color w:val="0000FF"/>
            <w:u w:val="single"/>
            <w:rtl/>
          </w:rPr>
          <w:t>ע"פ 6637/17</w:t>
        </w:r>
      </w:hyperlink>
      <w:r w:rsidRPr="00541590">
        <w:rPr>
          <w:rFonts w:ascii="Century" w:hAnsi="Century"/>
          <w:spacing w:val="10"/>
          <w:rtl/>
        </w:rPr>
        <w:t xml:space="preserve"> </w:t>
      </w:r>
      <w:r w:rsidRPr="00541590">
        <w:rPr>
          <w:rFonts w:ascii="Century" w:hAnsi="Century" w:hint="eastAsia"/>
          <w:b/>
          <w:bCs/>
          <w:spacing w:val="10"/>
          <w:rtl/>
        </w:rPr>
        <w:t>אליזבט</w:t>
      </w:r>
      <w:r w:rsidRPr="00541590">
        <w:rPr>
          <w:rFonts w:ascii="Century" w:hAnsi="Century"/>
          <w:b/>
          <w:bCs/>
          <w:spacing w:val="10"/>
          <w:rtl/>
        </w:rPr>
        <w:t xml:space="preserve"> </w:t>
      </w:r>
      <w:r w:rsidRPr="00541590">
        <w:rPr>
          <w:rFonts w:ascii="Century" w:hAnsi="Century" w:hint="eastAsia"/>
          <w:b/>
          <w:bCs/>
          <w:spacing w:val="10"/>
          <w:rtl/>
        </w:rPr>
        <w:t>קרינדל</w:t>
      </w:r>
      <w:r w:rsidRPr="00541590">
        <w:rPr>
          <w:rFonts w:ascii="Century" w:hAnsi="Century"/>
          <w:b/>
          <w:bCs/>
          <w:spacing w:val="10"/>
          <w:rtl/>
        </w:rPr>
        <w:t xml:space="preserve"> </w:t>
      </w:r>
      <w:r w:rsidRPr="00541590">
        <w:rPr>
          <w:rFonts w:ascii="Century" w:hAnsi="Century" w:hint="eastAsia"/>
          <w:b/>
          <w:bCs/>
          <w:spacing w:val="10"/>
          <w:rtl/>
        </w:rPr>
        <w:t>נ</w:t>
      </w:r>
      <w:r w:rsidRPr="00541590">
        <w:rPr>
          <w:rFonts w:ascii="Century" w:hAnsi="Century"/>
          <w:b/>
          <w:bCs/>
          <w:spacing w:val="10"/>
          <w:rtl/>
        </w:rPr>
        <w:t xml:space="preserve">' </w:t>
      </w:r>
      <w:r w:rsidRPr="00541590">
        <w:rPr>
          <w:rFonts w:ascii="Century" w:hAnsi="Century" w:hint="eastAsia"/>
          <w:b/>
          <w:bCs/>
          <w:spacing w:val="10"/>
          <w:rtl/>
        </w:rPr>
        <w:t>מדינת</w:t>
      </w:r>
      <w:r w:rsidRPr="00541590">
        <w:rPr>
          <w:rFonts w:ascii="Century" w:hAnsi="Century"/>
          <w:b/>
          <w:bCs/>
          <w:spacing w:val="10"/>
          <w:rtl/>
        </w:rPr>
        <w:t xml:space="preserve"> </w:t>
      </w:r>
      <w:r w:rsidRPr="00541590">
        <w:rPr>
          <w:rFonts w:ascii="Century" w:hAnsi="Century" w:hint="eastAsia"/>
          <w:b/>
          <w:bCs/>
          <w:spacing w:val="10"/>
          <w:rtl/>
        </w:rPr>
        <w:t>ישראל</w:t>
      </w:r>
      <w:r w:rsidRPr="00541590">
        <w:rPr>
          <w:rFonts w:ascii="Century" w:hAnsi="Century"/>
          <w:spacing w:val="10"/>
          <w:rtl/>
        </w:rPr>
        <w:t xml:space="preserve"> (18.4.18)</w:t>
      </w:r>
      <w:r>
        <w:rPr>
          <w:rtl/>
        </w:rPr>
        <w:t>;</w:t>
      </w:r>
      <w:r w:rsidRPr="00A56E0C">
        <w:rPr>
          <w:rtl/>
        </w:rPr>
        <w:t xml:space="preserve"> וראו גם </w:t>
      </w:r>
      <w:r w:rsidRPr="00A56E0C">
        <w:rPr>
          <w:rFonts w:ascii="Century" w:hAnsi="Century" w:hint="eastAsia"/>
          <w:spacing w:val="10"/>
          <w:rtl/>
        </w:rPr>
        <w:t>אורן</w:t>
      </w:r>
      <w:r w:rsidRPr="00A56E0C">
        <w:rPr>
          <w:rFonts w:ascii="Century" w:hAnsi="Century"/>
          <w:spacing w:val="10"/>
          <w:rtl/>
        </w:rPr>
        <w:t xml:space="preserve"> </w:t>
      </w:r>
      <w:r w:rsidRPr="00A56E0C">
        <w:rPr>
          <w:rFonts w:ascii="Century" w:hAnsi="Century" w:hint="eastAsia"/>
          <w:spacing w:val="10"/>
          <w:rtl/>
        </w:rPr>
        <w:t>גזל</w:t>
      </w:r>
      <w:r w:rsidRPr="00A56E0C">
        <w:rPr>
          <w:rFonts w:ascii="Century" w:hAnsi="Century"/>
          <w:spacing w:val="10"/>
          <w:rtl/>
        </w:rPr>
        <w:t>-</w:t>
      </w:r>
      <w:r w:rsidRPr="00A56E0C">
        <w:rPr>
          <w:rFonts w:ascii="Century" w:hAnsi="Century" w:hint="eastAsia"/>
          <w:spacing w:val="10"/>
          <w:rtl/>
        </w:rPr>
        <w:t>אייל</w:t>
      </w:r>
      <w:r w:rsidRPr="00A56E0C">
        <w:rPr>
          <w:rFonts w:ascii="Century" w:hAnsi="Century"/>
          <w:spacing w:val="10"/>
          <w:rtl/>
        </w:rPr>
        <w:t xml:space="preserve"> "</w:t>
      </w:r>
      <w:r w:rsidRPr="00A56E0C">
        <w:rPr>
          <w:rFonts w:ascii="Century" w:hAnsi="Century" w:hint="eastAsia"/>
          <w:b/>
          <w:bCs/>
          <w:spacing w:val="10"/>
          <w:rtl/>
        </w:rPr>
        <w:t>חריגה</w:t>
      </w:r>
      <w:r w:rsidRPr="00A56E0C">
        <w:rPr>
          <w:rFonts w:ascii="Century" w:hAnsi="Century"/>
          <w:b/>
          <w:bCs/>
          <w:spacing w:val="10"/>
          <w:rtl/>
        </w:rPr>
        <w:t xml:space="preserve"> </w:t>
      </w:r>
      <w:r w:rsidRPr="00A56E0C">
        <w:rPr>
          <w:rFonts w:ascii="Century" w:hAnsi="Century" w:hint="eastAsia"/>
          <w:b/>
          <w:bCs/>
          <w:spacing w:val="10"/>
          <w:rtl/>
        </w:rPr>
        <w:t>ממתחם</w:t>
      </w:r>
      <w:r w:rsidRPr="00A56E0C">
        <w:rPr>
          <w:rFonts w:ascii="Century" w:hAnsi="Century"/>
          <w:b/>
          <w:bCs/>
          <w:spacing w:val="10"/>
          <w:rtl/>
        </w:rPr>
        <w:t xml:space="preserve"> </w:t>
      </w:r>
      <w:r w:rsidRPr="00A56E0C">
        <w:rPr>
          <w:rFonts w:ascii="Century" w:hAnsi="Century" w:hint="eastAsia"/>
          <w:b/>
          <w:bCs/>
          <w:spacing w:val="10"/>
          <w:rtl/>
        </w:rPr>
        <w:t>העונש</w:t>
      </w:r>
      <w:r w:rsidRPr="00A56E0C">
        <w:rPr>
          <w:rFonts w:ascii="Century" w:hAnsi="Century"/>
          <w:b/>
          <w:bCs/>
          <w:spacing w:val="10"/>
          <w:rtl/>
        </w:rPr>
        <w:t xml:space="preserve"> </w:t>
      </w:r>
      <w:r w:rsidRPr="00A56E0C">
        <w:rPr>
          <w:rFonts w:ascii="Century" w:hAnsi="Century" w:hint="eastAsia"/>
          <w:b/>
          <w:bCs/>
          <w:spacing w:val="10"/>
          <w:rtl/>
        </w:rPr>
        <w:t>ההולם</w:t>
      </w:r>
      <w:r w:rsidRPr="00A56E0C">
        <w:rPr>
          <w:rFonts w:ascii="Century" w:hAnsi="Century"/>
          <w:spacing w:val="10"/>
          <w:rtl/>
        </w:rPr>
        <w:t xml:space="preserve">" </w:t>
      </w:r>
      <w:r w:rsidRPr="00A56E0C">
        <w:rPr>
          <w:rFonts w:ascii="Century" w:hAnsi="Century" w:hint="eastAsia"/>
          <w:b/>
          <w:rtl/>
        </w:rPr>
        <w:t>ספר</w:t>
      </w:r>
      <w:r w:rsidRPr="00A56E0C">
        <w:rPr>
          <w:rFonts w:ascii="Century" w:hAnsi="Century"/>
          <w:b/>
          <w:rtl/>
        </w:rPr>
        <w:t xml:space="preserve"> </w:t>
      </w:r>
      <w:r w:rsidRPr="00A56E0C">
        <w:rPr>
          <w:rFonts w:ascii="Century" w:hAnsi="Century" w:hint="eastAsia"/>
          <w:b/>
          <w:rtl/>
        </w:rPr>
        <w:t>דורית</w:t>
      </w:r>
      <w:r w:rsidRPr="00A56E0C">
        <w:rPr>
          <w:rFonts w:ascii="Century" w:hAnsi="Century"/>
          <w:b/>
          <w:rtl/>
        </w:rPr>
        <w:t xml:space="preserve"> </w:t>
      </w:r>
      <w:r w:rsidRPr="00A56E0C">
        <w:rPr>
          <w:rFonts w:ascii="Century" w:hAnsi="Century" w:hint="eastAsia"/>
          <w:b/>
          <w:rtl/>
        </w:rPr>
        <w:t>ביניש</w:t>
      </w:r>
      <w:r w:rsidRPr="00A56E0C">
        <w:rPr>
          <w:rFonts w:ascii="Century" w:hAnsi="Century"/>
          <w:spacing w:val="10"/>
          <w:rtl/>
        </w:rPr>
        <w:t xml:space="preserve"> 539, 550</w:t>
      </w:r>
      <w:r w:rsidRPr="00A56E0C">
        <w:rPr>
          <w:rtl/>
        </w:rPr>
        <w:t>)</w:t>
      </w:r>
      <w:r>
        <w:rPr>
          <w:rtl/>
        </w:rPr>
        <w:t>.</w:t>
      </w:r>
      <w:r>
        <w:rPr>
          <w:rFonts w:hint="cs"/>
          <w:rtl/>
        </w:rPr>
        <w:t xml:space="preserve"> ברי בעיני כי </w:t>
      </w:r>
      <w:r w:rsidRPr="00EC4324">
        <w:rPr>
          <w:rtl/>
        </w:rPr>
        <w:t xml:space="preserve"> עונש מאסר בכליאה אינו הולם את נתוני המקרה ויש להימנע ממנו (להשפעותיו השליליות של עונש מאסר ראו </w:t>
      </w:r>
      <w:r w:rsidRPr="00EC4324">
        <w:rPr>
          <w:b/>
          <w:bCs/>
          <w:rtl/>
        </w:rPr>
        <w:t>דו"ח הועדה הציבורית לבחינת מדיניות הענישה והטיפול בעבריינים</w:t>
      </w:r>
      <w:r w:rsidRPr="00EC4324">
        <w:rPr>
          <w:rtl/>
        </w:rPr>
        <w:t xml:space="preserve">, 2015 (המכונה "דו"ח ועדת דורנר"); כן ראו, </w:t>
      </w:r>
      <w:hyperlink r:id="rId45" w:history="1">
        <w:r w:rsidR="00E06E1D" w:rsidRPr="00E06E1D">
          <w:rPr>
            <w:color w:val="0000FF"/>
            <w:u w:val="single"/>
            <w:rtl/>
          </w:rPr>
          <w:t>בג"צ 1892/14</w:t>
        </w:r>
      </w:hyperlink>
      <w:r w:rsidRPr="00EC4324">
        <w:rPr>
          <w:rtl/>
        </w:rPr>
        <w:t xml:space="preserve"> </w:t>
      </w:r>
      <w:r w:rsidRPr="00EC4324">
        <w:rPr>
          <w:b/>
          <w:bCs/>
          <w:rtl/>
        </w:rPr>
        <w:t>האגודה לזכויות האדם בישראל ואח' נ' השר לבטחון פנים ואח'</w:t>
      </w:r>
      <w:r w:rsidRPr="00EC4324">
        <w:rPr>
          <w:rtl/>
        </w:rPr>
        <w:t xml:space="preserve"> (13.6.17), פסקה קכו' לפסק דינו של המשנה לנשיאה רובינשטיין). עונש מאסר בכליאה אף לא יאפשר הטלת צו מבחן ותוצאה זו אינה תואמת את נתוני ענייננו (ראו </w:t>
      </w:r>
      <w:hyperlink r:id="rId46" w:history="1">
        <w:r w:rsidR="0047137E" w:rsidRPr="0047137E">
          <w:rPr>
            <w:color w:val="0000FF"/>
            <w:u w:val="single"/>
            <w:rtl/>
          </w:rPr>
          <w:t>סעיף 1</w:t>
        </w:r>
      </w:hyperlink>
      <w:r w:rsidRPr="00EC4324">
        <w:rPr>
          <w:rtl/>
        </w:rPr>
        <w:t xml:space="preserve"> ל</w:t>
      </w:r>
      <w:hyperlink r:id="rId47" w:history="1">
        <w:r w:rsidR="00E06E1D" w:rsidRPr="00E06E1D">
          <w:rPr>
            <w:color w:val="0000FF"/>
            <w:u w:val="single"/>
            <w:rtl/>
          </w:rPr>
          <w:t>פקודת המבחן</w:t>
        </w:r>
      </w:hyperlink>
      <w:r>
        <w:rPr>
          <w:rtl/>
        </w:rPr>
        <w:t xml:space="preserve">). </w:t>
      </w:r>
    </w:p>
    <w:p w14:paraId="0E4611BB" w14:textId="77777777" w:rsidR="00532576" w:rsidRDefault="00532576" w:rsidP="00532576">
      <w:pPr>
        <w:spacing w:line="360" w:lineRule="auto"/>
        <w:jc w:val="both"/>
        <w:rPr>
          <w:rtl/>
        </w:rPr>
      </w:pPr>
    </w:p>
    <w:p w14:paraId="3122E942" w14:textId="77777777" w:rsidR="00532576" w:rsidRDefault="00532576" w:rsidP="00532576">
      <w:pPr>
        <w:spacing w:line="360" w:lineRule="auto"/>
        <w:jc w:val="both"/>
        <w:rPr>
          <w:rtl/>
        </w:rPr>
      </w:pPr>
      <w:r>
        <w:rPr>
          <w:rFonts w:hint="cs"/>
          <w:rtl/>
        </w:rPr>
        <w:t>17.</w:t>
      </w:r>
      <w:r>
        <w:rPr>
          <w:rFonts w:hint="cs"/>
          <w:rtl/>
        </w:rPr>
        <w:tab/>
        <w:t>אודה כי לדידי, עונש מאסר קצר בעבודות שירות, בצד צו מבחן, היה הולם לדעתי נכונה את נתוני המקרה. היה בו להוות ענישה מוחשית משמעותית, בצד המשך ההליך הטיפולי. זו אף הייתה המלצת שירות המבחן. ואולם, למרבה הצער, בצד ההליך השיקומי החיובי שעובר הנאשם, מצבו הנפשי התדרדר בעת האחרונה ולאור כך סבור הממונה על עבודות השירות כי הוא אינו כשיר לבצע עבודות שירות. אף אני התרשמתי מהתדרדרות במצבו הנפשי של הנאשם, בעת הטיעונים לעונש, וזאת לעומת מצבו במהלך ניהול ההליך. העובדה שהנאשם אינו כשיר לבצע עבודות שירות, מצדיקה לדעתי הקלה נוספת בענייננו, עד כדי אי הטלת מאסר בפועל כלל, והכל תוך הבנה כי ראוי  "</w:t>
      </w:r>
      <w:r w:rsidRPr="009A065F">
        <w:rPr>
          <w:rFonts w:ascii="Century" w:hAnsi="Century" w:cs="Miriam" w:hint="eastAsia"/>
          <w:spacing w:val="10"/>
          <w:rtl/>
        </w:rPr>
        <w:t>להקפיד</w:t>
      </w:r>
      <w:r w:rsidRPr="009A065F">
        <w:rPr>
          <w:rFonts w:ascii="Century" w:hAnsi="Century" w:cs="Miriam"/>
          <w:spacing w:val="10"/>
          <w:rtl/>
        </w:rPr>
        <w:t xml:space="preserve"> </w:t>
      </w:r>
      <w:r w:rsidRPr="009A065F">
        <w:rPr>
          <w:rFonts w:ascii="Century" w:hAnsi="Century" w:cs="Miriam" w:hint="eastAsia"/>
          <w:spacing w:val="10"/>
          <w:rtl/>
        </w:rPr>
        <w:t>על</w:t>
      </w:r>
      <w:r w:rsidRPr="009A065F">
        <w:rPr>
          <w:rFonts w:ascii="Century" w:hAnsi="Century" w:cs="Miriam"/>
          <w:spacing w:val="10"/>
          <w:rtl/>
        </w:rPr>
        <w:t xml:space="preserve"> </w:t>
      </w:r>
      <w:r w:rsidRPr="009A065F">
        <w:rPr>
          <w:rFonts w:ascii="Century" w:hAnsi="Century" w:cs="Miriam" w:hint="eastAsia"/>
          <w:spacing w:val="10"/>
          <w:rtl/>
        </w:rPr>
        <w:t>כך</w:t>
      </w:r>
      <w:r w:rsidRPr="009A065F">
        <w:rPr>
          <w:rFonts w:ascii="Century" w:hAnsi="Century" w:cs="Miriam"/>
          <w:spacing w:val="10"/>
          <w:rtl/>
        </w:rPr>
        <w:t xml:space="preserve"> </w:t>
      </w:r>
      <w:r w:rsidRPr="009A065F">
        <w:rPr>
          <w:rFonts w:ascii="Century" w:hAnsi="Century" w:cs="Miriam" w:hint="eastAsia"/>
          <w:spacing w:val="10"/>
          <w:rtl/>
        </w:rPr>
        <w:t>שהבחירה</w:t>
      </w:r>
      <w:r w:rsidRPr="009A065F">
        <w:rPr>
          <w:rFonts w:ascii="Century" w:hAnsi="Century" w:cs="Miriam"/>
          <w:spacing w:val="10"/>
          <w:rtl/>
        </w:rPr>
        <w:t xml:space="preserve"> </w:t>
      </w:r>
      <w:r w:rsidRPr="009A065F">
        <w:rPr>
          <w:rFonts w:ascii="Century" w:hAnsi="Century" w:cs="Miriam" w:hint="eastAsia"/>
          <w:spacing w:val="10"/>
          <w:rtl/>
        </w:rPr>
        <w:t>בעונש</w:t>
      </w:r>
      <w:r w:rsidRPr="009A065F">
        <w:rPr>
          <w:rFonts w:ascii="Century" w:hAnsi="Century" w:cs="Miriam"/>
          <w:spacing w:val="10"/>
          <w:rtl/>
        </w:rPr>
        <w:t xml:space="preserve"> </w:t>
      </w:r>
      <w:r w:rsidRPr="009A065F">
        <w:rPr>
          <w:rFonts w:ascii="Century" w:hAnsi="Century" w:cs="Miriam" w:hint="eastAsia"/>
          <w:spacing w:val="10"/>
          <w:rtl/>
        </w:rPr>
        <w:t>לא</w:t>
      </w:r>
      <w:r w:rsidRPr="009A065F">
        <w:rPr>
          <w:rFonts w:ascii="Century" w:hAnsi="Century" w:cs="Miriam"/>
          <w:spacing w:val="10"/>
          <w:rtl/>
        </w:rPr>
        <w:t xml:space="preserve"> </w:t>
      </w:r>
      <w:r w:rsidRPr="009A065F">
        <w:rPr>
          <w:rFonts w:ascii="Century" w:hAnsi="Century" w:cs="Miriam" w:hint="eastAsia"/>
          <w:spacing w:val="10"/>
          <w:rtl/>
        </w:rPr>
        <w:t>תפגע</w:t>
      </w:r>
      <w:r w:rsidRPr="009A065F">
        <w:rPr>
          <w:rFonts w:ascii="Century" w:hAnsi="Century" w:cs="Miriam"/>
          <w:spacing w:val="10"/>
          <w:rtl/>
        </w:rPr>
        <w:t xml:space="preserve"> </w:t>
      </w:r>
      <w:r w:rsidRPr="009A065F">
        <w:rPr>
          <w:rFonts w:ascii="Century" w:hAnsi="Century" w:cs="Miriam" w:hint="eastAsia"/>
          <w:spacing w:val="10"/>
          <w:rtl/>
        </w:rPr>
        <w:t>באופן</w:t>
      </w:r>
      <w:r w:rsidRPr="009A065F">
        <w:rPr>
          <w:rFonts w:ascii="Century" w:hAnsi="Century" w:cs="Miriam"/>
          <w:spacing w:val="10"/>
          <w:rtl/>
        </w:rPr>
        <w:t xml:space="preserve"> </w:t>
      </w:r>
      <w:r w:rsidRPr="009A065F">
        <w:rPr>
          <w:rFonts w:ascii="Century" w:hAnsi="Century" w:cs="Miriam" w:hint="eastAsia"/>
          <w:spacing w:val="10"/>
          <w:rtl/>
        </w:rPr>
        <w:t>ממשי</w:t>
      </w:r>
      <w:r w:rsidRPr="009A065F">
        <w:rPr>
          <w:rFonts w:ascii="Century" w:hAnsi="Century" w:cs="Miriam"/>
          <w:spacing w:val="10"/>
          <w:rtl/>
        </w:rPr>
        <w:t xml:space="preserve"> </w:t>
      </w:r>
      <w:r w:rsidRPr="009A065F">
        <w:rPr>
          <w:rFonts w:ascii="Century" w:hAnsi="Century" w:cs="Miriam" w:hint="eastAsia"/>
          <w:spacing w:val="10"/>
          <w:rtl/>
        </w:rPr>
        <w:t>בסיכויי</w:t>
      </w:r>
      <w:r w:rsidRPr="009A065F">
        <w:rPr>
          <w:rFonts w:ascii="Century" w:hAnsi="Century" w:cs="Miriam"/>
          <w:spacing w:val="10"/>
          <w:rtl/>
        </w:rPr>
        <w:t xml:space="preserve"> </w:t>
      </w:r>
      <w:r w:rsidRPr="009A065F">
        <w:rPr>
          <w:rFonts w:ascii="Century" w:hAnsi="Century" w:cs="Miriam" w:hint="eastAsia"/>
          <w:spacing w:val="10"/>
          <w:rtl/>
        </w:rPr>
        <w:t>השיקום</w:t>
      </w:r>
      <w:r>
        <w:rPr>
          <w:rFonts w:ascii="Century" w:hAnsi="Century"/>
          <w:spacing w:val="10"/>
          <w:rtl/>
        </w:rPr>
        <w:t>"</w:t>
      </w:r>
      <w:r w:rsidRPr="009A065F">
        <w:rPr>
          <w:rFonts w:ascii="Century" w:hAnsi="Century" w:cs="FrankRuehl"/>
          <w:spacing w:val="10"/>
          <w:sz w:val="22"/>
          <w:szCs w:val="28"/>
          <w:rtl/>
        </w:rPr>
        <w:t xml:space="preserve"> </w:t>
      </w:r>
      <w:r w:rsidRPr="004A7956">
        <w:rPr>
          <w:rtl/>
        </w:rPr>
        <w:t>(</w:t>
      </w:r>
      <w:hyperlink r:id="rId48" w:history="1">
        <w:r w:rsidR="00E06E1D" w:rsidRPr="00E06E1D">
          <w:rPr>
            <w:color w:val="0000FF"/>
            <w:u w:val="single"/>
            <w:rtl/>
          </w:rPr>
          <w:t>ע"פ 6637/17</w:t>
        </w:r>
      </w:hyperlink>
      <w:r w:rsidRPr="00541590">
        <w:rPr>
          <w:rFonts w:ascii="Century" w:hAnsi="Century"/>
          <w:spacing w:val="10"/>
          <w:rtl/>
        </w:rPr>
        <w:t xml:space="preserve"> </w:t>
      </w:r>
      <w:r w:rsidRPr="00541590">
        <w:rPr>
          <w:rFonts w:ascii="Century" w:hAnsi="Century" w:hint="eastAsia"/>
          <w:b/>
          <w:bCs/>
          <w:spacing w:val="10"/>
          <w:rtl/>
        </w:rPr>
        <w:t>אליזבט</w:t>
      </w:r>
      <w:r w:rsidRPr="00541590">
        <w:rPr>
          <w:rFonts w:ascii="Century" w:hAnsi="Century"/>
          <w:b/>
          <w:bCs/>
          <w:spacing w:val="10"/>
          <w:rtl/>
        </w:rPr>
        <w:t xml:space="preserve"> </w:t>
      </w:r>
      <w:r w:rsidRPr="00541590">
        <w:rPr>
          <w:rFonts w:ascii="Century" w:hAnsi="Century" w:hint="eastAsia"/>
          <w:b/>
          <w:bCs/>
          <w:spacing w:val="10"/>
          <w:rtl/>
        </w:rPr>
        <w:t>קרינדל</w:t>
      </w:r>
      <w:r w:rsidRPr="00541590">
        <w:rPr>
          <w:rFonts w:ascii="Century" w:hAnsi="Century"/>
          <w:b/>
          <w:bCs/>
          <w:spacing w:val="10"/>
          <w:rtl/>
        </w:rPr>
        <w:t xml:space="preserve"> </w:t>
      </w:r>
      <w:r w:rsidRPr="00541590">
        <w:rPr>
          <w:rFonts w:ascii="Century" w:hAnsi="Century" w:hint="eastAsia"/>
          <w:b/>
          <w:bCs/>
          <w:spacing w:val="10"/>
          <w:rtl/>
        </w:rPr>
        <w:t>נ</w:t>
      </w:r>
      <w:r w:rsidRPr="00541590">
        <w:rPr>
          <w:rFonts w:ascii="Century" w:hAnsi="Century"/>
          <w:b/>
          <w:bCs/>
          <w:spacing w:val="10"/>
          <w:rtl/>
        </w:rPr>
        <w:t xml:space="preserve">' </w:t>
      </w:r>
      <w:r w:rsidRPr="00541590">
        <w:rPr>
          <w:rFonts w:ascii="Century" w:hAnsi="Century" w:hint="eastAsia"/>
          <w:b/>
          <w:bCs/>
          <w:spacing w:val="10"/>
          <w:rtl/>
        </w:rPr>
        <w:t>מדינת</w:t>
      </w:r>
      <w:r w:rsidRPr="00541590">
        <w:rPr>
          <w:rFonts w:ascii="Century" w:hAnsi="Century"/>
          <w:b/>
          <w:bCs/>
          <w:spacing w:val="10"/>
          <w:rtl/>
        </w:rPr>
        <w:t xml:space="preserve"> </w:t>
      </w:r>
      <w:r w:rsidRPr="00541590">
        <w:rPr>
          <w:rFonts w:ascii="Century" w:hAnsi="Century" w:hint="eastAsia"/>
          <w:b/>
          <w:bCs/>
          <w:spacing w:val="10"/>
          <w:rtl/>
        </w:rPr>
        <w:t>ישראל</w:t>
      </w:r>
      <w:r w:rsidRPr="00541590">
        <w:rPr>
          <w:rFonts w:ascii="Century" w:hAnsi="Century"/>
          <w:spacing w:val="10"/>
          <w:rtl/>
        </w:rPr>
        <w:t xml:space="preserve"> (18.4.18)</w:t>
      </w:r>
      <w:r>
        <w:rPr>
          <w:rFonts w:hint="cs"/>
          <w:rtl/>
        </w:rPr>
        <w:t xml:space="preserve">). החלופה האחרת </w:t>
      </w:r>
      <w:r>
        <w:rPr>
          <w:rtl/>
        </w:rPr>
        <w:t>–</w:t>
      </w:r>
      <w:r>
        <w:rPr>
          <w:rFonts w:hint="cs"/>
          <w:rtl/>
        </w:rPr>
        <w:t xml:space="preserve"> הטלת מאסר בכליאה </w:t>
      </w:r>
      <w:r>
        <w:rPr>
          <w:rtl/>
        </w:rPr>
        <w:t>–</w:t>
      </w:r>
      <w:r>
        <w:rPr>
          <w:rFonts w:hint="cs"/>
          <w:rtl/>
        </w:rPr>
        <w:t xml:space="preserve"> בשל חוסר יכולת לבצע עבודות שירות, אינה ראויה בעיני. היא מחמירה יתר על המידה והיא תסכל לחלוטין את הליכי השיקום, בין בשל השפעת המאסר ובין בשל חוסר היכולת לשלב עמו מבחן. </w:t>
      </w:r>
    </w:p>
    <w:p w14:paraId="235B56E7" w14:textId="77777777" w:rsidR="00532576" w:rsidRDefault="00532576" w:rsidP="00532576">
      <w:pPr>
        <w:spacing w:line="360" w:lineRule="auto"/>
        <w:jc w:val="both"/>
        <w:rPr>
          <w:rtl/>
        </w:rPr>
      </w:pPr>
    </w:p>
    <w:p w14:paraId="0221B22A" w14:textId="77777777" w:rsidR="00532576" w:rsidRDefault="00532576" w:rsidP="00532576">
      <w:pPr>
        <w:spacing w:line="360" w:lineRule="auto"/>
        <w:jc w:val="both"/>
      </w:pPr>
      <w:r>
        <w:rPr>
          <w:rFonts w:hint="cs"/>
          <w:rtl/>
        </w:rPr>
        <w:t>18.</w:t>
      </w:r>
      <w:r>
        <w:rPr>
          <w:rFonts w:hint="cs"/>
          <w:rtl/>
        </w:rPr>
        <w:tab/>
        <w:t xml:space="preserve">לכך יש להוסיף כי התוצאה שבשל חוסר יכולת לבצע עבודות שירות, יישלח אדם חולה למאסר, אינה ראויה בעיני מבחינה ערכית. ראו בעניין זה: </w:t>
      </w:r>
      <w:hyperlink r:id="rId49" w:history="1">
        <w:r w:rsidR="00E06E1D" w:rsidRPr="00E06E1D">
          <w:rPr>
            <w:color w:val="0000FF"/>
            <w:u w:val="single"/>
            <w:rtl/>
          </w:rPr>
          <w:t>רע"פ 1/09</w:t>
        </w:r>
      </w:hyperlink>
      <w:r>
        <w:rPr>
          <w:rFonts w:hint="cs"/>
          <w:rtl/>
        </w:rPr>
        <w:t xml:space="preserve"> </w:t>
      </w:r>
      <w:r w:rsidRPr="00834C76">
        <w:rPr>
          <w:rFonts w:hint="cs"/>
          <w:b/>
          <w:bCs/>
          <w:rtl/>
        </w:rPr>
        <w:t>אסרף נ' מדינת ישראל</w:t>
      </w:r>
      <w:r>
        <w:rPr>
          <w:rFonts w:hint="cs"/>
          <w:rtl/>
        </w:rPr>
        <w:t xml:space="preserve">  (17.3.10): </w:t>
      </w:r>
    </w:p>
    <w:p w14:paraId="61BCAB5B" w14:textId="77777777" w:rsidR="00532576" w:rsidRDefault="00532576" w:rsidP="00532576">
      <w:pPr>
        <w:pStyle w:val="ListParagraph"/>
        <w:spacing w:line="360" w:lineRule="auto"/>
        <w:jc w:val="both"/>
      </w:pPr>
    </w:p>
    <w:p w14:paraId="1E06A172" w14:textId="77777777" w:rsidR="00532576" w:rsidRDefault="00532576" w:rsidP="00532576">
      <w:pPr>
        <w:spacing w:after="120" w:line="360" w:lineRule="auto"/>
        <w:ind w:left="1133" w:right="567"/>
        <w:jc w:val="both"/>
        <w:rPr>
          <w:rFonts w:cs="Miriam"/>
          <w:rtl/>
        </w:rPr>
      </w:pPr>
      <w:r>
        <w:rPr>
          <w:rFonts w:ascii="David" w:hAnsi="David" w:cs="Miriam" w:hint="cs"/>
          <w:color w:val="000000"/>
          <w:rtl/>
        </w:rPr>
        <w:t>"במובן הערכי אין מצבו של אדם עם מוגבלויות צריך לדעתנו להיות שונה לרעה מזה של כל אדם, לא רק בשל חוק שויון זכויות לאנשים עם מוגבלויות, תשנ"ח-1998, המדבר (סעיף 2) ב"זכותו להשתתפות שויונית ופעילה בחברה בכל תחומי החיים", אלא בשל חובת הגינות שאינה טעונה חוק, והיא מעוגנת בערכים אנושיים בסיסיים. הרי לא יתכן, כי אדם עם מוגבלות ייאסר במקום שאחר לא ייאסר".</w:t>
      </w:r>
    </w:p>
    <w:p w14:paraId="7F6C65A8" w14:textId="77777777" w:rsidR="00532576" w:rsidRDefault="00532576" w:rsidP="00532576">
      <w:pPr>
        <w:spacing w:line="360" w:lineRule="auto"/>
        <w:jc w:val="both"/>
        <w:rPr>
          <w:rtl/>
        </w:rPr>
      </w:pPr>
      <w:r>
        <w:rPr>
          <w:rFonts w:hint="cs"/>
          <w:rtl/>
        </w:rPr>
        <w:t>19.</w:t>
      </w:r>
      <w:r>
        <w:rPr>
          <w:rFonts w:hint="cs"/>
          <w:rtl/>
        </w:rPr>
        <w:tab/>
        <w:t xml:space="preserve">לאור מכלול נתונים אלו, אני סבור כי מקרה זה מצדיק חריגה משמעותית ממתחם הענישה, תוך הימנעות מהטלת מאסר בפועל כלל. הסנגור ביקש כי לאור עמדת הממונה, תישקל האפשרות לחייב את הנאשם בצו של"צ. עמדה זו ראויה בעיני והיא מהווה ענישה חלופית הולמת בנסיבות העניין, חרף השוני הבלתי מבוטל שבין שני העונשים (ראו </w:t>
      </w:r>
      <w:hyperlink r:id="rId50" w:history="1">
        <w:r w:rsidR="00E06E1D" w:rsidRPr="00E06E1D">
          <w:rPr>
            <w:color w:val="0000FF"/>
            <w:u w:val="single"/>
            <w:rtl/>
          </w:rPr>
          <w:t>רע"פ 10002/17</w:t>
        </w:r>
      </w:hyperlink>
      <w:r>
        <w:rPr>
          <w:rFonts w:hint="cs"/>
          <w:rtl/>
        </w:rPr>
        <w:t xml:space="preserve"> </w:t>
      </w:r>
      <w:r w:rsidRPr="00CD2682">
        <w:rPr>
          <w:rFonts w:hint="cs"/>
          <w:b/>
          <w:bCs/>
          <w:rtl/>
        </w:rPr>
        <w:t>מדינת ישראל נ' ניסים מור</w:t>
      </w:r>
      <w:r>
        <w:rPr>
          <w:rFonts w:hint="cs"/>
          <w:rtl/>
        </w:rPr>
        <w:t xml:space="preserve"> (18.7.18))</w:t>
      </w:r>
    </w:p>
    <w:p w14:paraId="7C84D6AA" w14:textId="77777777" w:rsidR="00532576" w:rsidRDefault="00532576" w:rsidP="00532576">
      <w:pPr>
        <w:spacing w:line="360" w:lineRule="auto"/>
        <w:jc w:val="both"/>
        <w:rPr>
          <w:rtl/>
        </w:rPr>
      </w:pPr>
    </w:p>
    <w:p w14:paraId="0F2C22AF" w14:textId="77777777" w:rsidR="00532576" w:rsidRDefault="00532576" w:rsidP="00532576">
      <w:pPr>
        <w:spacing w:before="120" w:after="120" w:line="360" w:lineRule="auto"/>
        <w:contextualSpacing/>
        <w:jc w:val="both"/>
        <w:rPr>
          <w:rtl/>
        </w:rPr>
      </w:pPr>
      <w:r>
        <w:rPr>
          <w:rFonts w:hint="cs"/>
          <w:rtl/>
        </w:rPr>
        <w:t xml:space="preserve">20. </w:t>
      </w:r>
      <w:r>
        <w:rPr>
          <w:rtl/>
        </w:rPr>
        <w:tab/>
      </w:r>
      <w:r w:rsidRPr="008A1818">
        <w:rPr>
          <w:rtl/>
        </w:rPr>
        <w:t>סיכומו של דבר, לאחר שבחנתי את מכלול השיקולים, הן לקולה והן לחומרה,  אני מטיל על הנאשם את העונשים הבאים:</w:t>
      </w:r>
    </w:p>
    <w:p w14:paraId="2B3B4ED8" w14:textId="77777777" w:rsidR="00532576" w:rsidRPr="008A1818" w:rsidRDefault="00532576" w:rsidP="00532576">
      <w:pPr>
        <w:spacing w:before="120" w:after="120" w:line="360" w:lineRule="auto"/>
        <w:contextualSpacing/>
        <w:jc w:val="both"/>
      </w:pPr>
    </w:p>
    <w:p w14:paraId="1D4C81F2" w14:textId="77777777" w:rsidR="00532576" w:rsidRPr="008A1818" w:rsidRDefault="00532576" w:rsidP="00532576">
      <w:pPr>
        <w:spacing w:line="360" w:lineRule="auto"/>
        <w:contextualSpacing/>
        <w:jc w:val="both"/>
        <w:rPr>
          <w:rFonts w:ascii="Calibri" w:hAnsi="Calibri"/>
        </w:rPr>
      </w:pPr>
      <w:r>
        <w:rPr>
          <w:rtl/>
        </w:rPr>
        <w:tab/>
      </w:r>
      <w:r>
        <w:rPr>
          <w:rFonts w:ascii="Calibri" w:hAnsi="Calibri" w:hint="cs"/>
          <w:b/>
          <w:bCs/>
          <w:rtl/>
        </w:rPr>
        <w:t xml:space="preserve">א. </w:t>
      </w:r>
      <w:r>
        <w:rPr>
          <w:rFonts w:ascii="Calibri" w:hAnsi="Calibri"/>
          <w:b/>
          <w:bCs/>
          <w:rtl/>
        </w:rPr>
        <w:tab/>
      </w:r>
      <w:r w:rsidRPr="008A1818">
        <w:rPr>
          <w:rFonts w:ascii="Calibri" w:hAnsi="Calibri" w:hint="eastAsia"/>
          <w:b/>
          <w:bCs/>
          <w:rtl/>
        </w:rPr>
        <w:t>אני</w:t>
      </w:r>
      <w:r w:rsidRPr="008A1818">
        <w:rPr>
          <w:rFonts w:ascii="Calibri" w:hAnsi="Calibri"/>
          <w:b/>
          <w:bCs/>
          <w:rtl/>
        </w:rPr>
        <w:t xml:space="preserve"> </w:t>
      </w:r>
      <w:r w:rsidRPr="008A1818">
        <w:rPr>
          <w:rFonts w:ascii="Calibri" w:hAnsi="Calibri" w:hint="eastAsia"/>
          <w:b/>
          <w:bCs/>
          <w:rtl/>
        </w:rPr>
        <w:t>מעמיד</w:t>
      </w:r>
      <w:r w:rsidRPr="008A1818">
        <w:rPr>
          <w:rFonts w:ascii="Calibri" w:hAnsi="Calibri"/>
          <w:b/>
          <w:bCs/>
          <w:rtl/>
        </w:rPr>
        <w:t xml:space="preserve"> </w:t>
      </w:r>
      <w:r w:rsidRPr="008A1818">
        <w:rPr>
          <w:rFonts w:ascii="Calibri" w:hAnsi="Calibri" w:hint="eastAsia"/>
          <w:b/>
          <w:bCs/>
          <w:rtl/>
        </w:rPr>
        <w:t>את</w:t>
      </w:r>
      <w:r w:rsidRPr="008A1818">
        <w:rPr>
          <w:rFonts w:ascii="Calibri" w:hAnsi="Calibri"/>
          <w:b/>
          <w:bCs/>
          <w:rtl/>
        </w:rPr>
        <w:t xml:space="preserve"> </w:t>
      </w:r>
      <w:r w:rsidRPr="008A1818">
        <w:rPr>
          <w:rFonts w:ascii="Calibri" w:hAnsi="Calibri" w:hint="eastAsia"/>
          <w:b/>
          <w:bCs/>
          <w:rtl/>
        </w:rPr>
        <w:t>הנאשם</w:t>
      </w:r>
      <w:r w:rsidRPr="008A1818">
        <w:rPr>
          <w:rFonts w:ascii="Calibri" w:hAnsi="Calibri"/>
          <w:b/>
          <w:bCs/>
          <w:rtl/>
        </w:rPr>
        <w:t xml:space="preserve"> </w:t>
      </w:r>
      <w:r w:rsidRPr="008A1818">
        <w:rPr>
          <w:rFonts w:ascii="Calibri" w:hAnsi="Calibri" w:hint="eastAsia"/>
          <w:b/>
          <w:bCs/>
          <w:rtl/>
        </w:rPr>
        <w:t>בפיקוח</w:t>
      </w:r>
      <w:r w:rsidRPr="008A1818">
        <w:rPr>
          <w:rFonts w:ascii="Calibri" w:hAnsi="Calibri"/>
          <w:b/>
          <w:bCs/>
          <w:rtl/>
        </w:rPr>
        <w:t xml:space="preserve"> </w:t>
      </w:r>
      <w:r w:rsidRPr="008A1818">
        <w:rPr>
          <w:rFonts w:ascii="Calibri" w:hAnsi="Calibri" w:hint="eastAsia"/>
          <w:b/>
          <w:bCs/>
          <w:rtl/>
        </w:rPr>
        <w:t>שירות</w:t>
      </w:r>
      <w:r w:rsidRPr="008A1818">
        <w:rPr>
          <w:rFonts w:ascii="Calibri" w:hAnsi="Calibri"/>
          <w:b/>
          <w:bCs/>
          <w:rtl/>
        </w:rPr>
        <w:t xml:space="preserve"> </w:t>
      </w:r>
      <w:r w:rsidRPr="008A1818">
        <w:rPr>
          <w:rFonts w:ascii="Calibri" w:hAnsi="Calibri" w:hint="eastAsia"/>
          <w:b/>
          <w:bCs/>
          <w:rtl/>
        </w:rPr>
        <w:t>המבחן</w:t>
      </w:r>
      <w:r w:rsidRPr="008A1818">
        <w:rPr>
          <w:rFonts w:ascii="Calibri" w:hAnsi="Calibri"/>
          <w:b/>
          <w:bCs/>
          <w:rtl/>
        </w:rPr>
        <w:t xml:space="preserve"> </w:t>
      </w:r>
      <w:r w:rsidRPr="008A1818">
        <w:rPr>
          <w:rFonts w:ascii="Calibri" w:hAnsi="Calibri" w:hint="eastAsia"/>
          <w:b/>
          <w:bCs/>
          <w:rtl/>
        </w:rPr>
        <w:t>למשך</w:t>
      </w:r>
      <w:r w:rsidRPr="008A1818">
        <w:rPr>
          <w:rFonts w:ascii="Calibri" w:hAnsi="Calibri"/>
          <w:b/>
          <w:bCs/>
          <w:rtl/>
        </w:rPr>
        <w:t xml:space="preserve"> 18 </w:t>
      </w:r>
      <w:r w:rsidRPr="008A1818">
        <w:rPr>
          <w:rFonts w:ascii="Calibri" w:hAnsi="Calibri" w:hint="eastAsia"/>
          <w:b/>
          <w:bCs/>
          <w:rtl/>
        </w:rPr>
        <w:t>חודשים</w:t>
      </w:r>
      <w:r w:rsidRPr="008A1818">
        <w:rPr>
          <w:rFonts w:ascii="Calibri" w:hAnsi="Calibri"/>
          <w:b/>
          <w:bCs/>
          <w:rtl/>
        </w:rPr>
        <w:t>.</w:t>
      </w:r>
      <w:r w:rsidRPr="008A1818">
        <w:rPr>
          <w:rFonts w:ascii="Calibri" w:hAnsi="Calibri"/>
          <w:rtl/>
        </w:rPr>
        <w:t xml:space="preserve"> </w:t>
      </w:r>
    </w:p>
    <w:p w14:paraId="1B21F3B6" w14:textId="77777777" w:rsidR="00532576" w:rsidRPr="008A1818" w:rsidRDefault="00532576" w:rsidP="00532576">
      <w:pPr>
        <w:spacing w:line="360" w:lineRule="auto"/>
        <w:ind w:left="1440"/>
        <w:contextualSpacing/>
        <w:jc w:val="both"/>
        <w:rPr>
          <w:rFonts w:ascii="Calibri" w:hAnsi="Calibri"/>
          <w:rtl/>
        </w:rPr>
      </w:pPr>
      <w:r w:rsidRPr="008A1818">
        <w:rPr>
          <w:rFonts w:ascii="Calibri" w:hAnsi="Calibri" w:hint="eastAsia"/>
          <w:rtl/>
        </w:rPr>
        <w:t>הוסבר</w:t>
      </w:r>
      <w:r w:rsidRPr="008A1818">
        <w:rPr>
          <w:rFonts w:ascii="Calibri" w:hAnsi="Calibri"/>
          <w:rtl/>
        </w:rPr>
        <w:t xml:space="preserve"> </w:t>
      </w:r>
      <w:r w:rsidRPr="008A1818">
        <w:rPr>
          <w:rFonts w:ascii="Calibri" w:hAnsi="Calibri" w:hint="eastAsia"/>
          <w:rtl/>
        </w:rPr>
        <w:t>לנאשם</w:t>
      </w:r>
      <w:r w:rsidRPr="008A1818">
        <w:rPr>
          <w:rFonts w:ascii="Calibri" w:hAnsi="Calibri"/>
          <w:rtl/>
        </w:rPr>
        <w:t xml:space="preserve"> </w:t>
      </w:r>
      <w:r w:rsidRPr="008A1818">
        <w:rPr>
          <w:rFonts w:ascii="Calibri" w:hAnsi="Calibri" w:hint="eastAsia"/>
          <w:rtl/>
        </w:rPr>
        <w:t>שעליו</w:t>
      </w:r>
      <w:r w:rsidRPr="008A1818">
        <w:rPr>
          <w:rFonts w:ascii="Calibri" w:hAnsi="Calibri"/>
          <w:rtl/>
        </w:rPr>
        <w:t xml:space="preserve"> </w:t>
      </w:r>
      <w:r w:rsidRPr="008A1818">
        <w:rPr>
          <w:rFonts w:ascii="Calibri" w:hAnsi="Calibri" w:hint="eastAsia"/>
          <w:rtl/>
        </w:rPr>
        <w:t>לקיים</w:t>
      </w:r>
      <w:r w:rsidRPr="008A1818">
        <w:rPr>
          <w:rFonts w:ascii="Calibri" w:hAnsi="Calibri"/>
          <w:rtl/>
        </w:rPr>
        <w:t xml:space="preserve"> </w:t>
      </w:r>
      <w:r w:rsidRPr="008A1818">
        <w:rPr>
          <w:rFonts w:ascii="Calibri" w:hAnsi="Calibri" w:hint="eastAsia"/>
          <w:rtl/>
        </w:rPr>
        <w:t>את</w:t>
      </w:r>
      <w:r w:rsidRPr="008A1818">
        <w:rPr>
          <w:rFonts w:ascii="Calibri" w:hAnsi="Calibri"/>
          <w:rtl/>
        </w:rPr>
        <w:t xml:space="preserve"> </w:t>
      </w:r>
      <w:r w:rsidRPr="008A1818">
        <w:rPr>
          <w:rFonts w:ascii="Calibri" w:hAnsi="Calibri" w:hint="eastAsia"/>
          <w:rtl/>
        </w:rPr>
        <w:t>הוראות</w:t>
      </w:r>
      <w:r w:rsidRPr="008A1818">
        <w:rPr>
          <w:rFonts w:ascii="Calibri" w:hAnsi="Calibri"/>
          <w:rtl/>
        </w:rPr>
        <w:t xml:space="preserve"> </w:t>
      </w:r>
      <w:r w:rsidRPr="008A1818">
        <w:rPr>
          <w:rFonts w:ascii="Calibri" w:hAnsi="Calibri" w:hint="eastAsia"/>
          <w:rtl/>
        </w:rPr>
        <w:t>שירות</w:t>
      </w:r>
      <w:r w:rsidRPr="008A1818">
        <w:rPr>
          <w:rFonts w:ascii="Calibri" w:hAnsi="Calibri"/>
          <w:rtl/>
        </w:rPr>
        <w:t xml:space="preserve"> </w:t>
      </w:r>
      <w:r w:rsidRPr="008A1818">
        <w:rPr>
          <w:rFonts w:ascii="Calibri" w:hAnsi="Calibri" w:hint="eastAsia"/>
          <w:rtl/>
        </w:rPr>
        <w:t>המבחן</w:t>
      </w:r>
      <w:r w:rsidRPr="008A1818">
        <w:rPr>
          <w:rFonts w:ascii="Calibri" w:hAnsi="Calibri"/>
          <w:rtl/>
        </w:rPr>
        <w:t xml:space="preserve"> </w:t>
      </w:r>
      <w:r w:rsidRPr="008A1818">
        <w:rPr>
          <w:rFonts w:ascii="Calibri" w:hAnsi="Calibri" w:hint="eastAsia"/>
          <w:rtl/>
        </w:rPr>
        <w:t>וכי</w:t>
      </w:r>
      <w:r w:rsidRPr="008A1818">
        <w:rPr>
          <w:rFonts w:ascii="Calibri" w:hAnsi="Calibri"/>
          <w:rtl/>
        </w:rPr>
        <w:t xml:space="preserve"> </w:t>
      </w:r>
      <w:r w:rsidRPr="008A1818">
        <w:rPr>
          <w:rFonts w:ascii="Calibri" w:hAnsi="Calibri" w:hint="eastAsia"/>
          <w:rtl/>
        </w:rPr>
        <w:t>הפרה</w:t>
      </w:r>
      <w:r w:rsidRPr="008A1818">
        <w:rPr>
          <w:rFonts w:ascii="Calibri" w:hAnsi="Calibri"/>
          <w:rtl/>
        </w:rPr>
        <w:t xml:space="preserve"> </w:t>
      </w:r>
      <w:r w:rsidRPr="008A1818">
        <w:rPr>
          <w:rFonts w:ascii="Calibri" w:hAnsi="Calibri" w:hint="eastAsia"/>
          <w:rtl/>
        </w:rPr>
        <w:t>של</w:t>
      </w:r>
      <w:r w:rsidRPr="008A1818">
        <w:rPr>
          <w:rFonts w:ascii="Calibri" w:hAnsi="Calibri"/>
          <w:rtl/>
        </w:rPr>
        <w:t xml:space="preserve"> </w:t>
      </w:r>
      <w:r w:rsidRPr="008A1818">
        <w:rPr>
          <w:rFonts w:ascii="Calibri" w:hAnsi="Calibri" w:hint="eastAsia"/>
          <w:rtl/>
        </w:rPr>
        <w:t>צו</w:t>
      </w:r>
      <w:r w:rsidRPr="008A1818">
        <w:rPr>
          <w:rFonts w:ascii="Calibri" w:hAnsi="Calibri"/>
          <w:rtl/>
        </w:rPr>
        <w:t xml:space="preserve"> </w:t>
      </w:r>
      <w:r w:rsidRPr="008A1818">
        <w:rPr>
          <w:rFonts w:ascii="Calibri" w:hAnsi="Calibri" w:hint="eastAsia"/>
          <w:rtl/>
        </w:rPr>
        <w:t>הפיקוח</w:t>
      </w:r>
      <w:r w:rsidRPr="008A1818">
        <w:rPr>
          <w:rFonts w:ascii="Calibri" w:hAnsi="Calibri"/>
          <w:rtl/>
        </w:rPr>
        <w:t xml:space="preserve"> </w:t>
      </w:r>
      <w:r w:rsidRPr="008A1818">
        <w:rPr>
          <w:rFonts w:ascii="Calibri" w:hAnsi="Calibri" w:hint="eastAsia"/>
          <w:rtl/>
        </w:rPr>
        <w:t>עלולה</w:t>
      </w:r>
      <w:r w:rsidRPr="008A1818">
        <w:rPr>
          <w:rFonts w:ascii="Calibri" w:hAnsi="Calibri"/>
          <w:rtl/>
        </w:rPr>
        <w:t xml:space="preserve"> </w:t>
      </w:r>
      <w:r w:rsidRPr="008A1818">
        <w:rPr>
          <w:rFonts w:ascii="Calibri" w:hAnsi="Calibri" w:hint="eastAsia"/>
          <w:rtl/>
        </w:rPr>
        <w:t>להוביל</w:t>
      </w:r>
      <w:r w:rsidRPr="008A1818">
        <w:rPr>
          <w:rFonts w:ascii="Calibri" w:hAnsi="Calibri"/>
          <w:rtl/>
        </w:rPr>
        <w:t xml:space="preserve"> </w:t>
      </w:r>
      <w:r w:rsidRPr="008A1818">
        <w:rPr>
          <w:rFonts w:ascii="Calibri" w:hAnsi="Calibri" w:hint="eastAsia"/>
          <w:rtl/>
        </w:rPr>
        <w:t>להפקעתו</w:t>
      </w:r>
      <w:r w:rsidRPr="008A1818">
        <w:rPr>
          <w:rFonts w:ascii="Calibri" w:hAnsi="Calibri"/>
          <w:rtl/>
        </w:rPr>
        <w:t xml:space="preserve"> </w:t>
      </w:r>
      <w:r w:rsidRPr="008A1818">
        <w:rPr>
          <w:rFonts w:ascii="Calibri" w:hAnsi="Calibri" w:hint="eastAsia"/>
          <w:rtl/>
        </w:rPr>
        <w:t>ולהטלת</w:t>
      </w:r>
      <w:r w:rsidRPr="008A1818">
        <w:rPr>
          <w:rFonts w:ascii="Calibri" w:hAnsi="Calibri"/>
          <w:rtl/>
        </w:rPr>
        <w:t xml:space="preserve"> </w:t>
      </w:r>
      <w:r w:rsidRPr="008A1818">
        <w:rPr>
          <w:rFonts w:ascii="Calibri" w:hAnsi="Calibri" w:hint="eastAsia"/>
          <w:rtl/>
        </w:rPr>
        <w:t>עונשים</w:t>
      </w:r>
      <w:r w:rsidRPr="008A1818">
        <w:rPr>
          <w:rFonts w:ascii="Calibri" w:hAnsi="Calibri"/>
          <w:rtl/>
        </w:rPr>
        <w:t xml:space="preserve"> </w:t>
      </w:r>
      <w:r w:rsidRPr="008A1818">
        <w:rPr>
          <w:rFonts w:ascii="Calibri" w:hAnsi="Calibri" w:hint="eastAsia"/>
          <w:rtl/>
        </w:rPr>
        <w:t>נוספים</w:t>
      </w:r>
      <w:r w:rsidRPr="008A1818">
        <w:rPr>
          <w:rFonts w:ascii="Calibri" w:hAnsi="Calibri"/>
          <w:rtl/>
        </w:rPr>
        <w:t>.</w:t>
      </w:r>
    </w:p>
    <w:p w14:paraId="008F5BF2" w14:textId="77777777" w:rsidR="00532576" w:rsidRDefault="00532576" w:rsidP="00532576">
      <w:pPr>
        <w:spacing w:line="360" w:lineRule="auto"/>
        <w:contextualSpacing/>
        <w:jc w:val="both"/>
        <w:rPr>
          <w:rFonts w:ascii="Calibri" w:hAnsi="Calibri"/>
          <w:rtl/>
        </w:rPr>
      </w:pPr>
    </w:p>
    <w:p w14:paraId="16C709B1" w14:textId="77777777" w:rsidR="00532576" w:rsidRPr="008A1818" w:rsidRDefault="00532576" w:rsidP="00532576">
      <w:pPr>
        <w:spacing w:line="360" w:lineRule="auto"/>
        <w:ind w:left="1440" w:hanging="720"/>
        <w:contextualSpacing/>
        <w:jc w:val="both"/>
      </w:pPr>
      <w:r w:rsidRPr="00AA5856">
        <w:rPr>
          <w:rFonts w:hint="cs"/>
          <w:b/>
          <w:bCs/>
          <w:rtl/>
        </w:rPr>
        <w:t>ב.</w:t>
      </w:r>
      <w:r>
        <w:rPr>
          <w:rtl/>
        </w:rPr>
        <w:tab/>
      </w:r>
      <w:r w:rsidRPr="008A1818">
        <w:rPr>
          <w:rtl/>
        </w:rPr>
        <w:t xml:space="preserve">מאסר על תנאי לתקופה של </w:t>
      </w:r>
      <w:r>
        <w:rPr>
          <w:rFonts w:hint="cs"/>
          <w:rtl/>
        </w:rPr>
        <w:t>4</w:t>
      </w:r>
      <w:r w:rsidRPr="008A1818">
        <w:rPr>
          <w:rtl/>
        </w:rPr>
        <w:t xml:space="preserve"> חודשים והתנאי הוא שהנאשם לא יעבור במשך </w:t>
      </w:r>
      <w:r>
        <w:rPr>
          <w:rFonts w:hint="cs"/>
          <w:rtl/>
        </w:rPr>
        <w:t xml:space="preserve">שנתיים כל </w:t>
      </w:r>
      <w:r>
        <w:rPr>
          <w:rtl/>
        </w:rPr>
        <w:t>עבירה על פקודת הסמים</w:t>
      </w:r>
      <w:r>
        <w:rPr>
          <w:rFonts w:hint="cs"/>
          <w:rtl/>
        </w:rPr>
        <w:t xml:space="preserve"> שהיא פשע.</w:t>
      </w:r>
    </w:p>
    <w:p w14:paraId="6CCB764F" w14:textId="77777777" w:rsidR="00532576" w:rsidRPr="00662F7B" w:rsidRDefault="00532576" w:rsidP="00532576">
      <w:pPr>
        <w:spacing w:line="360" w:lineRule="auto"/>
        <w:contextualSpacing/>
        <w:jc w:val="both"/>
        <w:rPr>
          <w:rFonts w:ascii="Calibri" w:hAnsi="Calibri"/>
          <w:rtl/>
        </w:rPr>
      </w:pPr>
    </w:p>
    <w:p w14:paraId="5486A414" w14:textId="77777777" w:rsidR="00532576" w:rsidRDefault="00532576" w:rsidP="00532576">
      <w:pPr>
        <w:spacing w:before="120" w:after="120" w:line="360" w:lineRule="auto"/>
        <w:ind w:left="1440" w:hanging="720"/>
        <w:contextualSpacing/>
        <w:jc w:val="both"/>
        <w:rPr>
          <w:rtl/>
        </w:rPr>
      </w:pPr>
      <w:r>
        <w:rPr>
          <w:rFonts w:hint="cs"/>
          <w:b/>
          <w:bCs/>
          <w:rtl/>
        </w:rPr>
        <w:t>ג</w:t>
      </w:r>
      <w:r w:rsidRPr="00AA5856">
        <w:rPr>
          <w:rFonts w:hint="cs"/>
          <w:b/>
          <w:bCs/>
          <w:rtl/>
        </w:rPr>
        <w:t>.</w:t>
      </w:r>
      <w:r>
        <w:rPr>
          <w:rFonts w:hint="cs"/>
          <w:rtl/>
        </w:rPr>
        <w:t xml:space="preserve"> </w:t>
      </w:r>
      <w:r>
        <w:rPr>
          <w:rtl/>
        </w:rPr>
        <w:tab/>
      </w:r>
      <w:r w:rsidRPr="008A1818">
        <w:rPr>
          <w:rtl/>
        </w:rPr>
        <w:t xml:space="preserve">קנס בסך </w:t>
      </w:r>
      <w:r>
        <w:rPr>
          <w:rFonts w:hint="cs"/>
          <w:rtl/>
        </w:rPr>
        <w:t>8000</w:t>
      </w:r>
      <w:r w:rsidRPr="008A1818">
        <w:rPr>
          <w:rtl/>
        </w:rPr>
        <w:t xml:space="preserve"> ש"ח ₪</w:t>
      </w:r>
      <w:r>
        <w:rPr>
          <w:rFonts w:hint="cs"/>
          <w:rtl/>
        </w:rPr>
        <w:t>.</w:t>
      </w:r>
      <w:r w:rsidRPr="008A1818">
        <w:rPr>
          <w:rtl/>
        </w:rPr>
        <w:t xml:space="preserve"> הקנס ישולם ב- 10 תשלומים חודשיים רצופים ושווים החל מיום</w:t>
      </w:r>
      <w:r>
        <w:rPr>
          <w:rFonts w:hint="cs"/>
          <w:rtl/>
        </w:rPr>
        <w:t xml:space="preserve"> 1.10.18 . </w:t>
      </w:r>
      <w:r w:rsidRPr="008A1818">
        <w:rPr>
          <w:rtl/>
        </w:rPr>
        <w:t>היה והקנס או חלקו לא ישולם במועד – תעמוד יתרת הקנס לתשלום מידי.</w:t>
      </w:r>
    </w:p>
    <w:p w14:paraId="4C5180BC" w14:textId="77777777" w:rsidR="00532576" w:rsidRDefault="00532576" w:rsidP="00532576">
      <w:pPr>
        <w:spacing w:before="120" w:after="120" w:line="360" w:lineRule="auto"/>
        <w:ind w:left="1440" w:hanging="720"/>
        <w:contextualSpacing/>
        <w:jc w:val="both"/>
        <w:rPr>
          <w:rtl/>
        </w:rPr>
      </w:pPr>
    </w:p>
    <w:p w14:paraId="6DC49498" w14:textId="77777777" w:rsidR="00532576" w:rsidRPr="008A1818" w:rsidRDefault="00532576" w:rsidP="00532576">
      <w:pPr>
        <w:spacing w:before="120" w:after="120" w:line="360" w:lineRule="auto"/>
        <w:ind w:left="1440" w:hanging="720"/>
        <w:contextualSpacing/>
        <w:jc w:val="both"/>
        <w:rPr>
          <w:rtl/>
        </w:rPr>
      </w:pPr>
      <w:r w:rsidRPr="00C1210F">
        <w:rPr>
          <w:rFonts w:hint="cs"/>
          <w:b/>
          <w:bCs/>
          <w:rtl/>
        </w:rPr>
        <w:t>ד</w:t>
      </w:r>
      <w:r>
        <w:rPr>
          <w:rFonts w:hint="cs"/>
          <w:rtl/>
        </w:rPr>
        <w:t>.</w:t>
      </w:r>
      <w:r>
        <w:rPr>
          <w:rFonts w:hint="cs"/>
          <w:rtl/>
        </w:rPr>
        <w:tab/>
        <w:t xml:space="preserve">אני מחייב את הנאשם לבצע 150 שעות של"צ בהתאם לתוכנית שיגיש שירות המבחן בתוך 30 יום. </w:t>
      </w:r>
    </w:p>
    <w:p w14:paraId="2985856E" w14:textId="77777777" w:rsidR="00532576" w:rsidRPr="008A1818" w:rsidRDefault="00532576" w:rsidP="00532576">
      <w:pPr>
        <w:spacing w:line="360" w:lineRule="auto"/>
        <w:ind w:left="1440"/>
        <w:contextualSpacing/>
        <w:jc w:val="both"/>
        <w:rPr>
          <w:rFonts w:ascii="Calibri" w:hAnsi="Calibri"/>
          <w:rtl/>
        </w:rPr>
      </w:pPr>
      <w:r w:rsidRPr="008A1818">
        <w:rPr>
          <w:rFonts w:ascii="Calibri" w:hAnsi="Calibri" w:hint="eastAsia"/>
          <w:rtl/>
        </w:rPr>
        <w:t>הוסבר</w:t>
      </w:r>
      <w:r w:rsidRPr="008A1818">
        <w:rPr>
          <w:rFonts w:ascii="Calibri" w:hAnsi="Calibri"/>
          <w:rtl/>
        </w:rPr>
        <w:t xml:space="preserve"> </w:t>
      </w:r>
      <w:r w:rsidRPr="008A1818">
        <w:rPr>
          <w:rFonts w:ascii="Calibri" w:hAnsi="Calibri" w:hint="eastAsia"/>
          <w:rtl/>
        </w:rPr>
        <w:t>לנאשם</w:t>
      </w:r>
      <w:r w:rsidRPr="008A1818">
        <w:rPr>
          <w:rFonts w:ascii="Calibri" w:hAnsi="Calibri"/>
          <w:rtl/>
        </w:rPr>
        <w:t xml:space="preserve"> </w:t>
      </w:r>
      <w:r w:rsidRPr="008A1818">
        <w:rPr>
          <w:rFonts w:ascii="Calibri" w:hAnsi="Calibri" w:hint="eastAsia"/>
          <w:rtl/>
        </w:rPr>
        <w:t>שעליו</w:t>
      </w:r>
      <w:r w:rsidRPr="008A1818">
        <w:rPr>
          <w:rFonts w:ascii="Calibri" w:hAnsi="Calibri"/>
          <w:rtl/>
        </w:rPr>
        <w:t xml:space="preserve"> </w:t>
      </w:r>
      <w:r w:rsidRPr="008A1818">
        <w:rPr>
          <w:rFonts w:ascii="Calibri" w:hAnsi="Calibri" w:hint="eastAsia"/>
          <w:rtl/>
        </w:rPr>
        <w:t>לקיים</w:t>
      </w:r>
      <w:r w:rsidRPr="008A1818">
        <w:rPr>
          <w:rFonts w:ascii="Calibri" w:hAnsi="Calibri"/>
          <w:rtl/>
        </w:rPr>
        <w:t xml:space="preserve"> </w:t>
      </w:r>
      <w:r w:rsidRPr="008A1818">
        <w:rPr>
          <w:rFonts w:ascii="Calibri" w:hAnsi="Calibri" w:hint="eastAsia"/>
          <w:rtl/>
        </w:rPr>
        <w:t>את</w:t>
      </w:r>
      <w:r w:rsidRPr="008A1818">
        <w:rPr>
          <w:rFonts w:ascii="Calibri" w:hAnsi="Calibri"/>
          <w:rtl/>
        </w:rPr>
        <w:t xml:space="preserve"> </w:t>
      </w:r>
      <w:r>
        <w:rPr>
          <w:rFonts w:ascii="Calibri" w:hAnsi="Calibri" w:hint="cs"/>
          <w:rtl/>
        </w:rPr>
        <w:t xml:space="preserve">הצו לשביעות רצון </w:t>
      </w:r>
      <w:r w:rsidRPr="008A1818">
        <w:rPr>
          <w:rFonts w:ascii="Calibri" w:hAnsi="Calibri" w:hint="eastAsia"/>
          <w:rtl/>
        </w:rPr>
        <w:t>שירות</w:t>
      </w:r>
      <w:r w:rsidRPr="008A1818">
        <w:rPr>
          <w:rFonts w:ascii="Calibri" w:hAnsi="Calibri"/>
          <w:rtl/>
        </w:rPr>
        <w:t xml:space="preserve"> </w:t>
      </w:r>
      <w:r w:rsidRPr="008A1818">
        <w:rPr>
          <w:rFonts w:ascii="Calibri" w:hAnsi="Calibri" w:hint="eastAsia"/>
          <w:rtl/>
        </w:rPr>
        <w:t>המבחן</w:t>
      </w:r>
      <w:r w:rsidRPr="008A1818">
        <w:rPr>
          <w:rFonts w:ascii="Calibri" w:hAnsi="Calibri"/>
          <w:rtl/>
        </w:rPr>
        <w:t xml:space="preserve"> </w:t>
      </w:r>
      <w:r w:rsidRPr="008A1818">
        <w:rPr>
          <w:rFonts w:ascii="Calibri" w:hAnsi="Calibri" w:hint="eastAsia"/>
          <w:rtl/>
        </w:rPr>
        <w:t>וכי</w:t>
      </w:r>
      <w:r w:rsidRPr="008A1818">
        <w:rPr>
          <w:rFonts w:ascii="Calibri" w:hAnsi="Calibri"/>
          <w:rtl/>
        </w:rPr>
        <w:t xml:space="preserve"> </w:t>
      </w:r>
      <w:r w:rsidRPr="008A1818">
        <w:rPr>
          <w:rFonts w:ascii="Calibri" w:hAnsi="Calibri" w:hint="eastAsia"/>
          <w:rtl/>
        </w:rPr>
        <w:t>הפר</w:t>
      </w:r>
      <w:r>
        <w:rPr>
          <w:rFonts w:ascii="Calibri" w:hAnsi="Calibri" w:hint="cs"/>
          <w:rtl/>
        </w:rPr>
        <w:t>ת</w:t>
      </w:r>
      <w:r w:rsidRPr="008A1818">
        <w:rPr>
          <w:rFonts w:ascii="Calibri" w:hAnsi="Calibri"/>
          <w:rtl/>
        </w:rPr>
        <w:t xml:space="preserve"> </w:t>
      </w:r>
      <w:r>
        <w:rPr>
          <w:rFonts w:ascii="Calibri" w:hAnsi="Calibri" w:hint="cs"/>
          <w:rtl/>
        </w:rPr>
        <w:t>ה</w:t>
      </w:r>
      <w:r w:rsidRPr="008A1818">
        <w:rPr>
          <w:rFonts w:ascii="Calibri" w:hAnsi="Calibri" w:hint="eastAsia"/>
          <w:rtl/>
        </w:rPr>
        <w:t>צו</w:t>
      </w:r>
      <w:r w:rsidRPr="008A1818">
        <w:rPr>
          <w:rFonts w:ascii="Calibri" w:hAnsi="Calibri"/>
          <w:rtl/>
        </w:rPr>
        <w:t xml:space="preserve"> </w:t>
      </w:r>
      <w:r w:rsidRPr="008A1818">
        <w:rPr>
          <w:rFonts w:ascii="Calibri" w:hAnsi="Calibri" w:hint="eastAsia"/>
          <w:rtl/>
        </w:rPr>
        <w:t>עלולה</w:t>
      </w:r>
      <w:r w:rsidRPr="008A1818">
        <w:rPr>
          <w:rFonts w:ascii="Calibri" w:hAnsi="Calibri"/>
          <w:rtl/>
        </w:rPr>
        <w:t xml:space="preserve"> </w:t>
      </w:r>
      <w:r w:rsidRPr="008A1818">
        <w:rPr>
          <w:rFonts w:ascii="Calibri" w:hAnsi="Calibri" w:hint="eastAsia"/>
          <w:rtl/>
        </w:rPr>
        <w:t>להוביל</w:t>
      </w:r>
      <w:r w:rsidRPr="008A1818">
        <w:rPr>
          <w:rFonts w:ascii="Calibri" w:hAnsi="Calibri"/>
          <w:rtl/>
        </w:rPr>
        <w:t xml:space="preserve"> </w:t>
      </w:r>
      <w:r w:rsidRPr="008A1818">
        <w:rPr>
          <w:rFonts w:ascii="Calibri" w:hAnsi="Calibri" w:hint="eastAsia"/>
          <w:rtl/>
        </w:rPr>
        <w:t>להפקעתו</w:t>
      </w:r>
      <w:r w:rsidRPr="008A1818">
        <w:rPr>
          <w:rFonts w:ascii="Calibri" w:hAnsi="Calibri"/>
          <w:rtl/>
        </w:rPr>
        <w:t xml:space="preserve"> </w:t>
      </w:r>
      <w:r w:rsidRPr="008A1818">
        <w:rPr>
          <w:rFonts w:ascii="Calibri" w:hAnsi="Calibri" w:hint="eastAsia"/>
          <w:rtl/>
        </w:rPr>
        <w:t>ולהטלת</w:t>
      </w:r>
      <w:r w:rsidRPr="008A1818">
        <w:rPr>
          <w:rFonts w:ascii="Calibri" w:hAnsi="Calibri"/>
          <w:rtl/>
        </w:rPr>
        <w:t xml:space="preserve"> </w:t>
      </w:r>
      <w:r w:rsidRPr="008A1818">
        <w:rPr>
          <w:rFonts w:ascii="Calibri" w:hAnsi="Calibri" w:hint="eastAsia"/>
          <w:rtl/>
        </w:rPr>
        <w:t>עונשים</w:t>
      </w:r>
      <w:r w:rsidRPr="008A1818">
        <w:rPr>
          <w:rFonts w:ascii="Calibri" w:hAnsi="Calibri"/>
          <w:rtl/>
        </w:rPr>
        <w:t xml:space="preserve"> </w:t>
      </w:r>
      <w:r w:rsidRPr="008A1818">
        <w:rPr>
          <w:rFonts w:ascii="Calibri" w:hAnsi="Calibri" w:hint="eastAsia"/>
          <w:rtl/>
        </w:rPr>
        <w:t>נוספים</w:t>
      </w:r>
      <w:r w:rsidRPr="008A1818">
        <w:rPr>
          <w:rFonts w:ascii="Calibri" w:hAnsi="Calibri"/>
          <w:rtl/>
        </w:rPr>
        <w:t>.</w:t>
      </w:r>
    </w:p>
    <w:p w14:paraId="025C8A55" w14:textId="77777777" w:rsidR="00532576" w:rsidRPr="008A1818" w:rsidRDefault="00532576" w:rsidP="00532576">
      <w:pPr>
        <w:spacing w:before="120" w:after="120" w:line="360" w:lineRule="auto"/>
        <w:ind w:left="1440"/>
        <w:contextualSpacing/>
        <w:jc w:val="both"/>
        <w:rPr>
          <w:b/>
          <w:bCs/>
          <w:u w:val="single"/>
          <w:rtl/>
        </w:rPr>
      </w:pPr>
    </w:p>
    <w:p w14:paraId="3333894A" w14:textId="77777777" w:rsidR="00532576" w:rsidRDefault="00E06E1D" w:rsidP="00532576">
      <w:pPr>
        <w:spacing w:line="360" w:lineRule="auto"/>
        <w:ind w:left="1440"/>
        <w:jc w:val="both"/>
        <w:rPr>
          <w:b/>
          <w:bCs/>
          <w:u w:val="single"/>
          <w:rtl/>
        </w:rPr>
      </w:pPr>
      <w:r w:rsidRPr="00E06E1D">
        <w:rPr>
          <w:b/>
          <w:bCs/>
          <w:color w:val="FFFFFF"/>
          <w:sz w:val="2"/>
          <w:szCs w:val="2"/>
          <w:u w:val="single"/>
          <w:rtl/>
        </w:rPr>
        <w:t>5129371</w:t>
      </w:r>
      <w:r w:rsidR="00532576" w:rsidRPr="00AA5856">
        <w:rPr>
          <w:b/>
          <w:bCs/>
          <w:u w:val="single"/>
          <w:rtl/>
        </w:rPr>
        <w:t>המוצגים – סמים והציוד, להשמיד בחלוף תקופת הערעור.</w:t>
      </w:r>
    </w:p>
    <w:p w14:paraId="5B26AE61" w14:textId="77777777" w:rsidR="00532576" w:rsidRDefault="00E06E1D" w:rsidP="00532576">
      <w:pPr>
        <w:spacing w:line="360" w:lineRule="auto"/>
        <w:ind w:left="1440"/>
        <w:jc w:val="both"/>
        <w:rPr>
          <w:b/>
          <w:bCs/>
          <w:u w:val="single"/>
          <w:rtl/>
        </w:rPr>
      </w:pPr>
      <w:r w:rsidRPr="00E06E1D">
        <w:rPr>
          <w:b/>
          <w:bCs/>
          <w:color w:val="FFFFFF"/>
          <w:sz w:val="2"/>
          <w:szCs w:val="2"/>
          <w:u w:val="single"/>
          <w:rtl/>
        </w:rPr>
        <w:t>54678313</w:t>
      </w:r>
      <w:r w:rsidR="00532576" w:rsidRPr="00AA5856">
        <w:rPr>
          <w:b/>
          <w:bCs/>
          <w:u w:val="single"/>
          <w:rtl/>
        </w:rPr>
        <w:t>הודעה זכות ערעור</w:t>
      </w:r>
      <w:r w:rsidR="00532576">
        <w:rPr>
          <w:rFonts w:hint="cs"/>
          <w:b/>
          <w:bCs/>
          <w:u w:val="single"/>
          <w:rtl/>
        </w:rPr>
        <w:t xml:space="preserve"> לבית המשפט המחוזי</w:t>
      </w:r>
      <w:r w:rsidR="00532576" w:rsidRPr="00AA5856">
        <w:rPr>
          <w:b/>
          <w:bCs/>
          <w:u w:val="single"/>
          <w:rtl/>
        </w:rPr>
        <w:t xml:space="preserve"> בתוך 45 ימים. </w:t>
      </w:r>
    </w:p>
    <w:p w14:paraId="75FCAF8E" w14:textId="77777777" w:rsidR="00532576" w:rsidRPr="00AA5856" w:rsidRDefault="00532576" w:rsidP="00532576">
      <w:pPr>
        <w:spacing w:line="360" w:lineRule="auto"/>
        <w:ind w:left="1440"/>
        <w:jc w:val="both"/>
        <w:rPr>
          <w:b/>
          <w:bCs/>
          <w:u w:val="single"/>
          <w:rtl/>
        </w:rPr>
      </w:pPr>
      <w:r>
        <w:rPr>
          <w:rFonts w:hint="cs"/>
          <w:b/>
          <w:bCs/>
          <w:u w:val="single"/>
          <w:rtl/>
        </w:rPr>
        <w:t xml:space="preserve">המזכירות תשלח את גזר הדין לשירות המבחן </w:t>
      </w:r>
    </w:p>
    <w:p w14:paraId="79E7BF23" w14:textId="77777777" w:rsidR="00532576" w:rsidRPr="00B05847" w:rsidRDefault="00532576" w:rsidP="00532576">
      <w:pPr>
        <w:rPr>
          <w:rtl/>
        </w:rPr>
      </w:pPr>
    </w:p>
    <w:p w14:paraId="4A9C98ED" w14:textId="77777777" w:rsidR="00532576" w:rsidRDefault="0047137E" w:rsidP="00532576">
      <w:pPr>
        <w:jc w:val="center"/>
      </w:pPr>
      <w:r w:rsidRPr="0047137E">
        <w:rPr>
          <w:rFonts w:ascii="Arial" w:hAnsi="Arial"/>
          <w:color w:val="FFFFFF"/>
          <w:sz w:val="2"/>
          <w:szCs w:val="2"/>
          <w:rtl/>
        </w:rPr>
        <w:t>5129371</w:t>
      </w:r>
      <w:r w:rsidR="00E06E1D">
        <w:rPr>
          <w:rFonts w:ascii="Arial" w:hAnsi="Arial"/>
          <w:rtl/>
        </w:rPr>
        <w:t xml:space="preserve">ניתן היום,  כ"ד אב תשע"ח, 05 אוגוסט 2018, במעמד הצדדים. </w:t>
      </w:r>
      <w:r w:rsidR="00532576">
        <w:rPr>
          <w:rFonts w:hint="cs"/>
          <w:rtl/>
        </w:rPr>
        <w:t xml:space="preserve">  </w:t>
      </w:r>
      <w:r w:rsidR="00532576">
        <w:rPr>
          <w:rFonts w:hint="cs"/>
          <w:rtl/>
        </w:rPr>
        <w:tab/>
      </w:r>
      <w:r w:rsidR="00532576">
        <w:rPr>
          <w:rFonts w:hint="cs"/>
          <w:rtl/>
        </w:rPr>
        <w:tab/>
      </w:r>
      <w:r w:rsidR="00532576">
        <w:rPr>
          <w:rFonts w:hint="cs"/>
          <w:rtl/>
        </w:rPr>
        <w:tab/>
      </w:r>
      <w:r w:rsidR="00532576">
        <w:rPr>
          <w:rFonts w:hint="cs"/>
          <w:rtl/>
        </w:rPr>
        <w:tab/>
      </w:r>
      <w:r w:rsidR="00532576">
        <w:rPr>
          <w:rFonts w:hint="cs"/>
          <w:rtl/>
        </w:rPr>
        <w:tab/>
      </w:r>
      <w:r w:rsidR="00532576">
        <w:rPr>
          <w:rtl/>
        </w:rPr>
        <w:t xml:space="preserve">     </w:t>
      </w:r>
    </w:p>
    <w:p w14:paraId="74A395A2" w14:textId="77777777" w:rsidR="00C93C5D" w:rsidRPr="0047137E" w:rsidRDefault="0047137E" w:rsidP="00E06E1D">
      <w:pPr>
        <w:keepNext/>
        <w:rPr>
          <w:rFonts w:ascii="David" w:hAnsi="David"/>
          <w:color w:val="FFFFFF"/>
          <w:sz w:val="2"/>
          <w:szCs w:val="2"/>
          <w:rtl/>
        </w:rPr>
      </w:pPr>
      <w:r w:rsidRPr="0047137E">
        <w:rPr>
          <w:rFonts w:ascii="David" w:hAnsi="David"/>
          <w:color w:val="FFFFFF"/>
          <w:sz w:val="2"/>
          <w:szCs w:val="2"/>
          <w:rtl/>
        </w:rPr>
        <w:t>54678313</w:t>
      </w:r>
    </w:p>
    <w:p w14:paraId="42B06A60" w14:textId="77777777" w:rsidR="00E06E1D" w:rsidRPr="00E06E1D" w:rsidRDefault="00E06E1D" w:rsidP="00E06E1D">
      <w:pPr>
        <w:keepNext/>
        <w:rPr>
          <w:rFonts w:ascii="David" w:hAnsi="David"/>
          <w:color w:val="000000"/>
          <w:sz w:val="22"/>
          <w:szCs w:val="22"/>
          <w:rtl/>
        </w:rPr>
      </w:pPr>
      <w:r w:rsidRPr="00E06E1D">
        <w:rPr>
          <w:rFonts w:ascii="David" w:hAnsi="David"/>
          <w:color w:val="000000"/>
          <w:sz w:val="22"/>
          <w:szCs w:val="22"/>
          <w:rtl/>
        </w:rPr>
        <w:t>יוסי טורס 54678313</w:t>
      </w:r>
    </w:p>
    <w:p w14:paraId="04EDCEE7" w14:textId="77777777" w:rsidR="00E06E1D" w:rsidRDefault="00E06E1D" w:rsidP="00E06E1D">
      <w:r w:rsidRPr="00E06E1D">
        <w:rPr>
          <w:color w:val="000000"/>
          <w:rtl/>
        </w:rPr>
        <w:t>נוסח מסמך זה כפוף לשינויי ניסוח ועריכה</w:t>
      </w:r>
    </w:p>
    <w:p w14:paraId="32272838" w14:textId="77777777" w:rsidR="00E06E1D" w:rsidRDefault="00E06E1D" w:rsidP="00E06E1D">
      <w:pPr>
        <w:rPr>
          <w:rtl/>
        </w:rPr>
      </w:pPr>
    </w:p>
    <w:p w14:paraId="233EBDF1" w14:textId="77777777" w:rsidR="00E06E1D" w:rsidRDefault="00E06E1D" w:rsidP="00E06E1D">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r w:rsidR="003639E2">
        <w:rPr>
          <w:rFonts w:hint="cs"/>
          <w:color w:val="0000FF"/>
          <w:u w:val="single"/>
          <w:rtl/>
        </w:rPr>
        <w:t xml:space="preserve"> </w:t>
      </w:r>
    </w:p>
    <w:p w14:paraId="390998F9" w14:textId="77777777" w:rsidR="0047137E" w:rsidRPr="0047137E" w:rsidRDefault="0047137E" w:rsidP="0047137E">
      <w:pPr>
        <w:keepNext/>
        <w:rPr>
          <w:rFonts w:ascii="David" w:hAnsi="David"/>
          <w:color w:val="000000"/>
          <w:sz w:val="22"/>
          <w:szCs w:val="22"/>
          <w:rtl/>
        </w:rPr>
      </w:pPr>
    </w:p>
    <w:p w14:paraId="403E5ACE" w14:textId="77777777" w:rsidR="00E06E1D" w:rsidRPr="00E06E1D" w:rsidRDefault="00E06E1D" w:rsidP="0047137E">
      <w:pPr>
        <w:rPr>
          <w:color w:val="0000FF"/>
          <w:u w:val="single"/>
        </w:rPr>
      </w:pPr>
    </w:p>
    <w:sectPr w:rsidR="00E06E1D" w:rsidRPr="00E06E1D" w:rsidSect="0047137E">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95239" w14:textId="77777777" w:rsidR="008101A3" w:rsidRDefault="008101A3" w:rsidP="00E771AC">
      <w:r>
        <w:separator/>
      </w:r>
    </w:p>
  </w:endnote>
  <w:endnote w:type="continuationSeparator" w:id="0">
    <w:p w14:paraId="545BD24F" w14:textId="77777777" w:rsidR="008101A3" w:rsidRDefault="008101A3" w:rsidP="00E7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CA46" w14:textId="77777777" w:rsidR="003639E2" w:rsidRDefault="003639E2" w:rsidP="004713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98A749" w14:textId="77777777" w:rsidR="003639E2" w:rsidRPr="0047137E" w:rsidRDefault="003639E2" w:rsidP="0047137E">
    <w:pPr>
      <w:pStyle w:val="a5"/>
      <w:pBdr>
        <w:top w:val="single" w:sz="4" w:space="1" w:color="auto"/>
        <w:between w:val="single" w:sz="4" w:space="0" w:color="auto"/>
      </w:pBdr>
      <w:spacing w:after="60"/>
      <w:jc w:val="center"/>
      <w:rPr>
        <w:rFonts w:ascii="FrankRuehl" w:hAnsi="FrankRuehl" w:cs="FrankRuehl"/>
        <w:color w:val="000000"/>
      </w:rPr>
    </w:pPr>
    <w:r w:rsidRPr="004713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DAF4B" w14:textId="77777777" w:rsidR="003639E2" w:rsidRDefault="003639E2" w:rsidP="004713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7282">
      <w:rPr>
        <w:rFonts w:ascii="FrankRuehl" w:hAnsi="FrankRuehl" w:cs="FrankRuehl"/>
        <w:noProof/>
        <w:rtl/>
      </w:rPr>
      <w:t>1</w:t>
    </w:r>
    <w:r>
      <w:rPr>
        <w:rFonts w:ascii="FrankRuehl" w:hAnsi="FrankRuehl" w:cs="FrankRuehl"/>
        <w:rtl/>
      </w:rPr>
      <w:fldChar w:fldCharType="end"/>
    </w:r>
  </w:p>
  <w:p w14:paraId="7B3A9148" w14:textId="77777777" w:rsidR="003639E2" w:rsidRPr="0047137E" w:rsidRDefault="003639E2" w:rsidP="0047137E">
    <w:pPr>
      <w:pStyle w:val="a5"/>
      <w:pBdr>
        <w:top w:val="single" w:sz="4" w:space="1" w:color="auto"/>
        <w:between w:val="single" w:sz="4" w:space="0" w:color="auto"/>
      </w:pBdr>
      <w:spacing w:after="60"/>
      <w:jc w:val="center"/>
      <w:rPr>
        <w:rFonts w:ascii="FrankRuehl" w:hAnsi="FrankRuehl" w:cs="FrankRuehl"/>
        <w:color w:val="000000"/>
      </w:rPr>
    </w:pPr>
    <w:r w:rsidRPr="0047137E">
      <w:rPr>
        <w:rFonts w:ascii="FrankRuehl" w:hAnsi="FrankRuehl" w:cs="FrankRuehl"/>
        <w:color w:val="000000"/>
      </w:rPr>
      <w:pict w14:anchorId="07ACE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4797B" w14:textId="77777777" w:rsidR="008101A3" w:rsidRDefault="008101A3" w:rsidP="00E771AC">
      <w:r>
        <w:separator/>
      </w:r>
    </w:p>
  </w:footnote>
  <w:footnote w:type="continuationSeparator" w:id="0">
    <w:p w14:paraId="257B01D9" w14:textId="77777777" w:rsidR="008101A3" w:rsidRDefault="008101A3" w:rsidP="00E77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54B99" w14:textId="77777777" w:rsidR="003639E2" w:rsidRPr="0047137E" w:rsidRDefault="003639E2" w:rsidP="004713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21666-04-17</w:t>
    </w:r>
    <w:r>
      <w:rPr>
        <w:rFonts w:ascii="David" w:hAnsi="David"/>
        <w:color w:val="000000"/>
        <w:sz w:val="22"/>
        <w:szCs w:val="22"/>
        <w:rtl/>
      </w:rPr>
      <w:tab/>
      <w:t xml:space="preserve"> מדינת ישראל נ' ישראל אלטר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5FA07" w14:textId="77777777" w:rsidR="003639E2" w:rsidRPr="0047137E" w:rsidRDefault="003639E2" w:rsidP="004713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21666-04-17</w:t>
    </w:r>
    <w:r>
      <w:rPr>
        <w:rFonts w:ascii="David" w:hAnsi="David"/>
        <w:color w:val="000000"/>
        <w:sz w:val="22"/>
        <w:szCs w:val="22"/>
        <w:rtl/>
      </w:rPr>
      <w:tab/>
      <w:t xml:space="preserve"> מדינת ישראל נ' ישראל אלטר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2576"/>
    <w:rsid w:val="003639E2"/>
    <w:rsid w:val="0047137E"/>
    <w:rsid w:val="004D4001"/>
    <w:rsid w:val="00532576"/>
    <w:rsid w:val="008101A3"/>
    <w:rsid w:val="00957282"/>
    <w:rsid w:val="00AB3981"/>
    <w:rsid w:val="00AC142C"/>
    <w:rsid w:val="00C93C5D"/>
    <w:rsid w:val="00D56CBE"/>
    <w:rsid w:val="00DF7BE8"/>
    <w:rsid w:val="00E06E1D"/>
    <w:rsid w:val="00E771AC"/>
    <w:rsid w:val="00F77E8A"/>
    <w:rsid w:val="00FC29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9B618C"/>
  <w15:chartTrackingRefBased/>
  <w15:docId w15:val="{2B3BBF58-23A1-4AD3-9571-98A6289C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25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2576"/>
    <w:pPr>
      <w:tabs>
        <w:tab w:val="center" w:pos="4153"/>
        <w:tab w:val="right" w:pos="8306"/>
      </w:tabs>
    </w:pPr>
  </w:style>
  <w:style w:type="character" w:customStyle="1" w:styleId="a4">
    <w:name w:val="כותרת עליונה תו"/>
    <w:link w:val="a3"/>
    <w:rsid w:val="00532576"/>
    <w:rPr>
      <w:rFonts w:ascii="Times New Roman" w:eastAsia="Times New Roman" w:hAnsi="Times New Roman" w:cs="David"/>
      <w:sz w:val="24"/>
      <w:szCs w:val="24"/>
    </w:rPr>
  </w:style>
  <w:style w:type="paragraph" w:styleId="a5">
    <w:name w:val="footer"/>
    <w:basedOn w:val="a"/>
    <w:link w:val="a6"/>
    <w:rsid w:val="00532576"/>
    <w:pPr>
      <w:tabs>
        <w:tab w:val="center" w:pos="4153"/>
        <w:tab w:val="right" w:pos="8306"/>
      </w:tabs>
    </w:pPr>
  </w:style>
  <w:style w:type="character" w:customStyle="1" w:styleId="a6">
    <w:name w:val="כותרת תחתונה תו"/>
    <w:link w:val="a5"/>
    <w:rsid w:val="00532576"/>
    <w:rPr>
      <w:rFonts w:ascii="Times New Roman" w:eastAsia="Times New Roman" w:hAnsi="Times New Roman" w:cs="David"/>
      <w:sz w:val="24"/>
      <w:szCs w:val="24"/>
    </w:rPr>
  </w:style>
  <w:style w:type="table" w:styleId="a7">
    <w:name w:val="Table Grid"/>
    <w:basedOn w:val="a1"/>
    <w:rsid w:val="005325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32576"/>
  </w:style>
  <w:style w:type="paragraph" w:customStyle="1" w:styleId="ListParagraph">
    <w:name w:val="List Paragraph"/>
    <w:basedOn w:val="a"/>
    <w:qFormat/>
    <w:rsid w:val="00532576"/>
    <w:pPr>
      <w:ind w:left="720"/>
      <w:contextualSpacing/>
    </w:pPr>
  </w:style>
  <w:style w:type="character" w:styleId="Hyperlink">
    <w:name w:val="Hyperlink"/>
    <w:rsid w:val="00E06E1D"/>
    <w:rPr>
      <w:color w:val="0563C1"/>
      <w:u w:val="single"/>
    </w:rPr>
  </w:style>
  <w:style w:type="character" w:styleId="a9">
    <w:name w:val="Unresolved Mention"/>
    <w:uiPriority w:val="99"/>
    <w:semiHidden/>
    <w:unhideWhenUsed/>
    <w:rsid w:val="00363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1"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17045282"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2841413" TargetMode="External"/><Relationship Id="rId34" Type="http://schemas.openxmlformats.org/officeDocument/2006/relationships/hyperlink" Target="http://www.nevo.co.il/case/22212088" TargetMode="External"/><Relationship Id="rId42" Type="http://schemas.openxmlformats.org/officeDocument/2006/relationships/hyperlink" Target="http://www.nevo.co.il/case/20450193" TargetMode="External"/><Relationship Id="rId47" Type="http://schemas.openxmlformats.org/officeDocument/2006/relationships/hyperlink" Target="http://www.nevo.co.il/law/71553" TargetMode="External"/><Relationship Id="rId50" Type="http://schemas.openxmlformats.org/officeDocument/2006/relationships/hyperlink" Target="http://www.nevo.co.il/case/23507544" TargetMode="External"/><Relationship Id="rId55" Type="http://schemas.openxmlformats.org/officeDocument/2006/relationships/footer" Target="footer2.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10" TargetMode="External"/><Relationship Id="rId29" Type="http://schemas.openxmlformats.org/officeDocument/2006/relationships/hyperlink" Target="http://www.nevo.co.il/case/829166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244246" TargetMode="External"/><Relationship Id="rId32" Type="http://schemas.openxmlformats.org/officeDocument/2006/relationships/hyperlink" Target="http://www.nevo.co.il/case/22656269"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2938500" TargetMode="External"/><Relationship Id="rId45" Type="http://schemas.openxmlformats.org/officeDocument/2006/relationships/hyperlink" Target="http://www.nevo.co.il/case/13055183"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0705570" TargetMode="External"/><Relationship Id="rId27" Type="http://schemas.openxmlformats.org/officeDocument/2006/relationships/hyperlink" Target="http://www.nevo.co.il/case/22841413" TargetMode="External"/><Relationship Id="rId30" Type="http://schemas.openxmlformats.org/officeDocument/2006/relationships/hyperlink" Target="http://www.nevo.co.il/case/4855721" TargetMode="External"/><Relationship Id="rId35" Type="http://schemas.openxmlformats.org/officeDocument/2006/relationships/hyperlink" Target="http://www.nevo.co.il/case/24911109" TargetMode="External"/><Relationship Id="rId43" Type="http://schemas.openxmlformats.org/officeDocument/2006/relationships/hyperlink" Target="http://www.nevo.co.il/case/20009419" TargetMode="External"/><Relationship Id="rId48" Type="http://schemas.openxmlformats.org/officeDocument/2006/relationships/hyperlink" Target="http://www.nevo.co.il/case/22938500" TargetMode="External"/><Relationship Id="rId56" Type="http://schemas.openxmlformats.org/officeDocument/2006/relationships/fontTable" Target="fontTable.xml"/><Relationship Id="rId8" Type="http://schemas.openxmlformats.org/officeDocument/2006/relationships/hyperlink" Target="http://www.nevo.co.il/law/4216/10"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155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4804940" TargetMode="External"/><Relationship Id="rId33" Type="http://schemas.openxmlformats.org/officeDocument/2006/relationships/hyperlink" Target="http://www.nevo.co.il/case/22695863" TargetMode="External"/><Relationship Id="rId38" Type="http://schemas.openxmlformats.org/officeDocument/2006/relationships/hyperlink" Target="http://www.nevo.co.il/case/10459128" TargetMode="External"/><Relationship Id="rId46" Type="http://schemas.openxmlformats.org/officeDocument/2006/relationships/hyperlink" Target="http://www.nevo.co.il/law/71553/1" TargetMode="External"/><Relationship Id="rId20" Type="http://schemas.openxmlformats.org/officeDocument/2006/relationships/hyperlink" Target="http://www.nevo.co.il/case/13093721" TargetMode="External"/><Relationship Id="rId41" Type="http://schemas.openxmlformats.org/officeDocument/2006/relationships/hyperlink" Target="http://www.nevo.co.il/case/20490021"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 TargetMode="External"/><Relationship Id="rId23" Type="http://schemas.openxmlformats.org/officeDocument/2006/relationships/hyperlink" Target="http://www.nevo.co.il/case/5681790" TargetMode="External"/><Relationship Id="rId28" Type="http://schemas.openxmlformats.org/officeDocument/2006/relationships/hyperlink" Target="http://www.nevo.co.il/case/20881083" TargetMode="External"/><Relationship Id="rId36" Type="http://schemas.openxmlformats.org/officeDocument/2006/relationships/hyperlink" Target="http://www.nevo.co.il/law/70301/40d" TargetMode="External"/><Relationship Id="rId49" Type="http://schemas.openxmlformats.org/officeDocument/2006/relationships/hyperlink" Target="http://www.nevo.co.il/case/5670039" TargetMode="External"/><Relationship Id="rId57" Type="http://schemas.openxmlformats.org/officeDocument/2006/relationships/theme" Target="theme/theme1.xml"/><Relationship Id="rId10" Type="http://schemas.openxmlformats.org/officeDocument/2006/relationships/hyperlink" Target="http://www.nevo.co.il/law/70301/40d" TargetMode="External"/><Relationship Id="rId31" Type="http://schemas.openxmlformats.org/officeDocument/2006/relationships/hyperlink" Target="http://www.nevo.co.il/case/21561698" TargetMode="External"/><Relationship Id="rId44" Type="http://schemas.openxmlformats.org/officeDocument/2006/relationships/hyperlink" Target="http://www.nevo.co.il/case/22938500"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3236</Words>
  <Characters>16180</Characters>
  <Application>Microsoft Office Word</Application>
  <DocSecurity>0</DocSecurity>
  <Lines>134</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19378</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3407986</vt:i4>
      </vt:variant>
      <vt:variant>
        <vt:i4>132</vt:i4>
      </vt:variant>
      <vt:variant>
        <vt:i4>0</vt:i4>
      </vt:variant>
      <vt:variant>
        <vt:i4>5</vt:i4>
      </vt:variant>
      <vt:variant>
        <vt:lpwstr>http://www.nevo.co.il/case/23507544</vt:lpwstr>
      </vt:variant>
      <vt:variant>
        <vt:lpwstr/>
      </vt:variant>
      <vt:variant>
        <vt:i4>3866737</vt:i4>
      </vt:variant>
      <vt:variant>
        <vt:i4>129</vt:i4>
      </vt:variant>
      <vt:variant>
        <vt:i4>0</vt:i4>
      </vt:variant>
      <vt:variant>
        <vt:i4>5</vt:i4>
      </vt:variant>
      <vt:variant>
        <vt:lpwstr>http://www.nevo.co.il/case/5670039</vt:lpwstr>
      </vt:variant>
      <vt:variant>
        <vt:lpwstr/>
      </vt:variant>
      <vt:variant>
        <vt:i4>3342448</vt:i4>
      </vt:variant>
      <vt:variant>
        <vt:i4>126</vt:i4>
      </vt:variant>
      <vt:variant>
        <vt:i4>0</vt:i4>
      </vt:variant>
      <vt:variant>
        <vt:i4>5</vt:i4>
      </vt:variant>
      <vt:variant>
        <vt:lpwstr>http://www.nevo.co.il/case/22938500</vt:lpwstr>
      </vt:variant>
      <vt:variant>
        <vt:lpwstr/>
      </vt:variant>
      <vt:variant>
        <vt:i4>8257634</vt:i4>
      </vt:variant>
      <vt:variant>
        <vt:i4>123</vt:i4>
      </vt:variant>
      <vt:variant>
        <vt:i4>0</vt:i4>
      </vt:variant>
      <vt:variant>
        <vt:i4>5</vt:i4>
      </vt:variant>
      <vt:variant>
        <vt:lpwstr>http://www.nevo.co.il/law/71553</vt:lpwstr>
      </vt:variant>
      <vt:variant>
        <vt:lpwstr/>
      </vt:variant>
      <vt:variant>
        <vt:i4>5308497</vt:i4>
      </vt:variant>
      <vt:variant>
        <vt:i4>120</vt:i4>
      </vt:variant>
      <vt:variant>
        <vt:i4>0</vt:i4>
      </vt:variant>
      <vt:variant>
        <vt:i4>5</vt:i4>
      </vt:variant>
      <vt:variant>
        <vt:lpwstr>http://www.nevo.co.il/law/71553/1</vt:lpwstr>
      </vt:variant>
      <vt:variant>
        <vt:lpwstr/>
      </vt:variant>
      <vt:variant>
        <vt:i4>3932275</vt:i4>
      </vt:variant>
      <vt:variant>
        <vt:i4>117</vt:i4>
      </vt:variant>
      <vt:variant>
        <vt:i4>0</vt:i4>
      </vt:variant>
      <vt:variant>
        <vt:i4>5</vt:i4>
      </vt:variant>
      <vt:variant>
        <vt:lpwstr>http://www.nevo.co.il/case/13055183</vt:lpwstr>
      </vt:variant>
      <vt:variant>
        <vt:lpwstr/>
      </vt:variant>
      <vt:variant>
        <vt:i4>3342448</vt:i4>
      </vt:variant>
      <vt:variant>
        <vt:i4>114</vt:i4>
      </vt:variant>
      <vt:variant>
        <vt:i4>0</vt:i4>
      </vt:variant>
      <vt:variant>
        <vt:i4>5</vt:i4>
      </vt:variant>
      <vt:variant>
        <vt:lpwstr>http://www.nevo.co.il/case/22938500</vt:lpwstr>
      </vt:variant>
      <vt:variant>
        <vt:lpwstr/>
      </vt:variant>
      <vt:variant>
        <vt:i4>3801200</vt:i4>
      </vt:variant>
      <vt:variant>
        <vt:i4>111</vt:i4>
      </vt:variant>
      <vt:variant>
        <vt:i4>0</vt:i4>
      </vt:variant>
      <vt:variant>
        <vt:i4>5</vt:i4>
      </vt:variant>
      <vt:variant>
        <vt:lpwstr>http://www.nevo.co.il/case/20009419</vt:lpwstr>
      </vt:variant>
      <vt:variant>
        <vt:lpwstr/>
      </vt:variant>
      <vt:variant>
        <vt:i4>4128880</vt:i4>
      </vt:variant>
      <vt:variant>
        <vt:i4>108</vt:i4>
      </vt:variant>
      <vt:variant>
        <vt:i4>0</vt:i4>
      </vt:variant>
      <vt:variant>
        <vt:i4>5</vt:i4>
      </vt:variant>
      <vt:variant>
        <vt:lpwstr>http://www.nevo.co.il/case/20450193</vt:lpwstr>
      </vt:variant>
      <vt:variant>
        <vt:lpwstr/>
      </vt:variant>
      <vt:variant>
        <vt:i4>3407997</vt:i4>
      </vt:variant>
      <vt:variant>
        <vt:i4>105</vt:i4>
      </vt:variant>
      <vt:variant>
        <vt:i4>0</vt:i4>
      </vt:variant>
      <vt:variant>
        <vt:i4>5</vt:i4>
      </vt:variant>
      <vt:variant>
        <vt:lpwstr>http://www.nevo.co.il/case/20490021</vt:lpwstr>
      </vt:variant>
      <vt:variant>
        <vt:lpwstr/>
      </vt:variant>
      <vt:variant>
        <vt:i4>3342448</vt:i4>
      </vt:variant>
      <vt:variant>
        <vt:i4>102</vt:i4>
      </vt:variant>
      <vt:variant>
        <vt:i4>0</vt:i4>
      </vt:variant>
      <vt:variant>
        <vt:i4>5</vt:i4>
      </vt:variant>
      <vt:variant>
        <vt:lpwstr>http://www.nevo.co.il/case/22938500</vt:lpwstr>
      </vt:variant>
      <vt:variant>
        <vt:lpwstr/>
      </vt:variant>
      <vt:variant>
        <vt:i4>7995492</vt:i4>
      </vt:variant>
      <vt:variant>
        <vt:i4>99</vt:i4>
      </vt:variant>
      <vt:variant>
        <vt:i4>0</vt:i4>
      </vt:variant>
      <vt:variant>
        <vt:i4>5</vt:i4>
      </vt:variant>
      <vt:variant>
        <vt:lpwstr>http://www.nevo.co.il/law/70301</vt:lpwstr>
      </vt:variant>
      <vt:variant>
        <vt:lpwstr/>
      </vt:variant>
      <vt:variant>
        <vt:i4>4063344</vt:i4>
      </vt:variant>
      <vt:variant>
        <vt:i4>96</vt:i4>
      </vt:variant>
      <vt:variant>
        <vt:i4>0</vt:i4>
      </vt:variant>
      <vt:variant>
        <vt:i4>5</vt:i4>
      </vt:variant>
      <vt:variant>
        <vt:lpwstr>http://www.nevo.co.il/case/10459128</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3801200</vt:i4>
      </vt:variant>
      <vt:variant>
        <vt:i4>87</vt:i4>
      </vt:variant>
      <vt:variant>
        <vt:i4>0</vt:i4>
      </vt:variant>
      <vt:variant>
        <vt:i4>5</vt:i4>
      </vt:variant>
      <vt:variant>
        <vt:lpwstr>http://www.nevo.co.il/case/24911109</vt:lpwstr>
      </vt:variant>
      <vt:variant>
        <vt:lpwstr/>
      </vt:variant>
      <vt:variant>
        <vt:i4>3801207</vt:i4>
      </vt:variant>
      <vt:variant>
        <vt:i4>84</vt:i4>
      </vt:variant>
      <vt:variant>
        <vt:i4>0</vt:i4>
      </vt:variant>
      <vt:variant>
        <vt:i4>5</vt:i4>
      </vt:variant>
      <vt:variant>
        <vt:lpwstr>http://www.nevo.co.il/case/22212088</vt:lpwstr>
      </vt:variant>
      <vt:variant>
        <vt:lpwstr/>
      </vt:variant>
      <vt:variant>
        <vt:i4>3604599</vt:i4>
      </vt:variant>
      <vt:variant>
        <vt:i4>81</vt:i4>
      </vt:variant>
      <vt:variant>
        <vt:i4>0</vt:i4>
      </vt:variant>
      <vt:variant>
        <vt:i4>5</vt:i4>
      </vt:variant>
      <vt:variant>
        <vt:lpwstr>http://www.nevo.co.il/case/22695863</vt:lpwstr>
      </vt:variant>
      <vt:variant>
        <vt:lpwstr/>
      </vt:variant>
      <vt:variant>
        <vt:i4>3407985</vt:i4>
      </vt:variant>
      <vt:variant>
        <vt:i4>78</vt:i4>
      </vt:variant>
      <vt:variant>
        <vt:i4>0</vt:i4>
      </vt:variant>
      <vt:variant>
        <vt:i4>5</vt:i4>
      </vt:variant>
      <vt:variant>
        <vt:lpwstr>http://www.nevo.co.il/case/22656269</vt:lpwstr>
      </vt:variant>
      <vt:variant>
        <vt:lpwstr/>
      </vt:variant>
      <vt:variant>
        <vt:i4>4128885</vt:i4>
      </vt:variant>
      <vt:variant>
        <vt:i4>75</vt:i4>
      </vt:variant>
      <vt:variant>
        <vt:i4>0</vt:i4>
      </vt:variant>
      <vt:variant>
        <vt:i4>5</vt:i4>
      </vt:variant>
      <vt:variant>
        <vt:lpwstr>http://www.nevo.co.il/case/21561698</vt:lpwstr>
      </vt:variant>
      <vt:variant>
        <vt:lpwstr/>
      </vt:variant>
      <vt:variant>
        <vt:i4>3604603</vt:i4>
      </vt:variant>
      <vt:variant>
        <vt:i4>72</vt:i4>
      </vt:variant>
      <vt:variant>
        <vt:i4>0</vt:i4>
      </vt:variant>
      <vt:variant>
        <vt:i4>5</vt:i4>
      </vt:variant>
      <vt:variant>
        <vt:lpwstr>http://www.nevo.co.il/case/4855721</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3342460</vt:i4>
      </vt:variant>
      <vt:variant>
        <vt:i4>66</vt:i4>
      </vt:variant>
      <vt:variant>
        <vt:i4>0</vt:i4>
      </vt:variant>
      <vt:variant>
        <vt:i4>5</vt:i4>
      </vt:variant>
      <vt:variant>
        <vt:lpwstr>http://www.nevo.co.il/case/20881083</vt:lpwstr>
      </vt:variant>
      <vt:variant>
        <vt:lpwstr/>
      </vt:variant>
      <vt:variant>
        <vt:i4>3801206</vt:i4>
      </vt:variant>
      <vt:variant>
        <vt:i4>63</vt:i4>
      </vt:variant>
      <vt:variant>
        <vt:i4>0</vt:i4>
      </vt:variant>
      <vt:variant>
        <vt:i4>5</vt:i4>
      </vt:variant>
      <vt:variant>
        <vt:lpwstr>http://www.nevo.co.il/case/22841413</vt:lpwstr>
      </vt:variant>
      <vt:variant>
        <vt:lpwstr/>
      </vt:variant>
      <vt:variant>
        <vt:i4>3932277</vt:i4>
      </vt:variant>
      <vt:variant>
        <vt:i4>60</vt:i4>
      </vt:variant>
      <vt:variant>
        <vt:i4>0</vt:i4>
      </vt:variant>
      <vt:variant>
        <vt:i4>5</vt:i4>
      </vt:variant>
      <vt:variant>
        <vt:lpwstr>http://www.nevo.co.il/case/17045282</vt:lpwstr>
      </vt:variant>
      <vt:variant>
        <vt:lpwstr/>
      </vt:variant>
      <vt:variant>
        <vt:i4>3997820</vt:i4>
      </vt:variant>
      <vt:variant>
        <vt:i4>57</vt:i4>
      </vt:variant>
      <vt:variant>
        <vt:i4>0</vt:i4>
      </vt:variant>
      <vt:variant>
        <vt:i4>5</vt:i4>
      </vt:variant>
      <vt:variant>
        <vt:lpwstr>http://www.nevo.co.il/case/4804940</vt:lpwstr>
      </vt:variant>
      <vt:variant>
        <vt:lpwstr/>
      </vt:variant>
      <vt:variant>
        <vt:i4>131138</vt:i4>
      </vt:variant>
      <vt:variant>
        <vt:i4>54</vt:i4>
      </vt:variant>
      <vt:variant>
        <vt:i4>0</vt:i4>
      </vt:variant>
      <vt:variant>
        <vt:i4>5</vt:i4>
      </vt:variant>
      <vt:variant>
        <vt:lpwstr>http://www.nevo.co.il/case/244246</vt:lpwstr>
      </vt:variant>
      <vt:variant>
        <vt:lpwstr/>
      </vt:variant>
      <vt:variant>
        <vt:i4>3801210</vt:i4>
      </vt:variant>
      <vt:variant>
        <vt:i4>51</vt:i4>
      </vt:variant>
      <vt:variant>
        <vt:i4>0</vt:i4>
      </vt:variant>
      <vt:variant>
        <vt:i4>5</vt:i4>
      </vt:variant>
      <vt:variant>
        <vt:lpwstr>http://www.nevo.co.il/case/5681790</vt:lpwstr>
      </vt:variant>
      <vt:variant>
        <vt:lpwstr/>
      </vt:variant>
      <vt:variant>
        <vt:i4>3604593</vt:i4>
      </vt:variant>
      <vt:variant>
        <vt:i4>48</vt:i4>
      </vt:variant>
      <vt:variant>
        <vt:i4>0</vt:i4>
      </vt:variant>
      <vt:variant>
        <vt:i4>5</vt:i4>
      </vt:variant>
      <vt:variant>
        <vt:lpwstr>http://www.nevo.co.il/case/20705570</vt:lpwstr>
      </vt:variant>
      <vt:variant>
        <vt:lpwstr/>
      </vt:variant>
      <vt:variant>
        <vt:i4>3801206</vt:i4>
      </vt:variant>
      <vt:variant>
        <vt:i4>45</vt:i4>
      </vt:variant>
      <vt:variant>
        <vt:i4>0</vt:i4>
      </vt:variant>
      <vt:variant>
        <vt:i4>5</vt:i4>
      </vt:variant>
      <vt:variant>
        <vt:lpwstr>http://www.nevo.co.il/case/22841413</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5308497</vt:i4>
      </vt:variant>
      <vt:variant>
        <vt:i4>21</vt:i4>
      </vt:variant>
      <vt:variant>
        <vt:i4>0</vt:i4>
      </vt:variant>
      <vt:variant>
        <vt:i4>5</vt:i4>
      </vt:variant>
      <vt:variant>
        <vt:lpwstr>http://www.nevo.co.il/law/71553/1</vt:lpwstr>
      </vt:variant>
      <vt:variant>
        <vt:lpwstr/>
      </vt:variant>
      <vt:variant>
        <vt:i4>8257634</vt:i4>
      </vt:variant>
      <vt:variant>
        <vt:i4>18</vt:i4>
      </vt:variant>
      <vt:variant>
        <vt:i4>0</vt:i4>
      </vt:variant>
      <vt:variant>
        <vt:i4>5</vt:i4>
      </vt:variant>
      <vt:variant>
        <vt:lpwstr>http://www.nevo.co.il/law/71553</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21666</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ישראל אלטר</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20180805</vt:lpwstr>
  </property>
  <property fmtid="{D5CDD505-2E9C-101B-9397-08002B2CF9AE}" pid="13" name="TYPE_N_DATE">
    <vt:lpwstr>38020180805</vt:lpwstr>
  </property>
  <property fmtid="{D5CDD505-2E9C-101B-9397-08002B2CF9AE}" pid="14" name="WORDNUMPAGES">
    <vt:lpwstr>10</vt:lpwstr>
  </property>
  <property fmtid="{D5CDD505-2E9C-101B-9397-08002B2CF9AE}" pid="15" name="TYPE_ABS_DATE">
    <vt:lpwstr>380020180805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13093721;22841413:2;20705570;5681790;244246;4804940;17045282;20881083;8291661;4855721;21561698;22656269;22695863;22212088;24911109;10459128;22938500:3;20490021;20450193;20009419;13055183;5670039;23507544</vt:lpwstr>
  </property>
  <property fmtid="{D5CDD505-2E9C-101B-9397-08002B2CF9AE}" pid="36" name="LAWLISTTMP1">
    <vt:lpwstr>4216/006;010</vt:lpwstr>
  </property>
  <property fmtid="{D5CDD505-2E9C-101B-9397-08002B2CF9AE}" pid="37" name="LAWLISTTMP2">
    <vt:lpwstr>70301/040i;040d</vt:lpwstr>
  </property>
  <property fmtid="{D5CDD505-2E9C-101B-9397-08002B2CF9AE}" pid="38" name="LAWLISTTMP3">
    <vt:lpwstr>71553/001</vt:lpwstr>
  </property>
</Properties>
</file>