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870FE" w:rsidRPr="00195210" w14:paraId="29F6405B" w14:textId="77777777" w:rsidTr="00894922">
        <w:trPr>
          <w:trHeight w:hRule="exact" w:val="418"/>
          <w:jc w:val="center"/>
        </w:trPr>
        <w:tc>
          <w:tcPr>
            <w:tcW w:w="8721" w:type="dxa"/>
            <w:gridSpan w:val="2"/>
          </w:tcPr>
          <w:p w14:paraId="01D6D6AC" w14:textId="77777777" w:rsidR="002870FE" w:rsidRPr="00195210" w:rsidRDefault="002870FE" w:rsidP="009B4650">
            <w:pPr>
              <w:pStyle w:val="a3"/>
              <w:jc w:val="center"/>
              <w:rPr>
                <w:rFonts w:ascii="Tahoma" w:hAnsi="Tahoma"/>
                <w:color w:val="000080"/>
                <w:sz w:val="32"/>
                <w:szCs w:val="32"/>
                <w:rtl/>
              </w:rPr>
            </w:pPr>
            <w:bookmarkStart w:id="0" w:name="LastJudge"/>
            <w:r w:rsidRPr="00195210">
              <w:rPr>
                <w:rFonts w:ascii="Tahoma" w:hAnsi="Tahoma"/>
                <w:b/>
                <w:bCs/>
                <w:color w:val="000080"/>
                <w:sz w:val="32"/>
                <w:szCs w:val="32"/>
                <w:rtl/>
              </w:rPr>
              <w:t>בית משפט השלום בתל אביב - יפו</w:t>
            </w:r>
          </w:p>
        </w:tc>
      </w:tr>
      <w:tr w:rsidR="002870FE" w:rsidRPr="00195210" w14:paraId="204C126A" w14:textId="77777777" w:rsidTr="00894922">
        <w:trPr>
          <w:trHeight w:val="337"/>
          <w:jc w:val="center"/>
        </w:trPr>
        <w:tc>
          <w:tcPr>
            <w:tcW w:w="5054" w:type="dxa"/>
          </w:tcPr>
          <w:p w14:paraId="670F9B8E" w14:textId="77777777" w:rsidR="002870FE" w:rsidRPr="00195210" w:rsidRDefault="002870FE" w:rsidP="009B4650">
            <w:pPr>
              <w:rPr>
                <w:sz w:val="26"/>
                <w:szCs w:val="26"/>
                <w:rtl/>
              </w:rPr>
            </w:pPr>
            <w:r w:rsidRPr="00195210">
              <w:rPr>
                <w:sz w:val="26"/>
                <w:szCs w:val="26"/>
                <w:rtl/>
              </w:rPr>
              <w:t>ת"פ</w:t>
            </w:r>
            <w:r w:rsidRPr="00195210">
              <w:rPr>
                <w:rFonts w:hint="cs"/>
                <w:sz w:val="26"/>
                <w:szCs w:val="26"/>
                <w:rtl/>
              </w:rPr>
              <w:t xml:space="preserve"> </w:t>
            </w:r>
            <w:r w:rsidRPr="00195210">
              <w:rPr>
                <w:sz w:val="26"/>
                <w:szCs w:val="26"/>
                <w:rtl/>
              </w:rPr>
              <w:t>28215-04-17</w:t>
            </w:r>
            <w:r w:rsidRPr="00195210">
              <w:rPr>
                <w:rFonts w:hint="cs"/>
                <w:sz w:val="26"/>
                <w:szCs w:val="26"/>
                <w:rtl/>
              </w:rPr>
              <w:t xml:space="preserve"> </w:t>
            </w:r>
            <w:r w:rsidRPr="00195210">
              <w:rPr>
                <w:sz w:val="26"/>
                <w:szCs w:val="26"/>
                <w:rtl/>
              </w:rPr>
              <w:t>מדינת ישראל נ' עטאר</w:t>
            </w:r>
          </w:p>
        </w:tc>
        <w:tc>
          <w:tcPr>
            <w:tcW w:w="3667" w:type="dxa"/>
          </w:tcPr>
          <w:p w14:paraId="5CCF85C7" w14:textId="77777777" w:rsidR="002870FE" w:rsidRPr="00195210" w:rsidRDefault="002870FE" w:rsidP="009B4650">
            <w:pPr>
              <w:pStyle w:val="a3"/>
              <w:jc w:val="right"/>
              <w:rPr>
                <w:rFonts w:cs="FrankRuehl"/>
                <w:sz w:val="28"/>
                <w:szCs w:val="28"/>
                <w:rtl/>
              </w:rPr>
            </w:pPr>
          </w:p>
        </w:tc>
      </w:tr>
    </w:tbl>
    <w:p w14:paraId="216B2E4C" w14:textId="77777777" w:rsidR="002870FE" w:rsidRPr="00195210" w:rsidRDefault="002870FE" w:rsidP="002870FE">
      <w:pPr>
        <w:pStyle w:val="a3"/>
        <w:rPr>
          <w:rtl/>
        </w:rPr>
      </w:pPr>
      <w:r w:rsidRPr="00195210">
        <w:rPr>
          <w:rFonts w:hint="cs"/>
          <w:rtl/>
        </w:rPr>
        <w:t xml:space="preserve"> </w:t>
      </w:r>
    </w:p>
    <w:p w14:paraId="27DBDF85" w14:textId="77777777" w:rsidR="002870FE" w:rsidRPr="00195210" w:rsidRDefault="002870FE" w:rsidP="002870FE">
      <w:pPr>
        <w:rPr>
          <w:rtl/>
        </w:rPr>
      </w:pPr>
    </w:p>
    <w:p w14:paraId="391AB6DA" w14:textId="77777777" w:rsidR="002870FE" w:rsidRPr="00195210" w:rsidRDefault="002870FE" w:rsidP="002870F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12"/>
        <w:gridCol w:w="3377"/>
      </w:tblGrid>
      <w:tr w:rsidR="002870FE" w:rsidRPr="00195210" w14:paraId="36998C6F" w14:textId="77777777" w:rsidTr="002870FE">
        <w:trPr>
          <w:trHeight w:val="295"/>
          <w:jc w:val="center"/>
        </w:trPr>
        <w:tc>
          <w:tcPr>
            <w:tcW w:w="8820" w:type="dxa"/>
            <w:gridSpan w:val="3"/>
            <w:tcBorders>
              <w:top w:val="nil"/>
              <w:left w:val="nil"/>
              <w:bottom w:val="nil"/>
              <w:right w:val="nil"/>
            </w:tcBorders>
            <w:shd w:val="clear" w:color="auto" w:fill="auto"/>
          </w:tcPr>
          <w:p w14:paraId="50E59240" w14:textId="77777777" w:rsidR="002870FE" w:rsidRPr="00195210" w:rsidRDefault="002870FE" w:rsidP="002870FE">
            <w:pPr>
              <w:jc w:val="both"/>
              <w:rPr>
                <w:sz w:val="26"/>
                <w:szCs w:val="26"/>
                <w:rtl/>
              </w:rPr>
            </w:pPr>
            <w:r w:rsidRPr="00195210">
              <w:rPr>
                <w:rFonts w:ascii="Arial" w:hAnsi="Arial" w:hint="cs"/>
                <w:b/>
                <w:bCs/>
                <w:sz w:val="26"/>
                <w:szCs w:val="26"/>
                <w:rtl/>
              </w:rPr>
              <w:t>ל</w:t>
            </w:r>
            <w:r w:rsidRPr="00195210">
              <w:rPr>
                <w:rFonts w:ascii="Arial" w:hAnsi="Arial"/>
                <w:b/>
                <w:bCs/>
                <w:sz w:val="26"/>
                <w:szCs w:val="26"/>
                <w:rtl/>
              </w:rPr>
              <w:t xml:space="preserve">פני </w:t>
            </w:r>
            <w:r w:rsidRPr="00195210">
              <w:rPr>
                <w:rFonts w:ascii="Arial" w:hAnsi="Arial" w:hint="cs"/>
                <w:b/>
                <w:bCs/>
                <w:sz w:val="26"/>
                <w:szCs w:val="26"/>
                <w:rtl/>
              </w:rPr>
              <w:t>כבוד ה</w:t>
            </w:r>
            <w:r w:rsidRPr="00195210">
              <w:rPr>
                <w:rFonts w:ascii="Arial" w:hAnsi="Arial"/>
                <w:b/>
                <w:bCs/>
                <w:sz w:val="26"/>
                <w:szCs w:val="26"/>
                <w:rtl/>
              </w:rPr>
              <w:t>שופט</w:t>
            </w:r>
            <w:r w:rsidRPr="00195210">
              <w:rPr>
                <w:rFonts w:ascii="Arial" w:hAnsi="Arial" w:hint="cs"/>
                <w:b/>
                <w:bCs/>
                <w:sz w:val="26"/>
                <w:szCs w:val="26"/>
                <w:rtl/>
              </w:rPr>
              <w:t xml:space="preserve">  </w:t>
            </w:r>
            <w:r w:rsidRPr="00195210">
              <w:rPr>
                <w:rFonts w:ascii="Arial" w:hAnsi="Arial"/>
                <w:b/>
                <w:bCs/>
                <w:sz w:val="26"/>
                <w:szCs w:val="26"/>
                <w:rtl/>
              </w:rPr>
              <w:t>עידו דרויאן-גמליאל</w:t>
            </w:r>
          </w:p>
          <w:p w14:paraId="12287EEA" w14:textId="77777777" w:rsidR="002870FE" w:rsidRPr="00195210" w:rsidRDefault="002870FE" w:rsidP="002870FE">
            <w:pPr>
              <w:jc w:val="both"/>
              <w:rPr>
                <w:rFonts w:ascii="Arial" w:hAnsi="Arial"/>
                <w:b/>
                <w:bCs/>
                <w:sz w:val="26"/>
                <w:szCs w:val="26"/>
              </w:rPr>
            </w:pPr>
          </w:p>
        </w:tc>
      </w:tr>
      <w:tr w:rsidR="002870FE" w:rsidRPr="00195210" w14:paraId="21DF10DF" w14:textId="77777777" w:rsidTr="002870FE">
        <w:trPr>
          <w:trHeight w:val="355"/>
          <w:jc w:val="center"/>
        </w:trPr>
        <w:tc>
          <w:tcPr>
            <w:tcW w:w="885" w:type="dxa"/>
            <w:tcBorders>
              <w:top w:val="nil"/>
              <w:left w:val="nil"/>
              <w:bottom w:val="nil"/>
              <w:right w:val="nil"/>
            </w:tcBorders>
            <w:shd w:val="clear" w:color="auto" w:fill="auto"/>
          </w:tcPr>
          <w:p w14:paraId="3BAD455B" w14:textId="77777777" w:rsidR="002870FE" w:rsidRPr="00195210" w:rsidRDefault="002870FE" w:rsidP="002870FE">
            <w:pPr>
              <w:jc w:val="both"/>
              <w:rPr>
                <w:rFonts w:ascii="Arial" w:hAnsi="Arial"/>
                <w:b/>
                <w:bCs/>
                <w:sz w:val="26"/>
                <w:szCs w:val="26"/>
              </w:rPr>
            </w:pPr>
            <w:bookmarkStart w:id="1" w:name="FirstAppellant"/>
            <w:bookmarkStart w:id="2" w:name="FirstLawyer"/>
            <w:r w:rsidRPr="00195210">
              <w:rPr>
                <w:rFonts w:ascii="Arial" w:hAnsi="Arial" w:hint="cs"/>
                <w:b/>
                <w:bCs/>
                <w:sz w:val="26"/>
                <w:szCs w:val="26"/>
                <w:rtl/>
              </w:rPr>
              <w:t>ה</w:t>
            </w:r>
            <w:r w:rsidRPr="00195210">
              <w:rPr>
                <w:rFonts w:ascii="Arial" w:hAnsi="Arial"/>
                <w:b/>
                <w:bCs/>
                <w:sz w:val="26"/>
                <w:szCs w:val="26"/>
                <w:rtl/>
              </w:rPr>
              <w:t>מאשימה</w:t>
            </w:r>
          </w:p>
        </w:tc>
        <w:tc>
          <w:tcPr>
            <w:tcW w:w="4384" w:type="dxa"/>
            <w:tcBorders>
              <w:top w:val="nil"/>
              <w:left w:val="nil"/>
              <w:bottom w:val="nil"/>
              <w:right w:val="nil"/>
            </w:tcBorders>
            <w:shd w:val="clear" w:color="auto" w:fill="auto"/>
          </w:tcPr>
          <w:p w14:paraId="014A9565" w14:textId="77777777" w:rsidR="002870FE" w:rsidRPr="00195210" w:rsidRDefault="002870FE" w:rsidP="009B4650">
            <w:pPr>
              <w:rPr>
                <w:b/>
                <w:bCs/>
                <w:sz w:val="26"/>
                <w:szCs w:val="26"/>
                <w:rtl/>
              </w:rPr>
            </w:pPr>
            <w:r w:rsidRPr="00195210">
              <w:rPr>
                <w:rFonts w:ascii="Arial" w:hAnsi="Arial"/>
                <w:b/>
                <w:bCs/>
                <w:sz w:val="26"/>
                <w:szCs w:val="26"/>
                <w:rtl/>
              </w:rPr>
              <w:t>מדינת ישראל</w:t>
            </w:r>
          </w:p>
          <w:p w14:paraId="2551F54C" w14:textId="77777777" w:rsidR="002870FE" w:rsidRPr="00195210" w:rsidRDefault="002870FE" w:rsidP="009B4650">
            <w:pPr>
              <w:rPr>
                <w:sz w:val="26"/>
                <w:szCs w:val="26"/>
              </w:rPr>
            </w:pPr>
            <w:r w:rsidRPr="00195210">
              <w:rPr>
                <w:rFonts w:hint="cs"/>
                <w:sz w:val="26"/>
                <w:szCs w:val="26"/>
                <w:rtl/>
              </w:rPr>
              <w:t>ע"י ב"כ גב' שיראל כהן (מתמחה)</w:t>
            </w:r>
          </w:p>
        </w:tc>
        <w:tc>
          <w:tcPr>
            <w:tcW w:w="3551" w:type="dxa"/>
            <w:tcBorders>
              <w:top w:val="nil"/>
              <w:left w:val="nil"/>
              <w:bottom w:val="nil"/>
              <w:right w:val="nil"/>
            </w:tcBorders>
            <w:shd w:val="clear" w:color="auto" w:fill="auto"/>
          </w:tcPr>
          <w:p w14:paraId="543C2187" w14:textId="77777777" w:rsidR="002870FE" w:rsidRPr="00195210" w:rsidRDefault="002870FE" w:rsidP="002870FE">
            <w:pPr>
              <w:jc w:val="both"/>
              <w:rPr>
                <w:rFonts w:ascii="Arial" w:hAnsi="Arial"/>
                <w:sz w:val="26"/>
                <w:szCs w:val="26"/>
              </w:rPr>
            </w:pPr>
          </w:p>
        </w:tc>
      </w:tr>
      <w:bookmarkEnd w:id="1"/>
      <w:bookmarkEnd w:id="2"/>
      <w:tr w:rsidR="002870FE" w:rsidRPr="00195210" w14:paraId="3EE88863" w14:textId="77777777" w:rsidTr="002870FE">
        <w:trPr>
          <w:trHeight w:val="373"/>
          <w:jc w:val="center"/>
        </w:trPr>
        <w:tc>
          <w:tcPr>
            <w:tcW w:w="885" w:type="dxa"/>
            <w:tcBorders>
              <w:top w:val="nil"/>
              <w:left w:val="nil"/>
              <w:bottom w:val="nil"/>
              <w:right w:val="nil"/>
            </w:tcBorders>
            <w:shd w:val="clear" w:color="auto" w:fill="auto"/>
          </w:tcPr>
          <w:p w14:paraId="05970E7C" w14:textId="77777777" w:rsidR="002870FE" w:rsidRPr="00195210" w:rsidRDefault="002870FE" w:rsidP="002870FE">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0F136BDD" w14:textId="77777777" w:rsidR="002870FE" w:rsidRPr="00195210" w:rsidRDefault="002870FE" w:rsidP="002870FE">
            <w:pPr>
              <w:jc w:val="center"/>
              <w:rPr>
                <w:rFonts w:ascii="Arial" w:hAnsi="Arial"/>
                <w:b/>
                <w:bCs/>
                <w:sz w:val="26"/>
                <w:szCs w:val="26"/>
                <w:rtl/>
              </w:rPr>
            </w:pPr>
          </w:p>
          <w:p w14:paraId="771DB554" w14:textId="77777777" w:rsidR="002870FE" w:rsidRPr="00195210" w:rsidRDefault="002870FE" w:rsidP="002870FE">
            <w:pPr>
              <w:jc w:val="center"/>
              <w:rPr>
                <w:rFonts w:ascii="Arial" w:hAnsi="Arial"/>
                <w:b/>
                <w:bCs/>
                <w:sz w:val="26"/>
                <w:szCs w:val="26"/>
                <w:rtl/>
              </w:rPr>
            </w:pPr>
            <w:r w:rsidRPr="00195210">
              <w:rPr>
                <w:rFonts w:ascii="Arial" w:hAnsi="Arial"/>
                <w:b/>
                <w:bCs/>
                <w:sz w:val="26"/>
                <w:szCs w:val="26"/>
                <w:rtl/>
              </w:rPr>
              <w:t>נגד</w:t>
            </w:r>
          </w:p>
          <w:p w14:paraId="49C2529F" w14:textId="77777777" w:rsidR="002870FE" w:rsidRPr="00195210" w:rsidRDefault="002870FE" w:rsidP="002870FE">
            <w:pPr>
              <w:jc w:val="both"/>
              <w:rPr>
                <w:rFonts w:ascii="Arial" w:hAnsi="Arial"/>
                <w:sz w:val="26"/>
                <w:szCs w:val="26"/>
              </w:rPr>
            </w:pPr>
          </w:p>
        </w:tc>
      </w:tr>
      <w:tr w:rsidR="002870FE" w:rsidRPr="00195210" w14:paraId="7ED4BB81" w14:textId="77777777" w:rsidTr="002870FE">
        <w:trPr>
          <w:trHeight w:val="355"/>
          <w:jc w:val="center"/>
        </w:trPr>
        <w:tc>
          <w:tcPr>
            <w:tcW w:w="885" w:type="dxa"/>
            <w:tcBorders>
              <w:top w:val="nil"/>
              <w:left w:val="nil"/>
              <w:bottom w:val="nil"/>
              <w:right w:val="nil"/>
            </w:tcBorders>
            <w:shd w:val="clear" w:color="auto" w:fill="auto"/>
          </w:tcPr>
          <w:p w14:paraId="79C503A5" w14:textId="77777777" w:rsidR="002870FE" w:rsidRPr="00195210" w:rsidRDefault="002870FE" w:rsidP="009B4650">
            <w:pPr>
              <w:rPr>
                <w:rFonts w:ascii="Arial" w:hAnsi="Arial"/>
                <w:b/>
                <w:bCs/>
                <w:sz w:val="26"/>
                <w:szCs w:val="26"/>
                <w:rtl/>
              </w:rPr>
            </w:pPr>
            <w:r w:rsidRPr="00195210">
              <w:rPr>
                <w:rFonts w:ascii="Arial" w:hAnsi="Arial" w:hint="cs"/>
                <w:b/>
                <w:bCs/>
                <w:sz w:val="26"/>
                <w:szCs w:val="26"/>
                <w:rtl/>
              </w:rPr>
              <w:t>ה</w:t>
            </w:r>
            <w:r w:rsidRPr="00195210">
              <w:rPr>
                <w:rFonts w:ascii="Arial" w:hAnsi="Arial"/>
                <w:b/>
                <w:bCs/>
                <w:sz w:val="26"/>
                <w:szCs w:val="26"/>
                <w:rtl/>
              </w:rPr>
              <w:t>נאשם</w:t>
            </w:r>
          </w:p>
        </w:tc>
        <w:tc>
          <w:tcPr>
            <w:tcW w:w="4384" w:type="dxa"/>
            <w:tcBorders>
              <w:top w:val="nil"/>
              <w:left w:val="nil"/>
              <w:bottom w:val="nil"/>
              <w:right w:val="nil"/>
            </w:tcBorders>
            <w:shd w:val="clear" w:color="auto" w:fill="auto"/>
          </w:tcPr>
          <w:p w14:paraId="1629CE4D" w14:textId="77777777" w:rsidR="002870FE" w:rsidRPr="00195210" w:rsidRDefault="002870FE" w:rsidP="009B4650">
            <w:pPr>
              <w:rPr>
                <w:b/>
                <w:bCs/>
                <w:sz w:val="26"/>
                <w:szCs w:val="26"/>
                <w:rtl/>
              </w:rPr>
            </w:pPr>
            <w:r w:rsidRPr="00195210">
              <w:rPr>
                <w:rFonts w:ascii="Arial" w:hAnsi="Arial"/>
                <w:b/>
                <w:bCs/>
                <w:sz w:val="26"/>
                <w:szCs w:val="26"/>
                <w:rtl/>
              </w:rPr>
              <w:t>רונן עטאר</w:t>
            </w:r>
          </w:p>
          <w:p w14:paraId="5CDC0F1A" w14:textId="77777777" w:rsidR="002870FE" w:rsidRPr="00195210" w:rsidRDefault="002870FE" w:rsidP="009B4650">
            <w:pPr>
              <w:rPr>
                <w:sz w:val="26"/>
                <w:szCs w:val="26"/>
                <w:rtl/>
              </w:rPr>
            </w:pPr>
            <w:r w:rsidRPr="00195210">
              <w:rPr>
                <w:rFonts w:hint="cs"/>
                <w:sz w:val="26"/>
                <w:szCs w:val="26"/>
                <w:rtl/>
              </w:rPr>
              <w:t>ע"י ב"כ עו"ד תמר נבו</w:t>
            </w:r>
          </w:p>
        </w:tc>
        <w:tc>
          <w:tcPr>
            <w:tcW w:w="3551" w:type="dxa"/>
            <w:tcBorders>
              <w:top w:val="nil"/>
              <w:left w:val="nil"/>
              <w:bottom w:val="nil"/>
              <w:right w:val="nil"/>
            </w:tcBorders>
            <w:shd w:val="clear" w:color="auto" w:fill="auto"/>
          </w:tcPr>
          <w:p w14:paraId="013C3BF4" w14:textId="77777777" w:rsidR="002870FE" w:rsidRPr="00195210" w:rsidRDefault="002870FE" w:rsidP="002870FE">
            <w:pPr>
              <w:jc w:val="right"/>
              <w:rPr>
                <w:rFonts w:ascii="Arial" w:hAnsi="Arial"/>
                <w:sz w:val="26"/>
                <w:szCs w:val="26"/>
              </w:rPr>
            </w:pPr>
          </w:p>
        </w:tc>
      </w:tr>
    </w:tbl>
    <w:p w14:paraId="422A4916" w14:textId="77777777" w:rsidR="00653F10" w:rsidRDefault="00653F10" w:rsidP="002870FE">
      <w:pPr>
        <w:rPr>
          <w:rtl/>
        </w:rPr>
      </w:pPr>
      <w:bookmarkStart w:id="3" w:name="LawTable"/>
      <w:bookmarkEnd w:id="3"/>
    </w:p>
    <w:p w14:paraId="6B42B4B8" w14:textId="77777777" w:rsidR="00653F10" w:rsidRPr="00653F10" w:rsidRDefault="00653F10" w:rsidP="00653F10">
      <w:pPr>
        <w:spacing w:after="120" w:line="240" w:lineRule="exact"/>
        <w:ind w:left="283" w:hanging="283"/>
        <w:jc w:val="both"/>
        <w:rPr>
          <w:rFonts w:ascii="FrankRuehl" w:hAnsi="FrankRuehl" w:cs="FrankRuehl"/>
          <w:rtl/>
        </w:rPr>
      </w:pPr>
    </w:p>
    <w:p w14:paraId="791BEDFA" w14:textId="77777777" w:rsidR="00653F10" w:rsidRPr="00653F10" w:rsidRDefault="00653F10" w:rsidP="00653F10">
      <w:pPr>
        <w:spacing w:after="120" w:line="240" w:lineRule="exact"/>
        <w:ind w:left="283" w:hanging="283"/>
        <w:jc w:val="both"/>
        <w:rPr>
          <w:rFonts w:ascii="FrankRuehl" w:hAnsi="FrankRuehl" w:cs="FrankRuehl"/>
          <w:rtl/>
        </w:rPr>
      </w:pPr>
      <w:r w:rsidRPr="00653F10">
        <w:rPr>
          <w:rFonts w:ascii="FrankRuehl" w:hAnsi="FrankRuehl" w:cs="FrankRuehl"/>
          <w:rtl/>
        </w:rPr>
        <w:t xml:space="preserve">חקיקה שאוזכרה: </w:t>
      </w:r>
    </w:p>
    <w:p w14:paraId="3F8588D4" w14:textId="77777777" w:rsidR="00653F10" w:rsidRPr="00653F10" w:rsidRDefault="00653F10" w:rsidP="00653F10">
      <w:pPr>
        <w:spacing w:after="120" w:line="240" w:lineRule="exact"/>
        <w:ind w:left="283" w:hanging="283"/>
        <w:jc w:val="both"/>
        <w:rPr>
          <w:rFonts w:ascii="FrankRuehl" w:hAnsi="FrankRuehl" w:cs="FrankRuehl"/>
          <w:rtl/>
        </w:rPr>
      </w:pPr>
      <w:hyperlink r:id="rId7" w:history="1">
        <w:r w:rsidRPr="00653F10">
          <w:rPr>
            <w:rFonts w:ascii="FrankRuehl" w:hAnsi="FrankRuehl" w:cs="FrankRuehl"/>
            <w:color w:val="0000FF"/>
            <w:u w:val="single"/>
            <w:rtl/>
          </w:rPr>
          <w:t>פקודת הסמים המסוכנים [נוסח חדש], תשל"ג-1973</w:t>
        </w:r>
      </w:hyperlink>
      <w:r w:rsidRPr="00653F10">
        <w:rPr>
          <w:rFonts w:ascii="FrankRuehl" w:hAnsi="FrankRuehl" w:cs="FrankRuehl"/>
          <w:rtl/>
        </w:rPr>
        <w:t xml:space="preserve">: סע'  </w:t>
      </w:r>
      <w:hyperlink r:id="rId8" w:history="1">
        <w:r w:rsidRPr="00653F10">
          <w:rPr>
            <w:rFonts w:ascii="FrankRuehl" w:hAnsi="FrankRuehl" w:cs="FrankRuehl"/>
            <w:color w:val="0000FF"/>
            <w:u w:val="single"/>
            <w:rtl/>
          </w:rPr>
          <w:t>7 א)</w:t>
        </w:r>
      </w:hyperlink>
      <w:r w:rsidRPr="00653F10">
        <w:rPr>
          <w:rFonts w:ascii="FrankRuehl" w:hAnsi="FrankRuehl" w:cs="FrankRuehl"/>
          <w:rtl/>
        </w:rPr>
        <w:t xml:space="preserve">, </w:t>
      </w:r>
      <w:hyperlink r:id="rId9" w:history="1">
        <w:r w:rsidRPr="00653F10">
          <w:rPr>
            <w:rFonts w:ascii="FrankRuehl" w:hAnsi="FrankRuehl" w:cs="FrankRuehl"/>
            <w:color w:val="0000FF"/>
            <w:u w:val="single"/>
            <w:rtl/>
          </w:rPr>
          <w:t>7(ג)</w:t>
        </w:r>
      </w:hyperlink>
    </w:p>
    <w:p w14:paraId="00DF1459" w14:textId="77777777" w:rsidR="00653F10" w:rsidRPr="00653F10" w:rsidRDefault="00653F10" w:rsidP="00653F10">
      <w:pPr>
        <w:spacing w:after="120" w:line="240" w:lineRule="exact"/>
        <w:ind w:left="283" w:hanging="283"/>
        <w:jc w:val="both"/>
        <w:rPr>
          <w:rFonts w:ascii="FrankRuehl" w:hAnsi="FrankRuehl" w:cs="FrankRuehl"/>
          <w:rtl/>
        </w:rPr>
      </w:pPr>
      <w:hyperlink r:id="rId10" w:history="1">
        <w:r w:rsidRPr="00653F10">
          <w:rPr>
            <w:rFonts w:ascii="FrankRuehl" w:hAnsi="FrankRuehl" w:cs="FrankRuehl"/>
            <w:color w:val="0000FF"/>
            <w:u w:val="single"/>
            <w:rtl/>
          </w:rPr>
          <w:t>חוק העונשין, תשל"ז-1977</w:t>
        </w:r>
      </w:hyperlink>
      <w:r w:rsidRPr="00653F10">
        <w:rPr>
          <w:rFonts w:ascii="FrankRuehl" w:hAnsi="FrankRuehl" w:cs="FrankRuehl"/>
          <w:rtl/>
        </w:rPr>
        <w:t xml:space="preserve">: סע'  </w:t>
      </w:r>
      <w:hyperlink r:id="rId11" w:history="1">
        <w:r w:rsidRPr="00653F10">
          <w:rPr>
            <w:rFonts w:ascii="FrankRuehl" w:hAnsi="FrankRuehl" w:cs="FrankRuehl"/>
            <w:color w:val="0000FF"/>
            <w:u w:val="single"/>
            <w:rtl/>
          </w:rPr>
          <w:t>25</w:t>
        </w:r>
      </w:hyperlink>
      <w:r w:rsidRPr="00653F10">
        <w:rPr>
          <w:rFonts w:ascii="FrankRuehl" w:hAnsi="FrankRuehl" w:cs="FrankRuehl"/>
          <w:rtl/>
        </w:rPr>
        <w:t xml:space="preserve">, </w:t>
      </w:r>
      <w:hyperlink r:id="rId12" w:history="1">
        <w:r w:rsidRPr="00653F10">
          <w:rPr>
            <w:rFonts w:ascii="FrankRuehl" w:hAnsi="FrankRuehl" w:cs="FrankRuehl"/>
            <w:color w:val="0000FF"/>
            <w:u w:val="single"/>
            <w:rtl/>
          </w:rPr>
          <w:t>186 (א)</w:t>
        </w:r>
      </w:hyperlink>
      <w:r w:rsidRPr="00653F10">
        <w:rPr>
          <w:rFonts w:ascii="FrankRuehl" w:hAnsi="FrankRuehl" w:cs="FrankRuehl"/>
          <w:rtl/>
        </w:rPr>
        <w:t xml:space="preserve">, </w:t>
      </w:r>
      <w:hyperlink r:id="rId13" w:history="1">
        <w:r w:rsidRPr="00653F10">
          <w:rPr>
            <w:rFonts w:ascii="FrankRuehl" w:hAnsi="FrankRuehl" w:cs="FrankRuehl"/>
            <w:color w:val="0000FF"/>
            <w:u w:val="single"/>
            <w:rtl/>
          </w:rPr>
          <w:t>192</w:t>
        </w:r>
      </w:hyperlink>
      <w:r w:rsidRPr="00653F10">
        <w:rPr>
          <w:rFonts w:ascii="FrankRuehl" w:hAnsi="FrankRuehl" w:cs="FrankRuehl"/>
          <w:rtl/>
        </w:rPr>
        <w:t xml:space="preserve">, </w:t>
      </w:r>
      <w:hyperlink r:id="rId14" w:history="1">
        <w:r w:rsidRPr="00653F10">
          <w:rPr>
            <w:rFonts w:ascii="FrankRuehl" w:hAnsi="FrankRuehl" w:cs="FrankRuehl"/>
            <w:color w:val="0000FF"/>
            <w:u w:val="single"/>
            <w:rtl/>
          </w:rPr>
          <w:t>244</w:t>
        </w:r>
      </w:hyperlink>
      <w:r w:rsidRPr="00653F10">
        <w:rPr>
          <w:rFonts w:ascii="FrankRuehl" w:hAnsi="FrankRuehl" w:cs="FrankRuehl"/>
          <w:rtl/>
        </w:rPr>
        <w:t xml:space="preserve">, </w:t>
      </w:r>
      <w:hyperlink r:id="rId15" w:history="1">
        <w:r w:rsidRPr="00653F10">
          <w:rPr>
            <w:rFonts w:ascii="FrankRuehl" w:hAnsi="FrankRuehl" w:cs="FrankRuehl"/>
            <w:color w:val="0000FF"/>
            <w:u w:val="single"/>
            <w:rtl/>
          </w:rPr>
          <w:t>275</w:t>
        </w:r>
      </w:hyperlink>
      <w:r w:rsidRPr="00653F10">
        <w:rPr>
          <w:rFonts w:ascii="FrankRuehl" w:hAnsi="FrankRuehl" w:cs="FrankRuehl"/>
          <w:rtl/>
        </w:rPr>
        <w:t xml:space="preserve">, </w:t>
      </w:r>
      <w:hyperlink r:id="rId16" w:history="1">
        <w:r w:rsidRPr="00653F10">
          <w:rPr>
            <w:rFonts w:ascii="FrankRuehl" w:hAnsi="FrankRuehl" w:cs="FrankRuehl"/>
            <w:color w:val="0000FF"/>
            <w:u w:val="single"/>
            <w:rtl/>
          </w:rPr>
          <w:t>288</w:t>
        </w:r>
      </w:hyperlink>
      <w:r w:rsidRPr="00653F10">
        <w:rPr>
          <w:rFonts w:ascii="FrankRuehl" w:hAnsi="FrankRuehl" w:cs="FrankRuehl"/>
          <w:rtl/>
        </w:rPr>
        <w:t xml:space="preserve">, </w:t>
      </w:r>
      <w:hyperlink r:id="rId17" w:history="1">
        <w:r w:rsidRPr="00653F10">
          <w:rPr>
            <w:rFonts w:ascii="FrankRuehl" w:hAnsi="FrankRuehl" w:cs="FrankRuehl"/>
            <w:color w:val="0000FF"/>
            <w:u w:val="single"/>
            <w:rtl/>
          </w:rPr>
          <w:t>384לחוק</w:t>
        </w:r>
      </w:hyperlink>
    </w:p>
    <w:p w14:paraId="091C39F5" w14:textId="77777777" w:rsidR="00653F10" w:rsidRPr="00653F10" w:rsidRDefault="00653F10" w:rsidP="00653F10">
      <w:pPr>
        <w:spacing w:after="120" w:line="240" w:lineRule="exact"/>
        <w:ind w:left="283" w:hanging="283"/>
        <w:jc w:val="both"/>
        <w:rPr>
          <w:rFonts w:ascii="FrankRuehl" w:hAnsi="FrankRuehl" w:cs="FrankRuehl"/>
          <w:rtl/>
        </w:rPr>
      </w:pPr>
      <w:hyperlink r:id="rId18" w:history="1">
        <w:r w:rsidRPr="00653F10">
          <w:rPr>
            <w:rFonts w:ascii="FrankRuehl" w:hAnsi="FrankRuehl" w:cs="FrankRuehl"/>
            <w:color w:val="0000FF"/>
            <w:u w:val="single"/>
            <w:rtl/>
          </w:rPr>
          <w:t>פקודת סדר הדין הפלילי (מעצר וחיפוש) [נוסח חדש], תשכ"ט-1969</w:t>
        </w:r>
      </w:hyperlink>
      <w:r w:rsidRPr="00653F10">
        <w:rPr>
          <w:rFonts w:ascii="FrankRuehl" w:hAnsi="FrankRuehl" w:cs="FrankRuehl"/>
          <w:rtl/>
        </w:rPr>
        <w:t xml:space="preserve">: סע'  </w:t>
      </w:r>
      <w:hyperlink r:id="rId19" w:history="1">
        <w:r w:rsidRPr="00653F10">
          <w:rPr>
            <w:rFonts w:ascii="FrankRuehl" w:hAnsi="FrankRuehl" w:cs="FrankRuehl"/>
            <w:color w:val="0000FF"/>
            <w:u w:val="single"/>
            <w:rtl/>
          </w:rPr>
          <w:t>47(א)</w:t>
        </w:r>
      </w:hyperlink>
    </w:p>
    <w:p w14:paraId="1AE81225" w14:textId="77777777" w:rsidR="00653F10" w:rsidRPr="00653F10" w:rsidRDefault="00653F10" w:rsidP="00653F10">
      <w:pPr>
        <w:spacing w:after="120" w:line="240" w:lineRule="exact"/>
        <w:ind w:left="283" w:hanging="283"/>
        <w:jc w:val="both"/>
        <w:rPr>
          <w:rFonts w:ascii="FrankRuehl" w:hAnsi="FrankRuehl" w:cs="FrankRuehl"/>
          <w:rtl/>
        </w:rPr>
      </w:pPr>
    </w:p>
    <w:p w14:paraId="540CE5E0" w14:textId="77777777" w:rsidR="00653F10" w:rsidRPr="00653F10" w:rsidRDefault="00653F10" w:rsidP="002870FE">
      <w:pPr>
        <w:rPr>
          <w:rtl/>
        </w:rPr>
      </w:pPr>
      <w:bookmarkStart w:id="4" w:name="LawTable_End"/>
      <w:bookmarkEnd w:id="4"/>
    </w:p>
    <w:p w14:paraId="0DDBAF10" w14:textId="77777777" w:rsidR="002870FE" w:rsidRPr="00195210" w:rsidRDefault="002870FE" w:rsidP="002870FE">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870FE" w14:paraId="3773409E" w14:textId="77777777" w:rsidTr="002870FE">
        <w:trPr>
          <w:trHeight w:val="355"/>
          <w:jc w:val="center"/>
        </w:trPr>
        <w:tc>
          <w:tcPr>
            <w:tcW w:w="8820" w:type="dxa"/>
            <w:tcBorders>
              <w:top w:val="nil"/>
              <w:left w:val="nil"/>
              <w:bottom w:val="nil"/>
              <w:right w:val="nil"/>
            </w:tcBorders>
            <w:shd w:val="clear" w:color="auto" w:fill="auto"/>
          </w:tcPr>
          <w:p w14:paraId="3FD7AB2A" w14:textId="77777777" w:rsidR="00195210" w:rsidRPr="00195210" w:rsidRDefault="00195210" w:rsidP="00195210">
            <w:pPr>
              <w:jc w:val="center"/>
              <w:rPr>
                <w:rFonts w:ascii="Arial" w:hAnsi="Arial"/>
                <w:b/>
                <w:bCs/>
                <w:sz w:val="28"/>
                <w:szCs w:val="28"/>
                <w:u w:val="single"/>
                <w:rtl/>
              </w:rPr>
            </w:pPr>
            <w:bookmarkStart w:id="5" w:name="PsakDin" w:colFirst="0" w:colLast="0"/>
            <w:bookmarkEnd w:id="0"/>
            <w:r w:rsidRPr="00195210">
              <w:rPr>
                <w:rFonts w:ascii="Arial" w:hAnsi="Arial"/>
                <w:b/>
                <w:bCs/>
                <w:sz w:val="28"/>
                <w:szCs w:val="28"/>
                <w:u w:val="single"/>
                <w:rtl/>
              </w:rPr>
              <w:t>גזר דין</w:t>
            </w:r>
          </w:p>
          <w:p w14:paraId="4FCE467E" w14:textId="77777777" w:rsidR="002870FE" w:rsidRPr="00195210" w:rsidRDefault="002870FE" w:rsidP="00195210">
            <w:pPr>
              <w:jc w:val="center"/>
              <w:rPr>
                <w:rFonts w:ascii="Arial" w:hAnsi="Arial"/>
                <w:bCs/>
                <w:sz w:val="28"/>
                <w:szCs w:val="28"/>
                <w:u w:val="single"/>
                <w:rtl/>
              </w:rPr>
            </w:pPr>
          </w:p>
        </w:tc>
      </w:tr>
      <w:bookmarkEnd w:id="5"/>
    </w:tbl>
    <w:p w14:paraId="5B82B601" w14:textId="77777777" w:rsidR="002870FE" w:rsidRDefault="002870FE" w:rsidP="002870FE">
      <w:pPr>
        <w:spacing w:line="360" w:lineRule="auto"/>
        <w:jc w:val="both"/>
        <w:rPr>
          <w:rFonts w:ascii="Arial" w:hAnsi="Arial"/>
          <w:rtl/>
        </w:rPr>
      </w:pPr>
    </w:p>
    <w:p w14:paraId="408D1E94" w14:textId="77777777" w:rsidR="002870FE" w:rsidRDefault="002870FE" w:rsidP="002870FE">
      <w:pPr>
        <w:spacing w:line="360" w:lineRule="auto"/>
        <w:jc w:val="both"/>
        <w:rPr>
          <w:rFonts w:ascii="Arial" w:hAnsi="Arial"/>
          <w:rtl/>
        </w:rPr>
      </w:pPr>
    </w:p>
    <w:p w14:paraId="00DAE1EC" w14:textId="77777777" w:rsidR="002870FE" w:rsidRDefault="002870FE" w:rsidP="002870FE">
      <w:pPr>
        <w:spacing w:line="360" w:lineRule="auto"/>
        <w:jc w:val="both"/>
        <w:rPr>
          <w:rFonts w:ascii="Arial" w:hAnsi="Arial"/>
          <w:rtl/>
        </w:rPr>
      </w:pPr>
      <w:r>
        <w:rPr>
          <w:rFonts w:ascii="Arial" w:hAnsi="Arial" w:hint="cs"/>
          <w:b/>
          <w:bCs/>
          <w:u w:val="single"/>
          <w:rtl/>
        </w:rPr>
        <w:t>השתלשלות ההליך</w:t>
      </w:r>
      <w:r>
        <w:rPr>
          <w:rFonts w:ascii="Arial" w:hAnsi="Arial" w:hint="cs"/>
          <w:rtl/>
        </w:rPr>
        <w:t>:</w:t>
      </w:r>
    </w:p>
    <w:p w14:paraId="6819B927" w14:textId="77777777" w:rsidR="002870FE" w:rsidRDefault="002870FE" w:rsidP="002870FE">
      <w:pPr>
        <w:pStyle w:val="a9"/>
        <w:numPr>
          <w:ilvl w:val="0"/>
          <w:numId w:val="1"/>
        </w:numPr>
        <w:spacing w:line="360" w:lineRule="auto"/>
        <w:jc w:val="both"/>
        <w:rPr>
          <w:rFonts w:ascii="Arial" w:hAnsi="Arial"/>
        </w:rPr>
      </w:pPr>
      <w:bookmarkStart w:id="6" w:name="ABSTRACT_START"/>
      <w:bookmarkEnd w:id="6"/>
      <w:r>
        <w:rPr>
          <w:rFonts w:ascii="Arial" w:hAnsi="Arial" w:hint="cs"/>
          <w:rtl/>
        </w:rPr>
        <w:t>במסגרת הסדר טיעון דיוני, ללא הסכמות לעונש, הודה הנאשם בתיק דנן וצירף עוד ארבעה תיקים בהם הודה והורשע, לאחר תיקונים בכתבי אישום, כשבכך "ניקה שולחן" ואין עוד תיקי משטרה פתוחים בעניינו:</w:t>
      </w:r>
    </w:p>
    <w:p w14:paraId="3DE103A2" w14:textId="77777777" w:rsidR="002870FE" w:rsidRDefault="002870FE" w:rsidP="002870FE">
      <w:pPr>
        <w:pStyle w:val="a9"/>
        <w:numPr>
          <w:ilvl w:val="1"/>
          <w:numId w:val="1"/>
        </w:numPr>
        <w:spacing w:line="360" w:lineRule="auto"/>
        <w:jc w:val="both"/>
      </w:pPr>
      <w:r w:rsidRPr="001C704C">
        <w:rPr>
          <w:rFonts w:ascii="Arial" w:hAnsi="Arial" w:hint="cs"/>
          <w:rtl/>
        </w:rPr>
        <w:t>ב</w:t>
      </w:r>
      <w:hyperlink r:id="rId20" w:history="1">
        <w:r w:rsidR="00195210" w:rsidRPr="00195210">
          <w:rPr>
            <w:rFonts w:ascii="Arial" w:hAnsi="Arial"/>
            <w:color w:val="0000FF"/>
            <w:u w:val="single"/>
            <w:rtl/>
          </w:rPr>
          <w:t>ת"פ 13797-02-14</w:t>
        </w:r>
      </w:hyperlink>
      <w:r w:rsidRPr="001C704C">
        <w:rPr>
          <w:rFonts w:ascii="Arial" w:hAnsi="Arial" w:hint="cs"/>
          <w:rtl/>
        </w:rPr>
        <w:t xml:space="preserve"> (01.09.13)</w:t>
      </w:r>
      <w:r>
        <w:rPr>
          <w:rStyle w:val="ac"/>
          <w:rFonts w:ascii="Arial" w:hAnsi="Arial"/>
          <w:rtl/>
        </w:rPr>
        <w:footnoteReference w:id="1"/>
      </w:r>
      <w:r w:rsidRPr="001C704C">
        <w:rPr>
          <w:rFonts w:ascii="Arial" w:hAnsi="Arial" w:hint="cs"/>
          <w:rtl/>
        </w:rPr>
        <w:t xml:space="preserve">: </w:t>
      </w:r>
      <w:r>
        <w:rPr>
          <w:rFonts w:hint="cs"/>
          <w:rtl/>
        </w:rPr>
        <w:t xml:space="preserve">החזקת סם מסוכן לצריכה עצמית, לפי </w:t>
      </w:r>
      <w:hyperlink r:id="rId21" w:history="1">
        <w:r w:rsidR="00894922" w:rsidRPr="00894922">
          <w:rPr>
            <w:color w:val="0000FF"/>
            <w:u w:val="single"/>
            <w:rtl/>
          </w:rPr>
          <w:t>סעיף 7 א)</w:t>
        </w:r>
      </w:hyperlink>
      <w:r>
        <w:rPr>
          <w:rFonts w:hint="cs"/>
          <w:rtl/>
        </w:rPr>
        <w:t xml:space="preserve"> בצירוף </w:t>
      </w:r>
      <w:hyperlink r:id="rId22" w:history="1">
        <w:r w:rsidR="00894922" w:rsidRPr="00894922">
          <w:rPr>
            <w:color w:val="0000FF"/>
            <w:u w:val="single"/>
            <w:rtl/>
          </w:rPr>
          <w:t>סעיף 7(ג)</w:t>
        </w:r>
      </w:hyperlink>
      <w:r>
        <w:rPr>
          <w:rFonts w:hint="cs"/>
          <w:rtl/>
        </w:rPr>
        <w:t xml:space="preserve"> סיפא ל</w:t>
      </w:r>
      <w:hyperlink r:id="rId23" w:history="1">
        <w:r w:rsidR="00195210" w:rsidRPr="00195210">
          <w:rPr>
            <w:color w:val="0000FF"/>
            <w:u w:val="single"/>
            <w:rtl/>
          </w:rPr>
          <w:t>פקודת הסמים המסוכנים</w:t>
        </w:r>
      </w:hyperlink>
      <w:r>
        <w:rPr>
          <w:rFonts w:hint="cs"/>
          <w:rtl/>
        </w:rPr>
        <w:t xml:space="preserve"> (שתי עבירות); איומים, לפי </w:t>
      </w:r>
      <w:hyperlink r:id="rId24" w:history="1">
        <w:r w:rsidR="00894922" w:rsidRPr="00894922">
          <w:rPr>
            <w:color w:val="0000FF"/>
            <w:u w:val="single"/>
            <w:rtl/>
          </w:rPr>
          <w:t>סעיף 192</w:t>
        </w:r>
      </w:hyperlink>
      <w:r>
        <w:rPr>
          <w:rFonts w:hint="cs"/>
          <w:rtl/>
        </w:rPr>
        <w:t xml:space="preserve"> ל</w:t>
      </w:r>
      <w:hyperlink r:id="rId25" w:history="1">
        <w:r w:rsidR="00195210" w:rsidRPr="00195210">
          <w:rPr>
            <w:color w:val="0000FF"/>
            <w:u w:val="single"/>
            <w:rtl/>
          </w:rPr>
          <w:t>חוק העונשין</w:t>
        </w:r>
      </w:hyperlink>
      <w:r>
        <w:rPr>
          <w:rFonts w:hint="cs"/>
          <w:rtl/>
        </w:rPr>
        <w:t xml:space="preserve">, תשל"ז-1977; ניסיון לשבש מהלכי משפט (חקירה), לפי </w:t>
      </w:r>
      <w:hyperlink r:id="rId26" w:history="1">
        <w:r w:rsidR="00894922" w:rsidRPr="00894922">
          <w:rPr>
            <w:color w:val="0000FF"/>
            <w:u w:val="single"/>
            <w:rtl/>
          </w:rPr>
          <w:t>סעיף 244</w:t>
        </w:r>
      </w:hyperlink>
      <w:r>
        <w:rPr>
          <w:rFonts w:hint="cs"/>
          <w:rtl/>
        </w:rPr>
        <w:t xml:space="preserve"> בצירוף </w:t>
      </w:r>
      <w:hyperlink r:id="rId27" w:history="1">
        <w:r w:rsidR="00894922" w:rsidRPr="00894922">
          <w:rPr>
            <w:color w:val="0000FF"/>
            <w:u w:val="single"/>
            <w:rtl/>
          </w:rPr>
          <w:t>סעיף 25</w:t>
        </w:r>
      </w:hyperlink>
      <w:r>
        <w:rPr>
          <w:rFonts w:hint="cs"/>
          <w:rtl/>
        </w:rPr>
        <w:t xml:space="preserve"> לחוק; העלבת עובד ציבור, לפי </w:t>
      </w:r>
      <w:hyperlink r:id="rId28" w:history="1">
        <w:r w:rsidR="00894922" w:rsidRPr="00894922">
          <w:rPr>
            <w:color w:val="0000FF"/>
            <w:u w:val="single"/>
            <w:rtl/>
          </w:rPr>
          <w:t>סעיף 288</w:t>
        </w:r>
      </w:hyperlink>
      <w:r>
        <w:rPr>
          <w:rFonts w:hint="cs"/>
          <w:rtl/>
        </w:rPr>
        <w:t xml:space="preserve"> לחוק; שימוש בכוח למניעת מעצר, לפי </w:t>
      </w:r>
      <w:hyperlink r:id="rId29" w:history="1">
        <w:r w:rsidR="00894922" w:rsidRPr="00894922">
          <w:rPr>
            <w:color w:val="0000FF"/>
            <w:u w:val="single"/>
            <w:rtl/>
          </w:rPr>
          <w:t>סעיף 47(א)</w:t>
        </w:r>
      </w:hyperlink>
      <w:r>
        <w:rPr>
          <w:rFonts w:hint="cs"/>
          <w:rtl/>
        </w:rPr>
        <w:t xml:space="preserve"> </w:t>
      </w:r>
      <w:hyperlink r:id="rId30" w:history="1">
        <w:r w:rsidR="00894922" w:rsidRPr="00894922">
          <w:rPr>
            <w:color w:val="0000FF"/>
            <w:u w:val="single"/>
            <w:rtl/>
          </w:rPr>
          <w:t>לפקודת סדר הדין הפלילי;</w:t>
        </w:r>
      </w:hyperlink>
    </w:p>
    <w:p w14:paraId="7C552375" w14:textId="77777777" w:rsidR="002870FE" w:rsidRPr="007A4BF7" w:rsidRDefault="002870FE" w:rsidP="002870FE">
      <w:pPr>
        <w:pStyle w:val="a9"/>
        <w:numPr>
          <w:ilvl w:val="1"/>
          <w:numId w:val="1"/>
        </w:numPr>
        <w:spacing w:line="360" w:lineRule="auto"/>
        <w:jc w:val="both"/>
        <w:rPr>
          <w:rFonts w:ascii="Arial" w:hAnsi="Arial"/>
        </w:rPr>
      </w:pPr>
      <w:r>
        <w:rPr>
          <w:rFonts w:hint="cs"/>
          <w:rtl/>
        </w:rPr>
        <w:t>ב</w:t>
      </w:r>
      <w:hyperlink r:id="rId31" w:history="1">
        <w:r w:rsidR="00195210" w:rsidRPr="00195210">
          <w:rPr>
            <w:color w:val="0000FF"/>
            <w:u w:val="single"/>
            <w:rtl/>
          </w:rPr>
          <w:t>ת"פ 38319-02-16</w:t>
        </w:r>
      </w:hyperlink>
      <w:r>
        <w:rPr>
          <w:rFonts w:hint="cs"/>
          <w:rtl/>
        </w:rPr>
        <w:t xml:space="preserve"> (29.10.15): איומים, לפי </w:t>
      </w:r>
      <w:hyperlink r:id="rId32" w:history="1">
        <w:r w:rsidR="00894922" w:rsidRPr="00894922">
          <w:rPr>
            <w:color w:val="0000FF"/>
            <w:u w:val="single"/>
            <w:rtl/>
          </w:rPr>
          <w:t>סעיף 192</w:t>
        </w:r>
      </w:hyperlink>
      <w:r>
        <w:rPr>
          <w:rFonts w:hint="cs"/>
          <w:rtl/>
        </w:rPr>
        <w:t xml:space="preserve"> לחוק; הפרעה לשוטר במילוי תפקידו, לפי </w:t>
      </w:r>
      <w:hyperlink r:id="rId33" w:history="1">
        <w:r w:rsidR="00894922" w:rsidRPr="00894922">
          <w:rPr>
            <w:color w:val="0000FF"/>
            <w:u w:val="single"/>
            <w:rtl/>
          </w:rPr>
          <w:t>סעיף 275</w:t>
        </w:r>
      </w:hyperlink>
      <w:r>
        <w:rPr>
          <w:rFonts w:hint="cs"/>
          <w:rtl/>
        </w:rPr>
        <w:t xml:space="preserve"> לחוק; העלבת עובד ציבור, לפי </w:t>
      </w:r>
      <w:hyperlink r:id="rId34" w:history="1">
        <w:r w:rsidR="00894922" w:rsidRPr="00894922">
          <w:rPr>
            <w:color w:val="0000FF"/>
            <w:u w:val="single"/>
            <w:rtl/>
          </w:rPr>
          <w:t>סעיף 288</w:t>
        </w:r>
      </w:hyperlink>
      <w:r>
        <w:rPr>
          <w:rFonts w:hint="cs"/>
          <w:rtl/>
        </w:rPr>
        <w:t xml:space="preserve"> לחוק;</w:t>
      </w:r>
    </w:p>
    <w:p w14:paraId="693E35E3" w14:textId="77777777" w:rsidR="002870FE" w:rsidRDefault="002870FE" w:rsidP="002870FE">
      <w:pPr>
        <w:pStyle w:val="a9"/>
        <w:numPr>
          <w:ilvl w:val="1"/>
          <w:numId w:val="1"/>
        </w:numPr>
        <w:spacing w:line="360" w:lineRule="auto"/>
        <w:jc w:val="both"/>
        <w:rPr>
          <w:rFonts w:ascii="Arial" w:hAnsi="Arial"/>
        </w:rPr>
      </w:pPr>
      <w:r>
        <w:rPr>
          <w:rFonts w:ascii="Arial" w:hAnsi="Arial" w:hint="cs"/>
          <w:rtl/>
        </w:rPr>
        <w:lastRenderedPageBreak/>
        <w:t>ב</w:t>
      </w:r>
      <w:hyperlink r:id="rId35" w:history="1">
        <w:r w:rsidR="00195210" w:rsidRPr="00195210">
          <w:rPr>
            <w:rFonts w:ascii="Arial" w:hAnsi="Arial"/>
            <w:color w:val="0000FF"/>
            <w:u w:val="single"/>
            <w:rtl/>
          </w:rPr>
          <w:t>ת"פ 28215-04-17</w:t>
        </w:r>
      </w:hyperlink>
      <w:r>
        <w:rPr>
          <w:rFonts w:ascii="Arial" w:hAnsi="Arial" w:hint="cs"/>
          <w:rtl/>
        </w:rPr>
        <w:t xml:space="preserve"> (05.09.16): גניבה, לפי </w:t>
      </w:r>
      <w:hyperlink r:id="rId36" w:history="1">
        <w:r w:rsidR="00894922" w:rsidRPr="00894922">
          <w:rPr>
            <w:rFonts w:ascii="Arial" w:hAnsi="Arial"/>
            <w:color w:val="0000FF"/>
            <w:u w:val="single"/>
            <w:rtl/>
          </w:rPr>
          <w:t>סעיף 384לחוק</w:t>
        </w:r>
      </w:hyperlink>
      <w:r>
        <w:rPr>
          <w:rFonts w:ascii="Arial" w:hAnsi="Arial" w:hint="cs"/>
          <w:rtl/>
        </w:rPr>
        <w:t>;</w:t>
      </w:r>
    </w:p>
    <w:p w14:paraId="12A6455F" w14:textId="77777777" w:rsidR="002870FE" w:rsidRDefault="002870FE" w:rsidP="002870FE">
      <w:pPr>
        <w:pStyle w:val="a9"/>
        <w:numPr>
          <w:ilvl w:val="1"/>
          <w:numId w:val="1"/>
        </w:numPr>
        <w:spacing w:line="360" w:lineRule="auto"/>
        <w:jc w:val="both"/>
        <w:rPr>
          <w:rFonts w:ascii="Arial" w:hAnsi="Arial"/>
        </w:rPr>
      </w:pPr>
      <w:r>
        <w:rPr>
          <w:rFonts w:ascii="Arial" w:hAnsi="Arial" w:hint="cs"/>
          <w:rtl/>
        </w:rPr>
        <w:t>ב</w:t>
      </w:r>
      <w:hyperlink r:id="rId37" w:history="1">
        <w:r w:rsidR="00195210" w:rsidRPr="00195210">
          <w:rPr>
            <w:rFonts w:ascii="Arial" w:hAnsi="Arial"/>
            <w:color w:val="0000FF"/>
            <w:u w:val="single"/>
            <w:rtl/>
          </w:rPr>
          <w:t>ת"פ 36478-08-17</w:t>
        </w:r>
      </w:hyperlink>
      <w:r>
        <w:rPr>
          <w:rFonts w:ascii="Arial" w:hAnsi="Arial" w:hint="cs"/>
          <w:rtl/>
        </w:rPr>
        <w:t xml:space="preserve"> (07.11.16) גניבה, לפי </w:t>
      </w:r>
      <w:hyperlink r:id="rId38" w:history="1">
        <w:r w:rsidR="00894922" w:rsidRPr="00894922">
          <w:rPr>
            <w:rFonts w:ascii="Arial" w:hAnsi="Arial"/>
            <w:color w:val="0000FF"/>
            <w:u w:val="single"/>
            <w:rtl/>
          </w:rPr>
          <w:t>סעיף 384</w:t>
        </w:r>
      </w:hyperlink>
      <w:r>
        <w:rPr>
          <w:rFonts w:ascii="Arial" w:hAnsi="Arial" w:hint="cs"/>
          <w:rtl/>
        </w:rPr>
        <w:t xml:space="preserve"> הנ"ל;</w:t>
      </w:r>
    </w:p>
    <w:p w14:paraId="0FC00350" w14:textId="77777777" w:rsidR="002870FE" w:rsidRDefault="002870FE" w:rsidP="002870FE">
      <w:pPr>
        <w:pStyle w:val="a9"/>
        <w:numPr>
          <w:ilvl w:val="1"/>
          <w:numId w:val="1"/>
        </w:numPr>
        <w:spacing w:line="360" w:lineRule="auto"/>
        <w:jc w:val="both"/>
        <w:rPr>
          <w:rFonts w:ascii="Arial" w:hAnsi="Arial"/>
        </w:rPr>
      </w:pPr>
      <w:r>
        <w:rPr>
          <w:rFonts w:ascii="Arial" w:hAnsi="Arial" w:hint="cs"/>
          <w:rtl/>
        </w:rPr>
        <w:t>ב</w:t>
      </w:r>
      <w:hyperlink r:id="rId39" w:history="1">
        <w:r w:rsidR="00195210" w:rsidRPr="00195210">
          <w:rPr>
            <w:rFonts w:ascii="Arial" w:hAnsi="Arial"/>
            <w:color w:val="0000FF"/>
            <w:u w:val="single"/>
            <w:rtl/>
          </w:rPr>
          <w:t>ת"פ 2935-11-18</w:t>
        </w:r>
      </w:hyperlink>
      <w:r>
        <w:rPr>
          <w:rFonts w:ascii="Arial" w:hAnsi="Arial" w:hint="cs"/>
          <w:rtl/>
        </w:rPr>
        <w:t xml:space="preserve"> (17.06.18): החזקת סכין שלא למטרה כשרה, לפי </w:t>
      </w:r>
      <w:hyperlink r:id="rId40" w:history="1">
        <w:r w:rsidR="00894922" w:rsidRPr="00894922">
          <w:rPr>
            <w:rFonts w:ascii="Arial" w:hAnsi="Arial"/>
            <w:color w:val="0000FF"/>
            <w:u w:val="single"/>
            <w:rtl/>
          </w:rPr>
          <w:t>סעיף 186 (א)</w:t>
        </w:r>
      </w:hyperlink>
      <w:r>
        <w:rPr>
          <w:rFonts w:ascii="Arial" w:hAnsi="Arial" w:hint="cs"/>
          <w:rtl/>
        </w:rPr>
        <w:t xml:space="preserve"> לחוק; איומים, לפי </w:t>
      </w:r>
      <w:hyperlink r:id="rId41" w:history="1">
        <w:r w:rsidR="00894922" w:rsidRPr="00894922">
          <w:rPr>
            <w:rFonts w:ascii="Arial" w:hAnsi="Arial"/>
            <w:color w:val="0000FF"/>
            <w:u w:val="single"/>
            <w:rtl/>
          </w:rPr>
          <w:t>סעיף 192</w:t>
        </w:r>
      </w:hyperlink>
      <w:r>
        <w:rPr>
          <w:rFonts w:ascii="Arial" w:hAnsi="Arial" w:hint="cs"/>
          <w:rtl/>
        </w:rPr>
        <w:t xml:space="preserve"> לחוק;</w:t>
      </w:r>
    </w:p>
    <w:p w14:paraId="544BD792" w14:textId="77777777" w:rsidR="002870FE" w:rsidRPr="00B518C0" w:rsidRDefault="002870FE" w:rsidP="002870FE">
      <w:pPr>
        <w:pStyle w:val="a9"/>
        <w:numPr>
          <w:ilvl w:val="0"/>
          <w:numId w:val="1"/>
        </w:numPr>
        <w:spacing w:line="360" w:lineRule="auto"/>
        <w:jc w:val="both"/>
        <w:rPr>
          <w:rFonts w:ascii="Arial" w:hAnsi="Arial"/>
        </w:rPr>
      </w:pPr>
      <w:r w:rsidRPr="00B518C0">
        <w:rPr>
          <w:rFonts w:ascii="Arial" w:hAnsi="Arial" w:hint="cs"/>
          <w:rtl/>
        </w:rPr>
        <w:t xml:space="preserve">ניסיונות בית המשפט לשכנע את הנאשם בנחיצותם של תסקיר ושל איסוף מסמכים רלוונטיים, נדחו על-ידי הנאשם באופן ברור ובוטה. הנאשם סרב למסור פרטים על מצבו, למעט פרטים בסיסיים וחלקיים, דרש להחיש ההליכים עד לגזירת עונשו </w:t>
      </w:r>
      <w:r w:rsidRPr="00B518C0">
        <w:rPr>
          <w:rFonts w:ascii="Arial" w:hAnsi="Arial"/>
          <w:rtl/>
        </w:rPr>
        <w:t>–</w:t>
      </w:r>
      <w:r w:rsidRPr="00B518C0">
        <w:rPr>
          <w:rFonts w:ascii="Arial" w:hAnsi="Arial" w:hint="cs"/>
          <w:rtl/>
        </w:rPr>
        <w:t xml:space="preserve"> וכך אכן נעשה [פרוטוקול ישיבות 24.12.18 ו-30.12.18].</w:t>
      </w:r>
    </w:p>
    <w:p w14:paraId="7C99EF20" w14:textId="77777777" w:rsidR="002870FE" w:rsidRDefault="002870FE" w:rsidP="002870FE">
      <w:pPr>
        <w:pStyle w:val="a9"/>
        <w:numPr>
          <w:ilvl w:val="0"/>
          <w:numId w:val="1"/>
        </w:numPr>
        <w:spacing w:line="360" w:lineRule="auto"/>
        <w:jc w:val="both"/>
        <w:rPr>
          <w:rFonts w:ascii="Arial" w:hAnsi="Arial"/>
        </w:rPr>
      </w:pPr>
      <w:r>
        <w:rPr>
          <w:rFonts w:ascii="Arial" w:hAnsi="Arial" w:hint="cs"/>
          <w:rtl/>
        </w:rPr>
        <w:t>ביום 30.12.18 טענו לעונש ב"כ המלומדות של הצדדים:</w:t>
      </w:r>
    </w:p>
    <w:p w14:paraId="38779ED4" w14:textId="77777777" w:rsidR="002870FE" w:rsidRDefault="002870FE" w:rsidP="002870FE">
      <w:pPr>
        <w:spacing w:line="360" w:lineRule="auto"/>
        <w:ind w:left="360"/>
        <w:jc w:val="both"/>
        <w:rPr>
          <w:rtl/>
        </w:rPr>
      </w:pPr>
      <w:r>
        <w:rPr>
          <w:rFonts w:ascii="Arial" w:hAnsi="Arial" w:hint="cs"/>
          <w:rtl/>
        </w:rPr>
        <w:t>התביעה עתרה "</w:t>
      </w:r>
      <w:r>
        <w:rPr>
          <w:rFonts w:hint="cs"/>
          <w:rtl/>
        </w:rPr>
        <w:t>להטיל על הנאשם עונש כולל של 24 חודשים מאסר בפועל, במסגרתו יופעל מאסר על תנאי בן 12 חודשים מת"פ 8283/2007, כמו גם להטיל על הנאשם מאסר על תנאי, קנס ופיצוי למתלוננים ולשוטרים;</w:t>
      </w:r>
    </w:p>
    <w:p w14:paraId="6014FCC3" w14:textId="77777777" w:rsidR="002870FE" w:rsidRPr="007E5E44" w:rsidRDefault="002870FE" w:rsidP="002870FE">
      <w:pPr>
        <w:spacing w:line="360" w:lineRule="auto"/>
        <w:ind w:left="360"/>
        <w:jc w:val="both"/>
        <w:rPr>
          <w:rFonts w:ascii="Arial" w:hAnsi="Arial"/>
        </w:rPr>
      </w:pPr>
      <w:r>
        <w:rPr>
          <w:rFonts w:hint="cs"/>
          <w:rtl/>
        </w:rPr>
        <w:t>ההגנה עתרה "</w:t>
      </w:r>
      <w:r w:rsidRPr="002870FE">
        <w:rPr>
          <w:rFonts w:ascii="Calibri" w:hAnsi="Calibri" w:hint="cs"/>
          <w:rtl/>
        </w:rPr>
        <w:t>לחפוף את העונשים, כך שהעונש שיוטל יהיה 12 חודשים של הפעלת התנאי, ולחפוף את כל העונשים האפשריים, ולאפשר לנאשם סוף סוף אחרי שנים של עבירות קטנות ואירועים קטנים, ולא מסכת עבריינית חמורה, לנסות ולהתחיל דף חדש.";</w:t>
      </w:r>
    </w:p>
    <w:p w14:paraId="2031A533" w14:textId="77777777" w:rsidR="002870FE" w:rsidRDefault="002870FE" w:rsidP="002870FE">
      <w:pPr>
        <w:spacing w:line="360" w:lineRule="auto"/>
        <w:jc w:val="both"/>
        <w:rPr>
          <w:rFonts w:ascii="Arial" w:hAnsi="Arial"/>
          <w:rtl/>
        </w:rPr>
      </w:pPr>
    </w:p>
    <w:p w14:paraId="2B9B5FA2" w14:textId="77777777" w:rsidR="002870FE" w:rsidRPr="00F37FD1" w:rsidRDefault="002870FE" w:rsidP="002870FE">
      <w:pPr>
        <w:spacing w:line="360" w:lineRule="auto"/>
        <w:jc w:val="both"/>
        <w:rPr>
          <w:rFonts w:ascii="Arial" w:hAnsi="Arial"/>
          <w:rtl/>
        </w:rPr>
      </w:pPr>
      <w:bookmarkStart w:id="7" w:name="ABSTRACT_END"/>
      <w:bookmarkEnd w:id="7"/>
      <w:r>
        <w:rPr>
          <w:rFonts w:ascii="Arial" w:hAnsi="Arial" w:hint="cs"/>
          <w:b/>
          <w:bCs/>
          <w:u w:val="single"/>
          <w:rtl/>
        </w:rPr>
        <w:t>מעשי הנאשם</w:t>
      </w:r>
      <w:r>
        <w:rPr>
          <w:rFonts w:ascii="Arial" w:hAnsi="Arial" w:hint="cs"/>
          <w:rtl/>
        </w:rPr>
        <w:t>:</w:t>
      </w:r>
    </w:p>
    <w:p w14:paraId="02B095FC" w14:textId="77777777" w:rsidR="002870FE" w:rsidRDefault="002870FE" w:rsidP="002870FE">
      <w:pPr>
        <w:pStyle w:val="a9"/>
        <w:numPr>
          <w:ilvl w:val="0"/>
          <w:numId w:val="2"/>
        </w:numPr>
        <w:spacing w:line="360" w:lineRule="auto"/>
        <w:jc w:val="both"/>
      </w:pPr>
      <w:r>
        <w:rPr>
          <w:rFonts w:hint="cs"/>
          <w:rtl/>
        </w:rPr>
        <w:t>ב-01.09.13 בשעה 11:00, בהיותו ברחוב, החזיק הנאשם 4.98 גרם נטו חשיש לצריכה עצמית, וכשהבחין בניידת משטרה קרובה, השליך מידו את הסם במטרה לשבש חקירה פלילית. כשפנה אליו שוטר, איים עליו הנאשם ש"אזיין אותך" ועוד. השוטר עצר את הנאשם, שהתנגד בכוח לכבילתו כך שאצבע ידו הימנית של השוטר נחבלה. בהיותו בניידת שנסעה לתחנת המשטרה, שב הנאשם ואיים עליו בתלונה למח"ש, ואף עלב בו בכינויים גסים וביניהם גם "יא נאצי". בהגיעם לתחנה, התנגד הנאשם לחיפוש שביקשו שוטרים לעשות בכליו, השתולל ושב לאיים על השוטרים בתלונת שווא למח"ש וש"אני אזיין את שניכם". לבסוף נאזק הנאשם אך גם אז שב ואיים על השוטרים בדומה [</w:t>
      </w:r>
      <w:hyperlink r:id="rId42" w:history="1">
        <w:r w:rsidR="00ED4FF6" w:rsidRPr="00ED4FF6">
          <w:rPr>
            <w:color w:val="0000FF"/>
            <w:u w:val="single"/>
            <w:rtl/>
          </w:rPr>
          <w:t>13797-02-14</w:t>
        </w:r>
      </w:hyperlink>
      <w:r>
        <w:rPr>
          <w:rFonts w:hint="cs"/>
          <w:rtl/>
        </w:rPr>
        <w:t>, אישום ראשון].</w:t>
      </w:r>
    </w:p>
    <w:p w14:paraId="4B7686A4" w14:textId="77777777" w:rsidR="002870FE" w:rsidRDefault="002870FE" w:rsidP="002870FE">
      <w:pPr>
        <w:pStyle w:val="a9"/>
        <w:numPr>
          <w:ilvl w:val="0"/>
          <w:numId w:val="2"/>
        </w:numPr>
        <w:spacing w:line="360" w:lineRule="auto"/>
        <w:jc w:val="both"/>
      </w:pPr>
      <w:r>
        <w:rPr>
          <w:rFonts w:hint="cs"/>
          <w:rtl/>
        </w:rPr>
        <w:t>ב-29.10.15 בשעה 09:45, בהיותו ברחוב, התבקש הנאשם להזדהות בפני שוטרים, שעצרו אותו מיד לפי צו מעצר שהוצא במסגרת הליכי הוצל"פ, והביאו אותו לתחנת משטרה. הנאשם התקרב לשוטר, תוך שהוא נושך את שפתיו, והתנגד למעצרו באיומים לפיהם "יזיין אותם" בתלונת שווא למח"ש ובפגיעה בלתי מוגדרת, עלב בשוטרים בכינויים גסים ובהמשך בעט ברגלו של שוטר.</w:t>
      </w:r>
    </w:p>
    <w:p w14:paraId="1D180DDC" w14:textId="77777777" w:rsidR="002870FE" w:rsidRDefault="002870FE" w:rsidP="002870FE">
      <w:pPr>
        <w:pStyle w:val="a9"/>
        <w:numPr>
          <w:ilvl w:val="0"/>
          <w:numId w:val="2"/>
        </w:numPr>
        <w:spacing w:line="360" w:lineRule="auto"/>
        <w:jc w:val="both"/>
      </w:pPr>
      <w:r>
        <w:rPr>
          <w:rFonts w:hint="cs"/>
          <w:rtl/>
        </w:rPr>
        <w:t>ב-05.09.16 בשעה 13:30, המתין הנפגע מר יגאל מסורי במוניתו, כדי לפגוש אדם אחר שלא היה מוכר לו אלא בשמו הפרטי עמוס, ולמסור לו 4,000 ₪. הנאשם עבר במקום, וכששאל אותו הנפגע אם הוא עמוס, ענה בחיוב, קיבל בתחבולה את הכסף, גנב אותו והסתלק עמו מהמקום. הסכום לא הושב [</w:t>
      </w:r>
      <w:hyperlink r:id="rId43" w:history="1">
        <w:r w:rsidR="00ED4FF6" w:rsidRPr="00ED4FF6">
          <w:rPr>
            <w:color w:val="0000FF"/>
            <w:u w:val="single"/>
            <w:rtl/>
          </w:rPr>
          <w:t>28215-04-17</w:t>
        </w:r>
      </w:hyperlink>
      <w:r>
        <w:rPr>
          <w:rFonts w:hint="cs"/>
          <w:rtl/>
        </w:rPr>
        <w:t>].</w:t>
      </w:r>
    </w:p>
    <w:p w14:paraId="3ED877F4" w14:textId="77777777" w:rsidR="002870FE" w:rsidRDefault="002870FE" w:rsidP="002870FE">
      <w:pPr>
        <w:pStyle w:val="a9"/>
        <w:numPr>
          <w:ilvl w:val="0"/>
          <w:numId w:val="2"/>
        </w:numPr>
        <w:spacing w:line="360" w:lineRule="auto"/>
        <w:jc w:val="both"/>
      </w:pPr>
      <w:r>
        <w:rPr>
          <w:rFonts w:hint="cs"/>
          <w:rtl/>
        </w:rPr>
        <w:lastRenderedPageBreak/>
        <w:t>ב-21.09.16, בדירתו, החזיק הנאשם 1.0238 גרם נטו חשיש לצריכה עצמית [13797-02-14, אישום שני].</w:t>
      </w:r>
    </w:p>
    <w:p w14:paraId="117EACFA" w14:textId="77777777" w:rsidR="002870FE" w:rsidRDefault="002870FE" w:rsidP="002870FE">
      <w:pPr>
        <w:pStyle w:val="a9"/>
        <w:numPr>
          <w:ilvl w:val="0"/>
          <w:numId w:val="2"/>
        </w:numPr>
        <w:spacing w:line="360" w:lineRule="auto"/>
        <w:jc w:val="both"/>
      </w:pPr>
      <w:r>
        <w:rPr>
          <w:rFonts w:hint="cs"/>
          <w:rtl/>
        </w:rPr>
        <w:t>ב-01.11.16 בשעה 12:20, נכנס הנאשם לחנות השטיחים של ארז-יוסף כהן ובנימין כהן, ניצל מצב שבו בנימין היה מחוץ לחנות, וגנב ממגירה 5,000 ₪ במזומן ושיק ע"ס 1,850 ₪. הכסף לא הוחזר [</w:t>
      </w:r>
      <w:hyperlink r:id="rId44" w:history="1">
        <w:r w:rsidR="00ED4FF6" w:rsidRPr="00ED4FF6">
          <w:rPr>
            <w:color w:val="0000FF"/>
            <w:u w:val="single"/>
            <w:rtl/>
          </w:rPr>
          <w:t>36478-08-17</w:t>
        </w:r>
      </w:hyperlink>
      <w:r>
        <w:rPr>
          <w:rFonts w:hint="cs"/>
          <w:rtl/>
        </w:rPr>
        <w:t>].</w:t>
      </w:r>
    </w:p>
    <w:p w14:paraId="43BEA46C" w14:textId="77777777" w:rsidR="002870FE" w:rsidRDefault="002870FE" w:rsidP="002870FE">
      <w:pPr>
        <w:pStyle w:val="a9"/>
        <w:numPr>
          <w:ilvl w:val="0"/>
          <w:numId w:val="2"/>
        </w:numPr>
        <w:spacing w:line="360" w:lineRule="auto"/>
        <w:jc w:val="both"/>
      </w:pPr>
      <w:r>
        <w:rPr>
          <w:rFonts w:hint="cs"/>
          <w:rtl/>
        </w:rPr>
        <w:t>ב-17.06.18 בשעה 13:30, בהיותו ברחוב, החזיק הנאשם סכין 'שף' שאורך להבה כ-13 ס"מ, שלא למטרה כשרה. הנאשם איים על שוטר שיפגע בו [</w:t>
      </w:r>
      <w:hyperlink r:id="rId45" w:history="1">
        <w:r w:rsidR="00ED4FF6" w:rsidRPr="00ED4FF6">
          <w:rPr>
            <w:color w:val="0000FF"/>
            <w:u w:val="single"/>
            <w:rtl/>
          </w:rPr>
          <w:t>2935-11-18</w:t>
        </w:r>
      </w:hyperlink>
      <w:r>
        <w:rPr>
          <w:rFonts w:hint="cs"/>
          <w:rtl/>
        </w:rPr>
        <w:t>].</w:t>
      </w:r>
    </w:p>
    <w:p w14:paraId="03B6A685" w14:textId="77777777" w:rsidR="002870FE" w:rsidRDefault="002870FE" w:rsidP="002870FE">
      <w:pPr>
        <w:spacing w:line="360" w:lineRule="auto"/>
        <w:jc w:val="both"/>
        <w:rPr>
          <w:rtl/>
        </w:rPr>
      </w:pPr>
    </w:p>
    <w:p w14:paraId="111EE348" w14:textId="77777777" w:rsidR="002870FE" w:rsidRDefault="002870FE" w:rsidP="002870FE">
      <w:pPr>
        <w:spacing w:line="360" w:lineRule="auto"/>
        <w:jc w:val="both"/>
        <w:rPr>
          <w:rtl/>
        </w:rPr>
      </w:pPr>
      <w:r>
        <w:rPr>
          <w:rFonts w:hint="cs"/>
          <w:b/>
          <w:bCs/>
          <w:u w:val="single"/>
          <w:rtl/>
        </w:rPr>
        <w:t xml:space="preserve">נסיבות הקשורות בביצוע העבירות </w:t>
      </w:r>
      <w:r>
        <w:rPr>
          <w:b/>
          <w:bCs/>
          <w:u w:val="single"/>
          <w:rtl/>
        </w:rPr>
        <w:t>–</w:t>
      </w:r>
      <w:r>
        <w:rPr>
          <w:rFonts w:hint="cs"/>
          <w:b/>
          <w:bCs/>
          <w:u w:val="single"/>
          <w:rtl/>
        </w:rPr>
        <w:t xml:space="preserve"> קביעת מתחמי ענישה הולמים</w:t>
      </w:r>
      <w:r>
        <w:rPr>
          <w:rFonts w:hint="cs"/>
          <w:rtl/>
        </w:rPr>
        <w:t>:</w:t>
      </w:r>
    </w:p>
    <w:p w14:paraId="69020603" w14:textId="77777777" w:rsidR="002870FE" w:rsidRDefault="002870FE" w:rsidP="002870FE">
      <w:pPr>
        <w:pStyle w:val="a9"/>
        <w:numPr>
          <w:ilvl w:val="0"/>
          <w:numId w:val="3"/>
        </w:numPr>
        <w:spacing w:line="360" w:lineRule="auto"/>
        <w:jc w:val="both"/>
      </w:pPr>
      <w:r>
        <w:rPr>
          <w:rFonts w:hint="cs"/>
          <w:rtl/>
        </w:rPr>
        <w:t>אירוע מיום 01.09.13 [</w:t>
      </w:r>
      <w:hyperlink r:id="rId46" w:history="1">
        <w:r w:rsidR="00ED4FF6" w:rsidRPr="00ED4FF6">
          <w:rPr>
            <w:color w:val="0000FF"/>
            <w:u w:val="single"/>
            <w:rtl/>
          </w:rPr>
          <w:t>13797-02-14</w:t>
        </w:r>
      </w:hyperlink>
      <w:r>
        <w:rPr>
          <w:rFonts w:hint="cs"/>
          <w:rtl/>
        </w:rPr>
        <w:t>, אישום ראשון]:</w:t>
      </w:r>
    </w:p>
    <w:p w14:paraId="0DAD9E86" w14:textId="77777777" w:rsidR="002870FE" w:rsidRDefault="002870FE" w:rsidP="002870FE">
      <w:pPr>
        <w:pStyle w:val="a9"/>
        <w:numPr>
          <w:ilvl w:val="1"/>
          <w:numId w:val="3"/>
        </w:numPr>
        <w:spacing w:line="360" w:lineRule="auto"/>
        <w:jc w:val="both"/>
      </w:pPr>
      <w:r>
        <w:rPr>
          <w:rFonts w:hint="cs"/>
          <w:rtl/>
        </w:rPr>
        <w:t xml:space="preserve">עיקרו של אירוע מצוי בעבירות נגד השוטרים, שנועדו להקשות על עבודת השוטרים או להכשילה כליל. בכך פגע הנאשם באופן חמור בערכים המוגנים בעבירות </w:t>
      </w:r>
      <w:r>
        <w:rPr>
          <w:rtl/>
        </w:rPr>
        <w:t>–</w:t>
      </w:r>
      <w:r>
        <w:rPr>
          <w:rFonts w:hint="cs"/>
          <w:rtl/>
        </w:rPr>
        <w:t xml:space="preserve"> הבטחת פעילותו של שירות הציבור לטובת הציבור, ובכלל זה של המשטרה, ללא מורא וללא סיכון מיותר לשלום השוטרים. המעשים לא היו מתוכננים, אך הנאשם התמיד וחזר עליהם שוב ושוב. הנזק הקונקרטי היה מוגבל, אך פוטנציאל הנזק חמור פי-כמה. אבהיר שעבירת הסמים לא תובא בחשבון לקביעת העונש העיקרי;</w:t>
      </w:r>
    </w:p>
    <w:p w14:paraId="58A730B4" w14:textId="77777777" w:rsidR="002870FE" w:rsidRDefault="002870FE" w:rsidP="002870FE">
      <w:pPr>
        <w:pStyle w:val="a9"/>
        <w:numPr>
          <w:ilvl w:val="1"/>
          <w:numId w:val="3"/>
        </w:numPr>
        <w:spacing w:line="360" w:lineRule="auto"/>
        <w:jc w:val="both"/>
      </w:pPr>
      <w:r>
        <w:rPr>
          <w:rFonts w:hint="cs"/>
          <w:rtl/>
        </w:rPr>
        <w:t>בהתחשב בענישה הנהוגה, אקבל המלצת התביעה ומתחם העונש ייקבע בין מאסר מותנה לבין שמונה חודשי מאסר, לעניין העונש העיקרי;</w:t>
      </w:r>
    </w:p>
    <w:p w14:paraId="210441CF" w14:textId="77777777" w:rsidR="002870FE" w:rsidRDefault="002870FE" w:rsidP="002870FE">
      <w:pPr>
        <w:pStyle w:val="a9"/>
        <w:numPr>
          <w:ilvl w:val="0"/>
          <w:numId w:val="3"/>
        </w:numPr>
        <w:spacing w:line="360" w:lineRule="auto"/>
        <w:jc w:val="both"/>
      </w:pPr>
      <w:r>
        <w:rPr>
          <w:rFonts w:hint="cs"/>
          <w:rtl/>
        </w:rPr>
        <w:t>אירוע מיום 29.10.15 [</w:t>
      </w:r>
      <w:hyperlink r:id="rId47" w:history="1">
        <w:r w:rsidR="00195210" w:rsidRPr="00195210">
          <w:rPr>
            <w:color w:val="0000FF"/>
            <w:u w:val="single"/>
            <w:rtl/>
          </w:rPr>
          <w:t>ת"פ 38319-02-16</w:t>
        </w:r>
      </w:hyperlink>
      <w:r>
        <w:rPr>
          <w:rFonts w:hint="cs"/>
          <w:rtl/>
        </w:rPr>
        <w:t>]:</w:t>
      </w:r>
    </w:p>
    <w:p w14:paraId="3B5D6290" w14:textId="77777777" w:rsidR="002870FE" w:rsidRDefault="002870FE" w:rsidP="002870FE">
      <w:pPr>
        <w:pStyle w:val="a9"/>
        <w:numPr>
          <w:ilvl w:val="1"/>
          <w:numId w:val="3"/>
        </w:numPr>
        <w:spacing w:line="360" w:lineRule="auto"/>
        <w:jc w:val="both"/>
      </w:pPr>
      <w:r>
        <w:rPr>
          <w:rFonts w:hint="cs"/>
          <w:rtl/>
        </w:rPr>
        <w:t>אף כאן פגע הנאשם באופן חמור בערכים המוגנים בעבירות, בדומה לאמור לעיל לעניין האירוע מיום 01.09.13, ותוך גילויי אלימות מכוונים;</w:t>
      </w:r>
    </w:p>
    <w:p w14:paraId="089B0947" w14:textId="77777777" w:rsidR="002870FE" w:rsidRDefault="002870FE" w:rsidP="002870FE">
      <w:pPr>
        <w:pStyle w:val="a9"/>
        <w:numPr>
          <w:ilvl w:val="1"/>
          <w:numId w:val="3"/>
        </w:numPr>
        <w:spacing w:line="360" w:lineRule="auto"/>
        <w:jc w:val="both"/>
      </w:pPr>
      <w:r>
        <w:rPr>
          <w:rFonts w:hint="cs"/>
          <w:rtl/>
        </w:rPr>
        <w:t xml:space="preserve">יתר מאפייני האירוע דומים אף-הם לאותו עניין, ולכן ייקבע אף כאן מתחם עונשי זהה,   בין מאסר מותנה לבין שמונה חודשי מאסר, לעניין העונש העיקרי; </w:t>
      </w:r>
    </w:p>
    <w:p w14:paraId="3EBFAFE6" w14:textId="77777777" w:rsidR="002870FE" w:rsidRDefault="002870FE" w:rsidP="002870FE">
      <w:pPr>
        <w:pStyle w:val="a9"/>
        <w:numPr>
          <w:ilvl w:val="0"/>
          <w:numId w:val="3"/>
        </w:numPr>
        <w:spacing w:line="360" w:lineRule="auto"/>
        <w:jc w:val="both"/>
      </w:pPr>
      <w:r>
        <w:rPr>
          <w:rFonts w:hint="cs"/>
          <w:rtl/>
        </w:rPr>
        <w:t>אירוע מיום 05.09.16 [</w:t>
      </w:r>
      <w:hyperlink r:id="rId48" w:history="1">
        <w:r w:rsidR="00195210" w:rsidRPr="00195210">
          <w:rPr>
            <w:color w:val="0000FF"/>
            <w:u w:val="single"/>
            <w:rtl/>
          </w:rPr>
          <w:t>ת"פ 28215-04-17</w:t>
        </w:r>
      </w:hyperlink>
      <w:r>
        <w:rPr>
          <w:rFonts w:hint="cs"/>
          <w:rtl/>
        </w:rPr>
        <w:t>]:</w:t>
      </w:r>
    </w:p>
    <w:p w14:paraId="5ACBF2DB" w14:textId="77777777" w:rsidR="002870FE" w:rsidRDefault="002870FE" w:rsidP="002870FE">
      <w:pPr>
        <w:pStyle w:val="a9"/>
        <w:numPr>
          <w:ilvl w:val="1"/>
          <w:numId w:val="3"/>
        </w:numPr>
        <w:spacing w:line="360" w:lineRule="auto"/>
        <w:jc w:val="both"/>
      </w:pPr>
      <w:r>
        <w:rPr>
          <w:rFonts w:hint="cs"/>
          <w:rtl/>
        </w:rPr>
        <w:t xml:space="preserve">הנאשם פגע באופן חמור בערכי הקניין והחזקה, בביצוע עז-מצח של תחבולה, שהותירה את הנפגע ככלי ריק. העבירה היתה מתוכננת </w:t>
      </w:r>
      <w:r>
        <w:rPr>
          <w:rtl/>
        </w:rPr>
        <w:t>–</w:t>
      </w:r>
      <w:r>
        <w:rPr>
          <w:rFonts w:hint="cs"/>
          <w:rtl/>
        </w:rPr>
        <w:t xml:space="preserve"> ולו תכנון קצר, של זיהוי הזדמנות וניצולה </w:t>
      </w:r>
      <w:r>
        <w:rPr>
          <w:rtl/>
        </w:rPr>
        <w:t>–</w:t>
      </w:r>
      <w:r>
        <w:rPr>
          <w:rFonts w:hint="cs"/>
          <w:rtl/>
        </w:rPr>
        <w:t xml:space="preserve"> והנזק התמצה בסך המשמעותי שנגנב;</w:t>
      </w:r>
    </w:p>
    <w:p w14:paraId="5D308F67" w14:textId="77777777" w:rsidR="002870FE" w:rsidRDefault="002870FE" w:rsidP="002870FE">
      <w:pPr>
        <w:pStyle w:val="a9"/>
        <w:numPr>
          <w:ilvl w:val="1"/>
          <w:numId w:val="3"/>
        </w:numPr>
        <w:spacing w:line="360" w:lineRule="auto"/>
        <w:jc w:val="both"/>
      </w:pPr>
      <w:r>
        <w:rPr>
          <w:rFonts w:hint="cs"/>
          <w:rtl/>
        </w:rPr>
        <w:t>מתחם העונש ייקבע אפוא כנהוג וכמקובל לעניין עבירות גניבה בסכומים דומים, בין מאסר מותנה לבין שמונה חודשי מאסר, כעונש עיקרי;</w:t>
      </w:r>
    </w:p>
    <w:p w14:paraId="2AFA4613" w14:textId="77777777" w:rsidR="002870FE" w:rsidRDefault="002870FE" w:rsidP="002870FE">
      <w:pPr>
        <w:pStyle w:val="a9"/>
        <w:numPr>
          <w:ilvl w:val="0"/>
          <w:numId w:val="3"/>
        </w:numPr>
        <w:spacing w:line="360" w:lineRule="auto"/>
        <w:jc w:val="both"/>
      </w:pPr>
      <w:r>
        <w:rPr>
          <w:rFonts w:hint="cs"/>
          <w:rtl/>
        </w:rPr>
        <w:t>אירוע מיום 21.09.16 [</w:t>
      </w:r>
      <w:hyperlink r:id="rId49" w:history="1">
        <w:r w:rsidR="005E5605" w:rsidRPr="005E5605">
          <w:rPr>
            <w:rStyle w:val="Hyperlink"/>
            <w:color w:val="0000FF"/>
            <w:rtl/>
          </w:rPr>
          <w:t>13797-02-14</w:t>
        </w:r>
      </w:hyperlink>
      <w:r>
        <w:rPr>
          <w:rFonts w:hint="cs"/>
          <w:rtl/>
        </w:rPr>
        <w:t>, אישום שני]:</w:t>
      </w:r>
    </w:p>
    <w:p w14:paraId="5E5F10B5" w14:textId="77777777" w:rsidR="002870FE" w:rsidRDefault="002870FE" w:rsidP="002870FE">
      <w:pPr>
        <w:spacing w:line="360" w:lineRule="auto"/>
        <w:ind w:left="360"/>
        <w:jc w:val="both"/>
      </w:pPr>
      <w:r>
        <w:rPr>
          <w:rFonts w:hint="cs"/>
          <w:rtl/>
        </w:rPr>
        <w:t>אירוע זה, שעניינו החזקת כמות מזערית של חשיש לצריכה עצמית, לא יגרור עונש עיקרי.</w:t>
      </w:r>
    </w:p>
    <w:p w14:paraId="0010C660" w14:textId="77777777" w:rsidR="002870FE" w:rsidRDefault="002870FE" w:rsidP="002870FE">
      <w:pPr>
        <w:pStyle w:val="a9"/>
        <w:numPr>
          <w:ilvl w:val="0"/>
          <w:numId w:val="3"/>
        </w:numPr>
        <w:spacing w:line="360" w:lineRule="auto"/>
        <w:jc w:val="both"/>
      </w:pPr>
      <w:r>
        <w:rPr>
          <w:rFonts w:hint="cs"/>
          <w:rtl/>
        </w:rPr>
        <w:t>אירוע מיום 01.11.16 [</w:t>
      </w:r>
      <w:hyperlink r:id="rId50" w:history="1">
        <w:r w:rsidR="005E5605" w:rsidRPr="005E5605">
          <w:rPr>
            <w:color w:val="0000FF"/>
            <w:u w:val="single"/>
            <w:rtl/>
          </w:rPr>
          <w:t>36478-08-17</w:t>
        </w:r>
      </w:hyperlink>
      <w:r>
        <w:rPr>
          <w:rFonts w:hint="cs"/>
          <w:rtl/>
        </w:rPr>
        <w:t>]:</w:t>
      </w:r>
    </w:p>
    <w:p w14:paraId="1E970374" w14:textId="77777777" w:rsidR="002870FE" w:rsidRDefault="002870FE" w:rsidP="002870FE">
      <w:pPr>
        <w:spacing w:line="360" w:lineRule="auto"/>
        <w:ind w:left="360"/>
        <w:jc w:val="both"/>
      </w:pPr>
      <w:r>
        <w:rPr>
          <w:rFonts w:hint="cs"/>
          <w:rtl/>
        </w:rPr>
        <w:t xml:space="preserve">לא אאריך </w:t>
      </w:r>
      <w:r>
        <w:rPr>
          <w:rtl/>
        </w:rPr>
        <w:t>–</w:t>
      </w:r>
      <w:r>
        <w:rPr>
          <w:rFonts w:hint="cs"/>
          <w:rtl/>
        </w:rPr>
        <w:t xml:space="preserve"> גם בגין מעשה גניבה זה ייקבע המתחם הנוהג בין מאסר מותנה לבין שמונה חודשי מאסר, כעונש עיקרי;</w:t>
      </w:r>
    </w:p>
    <w:p w14:paraId="226C43EC" w14:textId="77777777" w:rsidR="002870FE" w:rsidRDefault="002870FE" w:rsidP="002870FE">
      <w:pPr>
        <w:pStyle w:val="a9"/>
        <w:numPr>
          <w:ilvl w:val="0"/>
          <w:numId w:val="3"/>
        </w:numPr>
        <w:spacing w:line="360" w:lineRule="auto"/>
        <w:jc w:val="both"/>
      </w:pPr>
      <w:r>
        <w:rPr>
          <w:rFonts w:hint="cs"/>
          <w:rtl/>
        </w:rPr>
        <w:t>אירוע מיום 17.06.18 [</w:t>
      </w:r>
      <w:hyperlink r:id="rId51" w:history="1">
        <w:r w:rsidR="005E5605" w:rsidRPr="005E5605">
          <w:rPr>
            <w:color w:val="0000FF"/>
            <w:u w:val="single"/>
            <w:rtl/>
          </w:rPr>
          <w:t>2935-11-18</w:t>
        </w:r>
      </w:hyperlink>
      <w:r>
        <w:rPr>
          <w:rFonts w:hint="cs"/>
          <w:rtl/>
        </w:rPr>
        <w:t>]:</w:t>
      </w:r>
    </w:p>
    <w:p w14:paraId="2E76807D" w14:textId="77777777" w:rsidR="002870FE" w:rsidRPr="00D53C9C" w:rsidRDefault="002870FE" w:rsidP="002870FE">
      <w:pPr>
        <w:pStyle w:val="a9"/>
        <w:numPr>
          <w:ilvl w:val="1"/>
          <w:numId w:val="3"/>
        </w:numPr>
        <w:spacing w:line="360" w:lineRule="auto"/>
        <w:jc w:val="both"/>
      </w:pPr>
      <w:r w:rsidRPr="00D53C9C">
        <w:rPr>
          <w:rtl/>
        </w:rPr>
        <w:t>האיסור הקבוע בעבירה של החזקת סכין הוא מעין מעגל שני של הגנה על ערכי שלמות הגוף ומניעת הפגיעה בנפש, חישוק וביצורים הנוספים לעבירות שעניינן מעשי אלימות ממש. המחוקק ביקש למנוע היווצרותם של מצבים שבהם פוטנציאל אלימות יצא באופן הרסני במיוחד מן הכוח אל הפועל, בנוכחות הברזל החד, כפי שנאמר בפסיקת בית המשפט העליון: "היום רבים היוצאים לרחוב וסכין בידם, או איש סכינו על ירכו, לאו דווקא כדי לקלף מפירות הארץ, ואך יוציאם פלוני משלוותם, ברב או במעט, תישלף הסכין; וסגולתה הטבועה של זו, שהיא עלולה לשפיכות דמים, וכדברי חכמים ש"הברזל מקצר ימיו של אדם" (</w:t>
      </w:r>
      <w:hyperlink r:id="rId52" w:history="1">
        <w:r w:rsidR="00195210" w:rsidRPr="00195210">
          <w:rPr>
            <w:color w:val="0000FF"/>
            <w:u w:val="single"/>
            <w:rtl/>
          </w:rPr>
          <w:t>ע"פ 2047/07</w:t>
        </w:r>
      </w:hyperlink>
      <w:r w:rsidRPr="00D53C9C">
        <w:rPr>
          <w:rtl/>
        </w:rPr>
        <w:t xml:space="preserve"> </w:t>
      </w:r>
      <w:r w:rsidRPr="006A737C">
        <w:rPr>
          <w:b/>
          <w:bCs/>
          <w:rtl/>
        </w:rPr>
        <w:t>הנוק נ' מ.י.</w:t>
      </w:r>
      <w:r w:rsidRPr="00D53C9C">
        <w:rPr>
          <w:rtl/>
        </w:rPr>
        <w:t xml:space="preserve">). ואכן, בעקבות הנחייתו של בית המשפט העליון, נקבע כי ככלל מחייבת עבירה זו תגובה עונשית של מאסר, ולו לתקופה קצרה שתרוצה על-דרך עבודות שירות, וראו למשל </w:t>
      </w:r>
      <w:hyperlink r:id="rId53" w:history="1">
        <w:r w:rsidR="00195210" w:rsidRPr="00195210">
          <w:rPr>
            <w:color w:val="0000FF"/>
            <w:u w:val="single"/>
            <w:rtl/>
          </w:rPr>
          <w:t>עפ"ג 22408-03-13</w:t>
        </w:r>
      </w:hyperlink>
      <w:r w:rsidRPr="00D53C9C">
        <w:rPr>
          <w:rtl/>
        </w:rPr>
        <w:t xml:space="preserve"> </w:t>
      </w:r>
      <w:r w:rsidRPr="006A737C">
        <w:rPr>
          <w:b/>
          <w:bCs/>
          <w:rtl/>
        </w:rPr>
        <w:t>סנאיה נ' מ.י.</w:t>
      </w:r>
      <w:r w:rsidRPr="00D53C9C">
        <w:rPr>
          <w:rtl/>
        </w:rPr>
        <w:t xml:space="preserve"> (2013).</w:t>
      </w:r>
      <w:r w:rsidRPr="006A737C">
        <w:rPr>
          <w:rFonts w:hint="cs"/>
          <w:rtl/>
        </w:rPr>
        <w:t xml:space="preserve"> גודל הסכין [תצלומים תע/3] ונסיבות החזקתה, מוסתרת על גופו של הנאשם ומוכנה לשימוש, הינן נסיבות מחמירות. העבירה היתה מתוכננת, והסיכון הפוטנציאלי חמור מאוד.</w:t>
      </w:r>
    </w:p>
    <w:p w14:paraId="132C0764" w14:textId="77777777" w:rsidR="002870FE" w:rsidRDefault="002870FE" w:rsidP="002870FE">
      <w:pPr>
        <w:pStyle w:val="a9"/>
        <w:numPr>
          <w:ilvl w:val="1"/>
          <w:numId w:val="3"/>
        </w:numPr>
        <w:spacing w:line="360" w:lineRule="auto"/>
        <w:jc w:val="both"/>
      </w:pPr>
      <w:r>
        <w:rPr>
          <w:rFonts w:hint="cs"/>
          <w:rtl/>
        </w:rPr>
        <w:t>מתחם העונש שייקבע למקרה זה יתייחס לעונש עיקרי, כשהאיומים, שאינם חמורים, לא ישמשו בקביעתו. המתחם ייקבע בין חודשי מאסר ספורים שניתן לרצותם בעבודות שירות, לבין שנת מאסר;</w:t>
      </w:r>
    </w:p>
    <w:p w14:paraId="1B2441DA" w14:textId="77777777" w:rsidR="002870FE" w:rsidRDefault="002870FE" w:rsidP="002870FE">
      <w:pPr>
        <w:spacing w:line="360" w:lineRule="auto"/>
        <w:jc w:val="both"/>
        <w:rPr>
          <w:rtl/>
        </w:rPr>
      </w:pPr>
    </w:p>
    <w:p w14:paraId="58FEF65A" w14:textId="77777777" w:rsidR="002870FE" w:rsidRDefault="002870FE" w:rsidP="002870FE">
      <w:pPr>
        <w:spacing w:line="360" w:lineRule="auto"/>
        <w:jc w:val="both"/>
        <w:rPr>
          <w:rtl/>
        </w:rPr>
      </w:pPr>
      <w:r w:rsidRPr="00A4028B">
        <w:rPr>
          <w:rFonts w:hint="cs"/>
          <w:b/>
          <w:bCs/>
          <w:u w:val="single"/>
          <w:rtl/>
        </w:rPr>
        <w:t xml:space="preserve">נסיבות שאינן קשורות לעבירות </w:t>
      </w:r>
      <w:r w:rsidRPr="00A4028B">
        <w:rPr>
          <w:b/>
          <w:bCs/>
          <w:u w:val="single"/>
          <w:rtl/>
        </w:rPr>
        <w:t>–</w:t>
      </w:r>
      <w:r w:rsidRPr="00A4028B">
        <w:rPr>
          <w:rFonts w:hint="cs"/>
          <w:b/>
          <w:bCs/>
          <w:u w:val="single"/>
          <w:rtl/>
        </w:rPr>
        <w:t xml:space="preserve"> מיקום העונש</w:t>
      </w:r>
      <w:r>
        <w:rPr>
          <w:rFonts w:hint="cs"/>
          <w:b/>
          <w:bCs/>
          <w:u w:val="single"/>
          <w:rtl/>
        </w:rPr>
        <w:t>ים</w:t>
      </w:r>
      <w:r w:rsidRPr="00A4028B">
        <w:rPr>
          <w:rFonts w:hint="cs"/>
          <w:b/>
          <w:bCs/>
          <w:u w:val="single"/>
          <w:rtl/>
        </w:rPr>
        <w:t xml:space="preserve"> במתחמים ואופן הטלתם</w:t>
      </w:r>
      <w:r>
        <w:rPr>
          <w:rFonts w:hint="cs"/>
          <w:rtl/>
        </w:rPr>
        <w:t>:</w:t>
      </w:r>
    </w:p>
    <w:p w14:paraId="483DB057" w14:textId="77777777" w:rsidR="002870FE" w:rsidRDefault="002870FE" w:rsidP="002870FE">
      <w:pPr>
        <w:pStyle w:val="a9"/>
        <w:numPr>
          <w:ilvl w:val="0"/>
          <w:numId w:val="4"/>
        </w:numPr>
        <w:spacing w:line="360" w:lineRule="auto"/>
        <w:jc w:val="both"/>
      </w:pPr>
      <w:r>
        <w:rPr>
          <w:rFonts w:hint="cs"/>
          <w:rtl/>
        </w:rPr>
        <w:t>הנאשם יליד 1980, רווק המתגורר בבית הוריו ונטול מקור פרנסה עצמאי. כאמור לעיל, הנאשם חסם כל אפשרות לזיהוי נתונים רלוונטיים לזכותו.</w:t>
      </w:r>
    </w:p>
    <w:p w14:paraId="01A2C4B0" w14:textId="77777777" w:rsidR="002870FE" w:rsidRDefault="002870FE" w:rsidP="002870FE">
      <w:pPr>
        <w:pStyle w:val="a9"/>
        <w:numPr>
          <w:ilvl w:val="0"/>
          <w:numId w:val="4"/>
        </w:numPr>
        <w:spacing w:line="360" w:lineRule="auto"/>
        <w:jc w:val="both"/>
      </w:pPr>
      <w:r>
        <w:rPr>
          <w:rFonts w:hint="cs"/>
          <w:rtl/>
        </w:rPr>
        <w:t xml:space="preserve">לחובת הנאשם יעמוד עברו הפלילי המכביד, המעיד על קו עקבי של שימוש באלימות ובאיומים במסגרת מגעיו של הנאשם עם אחרים, כמו-גם על זלזול מוחלט בזכויותיו, בצרכיו, ברגשותיו ובכבוד האדם של הזולת [תע/1]: </w:t>
      </w:r>
    </w:p>
    <w:p w14:paraId="5C604790" w14:textId="77777777" w:rsidR="002870FE" w:rsidRDefault="002870FE" w:rsidP="002870FE">
      <w:pPr>
        <w:spacing w:line="360" w:lineRule="auto"/>
        <w:ind w:left="360"/>
        <w:jc w:val="both"/>
      </w:pPr>
      <w:r>
        <w:rPr>
          <w:rFonts w:hint="cs"/>
          <w:rtl/>
        </w:rPr>
        <w:t>הנאשם החל בביצוען של עבירות עוד מנעוריו, כשאז ביצע עבירות רכוש וגם עבירות סמים קלות. הגיעו הדברים לידי כך, שבשנת 1999, כשעוד נדון כקטין, נגזר עליו עונש מאסר ראשון, הפעם לריצוי בעבודות שירות. בשנת 2000 נדון הנאשם למאסר ראשון בכליאה, למשך 18 חודשים, בגין עבירות אלימות, רכוש, החזקת סכין, העלבת עובד ציבור ועוד. מאז הוטלו על הנאשם עונשי מאסר נוספים, אך לא היה באלה, או בענישה מותנית, כדי להביא להתמתנות בפעילותו העבריינית של הנאשם.</w:t>
      </w:r>
    </w:p>
    <w:p w14:paraId="74A63EEB" w14:textId="77777777" w:rsidR="002870FE" w:rsidRDefault="002870FE" w:rsidP="002870FE">
      <w:pPr>
        <w:pStyle w:val="a9"/>
        <w:numPr>
          <w:ilvl w:val="0"/>
          <w:numId w:val="4"/>
        </w:numPr>
        <w:spacing w:line="360" w:lineRule="auto"/>
        <w:jc w:val="both"/>
      </w:pPr>
      <w:r>
        <w:rPr>
          <w:rFonts w:hint="cs"/>
          <w:rtl/>
        </w:rPr>
        <w:t>עתה תלוי ועומד נגד הנאשם מאסר מותנה בן 12 חודשים, שהוטל עליו בשנת 2008, וכשהצדדים מסכימים שאין מנוס מהפעלתו [תע/3].</w:t>
      </w:r>
    </w:p>
    <w:p w14:paraId="28C8C059" w14:textId="77777777" w:rsidR="002870FE" w:rsidRDefault="002870FE" w:rsidP="002870FE">
      <w:pPr>
        <w:pStyle w:val="a9"/>
        <w:numPr>
          <w:ilvl w:val="0"/>
          <w:numId w:val="4"/>
        </w:numPr>
        <w:spacing w:line="360" w:lineRule="auto"/>
        <w:jc w:val="both"/>
      </w:pPr>
      <w:r>
        <w:rPr>
          <w:rFonts w:hint="cs"/>
          <w:rtl/>
        </w:rPr>
        <w:t>לזכות הנאשם תעמוד בראש ובראשונה הודאתו בכלל תיקיו הפתוחים, במטרה "לנקות שולחן". עוד אתן משקל מסוים לחלוף הזמן מעת ביצוען של חלק מהעבירות, אף שזמן זה חלף מבלי שנוצל על-ידי הנאשם לעזיבת דרכו הרעה.</w:t>
      </w:r>
    </w:p>
    <w:p w14:paraId="3887DD4A" w14:textId="77777777" w:rsidR="002870FE" w:rsidRDefault="002870FE" w:rsidP="002870FE">
      <w:pPr>
        <w:pStyle w:val="a9"/>
        <w:numPr>
          <w:ilvl w:val="0"/>
          <w:numId w:val="4"/>
        </w:numPr>
        <w:spacing w:line="360" w:lineRule="auto"/>
        <w:jc w:val="both"/>
      </w:pPr>
      <w:r>
        <w:rPr>
          <w:rFonts w:hint="cs"/>
          <w:rtl/>
        </w:rPr>
        <w:t>עונשו העיקרי של הנאשם ייגזר כאחד, תוך חפיפה רבתי בין העונשים השונים, שמקומם הראוי הוא במחציתם של המתחמים. מפאת יושנו של המאסר המותנה, ומתן משקל-יתר לרצון הנאשם "לנקות שולחן" ואולי לצאת לדרך חדשה, אחפוף חלקית בין המאסר אותו אטיל לבין המאסר המותנה שיופעל.</w:t>
      </w:r>
    </w:p>
    <w:p w14:paraId="4F413A3F" w14:textId="77777777" w:rsidR="002870FE" w:rsidRDefault="002870FE" w:rsidP="002870FE">
      <w:pPr>
        <w:pStyle w:val="a9"/>
        <w:numPr>
          <w:ilvl w:val="0"/>
          <w:numId w:val="4"/>
        </w:numPr>
        <w:spacing w:line="360" w:lineRule="auto"/>
        <w:jc w:val="both"/>
      </w:pPr>
      <w:r>
        <w:rPr>
          <w:rFonts w:hint="cs"/>
          <w:rtl/>
        </w:rPr>
        <w:t>אין ביכולתו של הנאשם לעמוד בתשלום כלשהו, ולכן לא יוטל עיצום כספי בעין. לתוספת הרתעה אוסיף אמצעים עונשיים של מאסר מותנה והתחייבות.</w:t>
      </w:r>
    </w:p>
    <w:p w14:paraId="14645EFA" w14:textId="77777777" w:rsidR="002870FE" w:rsidRDefault="002870FE" w:rsidP="002870FE">
      <w:pPr>
        <w:spacing w:line="360" w:lineRule="auto"/>
        <w:jc w:val="both"/>
        <w:rPr>
          <w:rtl/>
        </w:rPr>
      </w:pPr>
    </w:p>
    <w:p w14:paraId="699C595C" w14:textId="77777777" w:rsidR="002870FE" w:rsidRDefault="002870FE" w:rsidP="002870FE">
      <w:pPr>
        <w:spacing w:line="360" w:lineRule="auto"/>
        <w:jc w:val="both"/>
        <w:rPr>
          <w:rtl/>
        </w:rPr>
      </w:pPr>
      <w:r>
        <w:rPr>
          <w:rFonts w:hint="cs"/>
          <w:b/>
          <w:bCs/>
          <w:u w:val="single"/>
          <w:rtl/>
        </w:rPr>
        <w:t>סוף-דבר, אני גוזר על הנאשם את העונשים הבאים</w:t>
      </w:r>
      <w:r>
        <w:rPr>
          <w:rFonts w:hint="cs"/>
          <w:rtl/>
        </w:rPr>
        <w:t>:</w:t>
      </w:r>
    </w:p>
    <w:p w14:paraId="2E1D15A2" w14:textId="77777777" w:rsidR="002870FE" w:rsidRDefault="002870FE" w:rsidP="002870FE">
      <w:pPr>
        <w:pStyle w:val="a9"/>
        <w:numPr>
          <w:ilvl w:val="0"/>
          <w:numId w:val="5"/>
        </w:numPr>
        <w:spacing w:line="360" w:lineRule="auto"/>
        <w:jc w:val="both"/>
      </w:pPr>
      <w:r>
        <w:rPr>
          <w:rFonts w:hint="cs"/>
          <w:rtl/>
        </w:rPr>
        <w:t>12 חודשי מאסר בפועל;</w:t>
      </w:r>
    </w:p>
    <w:p w14:paraId="2CD3C151" w14:textId="77777777" w:rsidR="002870FE" w:rsidRDefault="002870FE" w:rsidP="002870FE">
      <w:pPr>
        <w:pStyle w:val="a9"/>
        <w:numPr>
          <w:ilvl w:val="0"/>
          <w:numId w:val="5"/>
        </w:numPr>
        <w:spacing w:line="360" w:lineRule="auto"/>
        <w:jc w:val="both"/>
      </w:pPr>
      <w:r>
        <w:rPr>
          <w:rFonts w:hint="cs"/>
          <w:rtl/>
        </w:rPr>
        <w:t>אני מפעיל, בחפיפה חלקית, שנת מאסר מותנה שהוטלה ביום 15.05.08 בת"פ (שלום ת"א) 8283/07, כך שהנאשם ירצה עונש כולל של 18 חודשי מאסר בפועל, בניכוי ימי מעצרו בגין התיק דנן ובגין התיקים שצורפו;</w:t>
      </w:r>
    </w:p>
    <w:p w14:paraId="52AC159E" w14:textId="77777777" w:rsidR="002870FE" w:rsidRDefault="002870FE" w:rsidP="002870FE">
      <w:pPr>
        <w:pStyle w:val="a9"/>
        <w:numPr>
          <w:ilvl w:val="0"/>
          <w:numId w:val="5"/>
        </w:numPr>
        <w:spacing w:line="360" w:lineRule="auto"/>
        <w:jc w:val="both"/>
      </w:pPr>
      <w:r>
        <w:rPr>
          <w:rFonts w:hint="cs"/>
          <w:rtl/>
        </w:rPr>
        <w:t>שישה חודשי מאסר על תנאי למשך שנתיים מיום שחרורו, שלא יעבור עבירה עליה הורשע בתיק זה, למעט עבירות הסמים, או כל עבירת רכוש או עבירת אלימות אחרת;</w:t>
      </w:r>
    </w:p>
    <w:p w14:paraId="2EC63C65" w14:textId="77777777" w:rsidR="002870FE" w:rsidRDefault="002870FE" w:rsidP="002870FE">
      <w:pPr>
        <w:pStyle w:val="a9"/>
        <w:numPr>
          <w:ilvl w:val="0"/>
          <w:numId w:val="5"/>
        </w:numPr>
        <w:spacing w:line="360" w:lineRule="auto"/>
        <w:jc w:val="both"/>
      </w:pPr>
      <w:r>
        <w:rPr>
          <w:rFonts w:hint="cs"/>
          <w:rtl/>
        </w:rPr>
        <w:t>חודש מאסר על תנאי למשך שנה מיום שחרורו, שלא יעבור עבירת סמים מכל סוג;</w:t>
      </w:r>
    </w:p>
    <w:p w14:paraId="0607BB0C" w14:textId="77777777" w:rsidR="002870FE" w:rsidRDefault="002870FE" w:rsidP="002870FE">
      <w:pPr>
        <w:pStyle w:val="a9"/>
        <w:numPr>
          <w:ilvl w:val="0"/>
          <w:numId w:val="5"/>
        </w:numPr>
        <w:spacing w:line="360" w:lineRule="auto"/>
        <w:jc w:val="both"/>
      </w:pPr>
      <w:r>
        <w:rPr>
          <w:rFonts w:hint="cs"/>
          <w:rtl/>
        </w:rPr>
        <w:t>התחייבות בסך 1,000 ₪ למשך שנתיים מיום שחרורו, שלא יעבור עבירה עליה הורשע בתיק זה, למעט עבירות הסמים, או כל עבירת רכוש או עבירת אלימות אחרת. לא תיחתם ההתחייבות, ייאסר הנאשם למשך חודש ימים;</w:t>
      </w:r>
    </w:p>
    <w:p w14:paraId="719F725B" w14:textId="77777777" w:rsidR="002870FE" w:rsidRDefault="002870FE" w:rsidP="002870FE">
      <w:pPr>
        <w:spacing w:line="360" w:lineRule="auto"/>
        <w:jc w:val="both"/>
        <w:rPr>
          <w:rtl/>
        </w:rPr>
      </w:pPr>
    </w:p>
    <w:p w14:paraId="0CF2F357" w14:textId="77777777" w:rsidR="002870FE" w:rsidRDefault="002870FE" w:rsidP="002870FE">
      <w:pPr>
        <w:spacing w:line="360" w:lineRule="auto"/>
        <w:jc w:val="both"/>
        <w:rPr>
          <w:rtl/>
        </w:rPr>
      </w:pPr>
      <w:r>
        <w:rPr>
          <w:rFonts w:hint="cs"/>
          <w:b/>
          <w:bCs/>
          <w:u w:val="single"/>
          <w:rtl/>
        </w:rPr>
        <w:t>הוראות נלוות</w:t>
      </w:r>
      <w:r>
        <w:rPr>
          <w:rFonts w:hint="cs"/>
          <w:rtl/>
        </w:rPr>
        <w:t>:</w:t>
      </w:r>
    </w:p>
    <w:p w14:paraId="5F6E01D5" w14:textId="77777777" w:rsidR="002870FE" w:rsidRDefault="002870FE" w:rsidP="002870FE">
      <w:pPr>
        <w:pStyle w:val="a9"/>
        <w:numPr>
          <w:ilvl w:val="0"/>
          <w:numId w:val="6"/>
        </w:numPr>
        <w:spacing w:line="360" w:lineRule="auto"/>
        <w:jc w:val="both"/>
      </w:pPr>
      <w:r>
        <w:rPr>
          <w:rFonts w:hint="cs"/>
          <w:rtl/>
        </w:rPr>
        <w:t>התביעה תגיש בהקדם הודעה בדבר ימי מעצר שיש לנכות כאמור לעיל מעונש המאסר;</w:t>
      </w:r>
    </w:p>
    <w:p w14:paraId="1A492F2F" w14:textId="77777777" w:rsidR="002870FE" w:rsidRDefault="002870FE" w:rsidP="002870FE">
      <w:pPr>
        <w:pStyle w:val="a9"/>
        <w:numPr>
          <w:ilvl w:val="0"/>
          <w:numId w:val="6"/>
        </w:numPr>
        <w:spacing w:line="360" w:lineRule="auto"/>
        <w:jc w:val="both"/>
      </w:pPr>
      <w:r>
        <w:rPr>
          <w:rFonts w:hint="cs"/>
          <w:rtl/>
        </w:rPr>
        <w:t>מוצגים: סמים וסכין יושמדו, וכל מוצג אחר יועבר להכרעה פרטנית של קצין משטרה;</w:t>
      </w:r>
    </w:p>
    <w:p w14:paraId="04A3D9A5" w14:textId="77777777" w:rsidR="002870FE" w:rsidRDefault="002870FE" w:rsidP="002870FE">
      <w:pPr>
        <w:pStyle w:val="a9"/>
        <w:numPr>
          <w:ilvl w:val="0"/>
          <w:numId w:val="6"/>
        </w:numPr>
        <w:spacing w:line="360" w:lineRule="auto"/>
        <w:jc w:val="both"/>
      </w:pPr>
      <w:r>
        <w:rPr>
          <w:rFonts w:hint="cs"/>
          <w:rtl/>
        </w:rPr>
        <w:t>ככל שהפקיד הנאשם פיקדון בתיק זה, לרבות בתיקים המצורפים והתיקים הקשורים אליהם, יושב לו הפיקדון לאחר קבלת אישור על כניסתו לכלא;</w:t>
      </w:r>
    </w:p>
    <w:p w14:paraId="1CE151EE" w14:textId="77777777" w:rsidR="002870FE" w:rsidRDefault="002870FE" w:rsidP="002870FE">
      <w:pPr>
        <w:spacing w:line="360" w:lineRule="auto"/>
        <w:jc w:val="both"/>
        <w:rPr>
          <w:rtl/>
        </w:rPr>
      </w:pPr>
    </w:p>
    <w:p w14:paraId="0B10D9C7" w14:textId="77777777" w:rsidR="002870FE" w:rsidRPr="008058F6" w:rsidRDefault="002870FE" w:rsidP="002870FE">
      <w:pPr>
        <w:spacing w:line="360" w:lineRule="auto"/>
        <w:jc w:val="both"/>
      </w:pPr>
      <w:r>
        <w:rPr>
          <w:rFonts w:hint="cs"/>
          <w:rtl/>
        </w:rPr>
        <w:t>זכות ערעור לבית המשפט המחוזי תוך 45 יום מהיום.</w:t>
      </w:r>
    </w:p>
    <w:p w14:paraId="207F5141" w14:textId="77777777" w:rsidR="002870FE" w:rsidRPr="00195210" w:rsidRDefault="00195210" w:rsidP="002870FE">
      <w:pPr>
        <w:pStyle w:val="a9"/>
        <w:spacing w:line="360" w:lineRule="auto"/>
        <w:jc w:val="both"/>
        <w:rPr>
          <w:color w:val="FFFFFF"/>
          <w:sz w:val="2"/>
          <w:szCs w:val="2"/>
        </w:rPr>
      </w:pPr>
      <w:r w:rsidRPr="00195210">
        <w:rPr>
          <w:color w:val="FFFFFF"/>
          <w:sz w:val="2"/>
          <w:szCs w:val="2"/>
          <w:rtl/>
        </w:rPr>
        <w:t>5129371</w:t>
      </w:r>
    </w:p>
    <w:p w14:paraId="4F5CF9A9" w14:textId="77777777" w:rsidR="002870FE" w:rsidRPr="00250B83" w:rsidRDefault="00195210" w:rsidP="002870FE">
      <w:pPr>
        <w:rPr>
          <w:rtl/>
        </w:rPr>
      </w:pPr>
      <w:r w:rsidRPr="00195210">
        <w:rPr>
          <w:rFonts w:ascii="Arial" w:hAnsi="Arial"/>
          <w:color w:val="FFFFFF"/>
          <w:sz w:val="2"/>
          <w:szCs w:val="2"/>
          <w:rtl/>
        </w:rPr>
        <w:t>54678313</w:t>
      </w:r>
      <w:r>
        <w:rPr>
          <w:rFonts w:ascii="Arial" w:hAnsi="Arial"/>
          <w:rtl/>
        </w:rPr>
        <w:t xml:space="preserve">ניתן היום,  כ"ט טבת תשע"ט, 06 ינואר 2019, במעמד הצדדים. </w:t>
      </w:r>
    </w:p>
    <w:p w14:paraId="3CE2BA70" w14:textId="77777777" w:rsidR="002870FE" w:rsidRPr="00250B83" w:rsidRDefault="002870FE" w:rsidP="002870FE">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61171FB2" w14:textId="77777777" w:rsidR="002870FE" w:rsidRPr="00250B83" w:rsidRDefault="002870FE" w:rsidP="002870FE">
      <w:pPr>
        <w:jc w:val="center"/>
        <w:rPr>
          <w:rFonts w:ascii="Arial" w:hAnsi="Arial"/>
          <w:rtl/>
        </w:rPr>
      </w:pPr>
    </w:p>
    <w:p w14:paraId="4F27D4AB" w14:textId="77777777" w:rsidR="002870FE" w:rsidRPr="00250B83" w:rsidRDefault="002870FE" w:rsidP="002870FE">
      <w:pPr>
        <w:rPr>
          <w:rtl/>
        </w:rPr>
      </w:pPr>
    </w:p>
    <w:p w14:paraId="46167844" w14:textId="77777777" w:rsidR="002870FE" w:rsidRPr="00894922" w:rsidRDefault="00894922" w:rsidP="002870FE">
      <w:pPr>
        <w:pStyle w:val="a3"/>
        <w:jc w:val="center"/>
        <w:rPr>
          <w:color w:val="FFFFFF"/>
          <w:sz w:val="2"/>
          <w:szCs w:val="2"/>
          <w:rtl/>
        </w:rPr>
      </w:pPr>
      <w:r w:rsidRPr="00894922">
        <w:rPr>
          <w:color w:val="FFFFFF"/>
          <w:sz w:val="2"/>
          <w:szCs w:val="2"/>
          <w:rtl/>
        </w:rPr>
        <w:t>5129371</w:t>
      </w:r>
    </w:p>
    <w:p w14:paraId="6710A1DE" w14:textId="77777777" w:rsidR="003D2792" w:rsidRPr="00894922" w:rsidRDefault="00894922" w:rsidP="00195210">
      <w:pPr>
        <w:keepNext/>
        <w:rPr>
          <w:rFonts w:ascii="David" w:hAnsi="David"/>
          <w:color w:val="FFFFFF"/>
          <w:sz w:val="2"/>
          <w:szCs w:val="2"/>
          <w:rtl/>
        </w:rPr>
      </w:pPr>
      <w:r w:rsidRPr="00894922">
        <w:rPr>
          <w:rFonts w:ascii="David" w:hAnsi="David"/>
          <w:color w:val="FFFFFF"/>
          <w:sz w:val="2"/>
          <w:szCs w:val="2"/>
          <w:rtl/>
        </w:rPr>
        <w:t>54678313</w:t>
      </w:r>
    </w:p>
    <w:p w14:paraId="041EA156" w14:textId="77777777" w:rsidR="00195210" w:rsidRPr="00195210" w:rsidRDefault="00195210" w:rsidP="00195210">
      <w:pPr>
        <w:keepNext/>
        <w:rPr>
          <w:rFonts w:ascii="David" w:hAnsi="David"/>
          <w:color w:val="000000"/>
          <w:sz w:val="22"/>
          <w:szCs w:val="22"/>
          <w:rtl/>
        </w:rPr>
      </w:pPr>
      <w:r w:rsidRPr="00195210">
        <w:rPr>
          <w:rFonts w:ascii="David" w:hAnsi="David"/>
          <w:color w:val="000000"/>
          <w:sz w:val="22"/>
          <w:szCs w:val="22"/>
          <w:rtl/>
        </w:rPr>
        <w:t>עידו דרויאן גמליאל 54678313</w:t>
      </w:r>
    </w:p>
    <w:p w14:paraId="262011FF" w14:textId="77777777" w:rsidR="00195210" w:rsidRDefault="00195210" w:rsidP="00195210">
      <w:r w:rsidRPr="00195210">
        <w:rPr>
          <w:color w:val="000000"/>
          <w:rtl/>
        </w:rPr>
        <w:t>נוסח מסמך זה כפוף לשינויי ניסוח ועריכה</w:t>
      </w:r>
    </w:p>
    <w:p w14:paraId="375F2E7E" w14:textId="77777777" w:rsidR="00195210" w:rsidRDefault="00195210" w:rsidP="00195210">
      <w:pPr>
        <w:rPr>
          <w:rtl/>
        </w:rPr>
      </w:pPr>
    </w:p>
    <w:p w14:paraId="59875CDB" w14:textId="77777777" w:rsidR="00195210" w:rsidRDefault="00195210" w:rsidP="00195210">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r w:rsidR="005E5605">
        <w:rPr>
          <w:rFonts w:hint="cs"/>
          <w:color w:val="0000FF"/>
          <w:u w:val="single"/>
          <w:rtl/>
        </w:rPr>
        <w:t xml:space="preserve"> </w:t>
      </w:r>
    </w:p>
    <w:p w14:paraId="39022988" w14:textId="77777777" w:rsidR="00195210" w:rsidRPr="00195210" w:rsidRDefault="00195210" w:rsidP="00894922">
      <w:pPr>
        <w:rPr>
          <w:color w:val="0000FF"/>
          <w:u w:val="single"/>
        </w:rPr>
      </w:pPr>
    </w:p>
    <w:sectPr w:rsidR="00195210" w:rsidRPr="00195210" w:rsidSect="00894922">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5D696" w14:textId="77777777" w:rsidR="009848A4" w:rsidRDefault="009848A4" w:rsidP="002870FE">
      <w:r>
        <w:separator/>
      </w:r>
    </w:p>
  </w:endnote>
  <w:endnote w:type="continuationSeparator" w:id="0">
    <w:p w14:paraId="1063A685" w14:textId="77777777" w:rsidR="009848A4" w:rsidRDefault="009848A4" w:rsidP="00287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0B56D" w14:textId="77777777" w:rsidR="00894922" w:rsidRDefault="00894922" w:rsidP="0089492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F5CE57F" w14:textId="77777777" w:rsidR="009B4650" w:rsidRPr="00894922" w:rsidRDefault="00894922" w:rsidP="00894922">
    <w:pPr>
      <w:pStyle w:val="a5"/>
      <w:pBdr>
        <w:top w:val="single" w:sz="4" w:space="1" w:color="auto"/>
        <w:between w:val="single" w:sz="4" w:space="0" w:color="auto"/>
      </w:pBdr>
      <w:spacing w:after="60"/>
      <w:jc w:val="center"/>
      <w:rPr>
        <w:rFonts w:ascii="FrankRuehl" w:hAnsi="FrankRuehl" w:cs="FrankRuehl"/>
        <w:color w:val="000000"/>
      </w:rPr>
    </w:pPr>
    <w:r w:rsidRPr="0089492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7A0C6" w14:textId="77777777" w:rsidR="00894922" w:rsidRDefault="00894922" w:rsidP="0089492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327B7">
      <w:rPr>
        <w:rFonts w:ascii="FrankRuehl" w:hAnsi="FrankRuehl" w:cs="FrankRuehl"/>
        <w:noProof/>
        <w:rtl/>
      </w:rPr>
      <w:t>1</w:t>
    </w:r>
    <w:r>
      <w:rPr>
        <w:rFonts w:ascii="FrankRuehl" w:hAnsi="FrankRuehl" w:cs="FrankRuehl"/>
        <w:rtl/>
      </w:rPr>
      <w:fldChar w:fldCharType="end"/>
    </w:r>
  </w:p>
  <w:p w14:paraId="099FB030" w14:textId="77777777" w:rsidR="009B4650" w:rsidRPr="00894922" w:rsidRDefault="00894922" w:rsidP="00894922">
    <w:pPr>
      <w:pStyle w:val="a5"/>
      <w:pBdr>
        <w:top w:val="single" w:sz="4" w:space="1" w:color="auto"/>
        <w:between w:val="single" w:sz="4" w:space="0" w:color="auto"/>
      </w:pBdr>
      <w:spacing w:after="60"/>
      <w:jc w:val="center"/>
      <w:rPr>
        <w:rFonts w:ascii="FrankRuehl" w:hAnsi="FrankRuehl" w:cs="FrankRuehl"/>
        <w:color w:val="000000"/>
      </w:rPr>
    </w:pPr>
    <w:r w:rsidRPr="00894922">
      <w:rPr>
        <w:rFonts w:ascii="FrankRuehl" w:hAnsi="FrankRuehl" w:cs="FrankRuehl"/>
        <w:color w:val="000000"/>
      </w:rPr>
      <w:pict w14:anchorId="4428C0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95380" w14:textId="77777777" w:rsidR="009848A4" w:rsidRDefault="009848A4" w:rsidP="002870FE">
      <w:r>
        <w:separator/>
      </w:r>
    </w:p>
  </w:footnote>
  <w:footnote w:type="continuationSeparator" w:id="0">
    <w:p w14:paraId="763F0A44" w14:textId="77777777" w:rsidR="009848A4" w:rsidRDefault="009848A4" w:rsidP="002870FE">
      <w:r>
        <w:continuationSeparator/>
      </w:r>
    </w:p>
  </w:footnote>
  <w:footnote w:id="1">
    <w:p w14:paraId="6A6A7839" w14:textId="77777777" w:rsidR="002870FE" w:rsidRDefault="002870FE" w:rsidP="002870FE">
      <w:pPr>
        <w:pStyle w:val="aa"/>
        <w:rPr>
          <w:rtl/>
        </w:rPr>
      </w:pPr>
      <w:r>
        <w:rPr>
          <w:rStyle w:val="ac"/>
        </w:rPr>
        <w:footnoteRef/>
      </w:r>
      <w:r>
        <w:rPr>
          <w:rtl/>
        </w:rPr>
        <w:t xml:space="preserve"> </w:t>
      </w:r>
      <w:r>
        <w:rPr>
          <w:rtl/>
        </w:rPr>
        <w:tab/>
      </w:r>
      <w:r>
        <w:rPr>
          <w:rFonts w:hint="cs"/>
          <w:rtl/>
        </w:rPr>
        <w:t>למעשה, אחת מעבירות החזקת הסמים בוצעה ב-21.09.16, אך אין לכך כל נפקות;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B295D" w14:textId="77777777" w:rsidR="00195210" w:rsidRPr="00894922" w:rsidRDefault="00894922" w:rsidP="0089492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28215-04-17</w:t>
    </w:r>
    <w:r>
      <w:rPr>
        <w:rFonts w:ascii="David" w:hAnsi="David"/>
        <w:color w:val="000000"/>
        <w:sz w:val="22"/>
        <w:szCs w:val="22"/>
        <w:rtl/>
      </w:rPr>
      <w:tab/>
      <w:t xml:space="preserve"> מדינת ישראל נ' רונן עטאר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31FCD" w14:textId="77777777" w:rsidR="00195210" w:rsidRPr="00894922" w:rsidRDefault="00894922" w:rsidP="0089492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28215-04-17</w:t>
    </w:r>
    <w:r>
      <w:rPr>
        <w:rFonts w:ascii="David" w:hAnsi="David"/>
        <w:color w:val="000000"/>
        <w:sz w:val="22"/>
        <w:szCs w:val="22"/>
        <w:rtl/>
      </w:rPr>
      <w:tab/>
      <w:t xml:space="preserve"> מדינת ישראל נ' רונן עטאר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13416"/>
    <w:multiLevelType w:val="hybridMultilevel"/>
    <w:tmpl w:val="3300D0E4"/>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2F4DFD"/>
    <w:multiLevelType w:val="hybridMultilevel"/>
    <w:tmpl w:val="0360CA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74088C"/>
    <w:multiLevelType w:val="hybridMultilevel"/>
    <w:tmpl w:val="AA807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076526D"/>
    <w:multiLevelType w:val="hybridMultilevel"/>
    <w:tmpl w:val="CF9C37F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8921A7"/>
    <w:multiLevelType w:val="hybridMultilevel"/>
    <w:tmpl w:val="762C193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62C0D"/>
    <w:multiLevelType w:val="hybridMultilevel"/>
    <w:tmpl w:val="CD4E9EC4"/>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25767584">
    <w:abstractNumId w:val="0"/>
  </w:num>
  <w:num w:numId="2" w16cid:durableId="104009435">
    <w:abstractNumId w:val="1"/>
  </w:num>
  <w:num w:numId="3" w16cid:durableId="496849449">
    <w:abstractNumId w:val="5"/>
  </w:num>
  <w:num w:numId="4" w16cid:durableId="1163814398">
    <w:abstractNumId w:val="2"/>
  </w:num>
  <w:num w:numId="5" w16cid:durableId="309945350">
    <w:abstractNumId w:val="3"/>
  </w:num>
  <w:num w:numId="6" w16cid:durableId="2865500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870FE"/>
    <w:rsid w:val="00195210"/>
    <w:rsid w:val="001B5A3B"/>
    <w:rsid w:val="002870FE"/>
    <w:rsid w:val="003327B7"/>
    <w:rsid w:val="003D2792"/>
    <w:rsid w:val="003F0A46"/>
    <w:rsid w:val="004B7C68"/>
    <w:rsid w:val="005E5605"/>
    <w:rsid w:val="00623001"/>
    <w:rsid w:val="00653F10"/>
    <w:rsid w:val="007F1C43"/>
    <w:rsid w:val="00894922"/>
    <w:rsid w:val="009848A4"/>
    <w:rsid w:val="009B4650"/>
    <w:rsid w:val="00C34BA6"/>
    <w:rsid w:val="00E8248E"/>
    <w:rsid w:val="00ED4F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F5CF631"/>
  <w15:chartTrackingRefBased/>
  <w15:docId w15:val="{D2687D66-9CED-4E6A-8333-0269F15EC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870F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870FE"/>
    <w:pPr>
      <w:tabs>
        <w:tab w:val="center" w:pos="4153"/>
        <w:tab w:val="right" w:pos="8306"/>
      </w:tabs>
    </w:pPr>
  </w:style>
  <w:style w:type="character" w:customStyle="1" w:styleId="a4">
    <w:name w:val="כותרת עליונה תו"/>
    <w:link w:val="a3"/>
    <w:rsid w:val="002870FE"/>
    <w:rPr>
      <w:rFonts w:ascii="Times New Roman" w:eastAsia="Times New Roman" w:hAnsi="Times New Roman" w:cs="David"/>
      <w:sz w:val="24"/>
      <w:szCs w:val="24"/>
    </w:rPr>
  </w:style>
  <w:style w:type="paragraph" w:styleId="a5">
    <w:name w:val="footer"/>
    <w:basedOn w:val="a"/>
    <w:link w:val="a6"/>
    <w:rsid w:val="002870FE"/>
    <w:pPr>
      <w:tabs>
        <w:tab w:val="center" w:pos="4153"/>
        <w:tab w:val="right" w:pos="8306"/>
      </w:tabs>
    </w:pPr>
  </w:style>
  <w:style w:type="character" w:customStyle="1" w:styleId="a6">
    <w:name w:val="כותרת תחתונה תו"/>
    <w:link w:val="a5"/>
    <w:rsid w:val="002870FE"/>
    <w:rPr>
      <w:rFonts w:ascii="Times New Roman" w:eastAsia="Times New Roman" w:hAnsi="Times New Roman" w:cs="David"/>
      <w:sz w:val="24"/>
      <w:szCs w:val="24"/>
    </w:rPr>
  </w:style>
  <w:style w:type="table" w:styleId="a7">
    <w:name w:val="Table Grid"/>
    <w:basedOn w:val="a1"/>
    <w:rsid w:val="002870F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870FE"/>
  </w:style>
  <w:style w:type="paragraph" w:styleId="a9">
    <w:name w:val="List Paragraph"/>
    <w:basedOn w:val="a"/>
    <w:qFormat/>
    <w:rsid w:val="002870FE"/>
    <w:pPr>
      <w:ind w:left="720"/>
      <w:contextualSpacing/>
    </w:pPr>
  </w:style>
  <w:style w:type="paragraph" w:styleId="aa">
    <w:name w:val="footnote text"/>
    <w:basedOn w:val="a"/>
    <w:link w:val="ab"/>
    <w:rsid w:val="002870FE"/>
    <w:rPr>
      <w:sz w:val="20"/>
      <w:szCs w:val="20"/>
    </w:rPr>
  </w:style>
  <w:style w:type="character" w:customStyle="1" w:styleId="ab">
    <w:name w:val="טקסט הערת שוליים תו"/>
    <w:link w:val="aa"/>
    <w:rsid w:val="002870FE"/>
    <w:rPr>
      <w:rFonts w:ascii="Times New Roman" w:eastAsia="Times New Roman" w:hAnsi="Times New Roman" w:cs="David"/>
      <w:sz w:val="20"/>
      <w:szCs w:val="20"/>
    </w:rPr>
  </w:style>
  <w:style w:type="character" w:styleId="ac">
    <w:name w:val="footnote reference"/>
    <w:rsid w:val="002870FE"/>
    <w:rPr>
      <w:vertAlign w:val="superscript"/>
    </w:rPr>
  </w:style>
  <w:style w:type="character" w:styleId="Hyperlink">
    <w:name w:val="Hyperlink"/>
    <w:rsid w:val="00195210"/>
    <w:rPr>
      <w:color w:val="0563C1"/>
      <w:u w:val="single"/>
    </w:rPr>
  </w:style>
  <w:style w:type="character" w:styleId="ad">
    <w:name w:val="Unresolved Mention"/>
    <w:uiPriority w:val="99"/>
    <w:semiHidden/>
    <w:unhideWhenUsed/>
    <w:rsid w:val="00ED4F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92" TargetMode="External"/><Relationship Id="rId18" Type="http://schemas.openxmlformats.org/officeDocument/2006/relationships/hyperlink" Target="http://www.nevo.co.il/law/74918" TargetMode="External"/><Relationship Id="rId26" Type="http://schemas.openxmlformats.org/officeDocument/2006/relationships/hyperlink" Target="http://www.nevo.co.il/law/70301/244" TargetMode="External"/><Relationship Id="rId39" Type="http://schemas.openxmlformats.org/officeDocument/2006/relationships/hyperlink" Target="http://www.nevo.co.il/case/25106726" TargetMode="External"/><Relationship Id="rId21" Type="http://schemas.openxmlformats.org/officeDocument/2006/relationships/hyperlink" Target="http://www.nevo.co.il/law/4216/7.a" TargetMode="External"/><Relationship Id="rId34" Type="http://schemas.openxmlformats.org/officeDocument/2006/relationships/hyperlink" Target="http://www.nevo.co.il/law/70301/288" TargetMode="External"/><Relationship Id="rId42" Type="http://schemas.openxmlformats.org/officeDocument/2006/relationships/hyperlink" Target="http://www.nevo.co.il/case/11301441" TargetMode="External"/><Relationship Id="rId47" Type="http://schemas.openxmlformats.org/officeDocument/2006/relationships/hyperlink" Target="http://www.nevo.co.il/case/20972846" TargetMode="External"/><Relationship Id="rId50" Type="http://schemas.openxmlformats.org/officeDocument/2006/relationships/hyperlink" Target="http://www.nevo.co.il/case/22924186" TargetMode="External"/><Relationship Id="rId55" Type="http://schemas.openxmlformats.org/officeDocument/2006/relationships/header" Target="head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88" TargetMode="External"/><Relationship Id="rId29" Type="http://schemas.openxmlformats.org/officeDocument/2006/relationships/hyperlink" Target="http://www.nevo.co.il/law/74918/47.a" TargetMode="External"/><Relationship Id="rId11" Type="http://schemas.openxmlformats.org/officeDocument/2006/relationships/hyperlink" Target="http://www.nevo.co.il/law/70301/25" TargetMode="External"/><Relationship Id="rId24" Type="http://schemas.openxmlformats.org/officeDocument/2006/relationships/hyperlink" Target="http://www.nevo.co.il/law/70301/192" TargetMode="External"/><Relationship Id="rId32" Type="http://schemas.openxmlformats.org/officeDocument/2006/relationships/hyperlink" Target="http://www.nevo.co.il/law/70301/192" TargetMode="External"/><Relationship Id="rId37" Type="http://schemas.openxmlformats.org/officeDocument/2006/relationships/hyperlink" Target="http://www.nevo.co.il/case/22924186" TargetMode="External"/><Relationship Id="rId40" Type="http://schemas.openxmlformats.org/officeDocument/2006/relationships/hyperlink" Target="http://www.nevo.co.il/law/70301/186.a" TargetMode="External"/><Relationship Id="rId45" Type="http://schemas.openxmlformats.org/officeDocument/2006/relationships/hyperlink" Target="http://www.nevo.co.il/case/25106726" TargetMode="External"/><Relationship Id="rId53" Type="http://schemas.openxmlformats.org/officeDocument/2006/relationships/hyperlink" Target="http://www.nevo.co.il/case/6825937"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4918/47.a"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44" TargetMode="External"/><Relationship Id="rId22" Type="http://schemas.openxmlformats.org/officeDocument/2006/relationships/hyperlink" Target="http://www.nevo.co.il/law/4216/7.c" TargetMode="External"/><Relationship Id="rId27" Type="http://schemas.openxmlformats.org/officeDocument/2006/relationships/hyperlink" Target="http://www.nevo.co.il/law/70301/25" TargetMode="External"/><Relationship Id="rId30" Type="http://schemas.openxmlformats.org/officeDocument/2006/relationships/hyperlink" Target="http://www.nevo.co.il/law/74918" TargetMode="External"/><Relationship Id="rId35" Type="http://schemas.openxmlformats.org/officeDocument/2006/relationships/hyperlink" Target="http://www.nevo.co.il/case/22539690" TargetMode="External"/><Relationship Id="rId43" Type="http://schemas.openxmlformats.org/officeDocument/2006/relationships/hyperlink" Target="http://www.nevo.co.il/case/22539690" TargetMode="External"/><Relationship Id="rId48" Type="http://schemas.openxmlformats.org/officeDocument/2006/relationships/hyperlink" Target="http://www.nevo.co.il/case/22539690" TargetMode="External"/><Relationship Id="rId56"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case/25106726" TargetMode="External"/><Relationship Id="rId3" Type="http://schemas.openxmlformats.org/officeDocument/2006/relationships/settings" Target="settings.xml"/><Relationship Id="rId12" Type="http://schemas.openxmlformats.org/officeDocument/2006/relationships/hyperlink" Target="http://www.nevo.co.il/law/70301/186.a" TargetMode="External"/><Relationship Id="rId17" Type="http://schemas.openxmlformats.org/officeDocument/2006/relationships/hyperlink" Target="http://www.nevo.co.il/law/70301/384"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275" TargetMode="External"/><Relationship Id="rId38" Type="http://schemas.openxmlformats.org/officeDocument/2006/relationships/hyperlink" Target="http://www.nevo.co.il/law/70301/384" TargetMode="External"/><Relationship Id="rId46" Type="http://schemas.openxmlformats.org/officeDocument/2006/relationships/hyperlink" Target="http://www.nevo.co.il/case/11301441" TargetMode="External"/><Relationship Id="rId59" Type="http://schemas.openxmlformats.org/officeDocument/2006/relationships/fontTable" Target="fontTable.xml"/><Relationship Id="rId20" Type="http://schemas.openxmlformats.org/officeDocument/2006/relationships/hyperlink" Target="http://www.nevo.co.il/case/11301441" TargetMode="External"/><Relationship Id="rId41" Type="http://schemas.openxmlformats.org/officeDocument/2006/relationships/hyperlink" Target="http://www.nevo.co.il/law/70301/192"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75"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288" TargetMode="External"/><Relationship Id="rId36" Type="http://schemas.openxmlformats.org/officeDocument/2006/relationships/hyperlink" Target="http://www.nevo.co.il/law/70301/384" TargetMode="External"/><Relationship Id="rId49" Type="http://schemas.openxmlformats.org/officeDocument/2006/relationships/hyperlink" Target="http://www.nevo.co.il/case/11301441" TargetMode="External"/><Relationship Id="rId57" Type="http://schemas.openxmlformats.org/officeDocument/2006/relationships/footer" Target="footer1.xml"/><Relationship Id="rId10" Type="http://schemas.openxmlformats.org/officeDocument/2006/relationships/hyperlink" Target="http://www.nevo.co.il/law/70301" TargetMode="External"/><Relationship Id="rId31" Type="http://schemas.openxmlformats.org/officeDocument/2006/relationships/hyperlink" Target="http://www.nevo.co.il/case/20972846" TargetMode="External"/><Relationship Id="rId44" Type="http://schemas.openxmlformats.org/officeDocument/2006/relationships/hyperlink" Target="http://www.nevo.co.il/case/22924186" TargetMode="External"/><Relationship Id="rId52" Type="http://schemas.openxmlformats.org/officeDocument/2006/relationships/hyperlink" Target="http://www.nevo.co.il/case/5808647"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1937</Words>
  <Characters>9688</Characters>
  <Application>Microsoft Office Word</Application>
  <DocSecurity>0</DocSecurity>
  <Lines>80</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11602</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3801210</vt:i4>
      </vt:variant>
      <vt:variant>
        <vt:i4>138</vt:i4>
      </vt:variant>
      <vt:variant>
        <vt:i4>0</vt:i4>
      </vt:variant>
      <vt:variant>
        <vt:i4>5</vt:i4>
      </vt:variant>
      <vt:variant>
        <vt:lpwstr>http://www.nevo.co.il/case/6825937</vt:lpwstr>
      </vt:variant>
      <vt:variant>
        <vt:lpwstr/>
      </vt:variant>
      <vt:variant>
        <vt:i4>3407984</vt:i4>
      </vt:variant>
      <vt:variant>
        <vt:i4>135</vt:i4>
      </vt:variant>
      <vt:variant>
        <vt:i4>0</vt:i4>
      </vt:variant>
      <vt:variant>
        <vt:i4>5</vt:i4>
      </vt:variant>
      <vt:variant>
        <vt:lpwstr>http://www.nevo.co.il/case/5808647</vt:lpwstr>
      </vt:variant>
      <vt:variant>
        <vt:lpwstr/>
      </vt:variant>
      <vt:variant>
        <vt:i4>3604598</vt:i4>
      </vt:variant>
      <vt:variant>
        <vt:i4>132</vt:i4>
      </vt:variant>
      <vt:variant>
        <vt:i4>0</vt:i4>
      </vt:variant>
      <vt:variant>
        <vt:i4>5</vt:i4>
      </vt:variant>
      <vt:variant>
        <vt:lpwstr>http://www.nevo.co.il/case/25106726</vt:lpwstr>
      </vt:variant>
      <vt:variant>
        <vt:lpwstr/>
      </vt:variant>
      <vt:variant>
        <vt:i4>3604597</vt:i4>
      </vt:variant>
      <vt:variant>
        <vt:i4>129</vt:i4>
      </vt:variant>
      <vt:variant>
        <vt:i4>0</vt:i4>
      </vt:variant>
      <vt:variant>
        <vt:i4>5</vt:i4>
      </vt:variant>
      <vt:variant>
        <vt:lpwstr>http://www.nevo.co.il/case/22924186</vt:lpwstr>
      </vt:variant>
      <vt:variant>
        <vt:lpwstr/>
      </vt:variant>
      <vt:variant>
        <vt:i4>3604593</vt:i4>
      </vt:variant>
      <vt:variant>
        <vt:i4>126</vt:i4>
      </vt:variant>
      <vt:variant>
        <vt:i4>0</vt:i4>
      </vt:variant>
      <vt:variant>
        <vt:i4>5</vt:i4>
      </vt:variant>
      <vt:variant>
        <vt:lpwstr>http://www.nevo.co.il/case/11301441</vt:lpwstr>
      </vt:variant>
      <vt:variant>
        <vt:lpwstr/>
      </vt:variant>
      <vt:variant>
        <vt:i4>3604595</vt:i4>
      </vt:variant>
      <vt:variant>
        <vt:i4>123</vt:i4>
      </vt:variant>
      <vt:variant>
        <vt:i4>0</vt:i4>
      </vt:variant>
      <vt:variant>
        <vt:i4>5</vt:i4>
      </vt:variant>
      <vt:variant>
        <vt:lpwstr>http://www.nevo.co.il/case/22539690</vt:lpwstr>
      </vt:variant>
      <vt:variant>
        <vt:lpwstr/>
      </vt:variant>
      <vt:variant>
        <vt:i4>3997819</vt:i4>
      </vt:variant>
      <vt:variant>
        <vt:i4>120</vt:i4>
      </vt:variant>
      <vt:variant>
        <vt:i4>0</vt:i4>
      </vt:variant>
      <vt:variant>
        <vt:i4>5</vt:i4>
      </vt:variant>
      <vt:variant>
        <vt:lpwstr>http://www.nevo.co.il/case/20972846</vt:lpwstr>
      </vt:variant>
      <vt:variant>
        <vt:lpwstr/>
      </vt:variant>
      <vt:variant>
        <vt:i4>3604593</vt:i4>
      </vt:variant>
      <vt:variant>
        <vt:i4>117</vt:i4>
      </vt:variant>
      <vt:variant>
        <vt:i4>0</vt:i4>
      </vt:variant>
      <vt:variant>
        <vt:i4>5</vt:i4>
      </vt:variant>
      <vt:variant>
        <vt:lpwstr>http://www.nevo.co.il/case/11301441</vt:lpwstr>
      </vt:variant>
      <vt:variant>
        <vt:lpwstr/>
      </vt:variant>
      <vt:variant>
        <vt:i4>3604598</vt:i4>
      </vt:variant>
      <vt:variant>
        <vt:i4>114</vt:i4>
      </vt:variant>
      <vt:variant>
        <vt:i4>0</vt:i4>
      </vt:variant>
      <vt:variant>
        <vt:i4>5</vt:i4>
      </vt:variant>
      <vt:variant>
        <vt:lpwstr>http://www.nevo.co.il/case/25106726</vt:lpwstr>
      </vt:variant>
      <vt:variant>
        <vt:lpwstr/>
      </vt:variant>
      <vt:variant>
        <vt:i4>3604597</vt:i4>
      </vt:variant>
      <vt:variant>
        <vt:i4>111</vt:i4>
      </vt:variant>
      <vt:variant>
        <vt:i4>0</vt:i4>
      </vt:variant>
      <vt:variant>
        <vt:i4>5</vt:i4>
      </vt:variant>
      <vt:variant>
        <vt:lpwstr>http://www.nevo.co.il/case/22924186</vt:lpwstr>
      </vt:variant>
      <vt:variant>
        <vt:lpwstr/>
      </vt:variant>
      <vt:variant>
        <vt:i4>3604595</vt:i4>
      </vt:variant>
      <vt:variant>
        <vt:i4>108</vt:i4>
      </vt:variant>
      <vt:variant>
        <vt:i4>0</vt:i4>
      </vt:variant>
      <vt:variant>
        <vt:i4>5</vt:i4>
      </vt:variant>
      <vt:variant>
        <vt:lpwstr>http://www.nevo.co.il/case/22539690</vt:lpwstr>
      </vt:variant>
      <vt:variant>
        <vt:lpwstr/>
      </vt:variant>
      <vt:variant>
        <vt:i4>3604593</vt:i4>
      </vt:variant>
      <vt:variant>
        <vt:i4>105</vt:i4>
      </vt:variant>
      <vt:variant>
        <vt:i4>0</vt:i4>
      </vt:variant>
      <vt:variant>
        <vt:i4>5</vt:i4>
      </vt:variant>
      <vt:variant>
        <vt:lpwstr>http://www.nevo.co.il/case/11301441</vt:lpwstr>
      </vt:variant>
      <vt:variant>
        <vt:lpwstr/>
      </vt:variant>
      <vt:variant>
        <vt:i4>7077988</vt:i4>
      </vt:variant>
      <vt:variant>
        <vt:i4>102</vt:i4>
      </vt:variant>
      <vt:variant>
        <vt:i4>0</vt:i4>
      </vt:variant>
      <vt:variant>
        <vt:i4>5</vt:i4>
      </vt:variant>
      <vt:variant>
        <vt:lpwstr>http://www.nevo.co.il/law/70301/192</vt:lpwstr>
      </vt:variant>
      <vt:variant>
        <vt:lpwstr/>
      </vt:variant>
      <vt:variant>
        <vt:i4>4390994</vt:i4>
      </vt:variant>
      <vt:variant>
        <vt:i4>99</vt:i4>
      </vt:variant>
      <vt:variant>
        <vt:i4>0</vt:i4>
      </vt:variant>
      <vt:variant>
        <vt:i4>5</vt:i4>
      </vt:variant>
      <vt:variant>
        <vt:lpwstr>http://www.nevo.co.il/law/70301/186.a</vt:lpwstr>
      </vt:variant>
      <vt:variant>
        <vt:lpwstr/>
      </vt:variant>
      <vt:variant>
        <vt:i4>3604598</vt:i4>
      </vt:variant>
      <vt:variant>
        <vt:i4>96</vt:i4>
      </vt:variant>
      <vt:variant>
        <vt:i4>0</vt:i4>
      </vt:variant>
      <vt:variant>
        <vt:i4>5</vt:i4>
      </vt:variant>
      <vt:variant>
        <vt:lpwstr>http://www.nevo.co.il/case/25106726</vt:lpwstr>
      </vt:variant>
      <vt:variant>
        <vt:lpwstr/>
      </vt:variant>
      <vt:variant>
        <vt:i4>7143526</vt:i4>
      </vt:variant>
      <vt:variant>
        <vt:i4>93</vt:i4>
      </vt:variant>
      <vt:variant>
        <vt:i4>0</vt:i4>
      </vt:variant>
      <vt:variant>
        <vt:i4>5</vt:i4>
      </vt:variant>
      <vt:variant>
        <vt:lpwstr>http://www.nevo.co.il/law/70301/384</vt:lpwstr>
      </vt:variant>
      <vt:variant>
        <vt:lpwstr/>
      </vt:variant>
      <vt:variant>
        <vt:i4>3604597</vt:i4>
      </vt:variant>
      <vt:variant>
        <vt:i4>90</vt:i4>
      </vt:variant>
      <vt:variant>
        <vt:i4>0</vt:i4>
      </vt:variant>
      <vt:variant>
        <vt:i4>5</vt:i4>
      </vt:variant>
      <vt:variant>
        <vt:lpwstr>http://www.nevo.co.il/case/22924186</vt:lpwstr>
      </vt:variant>
      <vt:variant>
        <vt:lpwstr/>
      </vt:variant>
      <vt:variant>
        <vt:i4>7143526</vt:i4>
      </vt:variant>
      <vt:variant>
        <vt:i4>87</vt:i4>
      </vt:variant>
      <vt:variant>
        <vt:i4>0</vt:i4>
      </vt:variant>
      <vt:variant>
        <vt:i4>5</vt:i4>
      </vt:variant>
      <vt:variant>
        <vt:lpwstr>http://www.nevo.co.il/law/70301/384</vt:lpwstr>
      </vt:variant>
      <vt:variant>
        <vt:lpwstr/>
      </vt:variant>
      <vt:variant>
        <vt:i4>3604595</vt:i4>
      </vt:variant>
      <vt:variant>
        <vt:i4>84</vt:i4>
      </vt:variant>
      <vt:variant>
        <vt:i4>0</vt:i4>
      </vt:variant>
      <vt:variant>
        <vt:i4>5</vt:i4>
      </vt:variant>
      <vt:variant>
        <vt:lpwstr>http://www.nevo.co.il/case/22539690</vt:lpwstr>
      </vt:variant>
      <vt:variant>
        <vt:lpwstr/>
      </vt:variant>
      <vt:variant>
        <vt:i4>7143527</vt:i4>
      </vt:variant>
      <vt:variant>
        <vt:i4>81</vt:i4>
      </vt:variant>
      <vt:variant>
        <vt:i4>0</vt:i4>
      </vt:variant>
      <vt:variant>
        <vt:i4>5</vt:i4>
      </vt:variant>
      <vt:variant>
        <vt:lpwstr>http://www.nevo.co.il/law/70301/288</vt:lpwstr>
      </vt:variant>
      <vt:variant>
        <vt:lpwstr/>
      </vt:variant>
      <vt:variant>
        <vt:i4>6422631</vt:i4>
      </vt:variant>
      <vt:variant>
        <vt:i4>78</vt:i4>
      </vt:variant>
      <vt:variant>
        <vt:i4>0</vt:i4>
      </vt:variant>
      <vt:variant>
        <vt:i4>5</vt:i4>
      </vt:variant>
      <vt:variant>
        <vt:lpwstr>http://www.nevo.co.il/law/70301/275</vt:lpwstr>
      </vt:variant>
      <vt:variant>
        <vt:lpwstr/>
      </vt:variant>
      <vt:variant>
        <vt:i4>7077988</vt:i4>
      </vt:variant>
      <vt:variant>
        <vt:i4>75</vt:i4>
      </vt:variant>
      <vt:variant>
        <vt:i4>0</vt:i4>
      </vt:variant>
      <vt:variant>
        <vt:i4>5</vt:i4>
      </vt:variant>
      <vt:variant>
        <vt:lpwstr>http://www.nevo.co.il/law/70301/192</vt:lpwstr>
      </vt:variant>
      <vt:variant>
        <vt:lpwstr/>
      </vt:variant>
      <vt:variant>
        <vt:i4>3997819</vt:i4>
      </vt:variant>
      <vt:variant>
        <vt:i4>72</vt:i4>
      </vt:variant>
      <vt:variant>
        <vt:i4>0</vt:i4>
      </vt:variant>
      <vt:variant>
        <vt:i4>5</vt:i4>
      </vt:variant>
      <vt:variant>
        <vt:lpwstr>http://www.nevo.co.il/case/20972846</vt:lpwstr>
      </vt:variant>
      <vt:variant>
        <vt:lpwstr/>
      </vt:variant>
      <vt:variant>
        <vt:i4>8323182</vt:i4>
      </vt:variant>
      <vt:variant>
        <vt:i4>69</vt:i4>
      </vt:variant>
      <vt:variant>
        <vt:i4>0</vt:i4>
      </vt:variant>
      <vt:variant>
        <vt:i4>5</vt:i4>
      </vt:variant>
      <vt:variant>
        <vt:lpwstr>http://www.nevo.co.il/law/74918</vt:lpwstr>
      </vt:variant>
      <vt:variant>
        <vt:lpwstr/>
      </vt:variant>
      <vt:variant>
        <vt:i4>393292</vt:i4>
      </vt:variant>
      <vt:variant>
        <vt:i4>66</vt:i4>
      </vt:variant>
      <vt:variant>
        <vt:i4>0</vt:i4>
      </vt:variant>
      <vt:variant>
        <vt:i4>5</vt:i4>
      </vt:variant>
      <vt:variant>
        <vt:lpwstr>http://www.nevo.co.il/law/74918/47.a</vt:lpwstr>
      </vt:variant>
      <vt:variant>
        <vt:lpwstr/>
      </vt:variant>
      <vt:variant>
        <vt:i4>7143527</vt:i4>
      </vt:variant>
      <vt:variant>
        <vt:i4>63</vt:i4>
      </vt:variant>
      <vt:variant>
        <vt:i4>0</vt:i4>
      </vt:variant>
      <vt:variant>
        <vt:i4>5</vt:i4>
      </vt:variant>
      <vt:variant>
        <vt:lpwstr>http://www.nevo.co.il/law/70301/288</vt:lpwstr>
      </vt:variant>
      <vt:variant>
        <vt:lpwstr/>
      </vt:variant>
      <vt:variant>
        <vt:i4>6291559</vt:i4>
      </vt:variant>
      <vt:variant>
        <vt:i4>60</vt:i4>
      </vt:variant>
      <vt:variant>
        <vt:i4>0</vt:i4>
      </vt:variant>
      <vt:variant>
        <vt:i4>5</vt:i4>
      </vt:variant>
      <vt:variant>
        <vt:lpwstr>http://www.nevo.co.il/law/70301/25</vt:lpwstr>
      </vt:variant>
      <vt:variant>
        <vt:lpwstr/>
      </vt:variant>
      <vt:variant>
        <vt:i4>6357095</vt:i4>
      </vt:variant>
      <vt:variant>
        <vt:i4>57</vt:i4>
      </vt:variant>
      <vt:variant>
        <vt:i4>0</vt:i4>
      </vt:variant>
      <vt:variant>
        <vt:i4>5</vt:i4>
      </vt:variant>
      <vt:variant>
        <vt:lpwstr>http://www.nevo.co.il/law/70301/244</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7077988</vt:i4>
      </vt:variant>
      <vt:variant>
        <vt:i4>51</vt:i4>
      </vt:variant>
      <vt:variant>
        <vt:i4>0</vt:i4>
      </vt:variant>
      <vt:variant>
        <vt:i4>5</vt:i4>
      </vt:variant>
      <vt:variant>
        <vt:lpwstr>http://www.nevo.co.il/law/70301/192</vt:lpwstr>
      </vt:variant>
      <vt:variant>
        <vt:lpwstr/>
      </vt:variant>
      <vt:variant>
        <vt:i4>8257637</vt:i4>
      </vt:variant>
      <vt:variant>
        <vt:i4>48</vt:i4>
      </vt:variant>
      <vt:variant>
        <vt:i4>0</vt:i4>
      </vt:variant>
      <vt:variant>
        <vt:i4>5</vt:i4>
      </vt:variant>
      <vt:variant>
        <vt:lpwstr>http://www.nevo.co.il/law/4216</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3604593</vt:i4>
      </vt:variant>
      <vt:variant>
        <vt:i4>39</vt:i4>
      </vt:variant>
      <vt:variant>
        <vt:i4>0</vt:i4>
      </vt:variant>
      <vt:variant>
        <vt:i4>5</vt:i4>
      </vt:variant>
      <vt:variant>
        <vt:lpwstr>http://www.nevo.co.il/case/11301441</vt:lpwstr>
      </vt:variant>
      <vt:variant>
        <vt:lpwstr/>
      </vt:variant>
      <vt:variant>
        <vt:i4>393292</vt:i4>
      </vt:variant>
      <vt:variant>
        <vt:i4>36</vt:i4>
      </vt:variant>
      <vt:variant>
        <vt:i4>0</vt:i4>
      </vt:variant>
      <vt:variant>
        <vt:i4>5</vt:i4>
      </vt:variant>
      <vt:variant>
        <vt:lpwstr>http://www.nevo.co.il/law/74918/47.a</vt:lpwstr>
      </vt:variant>
      <vt:variant>
        <vt:lpwstr/>
      </vt:variant>
      <vt:variant>
        <vt:i4>8323182</vt:i4>
      </vt:variant>
      <vt:variant>
        <vt:i4>33</vt:i4>
      </vt:variant>
      <vt:variant>
        <vt:i4>0</vt:i4>
      </vt:variant>
      <vt:variant>
        <vt:i4>5</vt:i4>
      </vt:variant>
      <vt:variant>
        <vt:lpwstr>http://www.nevo.co.il/law/74918</vt:lpwstr>
      </vt:variant>
      <vt:variant>
        <vt:lpwstr/>
      </vt:variant>
      <vt:variant>
        <vt:i4>7143526</vt:i4>
      </vt:variant>
      <vt:variant>
        <vt:i4>30</vt:i4>
      </vt:variant>
      <vt:variant>
        <vt:i4>0</vt:i4>
      </vt:variant>
      <vt:variant>
        <vt:i4>5</vt:i4>
      </vt:variant>
      <vt:variant>
        <vt:lpwstr>http://www.nevo.co.il/law/70301/384</vt:lpwstr>
      </vt:variant>
      <vt:variant>
        <vt:lpwstr/>
      </vt:variant>
      <vt:variant>
        <vt:i4>7143527</vt:i4>
      </vt:variant>
      <vt:variant>
        <vt:i4>27</vt:i4>
      </vt:variant>
      <vt:variant>
        <vt:i4>0</vt:i4>
      </vt:variant>
      <vt:variant>
        <vt:i4>5</vt:i4>
      </vt:variant>
      <vt:variant>
        <vt:lpwstr>http://www.nevo.co.il/law/70301/288</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6357095</vt:i4>
      </vt:variant>
      <vt:variant>
        <vt:i4>21</vt:i4>
      </vt:variant>
      <vt:variant>
        <vt:i4>0</vt:i4>
      </vt:variant>
      <vt:variant>
        <vt:i4>5</vt:i4>
      </vt:variant>
      <vt:variant>
        <vt:lpwstr>http://www.nevo.co.il/law/70301/244</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2025-04-22T23:23:00Z</dcterms:created>
  <dcterms:modified xsi:type="dcterms:W3CDTF">2025-04-22T23:23:00Z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28215</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רונן עטאר</vt:lpwstr>
  </property>
  <property fmtid="{D5CDD505-2E9C-101B-9397-08002B2CF9AE}" pid="10" name="LAWYER">
    <vt:lpwstr>תמר נבו</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20190106</vt:lpwstr>
  </property>
  <property fmtid="{D5CDD505-2E9C-101B-9397-08002B2CF9AE}" pid="14" name="TYPE_N_DATE">
    <vt:lpwstr>38020190106</vt:lpwstr>
  </property>
  <property fmtid="{D5CDD505-2E9C-101B-9397-08002B2CF9AE}" pid="15" name="WORDNUMPAGES">
    <vt:lpwstr>6</vt:lpwstr>
  </property>
  <property fmtid="{D5CDD505-2E9C-101B-9397-08002B2CF9AE}" pid="16" name="TYPE_ABS_DATE">
    <vt:lpwstr>380020190106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11301441:4;20972846:2;22539690:3;22924186:3;25106726:3;5808647;6825937</vt:lpwstr>
  </property>
  <property fmtid="{D5CDD505-2E9C-101B-9397-08002B2CF9AE}" pid="36" name="LAWLISTTMP1">
    <vt:lpwstr>4216/007.a:2;007.c:2</vt:lpwstr>
  </property>
  <property fmtid="{D5CDD505-2E9C-101B-9397-08002B2CF9AE}" pid="37" name="LAWLISTTMP2">
    <vt:lpwstr>70301/192:6;244:2;025:2;288:4;275:2;384:4;186.a:2</vt:lpwstr>
  </property>
  <property fmtid="{D5CDD505-2E9C-101B-9397-08002B2CF9AE}" pid="38" name="LAWLISTTMP3">
    <vt:lpwstr>74918/047.a:2</vt:lpwstr>
  </property>
</Properties>
</file>