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647" w:type="dxa"/>
        <w:jc w:val="center"/>
        <w:tblLook w:val="0000" w:firstRow="0" w:lastRow="0" w:firstColumn="0" w:lastColumn="0" w:noHBand="0" w:noVBand="0"/>
      </w:tblPr>
      <w:tblGrid>
        <w:gridCol w:w="5100"/>
        <w:gridCol w:w="3547"/>
      </w:tblGrid>
      <w:tr w:rsidR="00742183" w:rsidRPr="00880C44" w14:paraId="6B74A0FB" w14:textId="77777777" w:rsidTr="0048675B">
        <w:trPr>
          <w:trHeight w:hRule="exact" w:val="418"/>
          <w:jc w:val="center"/>
        </w:trPr>
        <w:tc>
          <w:tcPr>
            <w:tcW w:w="8647" w:type="dxa"/>
            <w:gridSpan w:val="2"/>
          </w:tcPr>
          <w:p w14:paraId="4BC8A527" w14:textId="77777777" w:rsidR="00742183" w:rsidRPr="00880C44" w:rsidRDefault="00742183" w:rsidP="0048675B">
            <w:pPr>
              <w:pStyle w:val="a3"/>
              <w:jc w:val="center"/>
              <w:rPr>
                <w:rFonts w:ascii="Tahoma" w:hAnsi="Tahoma" w:cs="Tahoma"/>
                <w:color w:val="000080"/>
                <w:rtl/>
              </w:rPr>
            </w:pPr>
            <w:bookmarkStart w:id="0" w:name="LastJudge"/>
            <w:r w:rsidRPr="00880C44">
              <w:rPr>
                <w:rFonts w:ascii="Tahoma" w:hAnsi="Tahoma" w:cs="Tahoma"/>
                <w:b/>
                <w:bCs/>
                <w:color w:val="000080"/>
                <w:rtl/>
              </w:rPr>
              <w:t>בית משפט השלום בירושלים</w:t>
            </w:r>
          </w:p>
        </w:tc>
      </w:tr>
      <w:tr w:rsidR="00742183" w:rsidRPr="00880C44" w14:paraId="14B5C422" w14:textId="77777777" w:rsidTr="00CD5A72">
        <w:trPr>
          <w:trHeight w:val="337"/>
          <w:jc w:val="center"/>
        </w:trPr>
        <w:tc>
          <w:tcPr>
            <w:tcW w:w="5100" w:type="dxa"/>
          </w:tcPr>
          <w:p w14:paraId="7450B8E3" w14:textId="77777777" w:rsidR="00742183" w:rsidRPr="00880C44" w:rsidRDefault="00742183" w:rsidP="0048675B">
            <w:pPr>
              <w:rPr>
                <w:rFonts w:ascii="FrankRuehl" w:hAnsi="FrankRuehl" w:cs="FrankRuehl"/>
                <w:sz w:val="26"/>
                <w:szCs w:val="26"/>
                <w:rtl/>
              </w:rPr>
            </w:pPr>
            <w:r w:rsidRPr="00880C44">
              <w:rPr>
                <w:rFonts w:ascii="FrankRuehl" w:hAnsi="FrankRuehl" w:cs="FrankRuehl"/>
                <w:sz w:val="26"/>
                <w:szCs w:val="26"/>
                <w:rtl/>
              </w:rPr>
              <w:t>ת"פ 30197-04-17 מדינת ישראל נ' עמיאל(אחר/נוסף)</w:t>
            </w:r>
            <w:r w:rsidRPr="00880C44">
              <w:rPr>
                <w:rFonts w:ascii="FrankRuehl" w:hAnsi="FrankRuehl" w:cs="FrankRuehl"/>
                <w:sz w:val="26"/>
                <w:szCs w:val="26"/>
                <w:rtl/>
              </w:rPr>
              <w:br/>
              <w:t>ת"פ 36028-10-18 מדינת ישראל נ' עמיאל</w:t>
            </w:r>
          </w:p>
          <w:p w14:paraId="57D1D878" w14:textId="77777777" w:rsidR="00742183" w:rsidRPr="00880C44" w:rsidRDefault="00742183" w:rsidP="0048675B">
            <w:pPr>
              <w:rPr>
                <w:rFonts w:ascii="FrankRuehl" w:hAnsi="FrankRuehl" w:cs="FrankRuehl"/>
                <w:sz w:val="26"/>
                <w:szCs w:val="26"/>
                <w:rtl/>
              </w:rPr>
            </w:pPr>
            <w:r w:rsidRPr="00880C44">
              <w:rPr>
                <w:rFonts w:ascii="FrankRuehl" w:hAnsi="FrankRuehl" w:cs="FrankRuehl" w:hint="cs"/>
                <w:sz w:val="26"/>
                <w:szCs w:val="26"/>
                <w:rtl/>
              </w:rPr>
              <w:t xml:space="preserve">ת"פ 14862-01-20 מדינת ישראל נ' עמיאל </w:t>
            </w:r>
          </w:p>
        </w:tc>
        <w:tc>
          <w:tcPr>
            <w:tcW w:w="3547" w:type="dxa"/>
          </w:tcPr>
          <w:p w14:paraId="286A651D" w14:textId="77777777" w:rsidR="00742183" w:rsidRPr="00880C44" w:rsidRDefault="00742183" w:rsidP="0048675B">
            <w:pPr>
              <w:pStyle w:val="a3"/>
              <w:jc w:val="right"/>
              <w:rPr>
                <w:rFonts w:cs="FrankRuehl"/>
                <w:sz w:val="28"/>
                <w:szCs w:val="28"/>
                <w:rtl/>
              </w:rPr>
            </w:pPr>
          </w:p>
        </w:tc>
      </w:tr>
    </w:tbl>
    <w:p w14:paraId="1C32017A" w14:textId="77777777" w:rsidR="00742183" w:rsidRPr="00880C44" w:rsidRDefault="00742183" w:rsidP="00742183">
      <w:pPr>
        <w:pStyle w:val="a3"/>
        <w:rPr>
          <w:rtl/>
        </w:rPr>
      </w:pPr>
    </w:p>
    <w:p w14:paraId="456F76D8" w14:textId="77777777" w:rsidR="00742183" w:rsidRPr="00880C44" w:rsidRDefault="00742183" w:rsidP="00742183">
      <w:pPr>
        <w:rPr>
          <w:rtl/>
        </w:rPr>
      </w:pPr>
    </w:p>
    <w:p w14:paraId="602F07EB" w14:textId="77777777" w:rsidR="00742183" w:rsidRPr="00880C44" w:rsidRDefault="00742183" w:rsidP="007421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42183" w:rsidRPr="00880C44" w14:paraId="6955721A" w14:textId="77777777" w:rsidTr="00742183">
        <w:trPr>
          <w:trHeight w:val="295"/>
          <w:jc w:val="center"/>
        </w:trPr>
        <w:tc>
          <w:tcPr>
            <w:tcW w:w="923" w:type="dxa"/>
            <w:tcBorders>
              <w:top w:val="nil"/>
              <w:left w:val="nil"/>
              <w:bottom w:val="nil"/>
              <w:right w:val="nil"/>
            </w:tcBorders>
            <w:shd w:val="clear" w:color="auto" w:fill="auto"/>
          </w:tcPr>
          <w:p w14:paraId="074FBF35" w14:textId="77777777" w:rsidR="00742183" w:rsidRPr="00880C44" w:rsidRDefault="00742183" w:rsidP="00742183">
            <w:pPr>
              <w:jc w:val="both"/>
              <w:rPr>
                <w:rFonts w:ascii="David" w:hAnsi="David"/>
                <w:b/>
                <w:bCs/>
              </w:rPr>
            </w:pPr>
            <w:r w:rsidRPr="00880C44">
              <w:rPr>
                <w:rFonts w:ascii="David" w:hAnsi="David"/>
                <w:b/>
                <w:bCs/>
                <w:rtl/>
              </w:rPr>
              <w:t xml:space="preserve">בפני </w:t>
            </w:r>
          </w:p>
        </w:tc>
        <w:tc>
          <w:tcPr>
            <w:tcW w:w="7897" w:type="dxa"/>
            <w:gridSpan w:val="2"/>
            <w:tcBorders>
              <w:top w:val="nil"/>
              <w:left w:val="nil"/>
              <w:bottom w:val="nil"/>
              <w:right w:val="nil"/>
            </w:tcBorders>
            <w:shd w:val="clear" w:color="auto" w:fill="auto"/>
          </w:tcPr>
          <w:p w14:paraId="1966F8E6" w14:textId="77777777" w:rsidR="00742183" w:rsidRPr="00880C44" w:rsidRDefault="00742183" w:rsidP="0048675B">
            <w:pPr>
              <w:rPr>
                <w:rFonts w:ascii="David" w:hAnsi="David"/>
                <w:b/>
                <w:bCs/>
                <w:rtl/>
              </w:rPr>
            </w:pPr>
            <w:r w:rsidRPr="00880C44">
              <w:rPr>
                <w:rFonts w:ascii="David" w:hAnsi="David"/>
                <w:b/>
                <w:bCs/>
                <w:rtl/>
              </w:rPr>
              <w:t>כבוד השופט  ארנון איתן</w:t>
            </w:r>
          </w:p>
          <w:p w14:paraId="1E673C37" w14:textId="77777777" w:rsidR="00742183" w:rsidRPr="00880C44" w:rsidRDefault="00742183" w:rsidP="0048675B">
            <w:pPr>
              <w:rPr>
                <w:rFonts w:ascii="David" w:hAnsi="David"/>
                <w:b/>
                <w:bCs/>
                <w:rtl/>
              </w:rPr>
            </w:pPr>
          </w:p>
          <w:p w14:paraId="797DC758" w14:textId="77777777" w:rsidR="00742183" w:rsidRPr="00880C44" w:rsidRDefault="00742183" w:rsidP="00742183">
            <w:pPr>
              <w:jc w:val="both"/>
              <w:rPr>
                <w:rFonts w:ascii="David" w:hAnsi="David"/>
                <w:b/>
                <w:bCs/>
              </w:rPr>
            </w:pPr>
          </w:p>
        </w:tc>
      </w:tr>
      <w:tr w:rsidR="00742183" w:rsidRPr="00880C44" w14:paraId="03BF6661" w14:textId="77777777" w:rsidTr="00742183">
        <w:trPr>
          <w:trHeight w:val="355"/>
          <w:jc w:val="center"/>
        </w:trPr>
        <w:tc>
          <w:tcPr>
            <w:tcW w:w="923" w:type="dxa"/>
            <w:tcBorders>
              <w:top w:val="nil"/>
              <w:left w:val="nil"/>
              <w:bottom w:val="nil"/>
              <w:right w:val="nil"/>
            </w:tcBorders>
            <w:shd w:val="clear" w:color="auto" w:fill="auto"/>
          </w:tcPr>
          <w:p w14:paraId="0E074875" w14:textId="77777777" w:rsidR="00742183" w:rsidRPr="00880C44" w:rsidRDefault="00742183" w:rsidP="00742183">
            <w:pPr>
              <w:jc w:val="both"/>
              <w:rPr>
                <w:rFonts w:ascii="David" w:hAnsi="David"/>
                <w:b/>
                <w:bCs/>
              </w:rPr>
            </w:pPr>
            <w:bookmarkStart w:id="1" w:name="FirstAppellant"/>
            <w:r w:rsidRPr="00880C44">
              <w:rPr>
                <w:rFonts w:ascii="David" w:hAnsi="David"/>
                <w:b/>
                <w:bCs/>
                <w:rtl/>
              </w:rPr>
              <w:t>בעניין:</w:t>
            </w:r>
          </w:p>
        </w:tc>
        <w:tc>
          <w:tcPr>
            <w:tcW w:w="4126" w:type="dxa"/>
            <w:tcBorders>
              <w:top w:val="nil"/>
              <w:left w:val="nil"/>
              <w:bottom w:val="nil"/>
              <w:right w:val="nil"/>
            </w:tcBorders>
            <w:shd w:val="clear" w:color="auto" w:fill="auto"/>
          </w:tcPr>
          <w:p w14:paraId="48737164" w14:textId="77777777" w:rsidR="00742183" w:rsidRPr="00880C44" w:rsidRDefault="00742183" w:rsidP="0048675B">
            <w:pPr>
              <w:rPr>
                <w:rFonts w:ascii="David" w:hAnsi="David"/>
                <w:b/>
                <w:bCs/>
              </w:rPr>
            </w:pPr>
            <w:r w:rsidRPr="00880C44">
              <w:rPr>
                <w:rFonts w:ascii="David" w:hAnsi="David" w:hint="cs"/>
                <w:b/>
                <w:bCs/>
                <w:rtl/>
              </w:rPr>
              <w:t xml:space="preserve">                                              </w:t>
            </w:r>
            <w:r w:rsidRPr="00880C44">
              <w:rPr>
                <w:rFonts w:ascii="David" w:hAnsi="David"/>
                <w:b/>
                <w:bCs/>
                <w:rtl/>
              </w:rPr>
              <w:t>מדינת ישראל</w:t>
            </w:r>
          </w:p>
        </w:tc>
        <w:tc>
          <w:tcPr>
            <w:tcW w:w="3771" w:type="dxa"/>
            <w:tcBorders>
              <w:top w:val="nil"/>
              <w:left w:val="nil"/>
              <w:bottom w:val="nil"/>
              <w:right w:val="nil"/>
            </w:tcBorders>
            <w:shd w:val="clear" w:color="auto" w:fill="auto"/>
          </w:tcPr>
          <w:p w14:paraId="0FD1EEB6" w14:textId="77777777" w:rsidR="00742183" w:rsidRPr="00880C44" w:rsidRDefault="00742183" w:rsidP="00742183">
            <w:pPr>
              <w:jc w:val="both"/>
              <w:rPr>
                <w:rFonts w:ascii="David" w:hAnsi="David"/>
                <w:b/>
                <w:bCs/>
              </w:rPr>
            </w:pPr>
          </w:p>
        </w:tc>
      </w:tr>
      <w:bookmarkEnd w:id="1"/>
      <w:tr w:rsidR="00742183" w:rsidRPr="00880C44" w14:paraId="053D1769" w14:textId="77777777" w:rsidTr="00742183">
        <w:trPr>
          <w:trHeight w:val="355"/>
          <w:jc w:val="center"/>
        </w:trPr>
        <w:tc>
          <w:tcPr>
            <w:tcW w:w="923" w:type="dxa"/>
            <w:tcBorders>
              <w:top w:val="nil"/>
              <w:left w:val="nil"/>
              <w:bottom w:val="nil"/>
              <w:right w:val="nil"/>
            </w:tcBorders>
            <w:shd w:val="clear" w:color="auto" w:fill="auto"/>
          </w:tcPr>
          <w:p w14:paraId="60C75BCC" w14:textId="77777777" w:rsidR="00742183" w:rsidRPr="00880C44" w:rsidRDefault="00742183" w:rsidP="00742183">
            <w:pPr>
              <w:jc w:val="both"/>
              <w:rPr>
                <w:rFonts w:ascii="David" w:hAnsi="David"/>
                <w:b/>
                <w:bCs/>
                <w:rtl/>
              </w:rPr>
            </w:pPr>
          </w:p>
        </w:tc>
        <w:tc>
          <w:tcPr>
            <w:tcW w:w="4126" w:type="dxa"/>
            <w:tcBorders>
              <w:top w:val="nil"/>
              <w:left w:val="nil"/>
              <w:bottom w:val="nil"/>
              <w:right w:val="nil"/>
            </w:tcBorders>
            <w:shd w:val="clear" w:color="auto" w:fill="auto"/>
          </w:tcPr>
          <w:p w14:paraId="5B1982AA" w14:textId="77777777" w:rsidR="00742183" w:rsidRPr="00880C44" w:rsidRDefault="00742183" w:rsidP="00742183">
            <w:pPr>
              <w:jc w:val="both"/>
              <w:rPr>
                <w:rFonts w:ascii="David" w:hAnsi="David"/>
                <w:b/>
                <w:bCs/>
                <w:rtl/>
              </w:rPr>
            </w:pPr>
          </w:p>
        </w:tc>
        <w:tc>
          <w:tcPr>
            <w:tcW w:w="3771" w:type="dxa"/>
            <w:tcBorders>
              <w:top w:val="nil"/>
              <w:left w:val="nil"/>
              <w:bottom w:val="nil"/>
              <w:right w:val="nil"/>
            </w:tcBorders>
            <w:shd w:val="clear" w:color="auto" w:fill="auto"/>
          </w:tcPr>
          <w:p w14:paraId="7CB6A0A0" w14:textId="77777777" w:rsidR="00742183" w:rsidRPr="00880C44" w:rsidRDefault="00742183" w:rsidP="00742183">
            <w:pPr>
              <w:jc w:val="right"/>
              <w:rPr>
                <w:rFonts w:ascii="David" w:hAnsi="David"/>
                <w:b/>
                <w:bCs/>
                <w:rtl/>
              </w:rPr>
            </w:pPr>
            <w:r w:rsidRPr="00880C44">
              <w:rPr>
                <w:rFonts w:ascii="David" w:hAnsi="David"/>
                <w:b/>
                <w:bCs/>
                <w:rtl/>
              </w:rPr>
              <w:t>המאשימה</w:t>
            </w:r>
          </w:p>
        </w:tc>
      </w:tr>
      <w:tr w:rsidR="00742183" w:rsidRPr="00880C44" w14:paraId="31A9946D" w14:textId="77777777" w:rsidTr="00742183">
        <w:trPr>
          <w:trHeight w:val="355"/>
          <w:jc w:val="center"/>
        </w:trPr>
        <w:tc>
          <w:tcPr>
            <w:tcW w:w="923" w:type="dxa"/>
            <w:tcBorders>
              <w:top w:val="nil"/>
              <w:left w:val="nil"/>
              <w:bottom w:val="nil"/>
              <w:right w:val="nil"/>
            </w:tcBorders>
            <w:shd w:val="clear" w:color="auto" w:fill="auto"/>
          </w:tcPr>
          <w:p w14:paraId="13B7BF3C" w14:textId="77777777" w:rsidR="00742183" w:rsidRPr="00880C44" w:rsidRDefault="00742183" w:rsidP="00742183">
            <w:pPr>
              <w:jc w:val="both"/>
              <w:rPr>
                <w:rFonts w:ascii="David" w:hAnsi="David"/>
                <w:b/>
                <w:bCs/>
                <w:rtl/>
              </w:rPr>
            </w:pPr>
          </w:p>
        </w:tc>
        <w:tc>
          <w:tcPr>
            <w:tcW w:w="7897" w:type="dxa"/>
            <w:gridSpan w:val="2"/>
            <w:tcBorders>
              <w:top w:val="nil"/>
              <w:left w:val="nil"/>
              <w:bottom w:val="nil"/>
              <w:right w:val="nil"/>
            </w:tcBorders>
            <w:shd w:val="clear" w:color="auto" w:fill="auto"/>
          </w:tcPr>
          <w:p w14:paraId="0B301B18" w14:textId="77777777" w:rsidR="00742183" w:rsidRPr="00880C44" w:rsidRDefault="00742183" w:rsidP="00742183">
            <w:pPr>
              <w:jc w:val="center"/>
              <w:rPr>
                <w:rFonts w:ascii="David" w:hAnsi="David"/>
                <w:b/>
                <w:bCs/>
                <w:rtl/>
              </w:rPr>
            </w:pPr>
          </w:p>
          <w:p w14:paraId="4F8C2755" w14:textId="77777777" w:rsidR="00742183" w:rsidRPr="00880C44" w:rsidRDefault="00742183" w:rsidP="0048675B">
            <w:pPr>
              <w:rPr>
                <w:rFonts w:ascii="David" w:hAnsi="David"/>
                <w:b/>
                <w:bCs/>
                <w:rtl/>
              </w:rPr>
            </w:pPr>
            <w:r w:rsidRPr="00880C44">
              <w:rPr>
                <w:rFonts w:ascii="David" w:hAnsi="David" w:hint="cs"/>
                <w:b/>
                <w:bCs/>
                <w:rtl/>
              </w:rPr>
              <w:t xml:space="preserve">                                                       </w:t>
            </w:r>
            <w:r w:rsidRPr="00880C44">
              <w:rPr>
                <w:rFonts w:ascii="David" w:hAnsi="David"/>
                <w:b/>
                <w:bCs/>
                <w:rtl/>
              </w:rPr>
              <w:t>נגד</w:t>
            </w:r>
          </w:p>
          <w:p w14:paraId="4ECDC9E2" w14:textId="77777777" w:rsidR="00742183" w:rsidRPr="00880C44" w:rsidRDefault="00742183" w:rsidP="0048675B">
            <w:pPr>
              <w:rPr>
                <w:rFonts w:ascii="David" w:hAnsi="David"/>
                <w:b/>
                <w:bCs/>
                <w:rtl/>
              </w:rPr>
            </w:pPr>
          </w:p>
          <w:p w14:paraId="47C6D36B" w14:textId="77777777" w:rsidR="00742183" w:rsidRPr="00880C44" w:rsidRDefault="00742183" w:rsidP="00742183">
            <w:pPr>
              <w:jc w:val="both"/>
              <w:rPr>
                <w:rFonts w:ascii="David" w:hAnsi="David"/>
                <w:b/>
                <w:bCs/>
              </w:rPr>
            </w:pPr>
          </w:p>
        </w:tc>
      </w:tr>
      <w:tr w:rsidR="00742183" w:rsidRPr="00880C44" w14:paraId="37BE440D" w14:textId="77777777" w:rsidTr="00742183">
        <w:trPr>
          <w:trHeight w:val="355"/>
          <w:jc w:val="center"/>
        </w:trPr>
        <w:tc>
          <w:tcPr>
            <w:tcW w:w="923" w:type="dxa"/>
            <w:tcBorders>
              <w:top w:val="nil"/>
              <w:left w:val="nil"/>
              <w:bottom w:val="nil"/>
              <w:right w:val="nil"/>
            </w:tcBorders>
            <w:shd w:val="clear" w:color="auto" w:fill="auto"/>
          </w:tcPr>
          <w:p w14:paraId="51AFEA4B" w14:textId="77777777" w:rsidR="00742183" w:rsidRPr="00880C44" w:rsidRDefault="00742183" w:rsidP="0048675B">
            <w:pPr>
              <w:rPr>
                <w:rFonts w:ascii="David" w:hAnsi="David"/>
                <w:b/>
                <w:bCs/>
                <w:rtl/>
              </w:rPr>
            </w:pPr>
          </w:p>
        </w:tc>
        <w:tc>
          <w:tcPr>
            <w:tcW w:w="4126" w:type="dxa"/>
            <w:tcBorders>
              <w:top w:val="nil"/>
              <w:left w:val="nil"/>
              <w:bottom w:val="nil"/>
              <w:right w:val="nil"/>
            </w:tcBorders>
            <w:shd w:val="clear" w:color="auto" w:fill="auto"/>
          </w:tcPr>
          <w:p w14:paraId="64BC3123" w14:textId="77777777" w:rsidR="00742183" w:rsidRPr="00880C44" w:rsidRDefault="00742183" w:rsidP="0048675B">
            <w:pPr>
              <w:rPr>
                <w:rFonts w:ascii="David" w:hAnsi="David"/>
                <w:b/>
                <w:bCs/>
                <w:rtl/>
              </w:rPr>
            </w:pPr>
            <w:r w:rsidRPr="00880C44">
              <w:rPr>
                <w:rFonts w:ascii="David" w:hAnsi="David" w:hint="cs"/>
                <w:b/>
                <w:bCs/>
                <w:rtl/>
              </w:rPr>
              <w:t xml:space="preserve">                                              </w:t>
            </w:r>
            <w:r w:rsidRPr="00880C44">
              <w:rPr>
                <w:rFonts w:ascii="David" w:hAnsi="David"/>
                <w:b/>
                <w:bCs/>
                <w:rtl/>
              </w:rPr>
              <w:t xml:space="preserve">יוסף יוסי עמיאל </w:t>
            </w:r>
          </w:p>
        </w:tc>
        <w:tc>
          <w:tcPr>
            <w:tcW w:w="3771" w:type="dxa"/>
            <w:tcBorders>
              <w:top w:val="nil"/>
              <w:left w:val="nil"/>
              <w:bottom w:val="nil"/>
              <w:right w:val="nil"/>
            </w:tcBorders>
            <w:shd w:val="clear" w:color="auto" w:fill="auto"/>
          </w:tcPr>
          <w:p w14:paraId="22B5E927" w14:textId="77777777" w:rsidR="00742183" w:rsidRPr="00880C44" w:rsidRDefault="00742183" w:rsidP="00742183">
            <w:pPr>
              <w:jc w:val="right"/>
              <w:rPr>
                <w:rFonts w:ascii="David" w:hAnsi="David"/>
                <w:b/>
                <w:bCs/>
              </w:rPr>
            </w:pPr>
          </w:p>
        </w:tc>
      </w:tr>
      <w:tr w:rsidR="00742183" w:rsidRPr="00880C44" w14:paraId="3C064CFA" w14:textId="77777777" w:rsidTr="00742183">
        <w:trPr>
          <w:trHeight w:val="355"/>
          <w:jc w:val="center"/>
        </w:trPr>
        <w:tc>
          <w:tcPr>
            <w:tcW w:w="923" w:type="dxa"/>
            <w:tcBorders>
              <w:top w:val="nil"/>
              <w:left w:val="nil"/>
              <w:bottom w:val="nil"/>
              <w:right w:val="nil"/>
            </w:tcBorders>
            <w:shd w:val="clear" w:color="auto" w:fill="auto"/>
          </w:tcPr>
          <w:p w14:paraId="19457A1F" w14:textId="77777777" w:rsidR="00742183" w:rsidRPr="00880C44" w:rsidRDefault="00742183" w:rsidP="00742183">
            <w:pPr>
              <w:jc w:val="both"/>
              <w:rPr>
                <w:rFonts w:ascii="David" w:hAnsi="David"/>
                <w:b/>
                <w:bCs/>
                <w:rtl/>
              </w:rPr>
            </w:pPr>
          </w:p>
        </w:tc>
        <w:tc>
          <w:tcPr>
            <w:tcW w:w="4126" w:type="dxa"/>
            <w:tcBorders>
              <w:top w:val="nil"/>
              <w:left w:val="nil"/>
              <w:bottom w:val="nil"/>
              <w:right w:val="nil"/>
            </w:tcBorders>
            <w:shd w:val="clear" w:color="auto" w:fill="auto"/>
          </w:tcPr>
          <w:p w14:paraId="196AB11C" w14:textId="77777777" w:rsidR="00742183" w:rsidRPr="00880C44" w:rsidRDefault="00742183" w:rsidP="00742183">
            <w:pPr>
              <w:jc w:val="both"/>
              <w:rPr>
                <w:rFonts w:ascii="David" w:hAnsi="David"/>
                <w:b/>
                <w:bCs/>
                <w:rtl/>
              </w:rPr>
            </w:pPr>
          </w:p>
        </w:tc>
        <w:tc>
          <w:tcPr>
            <w:tcW w:w="3771" w:type="dxa"/>
            <w:tcBorders>
              <w:top w:val="nil"/>
              <w:left w:val="nil"/>
              <w:bottom w:val="nil"/>
              <w:right w:val="nil"/>
            </w:tcBorders>
            <w:shd w:val="clear" w:color="auto" w:fill="auto"/>
          </w:tcPr>
          <w:p w14:paraId="2D193B57" w14:textId="77777777" w:rsidR="00742183" w:rsidRPr="00880C44" w:rsidRDefault="00742183" w:rsidP="00742183">
            <w:pPr>
              <w:jc w:val="right"/>
              <w:rPr>
                <w:rFonts w:ascii="David" w:hAnsi="David"/>
                <w:b/>
                <w:bCs/>
              </w:rPr>
            </w:pPr>
            <w:r w:rsidRPr="00880C44">
              <w:rPr>
                <w:rFonts w:ascii="David" w:hAnsi="David"/>
                <w:b/>
                <w:bCs/>
                <w:rtl/>
              </w:rPr>
              <w:t>הנאשם</w:t>
            </w:r>
          </w:p>
        </w:tc>
      </w:tr>
    </w:tbl>
    <w:p w14:paraId="58C3DA87" w14:textId="77777777" w:rsidR="004B6D25" w:rsidRDefault="004B6D25" w:rsidP="004B6D25">
      <w:pPr>
        <w:rPr>
          <w:rtl/>
        </w:rPr>
      </w:pPr>
      <w:bookmarkStart w:id="2" w:name="LawTable"/>
      <w:bookmarkEnd w:id="2"/>
    </w:p>
    <w:p w14:paraId="6CA3405C" w14:textId="77777777" w:rsidR="004B6D25" w:rsidRPr="004B6D25" w:rsidRDefault="004B6D25" w:rsidP="004B6D25">
      <w:pPr>
        <w:spacing w:before="120" w:after="120" w:line="240" w:lineRule="exact"/>
        <w:ind w:left="283" w:hanging="283"/>
        <w:jc w:val="both"/>
        <w:rPr>
          <w:rFonts w:ascii="FrankRuehl" w:hAnsi="FrankRuehl" w:cs="FrankRuehl"/>
          <w:rtl/>
        </w:rPr>
      </w:pPr>
    </w:p>
    <w:p w14:paraId="4DE90906" w14:textId="77777777" w:rsidR="004B6D25" w:rsidRPr="004B6D25" w:rsidRDefault="004B6D25" w:rsidP="004B6D25">
      <w:pPr>
        <w:spacing w:before="120" w:after="120" w:line="240" w:lineRule="exact"/>
        <w:ind w:left="283" w:hanging="283"/>
        <w:jc w:val="both"/>
        <w:rPr>
          <w:rFonts w:ascii="FrankRuehl" w:hAnsi="FrankRuehl" w:cs="FrankRuehl"/>
          <w:rtl/>
        </w:rPr>
      </w:pPr>
    </w:p>
    <w:p w14:paraId="000C11E9" w14:textId="77777777" w:rsidR="004B6D25" w:rsidRPr="004B6D25" w:rsidRDefault="004B6D25" w:rsidP="004B6D25">
      <w:pPr>
        <w:spacing w:before="120" w:after="120" w:line="240" w:lineRule="exact"/>
        <w:ind w:left="283" w:hanging="283"/>
        <w:jc w:val="both"/>
        <w:rPr>
          <w:rFonts w:ascii="FrankRuehl" w:hAnsi="FrankRuehl" w:cs="FrankRuehl"/>
          <w:rtl/>
        </w:rPr>
      </w:pPr>
      <w:r w:rsidRPr="004B6D25">
        <w:rPr>
          <w:rFonts w:ascii="FrankRuehl" w:hAnsi="FrankRuehl" w:cs="FrankRuehl"/>
          <w:rtl/>
        </w:rPr>
        <w:t xml:space="preserve">חקיקה שאוזכרה: </w:t>
      </w:r>
    </w:p>
    <w:p w14:paraId="6A17CC3E" w14:textId="77777777" w:rsidR="004B6D25" w:rsidRPr="004B6D25" w:rsidRDefault="004B6D25" w:rsidP="004B6D25">
      <w:pPr>
        <w:spacing w:before="120" w:after="120" w:line="240" w:lineRule="exact"/>
        <w:ind w:left="283" w:hanging="283"/>
        <w:jc w:val="both"/>
        <w:rPr>
          <w:rFonts w:ascii="FrankRuehl" w:hAnsi="FrankRuehl" w:cs="FrankRuehl"/>
          <w:rtl/>
        </w:rPr>
      </w:pPr>
      <w:hyperlink r:id="rId7" w:history="1">
        <w:r w:rsidRPr="004B6D25">
          <w:rPr>
            <w:rFonts w:ascii="FrankRuehl" w:hAnsi="FrankRuehl" w:cs="FrankRuehl"/>
            <w:color w:val="0000FF"/>
            <w:rtl/>
          </w:rPr>
          <w:t>פקודת הסמים המסוכנים [נוסח חדש], תשל"ג-1973</w:t>
        </w:r>
      </w:hyperlink>
      <w:r w:rsidRPr="004B6D25">
        <w:rPr>
          <w:rFonts w:ascii="FrankRuehl" w:hAnsi="FrankRuehl" w:cs="FrankRuehl"/>
          <w:rtl/>
        </w:rPr>
        <w:t xml:space="preserve">: סע'  </w:t>
      </w:r>
      <w:hyperlink r:id="rId8" w:history="1">
        <w:r w:rsidRPr="004B6D25">
          <w:rPr>
            <w:rFonts w:ascii="FrankRuehl" w:hAnsi="FrankRuehl" w:cs="FrankRuehl"/>
            <w:color w:val="0000FF"/>
            <w:rtl/>
          </w:rPr>
          <w:t>7.א.</w:t>
        </w:r>
      </w:hyperlink>
      <w:r w:rsidRPr="004B6D25">
        <w:rPr>
          <w:rFonts w:ascii="FrankRuehl" w:hAnsi="FrankRuehl" w:cs="FrankRuehl"/>
          <w:rtl/>
        </w:rPr>
        <w:t xml:space="preserve">, </w:t>
      </w:r>
      <w:hyperlink r:id="rId9" w:history="1">
        <w:r w:rsidRPr="004B6D25">
          <w:rPr>
            <w:rFonts w:ascii="FrankRuehl" w:hAnsi="FrankRuehl" w:cs="FrankRuehl"/>
            <w:color w:val="0000FF"/>
            <w:rtl/>
          </w:rPr>
          <w:t>7.ג</w:t>
        </w:r>
      </w:hyperlink>
      <w:r w:rsidRPr="004B6D25">
        <w:rPr>
          <w:rFonts w:ascii="FrankRuehl" w:hAnsi="FrankRuehl" w:cs="FrankRuehl"/>
          <w:rtl/>
        </w:rPr>
        <w:t xml:space="preserve">, </w:t>
      </w:r>
      <w:hyperlink r:id="rId10" w:history="1">
        <w:r w:rsidRPr="004B6D25">
          <w:rPr>
            <w:rFonts w:ascii="FrankRuehl" w:hAnsi="FrankRuehl" w:cs="FrankRuehl"/>
            <w:color w:val="0000FF"/>
            <w:rtl/>
          </w:rPr>
          <w:t>13</w:t>
        </w:r>
      </w:hyperlink>
      <w:r w:rsidRPr="004B6D25">
        <w:rPr>
          <w:rFonts w:ascii="FrankRuehl" w:hAnsi="FrankRuehl" w:cs="FrankRuehl"/>
          <w:rtl/>
        </w:rPr>
        <w:t xml:space="preserve">, </w:t>
      </w:r>
      <w:hyperlink r:id="rId11" w:history="1">
        <w:r w:rsidRPr="004B6D25">
          <w:rPr>
            <w:rFonts w:ascii="FrankRuehl" w:hAnsi="FrankRuehl" w:cs="FrankRuehl"/>
            <w:color w:val="0000FF"/>
            <w:rtl/>
          </w:rPr>
          <w:t>19</w:t>
        </w:r>
      </w:hyperlink>
    </w:p>
    <w:p w14:paraId="2E0353FF" w14:textId="77777777" w:rsidR="004B6D25" w:rsidRPr="004B6D25" w:rsidRDefault="004B6D25" w:rsidP="004B6D25">
      <w:pPr>
        <w:spacing w:before="120" w:after="120" w:line="240" w:lineRule="exact"/>
        <w:ind w:left="283" w:hanging="283"/>
        <w:jc w:val="both"/>
        <w:rPr>
          <w:rFonts w:ascii="FrankRuehl" w:hAnsi="FrankRuehl" w:cs="FrankRuehl"/>
          <w:rtl/>
        </w:rPr>
      </w:pPr>
      <w:hyperlink r:id="rId12" w:history="1">
        <w:r w:rsidRPr="004B6D25">
          <w:rPr>
            <w:rFonts w:ascii="FrankRuehl" w:hAnsi="FrankRuehl" w:cs="FrankRuehl"/>
            <w:color w:val="0000FF"/>
            <w:rtl/>
          </w:rPr>
          <w:t>חוק העונשין, תשל"ז-1977</w:t>
        </w:r>
      </w:hyperlink>
      <w:r w:rsidRPr="004B6D25">
        <w:rPr>
          <w:rFonts w:ascii="FrankRuehl" w:hAnsi="FrankRuehl" w:cs="FrankRuehl"/>
          <w:rtl/>
        </w:rPr>
        <w:t xml:space="preserve">: סע'  </w:t>
      </w:r>
      <w:hyperlink r:id="rId13" w:history="1">
        <w:r w:rsidRPr="004B6D25">
          <w:rPr>
            <w:rFonts w:ascii="FrankRuehl" w:hAnsi="FrankRuehl" w:cs="FrankRuehl"/>
            <w:color w:val="0000FF"/>
            <w:rtl/>
          </w:rPr>
          <w:t>40 ב'</w:t>
        </w:r>
      </w:hyperlink>
      <w:r w:rsidRPr="004B6D25">
        <w:rPr>
          <w:rFonts w:ascii="FrankRuehl" w:hAnsi="FrankRuehl" w:cs="FrankRuehl"/>
          <w:rtl/>
        </w:rPr>
        <w:t xml:space="preserve">, </w:t>
      </w:r>
      <w:hyperlink r:id="rId14" w:history="1">
        <w:r w:rsidRPr="004B6D25">
          <w:rPr>
            <w:rFonts w:ascii="FrankRuehl" w:hAnsi="FrankRuehl" w:cs="FrankRuehl"/>
            <w:color w:val="0000FF"/>
            <w:rtl/>
          </w:rPr>
          <w:t>40ט'</w:t>
        </w:r>
      </w:hyperlink>
      <w:r w:rsidRPr="004B6D25">
        <w:rPr>
          <w:rFonts w:ascii="FrankRuehl" w:hAnsi="FrankRuehl" w:cs="FrankRuehl"/>
          <w:rtl/>
        </w:rPr>
        <w:t xml:space="preserve">, </w:t>
      </w:r>
      <w:hyperlink r:id="rId15" w:history="1">
        <w:r w:rsidRPr="004B6D25">
          <w:rPr>
            <w:rFonts w:ascii="FrankRuehl" w:hAnsi="FrankRuehl" w:cs="FrankRuehl"/>
            <w:color w:val="0000FF"/>
            <w:rtl/>
          </w:rPr>
          <w:t>287(א)</w:t>
        </w:r>
      </w:hyperlink>
      <w:r w:rsidRPr="004B6D25">
        <w:rPr>
          <w:rFonts w:ascii="FrankRuehl" w:hAnsi="FrankRuehl" w:cs="FrankRuehl"/>
          <w:rtl/>
        </w:rPr>
        <w:t xml:space="preserve">, </w:t>
      </w:r>
      <w:hyperlink r:id="rId16" w:history="1">
        <w:r w:rsidRPr="004B6D25">
          <w:rPr>
            <w:rFonts w:ascii="FrankRuehl" w:hAnsi="FrankRuehl" w:cs="FrankRuehl"/>
            <w:color w:val="0000FF"/>
            <w:rtl/>
          </w:rPr>
          <w:t>40 יא'</w:t>
        </w:r>
      </w:hyperlink>
      <w:r w:rsidRPr="004B6D25">
        <w:rPr>
          <w:rFonts w:ascii="FrankRuehl" w:hAnsi="FrankRuehl" w:cs="FrankRuehl"/>
          <w:rtl/>
        </w:rPr>
        <w:t xml:space="preserve">, </w:t>
      </w:r>
      <w:hyperlink r:id="rId17" w:history="1">
        <w:r w:rsidRPr="004B6D25">
          <w:rPr>
            <w:rFonts w:ascii="FrankRuehl" w:hAnsi="FrankRuehl" w:cs="FrankRuehl"/>
            <w:color w:val="0000FF"/>
            <w:rtl/>
          </w:rPr>
          <w:t>40יג</w:t>
        </w:r>
      </w:hyperlink>
    </w:p>
    <w:p w14:paraId="50BA2D36" w14:textId="77777777" w:rsidR="004B6D25" w:rsidRPr="004B6D25" w:rsidRDefault="004B6D25" w:rsidP="004B6D25">
      <w:pPr>
        <w:rPr>
          <w:rtl/>
        </w:rPr>
      </w:pPr>
      <w:bookmarkStart w:id="3" w:name="LawTable_End"/>
      <w:bookmarkEnd w:id="3"/>
    </w:p>
    <w:p w14:paraId="116546B7" w14:textId="77777777" w:rsidR="00742183" w:rsidRPr="00CD5A72" w:rsidRDefault="00742183" w:rsidP="00CD5A7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2183" w14:paraId="04DA6DD3" w14:textId="77777777" w:rsidTr="00742183">
        <w:trPr>
          <w:trHeight w:val="355"/>
          <w:jc w:val="center"/>
        </w:trPr>
        <w:tc>
          <w:tcPr>
            <w:tcW w:w="8820" w:type="dxa"/>
            <w:tcBorders>
              <w:top w:val="nil"/>
              <w:left w:val="nil"/>
              <w:bottom w:val="nil"/>
              <w:right w:val="nil"/>
            </w:tcBorders>
            <w:shd w:val="clear" w:color="auto" w:fill="auto"/>
          </w:tcPr>
          <w:p w14:paraId="755682A4" w14:textId="77777777" w:rsidR="00880C44" w:rsidRPr="00880C44" w:rsidRDefault="00880C44" w:rsidP="00880C44">
            <w:pPr>
              <w:jc w:val="center"/>
              <w:rPr>
                <w:rFonts w:ascii="David" w:hAnsi="David"/>
                <w:b/>
                <w:bCs/>
                <w:sz w:val="32"/>
                <w:szCs w:val="32"/>
                <w:u w:val="single"/>
                <w:rtl/>
              </w:rPr>
            </w:pPr>
            <w:bookmarkStart w:id="4" w:name="PsakDin" w:colFirst="0" w:colLast="0"/>
            <w:bookmarkEnd w:id="0"/>
            <w:r w:rsidRPr="00880C44">
              <w:rPr>
                <w:rFonts w:ascii="David" w:hAnsi="David"/>
                <w:b/>
                <w:bCs/>
                <w:sz w:val="32"/>
                <w:szCs w:val="32"/>
                <w:u w:val="single"/>
                <w:rtl/>
              </w:rPr>
              <w:t>גזר דין</w:t>
            </w:r>
          </w:p>
          <w:p w14:paraId="12DEB535" w14:textId="77777777" w:rsidR="00742183" w:rsidRPr="00880C44" w:rsidRDefault="00742183" w:rsidP="00880C44">
            <w:pPr>
              <w:jc w:val="center"/>
              <w:rPr>
                <w:rFonts w:ascii="David" w:hAnsi="David"/>
                <w:bCs/>
                <w:sz w:val="32"/>
                <w:szCs w:val="32"/>
                <w:u w:val="single"/>
                <w:rtl/>
              </w:rPr>
            </w:pPr>
          </w:p>
        </w:tc>
      </w:tr>
      <w:bookmarkEnd w:id="4"/>
    </w:tbl>
    <w:p w14:paraId="4AB3FAA3" w14:textId="77777777" w:rsidR="00742183" w:rsidRPr="00B05847" w:rsidRDefault="00742183" w:rsidP="00742183">
      <w:pPr>
        <w:rPr>
          <w:rFonts w:ascii="Arial" w:hAnsi="Arial"/>
          <w:rtl/>
        </w:rPr>
      </w:pPr>
    </w:p>
    <w:p w14:paraId="75A327E3" w14:textId="77777777" w:rsidR="00742183" w:rsidRDefault="00742183" w:rsidP="00742183">
      <w:pPr>
        <w:spacing w:line="360" w:lineRule="auto"/>
        <w:rPr>
          <w:rFonts w:ascii="Arial" w:hAnsi="Arial"/>
          <w:b/>
          <w:bCs/>
          <w:rtl/>
        </w:rPr>
      </w:pPr>
      <w:r w:rsidRPr="005D6518">
        <w:rPr>
          <w:rFonts w:ascii="Arial" w:hAnsi="Arial" w:hint="cs"/>
          <w:b/>
          <w:bCs/>
          <w:rtl/>
        </w:rPr>
        <w:t>רקע והליכים קודמים:</w:t>
      </w:r>
    </w:p>
    <w:p w14:paraId="0F3E2628" w14:textId="77777777" w:rsidR="00742183" w:rsidRPr="005D6518" w:rsidRDefault="00742183" w:rsidP="00742183">
      <w:pPr>
        <w:spacing w:line="360" w:lineRule="auto"/>
        <w:rPr>
          <w:rFonts w:ascii="Arial" w:hAnsi="Arial"/>
          <w:b/>
          <w:bCs/>
          <w:rtl/>
        </w:rPr>
      </w:pPr>
    </w:p>
    <w:p w14:paraId="5E4A7537" w14:textId="77777777" w:rsidR="00742183" w:rsidRDefault="00742183" w:rsidP="00742183">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הורשע בכתבי אישום מתוקנים המייחסים לו 3 עבירות של סחר בסם מסוכן, לפי </w:t>
      </w:r>
      <w:hyperlink r:id="rId18" w:history="1">
        <w:r w:rsidR="00CD5A72" w:rsidRPr="00CD5A72">
          <w:rPr>
            <w:rStyle w:val="Hyperlink"/>
            <w:rFonts w:hint="eastAsia"/>
            <w:rtl/>
          </w:rPr>
          <w:t>סעיף</w:t>
        </w:r>
        <w:r w:rsidR="00CD5A72" w:rsidRPr="00CD5A72">
          <w:rPr>
            <w:rStyle w:val="Hyperlink"/>
            <w:rtl/>
          </w:rPr>
          <w:t xml:space="preserve"> 13+19</w:t>
        </w:r>
      </w:hyperlink>
      <w:r>
        <w:rPr>
          <w:rFonts w:hint="cs"/>
          <w:rtl/>
        </w:rPr>
        <w:t xml:space="preserve"> ל</w:t>
      </w:r>
      <w:hyperlink r:id="rId19" w:history="1">
        <w:r w:rsidR="00880C44" w:rsidRPr="00880C44">
          <w:rPr>
            <w:color w:val="0000FF"/>
            <w:u w:val="single"/>
            <w:rtl/>
          </w:rPr>
          <w:t>פקודת הסמים המסוכנים</w:t>
        </w:r>
      </w:hyperlink>
      <w:r>
        <w:rPr>
          <w:rFonts w:hint="cs"/>
          <w:rtl/>
        </w:rPr>
        <w:t xml:space="preserve"> [נוסח חדש], התשל"ג </w:t>
      </w:r>
      <w:r>
        <w:rPr>
          <w:rtl/>
        </w:rPr>
        <w:t>–</w:t>
      </w:r>
      <w:r>
        <w:rPr>
          <w:rFonts w:hint="cs"/>
          <w:rtl/>
        </w:rPr>
        <w:t xml:space="preserve"> 1977 (להלן: </w:t>
      </w:r>
      <w:r w:rsidRPr="00904310">
        <w:rPr>
          <w:rFonts w:hint="cs"/>
          <w:b/>
          <w:bCs/>
          <w:rtl/>
        </w:rPr>
        <w:t>"פקודת הסמים"</w:t>
      </w:r>
      <w:r>
        <w:rPr>
          <w:rFonts w:hint="cs"/>
          <w:rtl/>
        </w:rPr>
        <w:t xml:space="preserve">), ב- 2 עבירות של החזקת סם לצריכה עצמית, לפי </w:t>
      </w:r>
      <w:hyperlink r:id="rId20" w:history="1">
        <w:r w:rsidR="00CD5A72" w:rsidRPr="00CD5A72">
          <w:rPr>
            <w:rStyle w:val="Hyperlink"/>
            <w:rFonts w:hint="eastAsia"/>
            <w:rtl/>
          </w:rPr>
          <w:t>סעיף</w:t>
        </w:r>
        <w:r w:rsidR="00CD5A72" w:rsidRPr="00CD5A72">
          <w:rPr>
            <w:rStyle w:val="Hyperlink"/>
            <w:rtl/>
          </w:rPr>
          <w:t xml:space="preserve"> 7(א)+7(ג)</w:t>
        </w:r>
      </w:hyperlink>
      <w:r>
        <w:rPr>
          <w:rFonts w:hint="cs"/>
          <w:rtl/>
        </w:rPr>
        <w:t xml:space="preserve"> סיפא לפקודת הסמים ובעבירת הפרת הוראה חוקית לפי </w:t>
      </w:r>
      <w:hyperlink r:id="rId21" w:history="1">
        <w:r w:rsidR="00CD5A72" w:rsidRPr="00CD5A72">
          <w:rPr>
            <w:rStyle w:val="Hyperlink"/>
            <w:rFonts w:hint="eastAsia"/>
            <w:rtl/>
          </w:rPr>
          <w:t>סעיף</w:t>
        </w:r>
        <w:r w:rsidR="00CD5A72" w:rsidRPr="00CD5A72">
          <w:rPr>
            <w:rStyle w:val="Hyperlink"/>
            <w:rtl/>
          </w:rPr>
          <w:t xml:space="preserve"> 287(א)</w:t>
        </w:r>
      </w:hyperlink>
      <w:r>
        <w:rPr>
          <w:rFonts w:hint="cs"/>
          <w:rtl/>
        </w:rPr>
        <w:t xml:space="preserve"> ל</w:t>
      </w:r>
      <w:hyperlink r:id="rId22" w:history="1">
        <w:r w:rsidR="00880C44" w:rsidRPr="00880C44">
          <w:rPr>
            <w:color w:val="0000FF"/>
            <w:u w:val="single"/>
            <w:rtl/>
          </w:rPr>
          <w:t>חוק העונשין</w:t>
        </w:r>
      </w:hyperlink>
      <w:r>
        <w:rPr>
          <w:rFonts w:hint="cs"/>
          <w:rtl/>
        </w:rPr>
        <w:t xml:space="preserve">, תשל"ז </w:t>
      </w:r>
      <w:r>
        <w:rPr>
          <w:rtl/>
        </w:rPr>
        <w:t>–</w:t>
      </w:r>
      <w:r>
        <w:rPr>
          <w:rFonts w:hint="cs"/>
          <w:rtl/>
        </w:rPr>
        <w:t xml:space="preserve"> 1977 (להלן: </w:t>
      </w:r>
      <w:r w:rsidRPr="0052021F">
        <w:rPr>
          <w:rFonts w:hint="cs"/>
          <w:b/>
          <w:bCs/>
          <w:rtl/>
        </w:rPr>
        <w:t>"חוק העונשין"</w:t>
      </w:r>
      <w:r>
        <w:rPr>
          <w:rFonts w:hint="cs"/>
          <w:rtl/>
        </w:rPr>
        <w:t>). בין הצדדים לא היה סיכום לעניין העונש, אך הוסכם כי בטרם תישמע פרשת העונש יוגש בעניינו של הנאשם תסקיר מבחן. בנוסף סוכם כי תנאי המעצר בהם היה נתון עד להצגת הסדר הטעון ישונו באופן שהנאשם יוכל לצאת להתאווררו</w:t>
      </w:r>
      <w:r>
        <w:rPr>
          <w:rFonts w:hint="eastAsia"/>
          <w:rtl/>
        </w:rPr>
        <w:t>ת</w:t>
      </w:r>
      <w:r>
        <w:rPr>
          <w:rFonts w:hint="cs"/>
          <w:rtl/>
        </w:rPr>
        <w:t xml:space="preserve"> בכל יום בליווי מפקח צמוד. </w:t>
      </w:r>
      <w:bookmarkStart w:id="6" w:name="ABSTRACT_END"/>
      <w:bookmarkEnd w:id="6"/>
    </w:p>
    <w:p w14:paraId="697FB105" w14:textId="77777777" w:rsidR="00742183" w:rsidRPr="00B05847" w:rsidRDefault="00742183" w:rsidP="00742183">
      <w:pPr>
        <w:spacing w:line="360" w:lineRule="auto"/>
        <w:ind w:left="720" w:hanging="720"/>
        <w:jc w:val="both"/>
        <w:rPr>
          <w:rtl/>
        </w:rPr>
      </w:pPr>
    </w:p>
    <w:p w14:paraId="62B6F830" w14:textId="77777777" w:rsidR="00742183" w:rsidRDefault="00742183" w:rsidP="00742183">
      <w:pPr>
        <w:spacing w:line="360" w:lineRule="auto"/>
        <w:ind w:left="720" w:hanging="720"/>
        <w:jc w:val="both"/>
        <w:rPr>
          <w:rtl/>
        </w:rPr>
      </w:pPr>
      <w:r>
        <w:rPr>
          <w:rFonts w:hint="cs"/>
          <w:rtl/>
        </w:rPr>
        <w:t>2.</w:t>
      </w:r>
      <w:r>
        <w:rPr>
          <w:rFonts w:hint="cs"/>
          <w:rtl/>
        </w:rPr>
        <w:tab/>
        <w:t xml:space="preserve">על פי הנטען באישום הראשון שבכתב האישום, במועד שאינו ידוע למאשימה, עובר ליום 13.4.17 בשעה 19:30, שוחח הנאשם עם שני אחרים שזהותם אינה ידוע למאשימה (להלן: </w:t>
      </w:r>
      <w:r w:rsidRPr="00966C67">
        <w:rPr>
          <w:rFonts w:hint="cs"/>
          <w:b/>
          <w:bCs/>
          <w:rtl/>
        </w:rPr>
        <w:t>"האחרים"</w:t>
      </w:r>
      <w:r>
        <w:rPr>
          <w:rFonts w:hint="cs"/>
          <w:rtl/>
        </w:rPr>
        <w:t>) וכן עם מר תומר רחמים (להלן: "</w:t>
      </w:r>
      <w:r w:rsidRPr="00966C67">
        <w:rPr>
          <w:rFonts w:hint="cs"/>
          <w:b/>
          <w:bCs/>
          <w:rtl/>
        </w:rPr>
        <w:t>תומר"</w:t>
      </w:r>
      <w:r>
        <w:rPr>
          <w:rFonts w:hint="cs"/>
          <w:rtl/>
        </w:rPr>
        <w:t xml:space="preserve">) באמצעות אפליקציית "טלגרם". הנאשם תיאם עם האחרים ותומר כי יקנו ממנו סם מסוכן מסוג קנבוס ולצורך כך ייפגשו </w:t>
      </w:r>
      <w:r>
        <w:rPr>
          <w:rFonts w:hint="cs"/>
          <w:rtl/>
        </w:rPr>
        <w:lastRenderedPageBreak/>
        <w:t xml:space="preserve">בסמוך לרחוב השחם 30 במעלה אדומים. ביום 13.4.17 בשעה 19:30 או בסמוך לכך, הגיע אחד האחרים, כשהוא לבוש בחולצה בצבע בורדו, ופגש בנאשם, שמכר לו סם מסוכן במשקל 2 גרם ובמחיר כולל של 240 ₪. בהמשך, הגיע האחר הנוסף, כשהוא לבוש חולצה שחורה עם סמל של חברת אדידס, ופגש בנאשם שמכר לו סם מסוכן מסוג קנבוס במשקל 3 גרם ובמחיר של 330 ₪. בהמשך הגיע תומר לו מכר הנאשם סם מסוכן מסוג קנבוס במשקל 4 גרם במחיר 480 ₪. </w:t>
      </w:r>
    </w:p>
    <w:p w14:paraId="205C2E71" w14:textId="77777777" w:rsidR="00742183" w:rsidRDefault="00742183" w:rsidP="00742183">
      <w:pPr>
        <w:spacing w:line="360" w:lineRule="auto"/>
        <w:ind w:left="720" w:hanging="720"/>
        <w:jc w:val="both"/>
        <w:rPr>
          <w:rtl/>
        </w:rPr>
      </w:pPr>
    </w:p>
    <w:p w14:paraId="0B6E7933" w14:textId="77777777" w:rsidR="00742183" w:rsidRDefault="00742183" w:rsidP="00742183">
      <w:pPr>
        <w:spacing w:line="360" w:lineRule="auto"/>
        <w:ind w:left="720" w:hanging="720"/>
        <w:jc w:val="both"/>
        <w:rPr>
          <w:rtl/>
        </w:rPr>
      </w:pPr>
      <w:r>
        <w:rPr>
          <w:rFonts w:hint="cs"/>
          <w:rtl/>
        </w:rPr>
        <w:t>3.</w:t>
      </w:r>
      <w:r>
        <w:rPr>
          <w:rtl/>
        </w:rPr>
        <w:tab/>
      </w:r>
      <w:r>
        <w:rPr>
          <w:rFonts w:hint="cs"/>
          <w:rtl/>
        </w:rPr>
        <w:t xml:space="preserve">על פי האישום השני ביום 13.4.17 בשעה 19:30 או בסמוך לכך, ברחוב השחם 30 במעלה אדומים, ובסמוך לאחר המתואר באישום הראשון החזיק הנאשם שקית ובה סם מסוכן מסוג קנבוס במשקל 2.92 גרם. את הסם שבשקית הטמין הנאשם בשיחים במקום.  </w:t>
      </w:r>
    </w:p>
    <w:p w14:paraId="282C4C55" w14:textId="77777777" w:rsidR="00742183" w:rsidRDefault="00742183" w:rsidP="00742183">
      <w:pPr>
        <w:spacing w:line="360" w:lineRule="auto"/>
        <w:ind w:left="720" w:hanging="720"/>
        <w:jc w:val="both"/>
        <w:rPr>
          <w:rtl/>
        </w:rPr>
      </w:pPr>
    </w:p>
    <w:p w14:paraId="46791233" w14:textId="77777777" w:rsidR="00742183" w:rsidRDefault="00742183" w:rsidP="00742183">
      <w:pPr>
        <w:spacing w:line="360" w:lineRule="auto"/>
        <w:ind w:left="720" w:hanging="720"/>
        <w:jc w:val="both"/>
        <w:rPr>
          <w:rtl/>
        </w:rPr>
      </w:pPr>
      <w:r>
        <w:rPr>
          <w:rFonts w:hint="cs"/>
          <w:rtl/>
        </w:rPr>
        <w:t xml:space="preserve">4. </w:t>
      </w:r>
      <w:r>
        <w:rPr>
          <w:rtl/>
        </w:rPr>
        <w:tab/>
      </w:r>
      <w:r>
        <w:rPr>
          <w:rFonts w:hint="cs"/>
          <w:rtl/>
        </w:rPr>
        <w:t xml:space="preserve">ביום 17.7.19 צירף הנאשם תיק מספר: 36028-10-18 המייחס לו ביצוע עבירה של הפרת הוראה חוקית, לפי </w:t>
      </w:r>
      <w:hyperlink r:id="rId23" w:history="1">
        <w:r w:rsidR="00CD5A72" w:rsidRPr="00CD5A72">
          <w:rPr>
            <w:rStyle w:val="Hyperlink"/>
            <w:rFonts w:hint="eastAsia"/>
            <w:rtl/>
          </w:rPr>
          <w:t>סעיף</w:t>
        </w:r>
        <w:r w:rsidR="00CD5A72" w:rsidRPr="00CD5A72">
          <w:rPr>
            <w:rStyle w:val="Hyperlink"/>
            <w:rtl/>
          </w:rPr>
          <w:t xml:space="preserve"> 287(א)</w:t>
        </w:r>
      </w:hyperlink>
      <w:r>
        <w:rPr>
          <w:rFonts w:hint="cs"/>
          <w:rtl/>
        </w:rPr>
        <w:t xml:space="preserve"> ל</w:t>
      </w:r>
      <w:hyperlink r:id="rId24" w:history="1">
        <w:r w:rsidR="00880C44" w:rsidRPr="00880C44">
          <w:rPr>
            <w:color w:val="0000FF"/>
            <w:u w:val="single"/>
            <w:rtl/>
          </w:rPr>
          <w:t>חוק העונשין</w:t>
        </w:r>
      </w:hyperlink>
      <w:r>
        <w:rPr>
          <w:rFonts w:hint="cs"/>
          <w:rtl/>
        </w:rPr>
        <w:t xml:space="preserve">, תשל"ז 1977. </w:t>
      </w:r>
    </w:p>
    <w:p w14:paraId="2DBC06A5" w14:textId="77777777" w:rsidR="00742183" w:rsidRDefault="00742183" w:rsidP="00742183">
      <w:pPr>
        <w:spacing w:line="360" w:lineRule="auto"/>
        <w:ind w:left="720"/>
        <w:jc w:val="both"/>
        <w:rPr>
          <w:rtl/>
        </w:rPr>
      </w:pPr>
      <w:r>
        <w:rPr>
          <w:rFonts w:hint="cs"/>
          <w:rtl/>
        </w:rPr>
        <w:t>בחלק הכללי שבכתב האישום, צוין כי במסגרת ת"פ 301997-04-17 הוטלו על הנאשם תנאי שחרור הכוללים מעצר בית מלא, למעט יציאה לעבודה בימים א'-ה' בין השעות 08:00-18:00 ויציאות לטיפול ביום ב' בין השעות 16:30-21:30 וביום ה' בין השעות 09:30-16:00.</w:t>
      </w:r>
    </w:p>
    <w:p w14:paraId="2157B2CC" w14:textId="77777777" w:rsidR="00742183" w:rsidRDefault="00742183" w:rsidP="00742183">
      <w:pPr>
        <w:spacing w:line="360" w:lineRule="auto"/>
        <w:ind w:left="720" w:hanging="720"/>
        <w:jc w:val="both"/>
        <w:rPr>
          <w:rtl/>
        </w:rPr>
      </w:pPr>
    </w:p>
    <w:p w14:paraId="3C730132" w14:textId="77777777" w:rsidR="00742183" w:rsidRDefault="00742183" w:rsidP="00742183">
      <w:pPr>
        <w:spacing w:line="360" w:lineRule="auto"/>
        <w:ind w:left="720" w:hanging="720"/>
        <w:jc w:val="both"/>
        <w:rPr>
          <w:rtl/>
        </w:rPr>
      </w:pPr>
      <w:r>
        <w:rPr>
          <w:rtl/>
        </w:rPr>
        <w:tab/>
      </w:r>
      <w:r>
        <w:rPr>
          <w:rFonts w:hint="cs"/>
          <w:rtl/>
        </w:rPr>
        <w:t xml:space="preserve">על פי הנטען, ביום 20.6.18 בשעה 03:00 או בסמוך לכך, ירד הנאשם ממונית שפרטיה אינם ידועים למאשימה בסמוך לבית, וזאת בניגוד להוראה חוקית. </w:t>
      </w:r>
    </w:p>
    <w:p w14:paraId="2301A0C6" w14:textId="77777777" w:rsidR="00742183" w:rsidRDefault="00742183" w:rsidP="00742183">
      <w:pPr>
        <w:spacing w:line="360" w:lineRule="auto"/>
        <w:ind w:left="720" w:hanging="720"/>
        <w:jc w:val="both"/>
        <w:rPr>
          <w:rtl/>
        </w:rPr>
      </w:pPr>
    </w:p>
    <w:p w14:paraId="10819BF5" w14:textId="77777777" w:rsidR="00742183" w:rsidRPr="00B05847" w:rsidRDefault="00742183" w:rsidP="00742183">
      <w:pPr>
        <w:spacing w:line="360" w:lineRule="auto"/>
        <w:ind w:left="720" w:hanging="720"/>
        <w:jc w:val="both"/>
        <w:rPr>
          <w:rtl/>
        </w:rPr>
      </w:pPr>
      <w:r>
        <w:rPr>
          <w:rFonts w:hint="cs"/>
          <w:rtl/>
        </w:rPr>
        <w:t>5.</w:t>
      </w:r>
      <w:r>
        <w:rPr>
          <w:rFonts w:hint="cs"/>
          <w:rtl/>
        </w:rPr>
        <w:tab/>
        <w:t xml:space="preserve">ביום 24.9.20 צורף הליך נוסף, בו הורשע הנאשם, בהתאם להודאתו, בכך שביום 20.8.19 החזיק בביתו 25.74 גרם קנאביס לשימוש עצמי. </w:t>
      </w:r>
    </w:p>
    <w:p w14:paraId="5748B92E" w14:textId="77777777" w:rsidR="00742183" w:rsidRPr="00B05847" w:rsidRDefault="00742183" w:rsidP="00742183">
      <w:pPr>
        <w:spacing w:line="360" w:lineRule="auto"/>
        <w:rPr>
          <w:rtl/>
        </w:rPr>
      </w:pPr>
    </w:p>
    <w:p w14:paraId="1BF4F5E0" w14:textId="77777777" w:rsidR="00742183" w:rsidRPr="007726FC" w:rsidRDefault="00742183" w:rsidP="00742183">
      <w:pPr>
        <w:spacing w:line="360" w:lineRule="auto"/>
        <w:rPr>
          <w:b/>
          <w:bCs/>
          <w:rtl/>
        </w:rPr>
      </w:pPr>
      <w:r w:rsidRPr="007726FC">
        <w:rPr>
          <w:rFonts w:hint="cs"/>
          <w:b/>
          <w:bCs/>
          <w:rtl/>
        </w:rPr>
        <w:t>תסקירי שרות מבחן</w:t>
      </w:r>
      <w:r>
        <w:rPr>
          <w:rFonts w:hint="cs"/>
          <w:b/>
          <w:bCs/>
          <w:rtl/>
        </w:rPr>
        <w:t>:</w:t>
      </w:r>
    </w:p>
    <w:p w14:paraId="1F8955E3" w14:textId="77777777" w:rsidR="00742183" w:rsidRDefault="00742183" w:rsidP="00742183">
      <w:pPr>
        <w:spacing w:line="360" w:lineRule="auto"/>
        <w:rPr>
          <w:rtl/>
        </w:rPr>
      </w:pPr>
    </w:p>
    <w:p w14:paraId="72B0B230" w14:textId="77777777" w:rsidR="00742183" w:rsidRDefault="00742183" w:rsidP="00742183">
      <w:pPr>
        <w:spacing w:line="360" w:lineRule="auto"/>
        <w:ind w:left="720" w:hanging="720"/>
        <w:jc w:val="both"/>
        <w:rPr>
          <w:rtl/>
        </w:rPr>
      </w:pPr>
      <w:r>
        <w:rPr>
          <w:rFonts w:hint="cs"/>
          <w:rtl/>
        </w:rPr>
        <w:t>6.</w:t>
      </w:r>
      <w:r>
        <w:rPr>
          <w:rFonts w:hint="cs"/>
          <w:rtl/>
        </w:rPr>
        <w:tab/>
        <w:t xml:space="preserve">בעניינו של הנאשם הוגשו מספר תסקירים, אביא מתוכנם בתמצית. </w:t>
      </w:r>
    </w:p>
    <w:p w14:paraId="7FB0DBA3" w14:textId="77777777" w:rsidR="00742183" w:rsidRDefault="00742183" w:rsidP="00742183">
      <w:pPr>
        <w:spacing w:line="360" w:lineRule="auto"/>
        <w:ind w:left="720" w:hanging="720"/>
        <w:jc w:val="both"/>
        <w:rPr>
          <w:rtl/>
        </w:rPr>
      </w:pPr>
    </w:p>
    <w:p w14:paraId="3EE6F453" w14:textId="77777777" w:rsidR="00742183" w:rsidRDefault="00742183" w:rsidP="00742183">
      <w:pPr>
        <w:spacing w:line="360" w:lineRule="auto"/>
        <w:ind w:left="720" w:hanging="720"/>
        <w:jc w:val="both"/>
        <w:rPr>
          <w:rtl/>
        </w:rPr>
      </w:pPr>
      <w:r>
        <w:rPr>
          <w:rFonts w:hint="cs"/>
          <w:rtl/>
        </w:rPr>
        <w:t>7.</w:t>
      </w:r>
      <w:r>
        <w:rPr>
          <w:rFonts w:hint="cs"/>
          <w:rtl/>
        </w:rPr>
        <w:tab/>
        <w:t xml:space="preserve">בתסקיר מעצר מיום 29.6.17 עדכן שרות המבחן כי במסגרת הליכי המעצר נערכו לנאשם 5 בדיקות לאיתור שרידי סם, מהן שלוש בדיקות הצביעו על שרידי סם בגופו. הנאשם ביטא כעס כלפי תוצאות הבדיקות, אך ביטא רצון מילולי לקבלת טיפול וביטא רצון לניהול אורח חיים תקין. על אף זאת סבור היה שרות המבחן כי עמדתו אינה עולה בקנה אחד עם התנהגותו בפועל, המצביעה על חשד לשימוש בסם. בנוסף צוין כי יחסיו עם בת זוגו מתאפיינים בתלות מצדו וניכר כי אינו מקבל אחריות אישית על מצבו. נוכח זאת שרות המבחן לא בא בהמלצה לשינוי בתנאי מעצרו. שרות המבחן הוסיף כי יפעל לשילובו של הנאשם למסגרת טיפולית ייעודית בהתמכרויות, ויבצע לנאשם בדיקות נוספות לאיתור שרידי סם.   </w:t>
      </w:r>
    </w:p>
    <w:p w14:paraId="3D37F496" w14:textId="77777777" w:rsidR="00742183" w:rsidRDefault="00742183" w:rsidP="00742183">
      <w:pPr>
        <w:spacing w:line="360" w:lineRule="auto"/>
        <w:ind w:left="720" w:hanging="720"/>
        <w:jc w:val="both"/>
        <w:rPr>
          <w:rtl/>
        </w:rPr>
      </w:pPr>
    </w:p>
    <w:p w14:paraId="26AEEF91" w14:textId="77777777" w:rsidR="00742183" w:rsidRDefault="00742183" w:rsidP="00742183">
      <w:pPr>
        <w:spacing w:line="360" w:lineRule="auto"/>
        <w:ind w:left="720" w:hanging="720"/>
        <w:jc w:val="both"/>
        <w:rPr>
          <w:rtl/>
        </w:rPr>
      </w:pPr>
      <w:r>
        <w:rPr>
          <w:rFonts w:hint="cs"/>
          <w:rtl/>
        </w:rPr>
        <w:t>8.</w:t>
      </w:r>
      <w:r>
        <w:rPr>
          <w:rFonts w:hint="cs"/>
          <w:rtl/>
        </w:rPr>
        <w:tab/>
        <w:t xml:space="preserve">ביום 23.11.17 הוגש תסקיר מבחן בעניינו של הנאשם, מפאת צנעת הפרט אביא מתוכנו בתמצית. הנאשם כבן 25 שוהה בתנאי מעצר בית בבית אמו. בתסקיר פירוט אודות הרקע </w:t>
      </w:r>
      <w:r>
        <w:rPr>
          <w:rFonts w:hint="cs"/>
          <w:rtl/>
        </w:rPr>
        <w:lastRenderedPageBreak/>
        <w:t>בו צמח הנאשם. הנאשם החל את שירותו כלוחם בחטיבת גבעתי, אך לדבריו על רקע נסיבות משפחתיות ערק מהשירות למשך 5 חודשים. בעקבות זאת ריצה הנאשם תקופת מאסר למשך חודשיים לאחריה שולב בתפקיד התואם את מצבו האישי. על אף זאת, הנאשם ערק פעם נוספת מהשירות ולאחר ריצוי מאסר נוסף שוחרר מהצבא. הנאשם הועסק במספר מקומות עבודה לאחר שחרורו עד למעצרו בתיק דנן.</w:t>
      </w:r>
    </w:p>
    <w:p w14:paraId="202955AF" w14:textId="77777777" w:rsidR="00742183" w:rsidRDefault="00742183" w:rsidP="00742183">
      <w:pPr>
        <w:spacing w:line="360" w:lineRule="auto"/>
        <w:ind w:left="720" w:hanging="720"/>
        <w:jc w:val="both"/>
        <w:rPr>
          <w:rtl/>
        </w:rPr>
      </w:pPr>
      <w:r>
        <w:rPr>
          <w:rtl/>
        </w:rPr>
        <w:tab/>
      </w:r>
    </w:p>
    <w:p w14:paraId="6CC8E367" w14:textId="77777777" w:rsidR="00742183" w:rsidRDefault="00742183" w:rsidP="00742183">
      <w:pPr>
        <w:spacing w:line="360" w:lineRule="auto"/>
        <w:ind w:left="720" w:hanging="720"/>
        <w:jc w:val="both"/>
        <w:rPr>
          <w:rtl/>
        </w:rPr>
      </w:pPr>
      <w:r>
        <w:rPr>
          <w:rtl/>
        </w:rPr>
        <w:tab/>
      </w:r>
      <w:r>
        <w:rPr>
          <w:rFonts w:hint="cs"/>
          <w:rtl/>
        </w:rPr>
        <w:t>הנאשם תיאר בפני שרות המבחן רקע משפחתי קשה בו גדל, בכלל זאת גירושי הוריו בהיותו כבן 5 והקשיים עמם התמודדה אמו כנושאת בעול גידולו וגידול אחותו הצעירה, החולה באפילפסיה. הנאשם הוסיף, כי גם כיום הוא מעניק לאמו תמיכה כלכלית.</w:t>
      </w:r>
    </w:p>
    <w:p w14:paraId="71C8D589" w14:textId="77777777" w:rsidR="00742183" w:rsidRDefault="00742183" w:rsidP="00742183">
      <w:pPr>
        <w:spacing w:line="360" w:lineRule="auto"/>
        <w:ind w:left="720" w:hanging="720"/>
        <w:jc w:val="both"/>
        <w:rPr>
          <w:rtl/>
        </w:rPr>
      </w:pPr>
    </w:p>
    <w:p w14:paraId="40B4D0FF" w14:textId="77777777" w:rsidR="00742183" w:rsidRDefault="00742183" w:rsidP="00742183">
      <w:pPr>
        <w:spacing w:line="360" w:lineRule="auto"/>
        <w:ind w:left="720" w:hanging="720"/>
        <w:jc w:val="both"/>
        <w:rPr>
          <w:rtl/>
        </w:rPr>
      </w:pPr>
      <w:r>
        <w:rPr>
          <w:rtl/>
        </w:rPr>
        <w:tab/>
      </w:r>
      <w:r>
        <w:rPr>
          <w:rFonts w:hint="cs"/>
          <w:rtl/>
        </w:rPr>
        <w:t>בהתייחס לשימוש בסם, מסר הנאשם כי הוא החל בשימוש לאחר שירותו הצבאי, על רקע קשיים רגשיים סביב מצוקתה הכלכלית של משפחתו. על פיו, השימוש בסם סייע לו בהתמודדות עם חוויות קשות הנוגעות במשפחתו ובשירותו הצבאי. להתרשמות שרות המבחן, הנאשם מטשטש את מצבו ההתמכרותי, ושיתף באופן מצומצם. הוסף, כי הנאשם נעדר עבר פלילי וקיימת בתסקיר התייחסות באשר לנסיבות ביצוען של העבירות.</w:t>
      </w:r>
    </w:p>
    <w:p w14:paraId="73C29396" w14:textId="77777777" w:rsidR="00742183" w:rsidRDefault="00742183" w:rsidP="00742183">
      <w:pPr>
        <w:spacing w:line="360" w:lineRule="auto"/>
        <w:ind w:left="720" w:hanging="720"/>
        <w:jc w:val="both"/>
        <w:rPr>
          <w:rtl/>
        </w:rPr>
      </w:pPr>
    </w:p>
    <w:p w14:paraId="0AA4D03D" w14:textId="77777777" w:rsidR="00742183" w:rsidRDefault="00742183" w:rsidP="00742183">
      <w:pPr>
        <w:spacing w:line="360" w:lineRule="auto"/>
        <w:ind w:left="720" w:hanging="720"/>
        <w:jc w:val="both"/>
        <w:rPr>
          <w:rtl/>
        </w:rPr>
      </w:pPr>
      <w:r>
        <w:rPr>
          <w:rtl/>
        </w:rPr>
        <w:tab/>
      </w:r>
      <w:r>
        <w:rPr>
          <w:rFonts w:hint="cs"/>
          <w:rtl/>
        </w:rPr>
        <w:t>הנאשם הופנה לטיפול בחודש ספטמבר 2017 ב"יחידה להתמכרויות מבשרת ציון". במסגרת זו קיים הנאשם שיחות פרטניות ומסר דגימות לאיתור שרידי סם. נמסר, כי הנאשם הגיע באופן רציף לטיפול, גילה מוטיבציה ושמר על ניקיון מסמי רחוב. מנגד, להתרשמות גורמי הטיפול הנאשם אינו נחשף לקיומם של חלקים שאינם מתפקדים באישיותו תוך ניסיון לריצוי מטפליו. הוסף, כי בכוונת גורמי הטיפול לשלבו בקבוצה טיפולית למכורים במסגרתם, כשלב מקדים לשילובו במרכז יום. בהערכת הסיכון נקבע כי קיים סיכון בינוני למעורבות חוזרת בעבירות מתחום הסמים, ובמידה ולא ישלים הטיפול, הסיכון לביצוע עבירות יגדל. על רקע זאת הומלץ לדחות את הדיון ב-4 חודשים. בנוסף הומלץ על הקלה בתנאי השחרור לצורך הגעה לטיפול.</w:t>
      </w:r>
    </w:p>
    <w:p w14:paraId="6FD5799E" w14:textId="77777777" w:rsidR="00742183" w:rsidRDefault="00742183" w:rsidP="00742183">
      <w:pPr>
        <w:spacing w:line="360" w:lineRule="auto"/>
        <w:ind w:left="720" w:hanging="720"/>
        <w:jc w:val="both"/>
        <w:rPr>
          <w:rtl/>
        </w:rPr>
      </w:pPr>
      <w:r>
        <w:rPr>
          <w:rFonts w:hint="cs"/>
          <w:rtl/>
        </w:rPr>
        <w:t xml:space="preserve"> </w:t>
      </w:r>
    </w:p>
    <w:p w14:paraId="6BA78AD9" w14:textId="77777777" w:rsidR="00742183" w:rsidRDefault="00742183" w:rsidP="00742183">
      <w:pPr>
        <w:spacing w:line="360" w:lineRule="auto"/>
        <w:ind w:left="720" w:hanging="720"/>
        <w:jc w:val="both"/>
        <w:rPr>
          <w:rtl/>
        </w:rPr>
      </w:pPr>
      <w:r>
        <w:rPr>
          <w:rFonts w:hint="cs"/>
          <w:rtl/>
        </w:rPr>
        <w:t>9.</w:t>
      </w:r>
      <w:r>
        <w:rPr>
          <w:rtl/>
        </w:rPr>
        <w:tab/>
      </w:r>
      <w:r>
        <w:rPr>
          <w:rFonts w:hint="cs"/>
          <w:rtl/>
        </w:rPr>
        <w:t>ביום 7.3.18 עדכן שרות המבחן כי פגש בנאשם שמסר כי הוא ניגש לפגישות הטיפוליות באופן קבוע, והוא חש כי הוא נתרם מהתהליך הטיפולי בו שולב. הנאשם ציין כי הוא מעוניין להמשיך בקשר הטיפולי זאת בלא קשר לתוצאות ההליך הפלילי. אף מצד גורמי הטיפול הדיווח היה חיובי מאוד. על אף זאת, ובעיקר משום העובדה כי התהליך הינו בראשיתו, הומלץ על הטלת צו מבחן למשך שנה, במסגרתו ימשיך הנאשם את הטיפול ביחידה להתמכרויות במסגרת שיחות פרטניות, קבוצה טיפולית, ומסירת דגימות לגילוי שרידי סם. הוסף, כי שאלת שילובו במרכז יום תיבחן בהמשך על פי המלצת גורמי הטיפול. עוד הומלץ על הטלת עונש מוחשי ומרתיע בדמות מאסר על דרך עבודות שירות לתקופה קצרה, זאת על רקע התהליך בו הנאשם מצוי, וכן הטלת מאסר על תנאי.</w:t>
      </w:r>
    </w:p>
    <w:p w14:paraId="158688C4" w14:textId="77777777" w:rsidR="00742183" w:rsidRDefault="00742183" w:rsidP="00742183">
      <w:pPr>
        <w:spacing w:line="360" w:lineRule="auto"/>
        <w:ind w:left="720" w:hanging="720"/>
        <w:jc w:val="both"/>
        <w:rPr>
          <w:rtl/>
        </w:rPr>
      </w:pPr>
    </w:p>
    <w:p w14:paraId="65398A43" w14:textId="77777777" w:rsidR="00742183" w:rsidRDefault="00742183" w:rsidP="00742183">
      <w:pPr>
        <w:spacing w:line="360" w:lineRule="auto"/>
        <w:ind w:left="720" w:hanging="720"/>
        <w:jc w:val="both"/>
        <w:rPr>
          <w:rtl/>
        </w:rPr>
      </w:pPr>
      <w:r>
        <w:rPr>
          <w:rFonts w:hint="cs"/>
          <w:rtl/>
        </w:rPr>
        <w:t>10.</w:t>
      </w:r>
      <w:r>
        <w:rPr>
          <w:rtl/>
        </w:rPr>
        <w:tab/>
      </w:r>
      <w:r>
        <w:rPr>
          <w:rFonts w:hint="cs"/>
          <w:rtl/>
        </w:rPr>
        <w:t>ביום 7.6.18 שב שירות המבחן על דיווחו הקודם בדבר אופן השתלבותו החיובי של הנאשם בטיפול, אלא שלצד מגמה זו, צוין כי במהלך שלושת השבועות האחרונים הנאשם פסק מלהגיע למסגרת הטיפולית. משיחה שנערכה עמו מסר הנאשם כי הוא חלה, אך נמנע מלהעביר אישור רפואי. ניסיונות לאתרו לא צלחו ואף לבדיקה לאיתור סם אליה זומן, לא הגיע. שרות המבחן, הדגיש כי אף שקל בחיוב לשנות מהמלצתו הראשונית, להטלת צו של"צ בהיקף נרחב, אלא שבנסיבות אותן תיאר המליץ לדחות הדיון בחודשיים, זאת לצורך בירור נסיבות ניתוק הקשר עם גורמי הטיפול לאחר שהתמיד בו תקופה ממושכת, ולבחון חזרתו להמשך טיפול.</w:t>
      </w:r>
    </w:p>
    <w:p w14:paraId="6B7A1BFB" w14:textId="77777777" w:rsidR="00742183" w:rsidRDefault="00742183" w:rsidP="00742183">
      <w:pPr>
        <w:spacing w:line="360" w:lineRule="auto"/>
        <w:ind w:left="720" w:hanging="720"/>
        <w:jc w:val="both"/>
        <w:rPr>
          <w:rtl/>
        </w:rPr>
      </w:pPr>
      <w:r>
        <w:rPr>
          <w:rFonts w:hint="cs"/>
          <w:rtl/>
        </w:rPr>
        <w:t xml:space="preserve">  </w:t>
      </w:r>
    </w:p>
    <w:p w14:paraId="46905EC0" w14:textId="77777777" w:rsidR="00742183" w:rsidRDefault="00742183" w:rsidP="00742183">
      <w:pPr>
        <w:spacing w:line="360" w:lineRule="auto"/>
        <w:ind w:left="720" w:hanging="720"/>
        <w:jc w:val="both"/>
        <w:rPr>
          <w:rtl/>
        </w:rPr>
      </w:pPr>
      <w:r>
        <w:rPr>
          <w:rFonts w:hint="cs"/>
          <w:rtl/>
        </w:rPr>
        <w:t>11.</w:t>
      </w:r>
      <w:r>
        <w:rPr>
          <w:rtl/>
        </w:rPr>
        <w:tab/>
      </w:r>
      <w:r>
        <w:rPr>
          <w:rFonts w:hint="cs"/>
          <w:rtl/>
        </w:rPr>
        <w:t>ביום 30.8.18 דווח כי לאחר נתק של כשבוע וחצי, ולאחר פניות חוזרות מצד גורמי הטיפול, יצר הנאשם קשר ודיווח כי צרך סמי רחוב. ביום 12.7.18 נערכה וועדה במסגרת היחידה בה טופל במסגרתה סוכם, כי הוא ישוב לטיפול פרטני וימשיך למסור דגימות שתן, ובמידה והן ימצאו נקיות הוא יושב לטיפול מלא. למרות זאת, הנאשם לא הגיע ליחידה משך זמן ממושך, ובבדיקה שנערכה לו ביום 13.8.18 נמצאו שרידי סם. במסגרת שיחות שנערכו עמו גילה הנאשם גישה תוקפנית והתקשה לקחת אחריות על ניתוק הקשר, תוך שהשליך את האחריות לתפקודו על גורמי הטיפול. במסגרת שיחה שנערכה עמו בשרות המבחן ציין הנאשם כי מעד באופן חד פעמי והוא מעוניין לשוב לטיפול, אך מתקשה לשוב לטיפול קבוצתי. לנאשם הוצע, על רקע מצבו הנוכחי, להשתלב בטיפול פרטני לצד טיפול במרכז יום, אך הוא סירב לכך. לדבריו הוא אינו זקוק לטיפול אינטנסיבי ומשמעות הטיפול המוצע, הינה הפסקת עבודתו. נוכח זאת, שרות המבחן המליץ להטיל על הנאשם עונש מוחשי ומרתיע לצד מאסר על תנאי.</w:t>
      </w:r>
    </w:p>
    <w:p w14:paraId="2B8FBB40" w14:textId="77777777" w:rsidR="00742183" w:rsidRDefault="00742183" w:rsidP="00742183">
      <w:pPr>
        <w:spacing w:line="360" w:lineRule="auto"/>
        <w:ind w:left="720" w:hanging="720"/>
        <w:jc w:val="both"/>
        <w:rPr>
          <w:rtl/>
        </w:rPr>
      </w:pPr>
    </w:p>
    <w:p w14:paraId="440F5560" w14:textId="77777777" w:rsidR="00742183" w:rsidRDefault="00742183" w:rsidP="00742183">
      <w:pPr>
        <w:spacing w:line="360" w:lineRule="auto"/>
        <w:ind w:left="720" w:hanging="720"/>
        <w:jc w:val="both"/>
        <w:rPr>
          <w:rtl/>
        </w:rPr>
      </w:pPr>
      <w:r>
        <w:rPr>
          <w:rFonts w:hint="cs"/>
          <w:rtl/>
        </w:rPr>
        <w:t>12.</w:t>
      </w:r>
      <w:r>
        <w:rPr>
          <w:rtl/>
        </w:rPr>
        <w:tab/>
      </w:r>
      <w:r>
        <w:rPr>
          <w:rFonts w:hint="cs"/>
          <w:rtl/>
        </w:rPr>
        <w:t xml:space="preserve">ביום 1.1.19 דיווח שרות המבחן כי ניסיונות שנעשו על ידם ליצור קשר עם הנאשם לא צלחו, אף לא מצד גורמי הטיפול ביחידה להתמכרויות.  </w:t>
      </w:r>
    </w:p>
    <w:p w14:paraId="1B4B1686" w14:textId="77777777" w:rsidR="00742183" w:rsidRDefault="00742183" w:rsidP="00742183">
      <w:pPr>
        <w:spacing w:line="360" w:lineRule="auto"/>
        <w:ind w:left="720" w:hanging="720"/>
        <w:jc w:val="both"/>
        <w:rPr>
          <w:rtl/>
        </w:rPr>
      </w:pPr>
    </w:p>
    <w:p w14:paraId="2AABD392" w14:textId="77777777" w:rsidR="00742183" w:rsidRDefault="00742183" w:rsidP="00742183">
      <w:pPr>
        <w:spacing w:line="360" w:lineRule="auto"/>
        <w:ind w:left="720" w:hanging="720"/>
        <w:jc w:val="both"/>
        <w:rPr>
          <w:rtl/>
        </w:rPr>
      </w:pPr>
      <w:r>
        <w:rPr>
          <w:rFonts w:hint="cs"/>
          <w:rtl/>
        </w:rPr>
        <w:t>13.</w:t>
      </w:r>
      <w:r>
        <w:rPr>
          <w:rtl/>
        </w:rPr>
        <w:tab/>
      </w:r>
      <w:r>
        <w:rPr>
          <w:rFonts w:hint="cs"/>
          <w:rtl/>
        </w:rPr>
        <w:t>ביום 22.1.19 הוגש תסקיר נוסף בהתאם להחלטה שניתנה (מיום 16.1.19), זאת בעקבות פניית הנאשם בכתב לבית המשפט. שרות המבחן דיווח כי פגש בנאשם וזה דיווח כי חלה התדרדרות במצבו הנפשי, ובשל כך פנה לטיפול פסיכיאטר</w:t>
      </w:r>
      <w:r>
        <w:rPr>
          <w:rFonts w:hint="eastAsia"/>
          <w:rtl/>
        </w:rPr>
        <w:t>י</w:t>
      </w:r>
      <w:r>
        <w:rPr>
          <w:rFonts w:hint="cs"/>
          <w:rtl/>
        </w:rPr>
        <w:t>. הנאשם הביע רצון לשוב לטיפול, ועל רקע מצבו הופנה על ידם למכון הירושלמי לתחלואה כפולה. על אף זאת, הנאשם ניתק את הקשר ולא פעל בהתאם לסיכום עמו. שרות המבחן העריך כי הנאשם מצוי בסיכון גבוה להידרדרות, וישנו צורך למפגש נוסף עמו, לצורך בניית תכנית טיפולית מתאימה עבורו. הוצע, שככל והנאשם יביע רצון לכך, יזדקק שרות המבחן לחודש ימים כדי לגבש את התוכנית.</w:t>
      </w:r>
    </w:p>
    <w:p w14:paraId="1CE0470E" w14:textId="77777777" w:rsidR="00742183" w:rsidRDefault="00742183" w:rsidP="00742183">
      <w:pPr>
        <w:spacing w:line="360" w:lineRule="auto"/>
        <w:ind w:left="720" w:hanging="720"/>
        <w:jc w:val="both"/>
        <w:rPr>
          <w:rtl/>
        </w:rPr>
      </w:pPr>
    </w:p>
    <w:p w14:paraId="6312B4B5" w14:textId="77777777" w:rsidR="00742183" w:rsidRDefault="00742183" w:rsidP="00742183">
      <w:pPr>
        <w:spacing w:line="360" w:lineRule="auto"/>
        <w:ind w:left="720" w:hanging="720"/>
        <w:jc w:val="both"/>
        <w:rPr>
          <w:rtl/>
        </w:rPr>
      </w:pPr>
      <w:r>
        <w:rPr>
          <w:rFonts w:hint="cs"/>
          <w:rtl/>
        </w:rPr>
        <w:t>14.</w:t>
      </w:r>
      <w:r>
        <w:rPr>
          <w:rtl/>
        </w:rPr>
        <w:tab/>
      </w:r>
      <w:r>
        <w:rPr>
          <w:rFonts w:hint="cs"/>
          <w:rtl/>
        </w:rPr>
        <w:t>ביום 26.6.19 הוגש תסקיר מבחן מסכם במסגרתו צוין, כי נעשו ניסיונות רבים ליצירת קשר עם הנאשם, אף בסיוע עורך דינו, ורק ביום 19.5.19 שוחח שרות המבחן טלפונית עם הנאשם. במסגרת שיחה זו מסר הנאשם כי הוא אינו יודע מה הוא רוצה, ועל אף שסוכם כי ייצור עמם קשר למחרת לצורך גיבוש עמדה, הנאשם ניתק את הקשר. על אף זאת, ולקראת מועד הגשת התסקיר הצליח שרות המבחן לשוחח פעם נוספת עם הנאשם שתיאר הדרדרות מצדו. הנאשם מסר כי ביקש להתאשפז אך נענה בשלילה. משיחה שערך שרות המבחן עם הפסיכיאט</w:t>
      </w:r>
      <w:r>
        <w:rPr>
          <w:rFonts w:hint="eastAsia"/>
          <w:rtl/>
        </w:rPr>
        <w:t>ר</w:t>
      </w:r>
      <w:r>
        <w:rPr>
          <w:rFonts w:hint="cs"/>
          <w:rtl/>
        </w:rPr>
        <w:t xml:space="preserve"> המטפל בנאשם, התקבל דיווח אודות מצבו הרפואי. שרות המבחן דיווח כי בינתיים נפתח לנאשם תיק נוסף בגין החזקת סם לצריכה עצמית והפרת הוראה חוקית. במכלול הדברים, ולאחר קבלת עמדת הפסיכיאט</w:t>
      </w:r>
      <w:r>
        <w:rPr>
          <w:rFonts w:hint="eastAsia"/>
          <w:rtl/>
        </w:rPr>
        <w:t>ר</w:t>
      </w:r>
      <w:r>
        <w:rPr>
          <w:rFonts w:hint="cs"/>
          <w:rtl/>
        </w:rPr>
        <w:t xml:space="preserve"> המטפל בנאשם, הומלץ לסיים את ההליך במאסר קצר שירוצה על דרך עבודות השירות. בנוסף, חזר בו שרות המבחן מהמלצתו להטלת צו מבחן. </w:t>
      </w:r>
    </w:p>
    <w:p w14:paraId="5FAB6EAD" w14:textId="77777777" w:rsidR="00742183" w:rsidRDefault="00742183" w:rsidP="00742183">
      <w:pPr>
        <w:spacing w:line="360" w:lineRule="auto"/>
        <w:ind w:left="720" w:hanging="720"/>
        <w:jc w:val="both"/>
        <w:rPr>
          <w:rtl/>
        </w:rPr>
      </w:pPr>
    </w:p>
    <w:p w14:paraId="4EC1C467" w14:textId="77777777" w:rsidR="00742183" w:rsidRDefault="00742183" w:rsidP="00742183">
      <w:pPr>
        <w:spacing w:line="360" w:lineRule="auto"/>
        <w:ind w:left="720" w:hanging="720"/>
        <w:jc w:val="both"/>
        <w:rPr>
          <w:rtl/>
        </w:rPr>
      </w:pPr>
      <w:r>
        <w:rPr>
          <w:rFonts w:hint="cs"/>
          <w:rtl/>
        </w:rPr>
        <w:t>15.</w:t>
      </w:r>
      <w:r>
        <w:rPr>
          <w:rFonts w:hint="cs"/>
          <w:rtl/>
        </w:rPr>
        <w:tab/>
        <w:t xml:space="preserve">ביום 8.1.20 הוגש תסקיר עדכון מטעם שירות המבחן. שירות המבחן ציין שהגיע לידיעתו כי חלה הדרדרות חמורה במצבו של הנאשם וכי לאחרונה ביצע 2 ניסיונות אובדניים. הנאשם שיתף את שירות המבחן כי הוא שרוי בדיכאון עמוק, כי הוא מצוי במעקב התחנה לבריאות הנפש במעלה אדומים וכי הוא מתעתד להתחיל באשפוז יום בתחנה. לאור מצב זה שב שירות המבחן מהמלצתו לעונש מאסר שירוצה בעבודות שירות, שכן להתרשמותם הנאשם לא יוכל לשאת בעבודות שירות, נוכח מצבו הנפשי ויכול והדבר אף יוביל להידרדרות נוספת במצבו. עוד ציין שירות המבחן כי אינו בא בהמלצה לצו פיקוח, שכן עפ"י המטפל הפסיכיאטרי של הנאשם </w:t>
      </w:r>
      <w:r>
        <w:rPr>
          <w:rtl/>
        </w:rPr>
        <w:t>–</w:t>
      </w:r>
      <w:r>
        <w:rPr>
          <w:rFonts w:hint="cs"/>
          <w:rtl/>
        </w:rPr>
        <w:t xml:space="preserve"> הקשר עם שירות המבחן מדרדר את מצבו. שירות המבחן ביקש מביהמ"ש לגזור את עונשו של הנאשם בהתחשב במצבו הנפשי.  </w:t>
      </w:r>
    </w:p>
    <w:p w14:paraId="7A989049" w14:textId="77777777" w:rsidR="00742183" w:rsidRDefault="00742183" w:rsidP="00742183">
      <w:pPr>
        <w:spacing w:line="360" w:lineRule="auto"/>
        <w:ind w:left="720" w:hanging="720"/>
        <w:jc w:val="both"/>
        <w:rPr>
          <w:rtl/>
        </w:rPr>
      </w:pPr>
    </w:p>
    <w:p w14:paraId="49E43DCD" w14:textId="77777777" w:rsidR="00742183" w:rsidRDefault="00742183" w:rsidP="00742183">
      <w:pPr>
        <w:spacing w:line="360" w:lineRule="auto"/>
        <w:ind w:left="720" w:hanging="720"/>
        <w:jc w:val="both"/>
        <w:rPr>
          <w:b/>
          <w:bCs/>
          <w:rtl/>
        </w:rPr>
      </w:pPr>
      <w:r w:rsidRPr="008F0ABD">
        <w:rPr>
          <w:rFonts w:hint="cs"/>
          <w:b/>
          <w:bCs/>
          <w:rtl/>
        </w:rPr>
        <w:t xml:space="preserve">תמצית טיעוני הצדדים:  </w:t>
      </w:r>
    </w:p>
    <w:p w14:paraId="5423AFEC" w14:textId="77777777" w:rsidR="00742183" w:rsidRPr="008F0ABD" w:rsidRDefault="00742183" w:rsidP="00742183">
      <w:pPr>
        <w:spacing w:line="360" w:lineRule="auto"/>
        <w:ind w:left="720" w:hanging="720"/>
        <w:jc w:val="both"/>
        <w:rPr>
          <w:b/>
          <w:bCs/>
          <w:rtl/>
        </w:rPr>
      </w:pPr>
      <w:r w:rsidRPr="008F0ABD">
        <w:rPr>
          <w:rFonts w:hint="cs"/>
          <w:b/>
          <w:bCs/>
          <w:rtl/>
        </w:rPr>
        <w:t xml:space="preserve">      </w:t>
      </w:r>
    </w:p>
    <w:p w14:paraId="7820D164" w14:textId="77777777" w:rsidR="00742183" w:rsidRDefault="00742183" w:rsidP="00742183">
      <w:pPr>
        <w:spacing w:line="360" w:lineRule="auto"/>
        <w:ind w:left="720" w:hanging="720"/>
        <w:jc w:val="both"/>
        <w:rPr>
          <w:rtl/>
        </w:rPr>
      </w:pPr>
      <w:r>
        <w:rPr>
          <w:rFonts w:hint="cs"/>
          <w:rtl/>
        </w:rPr>
        <w:t>16.</w:t>
      </w:r>
      <w:r>
        <w:rPr>
          <w:rFonts w:hint="cs"/>
          <w:rtl/>
        </w:rPr>
        <w:tab/>
        <w:t>ביום 11.10.18 נשמעה פרשת העונש במסגרתה הפנתה המאשימה לעובדות כתב האישום, שיש בהן כדי להצביע על תחכום, עת הנאשם עושה שימוש באפליקציי</w:t>
      </w:r>
      <w:r>
        <w:rPr>
          <w:rFonts w:hint="eastAsia"/>
          <w:rtl/>
        </w:rPr>
        <w:t>ת</w:t>
      </w:r>
      <w:r>
        <w:rPr>
          <w:rFonts w:hint="cs"/>
          <w:rtl/>
        </w:rPr>
        <w:t xml:space="preserve"> הטלגרם ויוזם שיחות לצורך ביצוע העבירה, זאת עבור בצע כסף. הוסף, כי בכך פגע הנאשם בצורך החברתי למיגור נגע הסמים ופגיעה בציבור. עוד צוין, כי הנאשם הינו כבן 25 נעדר עבר פלילי, וכן הובאה התייחסות לשלושת התסקירים הראשונים שהוגשו, והמלצתם להטלת עונש מוחשי ומרתיע לצד מאסר על תנאי. באשר למתחם הענישה צוין כי ביחס לאישום הראשון הוא מתחיל ממאסר למשך 12 חודשים ועד 24 חודשי מאסר. נוכח זאת ביקשה המאשימה להטיל על הנאשם 12 חודשי מאסר, מאסר על תנאי קנס והתחייבות.</w:t>
      </w:r>
    </w:p>
    <w:p w14:paraId="1E0DCF4F" w14:textId="77777777" w:rsidR="00742183" w:rsidRDefault="00742183" w:rsidP="00742183">
      <w:pPr>
        <w:spacing w:line="360" w:lineRule="auto"/>
        <w:ind w:left="720" w:hanging="720"/>
        <w:jc w:val="both"/>
        <w:rPr>
          <w:rtl/>
        </w:rPr>
      </w:pPr>
    </w:p>
    <w:p w14:paraId="12D6C56C" w14:textId="77777777" w:rsidR="00742183" w:rsidRDefault="00742183" w:rsidP="00742183">
      <w:pPr>
        <w:spacing w:line="360" w:lineRule="auto"/>
        <w:ind w:left="720" w:hanging="720"/>
        <w:jc w:val="both"/>
        <w:rPr>
          <w:rtl/>
        </w:rPr>
      </w:pPr>
      <w:r>
        <w:rPr>
          <w:rFonts w:hint="cs"/>
          <w:rtl/>
        </w:rPr>
        <w:t>17.</w:t>
      </w:r>
      <w:r>
        <w:rPr>
          <w:rtl/>
        </w:rPr>
        <w:tab/>
      </w:r>
      <w:r>
        <w:rPr>
          <w:rFonts w:hint="cs"/>
          <w:rtl/>
        </w:rPr>
        <w:t xml:space="preserve">במסגרת טיעוני ההגנה נשמעו מלבד הנאשם גם דודו מר יצחק עמיאל ואמו של הנאשם. בעדותו תיאר הדוד את הקשר החם בינו לבין הנאשם, ואת הקשיים עמם התמודד הנאשם כתוצאה מהמשבר הזוגי של הוריו, וגירושיהם. עוד הוסיף, כי נעשה מאמץ גדול מצדו לשלב את הנאשם במסגרת תעסוקה וכיום הוא הכיר בת זוג ובכוונתו להינשא לה. בנסיבות אלו ביקש להקל עם הנאשם. אמו של הנאשם ציינה כי התהליך אותו עבר הנאשם היה חיובי עבורו, וכיום ובעקבות הטיפול -הקשר עמה הינו קרוב ויש לחזקו. </w:t>
      </w:r>
    </w:p>
    <w:p w14:paraId="54606ACB" w14:textId="77777777" w:rsidR="00742183" w:rsidRDefault="00742183" w:rsidP="00742183">
      <w:pPr>
        <w:spacing w:line="360" w:lineRule="auto"/>
        <w:ind w:left="720" w:hanging="720"/>
        <w:jc w:val="both"/>
        <w:rPr>
          <w:rtl/>
        </w:rPr>
      </w:pPr>
    </w:p>
    <w:p w14:paraId="11EDCE2F" w14:textId="77777777" w:rsidR="00742183" w:rsidRDefault="00742183" w:rsidP="00742183">
      <w:pPr>
        <w:spacing w:line="360" w:lineRule="auto"/>
        <w:ind w:left="720" w:hanging="720"/>
        <w:jc w:val="both"/>
        <w:rPr>
          <w:rtl/>
        </w:rPr>
      </w:pPr>
      <w:r>
        <w:rPr>
          <w:rFonts w:hint="cs"/>
          <w:rtl/>
        </w:rPr>
        <w:t>18.</w:t>
      </w:r>
      <w:r>
        <w:rPr>
          <w:rtl/>
        </w:rPr>
        <w:tab/>
      </w:r>
      <w:r>
        <w:rPr>
          <w:rFonts w:hint="cs"/>
          <w:rtl/>
        </w:rPr>
        <w:t>ביום 12.8.19 נשמעה השלמת טעון. במסגרת זו שבה המאשימה על עמדתה להטלת עונש מאסר למשך 12 חודשים לצד עונשים נלווים. המאשימה ציינה כי בינתיים צירף הנאשם תיק נוסף הכולל עבירות של הפרת הוראה חוקית והחזקת סם לצריכה עצמית. נוסף לכך, התסקירים המשלימים שהוגשו בעניינו, מצביעים על העדר שיתוף פעולה עם התהליך הטיפולי החל מחודש ינואר 2019, כאשר כל ניסיונות שרות המבחן לרתום את הנאשם חזרה לתהליך הטיפולי כשלו.</w:t>
      </w:r>
    </w:p>
    <w:p w14:paraId="6B0B8BC8" w14:textId="77777777" w:rsidR="00742183" w:rsidRDefault="00742183" w:rsidP="00742183">
      <w:pPr>
        <w:spacing w:line="360" w:lineRule="auto"/>
        <w:ind w:left="720" w:hanging="720"/>
        <w:jc w:val="both"/>
        <w:rPr>
          <w:rtl/>
        </w:rPr>
      </w:pPr>
    </w:p>
    <w:p w14:paraId="34FE6607" w14:textId="77777777" w:rsidR="00742183" w:rsidRDefault="00742183" w:rsidP="00742183">
      <w:pPr>
        <w:spacing w:line="360" w:lineRule="auto"/>
        <w:ind w:left="720" w:hanging="720"/>
        <w:jc w:val="both"/>
        <w:rPr>
          <w:rtl/>
        </w:rPr>
      </w:pPr>
      <w:r>
        <w:rPr>
          <w:rFonts w:hint="cs"/>
          <w:rtl/>
        </w:rPr>
        <w:t>19.</w:t>
      </w:r>
      <w:r>
        <w:rPr>
          <w:rFonts w:hint="cs"/>
          <w:rtl/>
        </w:rPr>
        <w:tab/>
        <w:t xml:space="preserve">ההגנה ביקשה להביט על התהליך הטיפולי בכללותו, וכן לתת משקל למשך התקופה הטיפולית בה נטל הנאשם חלק (כשנתיים וחצי), כאשר המעידה "מופיעה" בסופו של תהליך. בנוסף הפנתה ההגנה לחלוף הזמן מעת האירוע, וכן העובדה שהתיק שצורף, קשור קשר ישיר לתיק זה, ואף העבירה אותה ביצע הנאשם, זאת מבלי להקל בה ראש, בוצעה לאחר תקופה ארוכה בה הקפיד הנאשם בתנאי המעצר שנקבעו לו. </w:t>
      </w:r>
    </w:p>
    <w:p w14:paraId="1E9CE373" w14:textId="77777777" w:rsidR="00742183" w:rsidRDefault="00742183" w:rsidP="00742183">
      <w:pPr>
        <w:spacing w:line="360" w:lineRule="auto"/>
        <w:ind w:left="720" w:hanging="720"/>
        <w:jc w:val="both"/>
        <w:rPr>
          <w:rtl/>
        </w:rPr>
      </w:pPr>
      <w:r>
        <w:rPr>
          <w:rtl/>
        </w:rPr>
        <w:tab/>
      </w:r>
      <w:r>
        <w:rPr>
          <w:rFonts w:hint="cs"/>
          <w:rtl/>
        </w:rPr>
        <w:t>בהתייחס לתסקיר הפנה הסנגור לרקע להידרדרות, ולעמדת שרות המבחן לאחר השיחה אותה ערכו עם הפסיכיאט</w:t>
      </w:r>
      <w:r>
        <w:rPr>
          <w:rFonts w:hint="eastAsia"/>
          <w:rtl/>
        </w:rPr>
        <w:t>ר</w:t>
      </w:r>
      <w:r>
        <w:rPr>
          <w:rFonts w:hint="cs"/>
          <w:rtl/>
        </w:rPr>
        <w:t xml:space="preserve"> המטפל בנאשם. נוכח זאת, עתר הסנגור לאמץ את עמדת שרות המבחן, וככל הניתן להביא בחשבון את העובדה כי הנאשם מועסק כיום באופן קבוע, את מצבו הנפשי והעובדה כי הוא שהה בתנאים מגבילים משך תקופה ארוכה. </w:t>
      </w:r>
    </w:p>
    <w:p w14:paraId="03CE8281" w14:textId="77777777" w:rsidR="00742183" w:rsidRDefault="00742183" w:rsidP="00742183">
      <w:pPr>
        <w:spacing w:line="360" w:lineRule="auto"/>
        <w:ind w:left="720" w:hanging="720"/>
        <w:jc w:val="both"/>
        <w:rPr>
          <w:rtl/>
        </w:rPr>
      </w:pPr>
      <w:r>
        <w:rPr>
          <w:rFonts w:hint="cs"/>
          <w:rtl/>
        </w:rPr>
        <w:t xml:space="preserve"> </w:t>
      </w:r>
    </w:p>
    <w:p w14:paraId="24714C88" w14:textId="77777777" w:rsidR="00742183" w:rsidRDefault="00742183" w:rsidP="00742183">
      <w:pPr>
        <w:spacing w:line="360" w:lineRule="auto"/>
        <w:ind w:left="720" w:hanging="720"/>
        <w:jc w:val="both"/>
        <w:rPr>
          <w:rtl/>
        </w:rPr>
      </w:pPr>
      <w:r>
        <w:rPr>
          <w:rFonts w:hint="cs"/>
          <w:rtl/>
        </w:rPr>
        <w:t>20.</w:t>
      </w:r>
      <w:r>
        <w:rPr>
          <w:rtl/>
        </w:rPr>
        <w:tab/>
      </w:r>
      <w:r>
        <w:rPr>
          <w:rFonts w:hint="cs"/>
          <w:rtl/>
        </w:rPr>
        <w:t xml:space="preserve">הנאשם בסיום נטל אחריות על מעשיו והביע צער על ביצוען של העבירות. את השנתיים האחרונות הגדיר "סיוט" וביקש ליתן לו הזדמנות לחזור למסלול חיים תקין.     </w:t>
      </w:r>
    </w:p>
    <w:p w14:paraId="2991C3B1" w14:textId="77777777" w:rsidR="00742183" w:rsidRDefault="00742183" w:rsidP="00742183">
      <w:pPr>
        <w:spacing w:line="360" w:lineRule="auto"/>
        <w:ind w:left="720" w:hanging="720"/>
        <w:jc w:val="both"/>
        <w:rPr>
          <w:rtl/>
        </w:rPr>
      </w:pPr>
    </w:p>
    <w:p w14:paraId="580D1F50" w14:textId="77777777" w:rsidR="00742183" w:rsidRDefault="00742183" w:rsidP="00742183">
      <w:pPr>
        <w:pStyle w:val="a9"/>
        <w:numPr>
          <w:ilvl w:val="0"/>
          <w:numId w:val="1"/>
        </w:numPr>
        <w:spacing w:after="300" w:line="360" w:lineRule="auto"/>
        <w:ind w:hanging="720"/>
        <w:contextualSpacing w:val="0"/>
        <w:jc w:val="both"/>
      </w:pPr>
      <w:r>
        <w:rPr>
          <w:rFonts w:hint="cs"/>
          <w:rtl/>
        </w:rPr>
        <w:t xml:space="preserve">ביום 24.9.20 התקיים דיון נוסף בו השלימו הצדדים את הטעון לעונש, נוכח ההתפתחויות שהתרחשו (צירוף אישום נוסף וההידרדרות נפשית במצבו של הנאשם). בדיון עדכן הסנגור שהנאשם החל להשתתף בתכנית שיקומית של הביטוח הלאומי והציג אישור מרופאו לכך שהוא נוטל תרופות פסיכיאטריות. הסנגור ציין שחרף עמדת שירות המבחן </w:t>
      </w:r>
      <w:r>
        <w:rPr>
          <w:rtl/>
        </w:rPr>
        <w:t>–</w:t>
      </w:r>
      <w:r>
        <w:rPr>
          <w:rFonts w:hint="cs"/>
          <w:rtl/>
        </w:rPr>
        <w:t xml:space="preserve"> הוא סבור שהנאשם מסוגל לבצע צו של"צ, ככל ועונש זה יוטל עליו. הסנגור הוסיף שחלפה למעלה משנה וחודשיים מאז העבירה האחרונה בה הורשע הנאשם, ויש בכך כדי להעיד על השינוי שהוא עובר.</w:t>
      </w:r>
    </w:p>
    <w:p w14:paraId="0A771AE1" w14:textId="77777777" w:rsidR="00742183" w:rsidRDefault="00742183" w:rsidP="00742183">
      <w:pPr>
        <w:pStyle w:val="a9"/>
        <w:numPr>
          <w:ilvl w:val="0"/>
          <w:numId w:val="1"/>
        </w:numPr>
        <w:spacing w:after="300" w:line="360" w:lineRule="auto"/>
        <w:ind w:hanging="720"/>
        <w:contextualSpacing w:val="0"/>
        <w:jc w:val="both"/>
      </w:pPr>
      <w:r>
        <w:rPr>
          <w:rFonts w:hint="cs"/>
          <w:rtl/>
        </w:rPr>
        <w:t xml:space="preserve">המאשימה ציינה שלא מצאה כי חל שינוי שיצדיק שינוי מעמדתה. הנאשם לא הראה מוטיבציה לשיקום, הוא אינו מסוגל לבצע עבודות שירות נוכח מצבו הנפשי, ובינתיים צורף אישום נוסף בגין עבירת סמים. לפיכך העונש שביקשה להטיל על הנאשם בעבר הולם את העבירות בהן הואשם. </w:t>
      </w:r>
    </w:p>
    <w:p w14:paraId="164EE2E9" w14:textId="77777777" w:rsidR="00742183" w:rsidRDefault="00742183" w:rsidP="00742183">
      <w:pPr>
        <w:pStyle w:val="a9"/>
        <w:numPr>
          <w:ilvl w:val="0"/>
          <w:numId w:val="1"/>
        </w:numPr>
        <w:spacing w:after="300" w:line="360" w:lineRule="auto"/>
        <w:ind w:hanging="720"/>
        <w:contextualSpacing w:val="0"/>
        <w:jc w:val="both"/>
      </w:pPr>
      <w:r>
        <w:rPr>
          <w:rFonts w:hint="cs"/>
          <w:rtl/>
        </w:rPr>
        <w:t xml:space="preserve">הנאשם בדבריו ציין כי בניגוד לטענות המאשימה, מזה כשנה הוא מצוי בהליך שיקומי בביטוח הלאומי אשר לטענתו, משנה חיים עבורו. הנאשם מסר שכיום, בהיותו כבן 28, הוא משלים בגרויות ולאחר מכן הוא מתכוון למצוא עבודה ולהשלים לימודי תואר אקדמי. </w:t>
      </w:r>
    </w:p>
    <w:p w14:paraId="6B63CED2" w14:textId="77777777" w:rsidR="00742183" w:rsidRDefault="00742183" w:rsidP="00742183">
      <w:pPr>
        <w:pStyle w:val="a9"/>
        <w:numPr>
          <w:ilvl w:val="0"/>
          <w:numId w:val="1"/>
        </w:numPr>
        <w:spacing w:after="300" w:line="360" w:lineRule="auto"/>
        <w:ind w:hanging="720"/>
        <w:contextualSpacing w:val="0"/>
        <w:jc w:val="both"/>
      </w:pPr>
      <w:r>
        <w:rPr>
          <w:rFonts w:hint="cs"/>
          <w:rtl/>
        </w:rPr>
        <w:t xml:space="preserve">אמו של הנאשם ביקשה גם היא להקל בעונשו של הנאשם. לדבריה, הנאשם גר בביתה והוא עובר הליך שיקום משמעותי בו היא מעורבת. הנאשם היה במשבר נפשי קשה עקב הליכי הוצל"פ שנפתחו כנגדו. לדרישתה הנאשם החל לקבל טיפול פסיכיאטרי והוא החל לפתח מוטיבציה לשיקום חייו. האם ציינה שהיא אם חד הורית וכי מצבו של הנאשם פגע אנושות בניהול חיי המשפחה התקינים, וכי הטלת עונש מאסר על הנאשם יוביל לפגיעה של ממש בהתקדמותו.  </w:t>
      </w:r>
    </w:p>
    <w:p w14:paraId="6F0247BF" w14:textId="77777777" w:rsidR="00742183" w:rsidRPr="004D02C2" w:rsidRDefault="00742183" w:rsidP="00742183">
      <w:pPr>
        <w:pStyle w:val="a9"/>
        <w:numPr>
          <w:ilvl w:val="0"/>
          <w:numId w:val="1"/>
        </w:numPr>
        <w:spacing w:after="300" w:line="360" w:lineRule="auto"/>
        <w:ind w:hanging="720"/>
        <w:contextualSpacing w:val="0"/>
        <w:jc w:val="both"/>
        <w:rPr>
          <w:b/>
          <w:bCs/>
          <w:rtl/>
        </w:rPr>
      </w:pPr>
      <w:r>
        <w:rPr>
          <w:rFonts w:hint="cs"/>
          <w:rtl/>
        </w:rPr>
        <w:t xml:space="preserve">בתום ההליך שלחה בת זוגו של הנאשם מכתב לעיון בית המשפט בו ביקשה לציין לטובה את טוב לבו של הנאשם, את ניסיונות השיקום שהוא עושה וציינה כי בכוונת בני הזוג להינשא בקרוב. </w:t>
      </w:r>
    </w:p>
    <w:p w14:paraId="45875529" w14:textId="77777777" w:rsidR="00742183" w:rsidRDefault="00742183" w:rsidP="00742183">
      <w:pPr>
        <w:spacing w:after="300" w:line="360" w:lineRule="auto"/>
        <w:jc w:val="both"/>
        <w:rPr>
          <w:b/>
          <w:bCs/>
          <w:rtl/>
        </w:rPr>
      </w:pPr>
    </w:p>
    <w:p w14:paraId="73DAD996" w14:textId="77777777" w:rsidR="00742183" w:rsidRPr="00EA3E6F" w:rsidRDefault="00742183" w:rsidP="00742183">
      <w:pPr>
        <w:spacing w:after="300" w:line="360" w:lineRule="auto"/>
        <w:jc w:val="both"/>
        <w:rPr>
          <w:b/>
          <w:bCs/>
        </w:rPr>
      </w:pPr>
      <w:r w:rsidRPr="00EA3E6F">
        <w:rPr>
          <w:rFonts w:hint="cs"/>
          <w:b/>
          <w:bCs/>
          <w:rtl/>
        </w:rPr>
        <w:t>דיון והכרעה</w:t>
      </w:r>
      <w:r>
        <w:rPr>
          <w:rFonts w:hint="cs"/>
          <w:b/>
          <w:bCs/>
          <w:rtl/>
        </w:rPr>
        <w:t>:</w:t>
      </w:r>
    </w:p>
    <w:p w14:paraId="2DDA4B93" w14:textId="77777777" w:rsidR="00742183" w:rsidRDefault="00742183" w:rsidP="00742183">
      <w:pPr>
        <w:pStyle w:val="a9"/>
        <w:numPr>
          <w:ilvl w:val="0"/>
          <w:numId w:val="1"/>
        </w:numPr>
        <w:spacing w:after="300" w:line="360" w:lineRule="auto"/>
        <w:ind w:hanging="720"/>
        <w:contextualSpacing w:val="0"/>
        <w:jc w:val="both"/>
      </w:pPr>
      <w:r>
        <w:rPr>
          <w:rFonts w:hint="cs"/>
          <w:rtl/>
        </w:rPr>
        <w:t xml:space="preserve">כאמור, הנאשם הורשע ב-3 עבירות של סחר בסם מסוכן, 2 עבירות של החזקת סמים לשימושו העצמי ועבירה של הפרת הוראה חוקית. </w:t>
      </w:r>
    </w:p>
    <w:p w14:paraId="2A921873"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 xml:space="preserve">בסעיף </w:t>
      </w:r>
      <w:hyperlink r:id="rId25" w:history="1">
        <w:r w:rsidR="00CD5A72" w:rsidRPr="00CD5A72">
          <w:rPr>
            <w:rStyle w:val="Hyperlink"/>
            <w:rFonts w:ascii="David" w:hAnsi="David"/>
            <w:rtl/>
          </w:rPr>
          <w:t>40 ב'</w:t>
        </w:r>
      </w:hyperlink>
      <w:r w:rsidRPr="004B4A79">
        <w:rPr>
          <w:rFonts w:ascii="David" w:hAnsi="David"/>
          <w:rtl/>
        </w:rPr>
        <w:t xml:space="preserve"> ל</w:t>
      </w:r>
      <w:hyperlink r:id="rId26" w:history="1">
        <w:r w:rsidR="00880C44" w:rsidRPr="00880C44">
          <w:rPr>
            <w:rFonts w:ascii="David" w:hAnsi="David"/>
            <w:color w:val="0000FF"/>
            <w:u w:val="single"/>
            <w:rtl/>
          </w:rPr>
          <w:t>חוק העונשין</w:t>
        </w:r>
      </w:hyperlink>
      <w:r w:rsidRPr="004B4A79">
        <w:rPr>
          <w:rFonts w:ascii="David" w:hAnsi="David"/>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41C0C9A5"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בעת קציבת עונשו של הנאשם יש לדון תחילה בשאלה האם העבירות בהן הורשע הנאשם נפרדות, או שמא היוו אירוע עברייני אחד (</w:t>
      </w:r>
      <w:hyperlink r:id="rId27" w:history="1">
        <w:r w:rsidR="00CD5A72" w:rsidRPr="00CD5A72">
          <w:rPr>
            <w:rStyle w:val="Hyperlink"/>
            <w:rFonts w:ascii="David" w:hAnsi="David"/>
            <w:rtl/>
          </w:rPr>
          <w:t>סעיף 40יג</w:t>
        </w:r>
      </w:hyperlink>
      <w:r w:rsidRPr="004B4A79">
        <w:rPr>
          <w:rFonts w:ascii="David" w:hAnsi="David"/>
          <w:rtl/>
        </w:rPr>
        <w:t xml:space="preserve"> ל</w:t>
      </w:r>
      <w:hyperlink r:id="rId28" w:history="1">
        <w:r w:rsidR="00880C44" w:rsidRPr="00880C44">
          <w:rPr>
            <w:rFonts w:ascii="David" w:hAnsi="David"/>
            <w:color w:val="0000FF"/>
            <w:u w:val="single"/>
            <w:rtl/>
          </w:rPr>
          <w:t>חוק העונשין</w:t>
        </w:r>
      </w:hyperlink>
      <w:r w:rsidRPr="004B4A79">
        <w:rPr>
          <w:rFonts w:ascii="David" w:hAnsi="David"/>
          <w:rtl/>
        </w:rPr>
        <w:t>). בפסיקה נדונה בהרחבה סוגיית ריבוי העבירות. בפסק דינו של כב' השופט סולברג ב</w:t>
      </w:r>
      <w:hyperlink r:id="rId29" w:history="1">
        <w:r w:rsidR="00880C44" w:rsidRPr="00880C44">
          <w:rPr>
            <w:rFonts w:ascii="David" w:hAnsi="David"/>
            <w:color w:val="0000FF"/>
            <w:u w:val="single"/>
            <w:rtl/>
          </w:rPr>
          <w:t>ע"פ 1261/15</w:t>
        </w:r>
      </w:hyperlink>
      <w:r w:rsidRPr="004B4A79">
        <w:rPr>
          <w:rFonts w:ascii="David" w:hAnsi="David"/>
          <w:rtl/>
        </w:rPr>
        <w:t xml:space="preserve"> </w:t>
      </w:r>
      <w:r w:rsidRPr="004B4A79">
        <w:rPr>
          <w:rFonts w:ascii="David" w:hAnsi="David"/>
          <w:b/>
          <w:bCs/>
          <w:rtl/>
        </w:rPr>
        <w:t>מדינת ישראל נ' יוסף דלאל</w:t>
      </w:r>
      <w:r w:rsidRPr="004B4A79">
        <w:rPr>
          <w:rFonts w:ascii="David" w:hAnsi="David"/>
          <w:rtl/>
        </w:rPr>
        <w:t xml:space="preserve"> (3.9.15) נקבע כי עבירות שלהן קשר ענייני הדוק, ואשר ניתן להשקיף עליהן כמסכת עבריינית אחת, ייחשבו לאירוע אחד. עוד הועלו מבחני עזר לבחינת הקשר ההדוק, ובהם, בין היתר, ניתן לבחון: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ועוד. </w:t>
      </w:r>
    </w:p>
    <w:p w14:paraId="1C049EED"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במקרה שלפני אקבע מתחם ענישה אחד לעבירות הסחר, שכן המדובר בעבירות מאותו סוג, שנעברו במועד</w:t>
      </w:r>
      <w:r>
        <w:rPr>
          <w:rFonts w:ascii="David" w:hAnsi="David" w:hint="cs"/>
          <w:rtl/>
        </w:rPr>
        <w:t xml:space="preserve"> אחד ובאמצעות אותו אמצעי</w:t>
      </w:r>
      <w:r w:rsidRPr="004B4A79">
        <w:rPr>
          <w:rFonts w:ascii="David" w:hAnsi="David"/>
          <w:rtl/>
        </w:rPr>
        <w:t xml:space="preserve"> (אפליקציית טלגר</w:t>
      </w:r>
      <w:r>
        <w:rPr>
          <w:rFonts w:ascii="David" w:hAnsi="David" w:hint="cs"/>
          <w:rtl/>
        </w:rPr>
        <w:t>ם</w:t>
      </w:r>
      <w:r w:rsidRPr="004B4A79">
        <w:rPr>
          <w:rFonts w:ascii="David" w:hAnsi="David"/>
          <w:rtl/>
        </w:rPr>
        <w:t xml:space="preserve">). כך גם ביחס ל-2 עבירות ההחזקה לשימוש עצמי, אשר חרף העובדה שאירעו במועדים שונים, דומות במהותן ומיהותן. מתחם נפרד ייקבע גם </w:t>
      </w:r>
      <w:r>
        <w:rPr>
          <w:rFonts w:ascii="David" w:hAnsi="David" w:hint="cs"/>
          <w:rtl/>
        </w:rPr>
        <w:t xml:space="preserve">ביחס </w:t>
      </w:r>
      <w:r w:rsidRPr="004B4A79">
        <w:rPr>
          <w:rFonts w:ascii="David" w:hAnsi="David"/>
          <w:rtl/>
        </w:rPr>
        <w:t xml:space="preserve">לעבירת הפרת ההוראה החוקית. </w:t>
      </w:r>
    </w:p>
    <w:p w14:paraId="7851B7B8" w14:textId="77777777" w:rsidR="00742183" w:rsidRPr="006250C7" w:rsidRDefault="00742183" w:rsidP="00742183">
      <w:pPr>
        <w:spacing w:after="300" w:line="360" w:lineRule="auto"/>
        <w:ind w:left="141"/>
        <w:jc w:val="both"/>
        <w:rPr>
          <w:rFonts w:ascii="David" w:hAnsi="David"/>
          <w:b/>
          <w:bCs/>
          <w:rtl/>
        </w:rPr>
      </w:pPr>
      <w:r w:rsidRPr="006250C7">
        <w:rPr>
          <w:rFonts w:ascii="David" w:hAnsi="David"/>
          <w:b/>
          <w:bCs/>
          <w:rtl/>
        </w:rPr>
        <w:t>מתחם הע</w:t>
      </w:r>
      <w:r>
        <w:rPr>
          <w:rFonts w:ascii="David" w:hAnsi="David" w:hint="cs"/>
          <w:b/>
          <w:bCs/>
          <w:rtl/>
        </w:rPr>
        <w:t xml:space="preserve">ונש </w:t>
      </w:r>
      <w:r w:rsidRPr="006250C7">
        <w:rPr>
          <w:rFonts w:ascii="David" w:hAnsi="David"/>
          <w:b/>
          <w:bCs/>
          <w:rtl/>
        </w:rPr>
        <w:t>ההולם</w:t>
      </w:r>
      <w:r>
        <w:rPr>
          <w:rFonts w:ascii="David" w:hAnsi="David" w:hint="cs"/>
          <w:b/>
          <w:bCs/>
          <w:rtl/>
        </w:rPr>
        <w:t>:</w:t>
      </w:r>
      <w:r w:rsidRPr="006250C7">
        <w:rPr>
          <w:rFonts w:ascii="David" w:hAnsi="David"/>
          <w:b/>
          <w:bCs/>
          <w:rtl/>
        </w:rPr>
        <w:t xml:space="preserve"> </w:t>
      </w:r>
    </w:p>
    <w:p w14:paraId="720214F0"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 xml:space="preserve">עבירות </w:t>
      </w:r>
      <w:r>
        <w:rPr>
          <w:rFonts w:ascii="David" w:hAnsi="David" w:hint="cs"/>
          <w:rtl/>
        </w:rPr>
        <w:t xml:space="preserve">של </w:t>
      </w:r>
      <w:r w:rsidRPr="004B4A79">
        <w:rPr>
          <w:rFonts w:ascii="David" w:hAnsi="David"/>
          <w:rtl/>
        </w:rPr>
        <w:t>סחר ושימוש בס</w:t>
      </w:r>
      <w:r>
        <w:rPr>
          <w:rFonts w:ascii="David" w:hAnsi="David" w:hint="cs"/>
          <w:rtl/>
        </w:rPr>
        <w:t xml:space="preserve">ם מסוכן </w:t>
      </w:r>
      <w:r w:rsidRPr="004B4A79">
        <w:rPr>
          <w:rFonts w:ascii="David" w:hAnsi="David"/>
          <w:rtl/>
        </w:rPr>
        <w:t>חומרת</w:t>
      </w:r>
      <w:r>
        <w:rPr>
          <w:rFonts w:ascii="David" w:hAnsi="David" w:hint="cs"/>
          <w:rtl/>
        </w:rPr>
        <w:t>ן</w:t>
      </w:r>
      <w:r w:rsidRPr="004B4A79">
        <w:rPr>
          <w:rFonts w:ascii="David" w:hAnsi="David"/>
          <w:rtl/>
        </w:rPr>
        <w:t xml:space="preserve"> רבה, והן פוגעות בערכים המוגנים של הגנה על שלום הציבור וביטחונו מפני הנזקים החמורים הנגרמים כתוצאה משימוש והפצה של סמים.</w:t>
      </w:r>
    </w:p>
    <w:p w14:paraId="54EA2835" w14:textId="77777777" w:rsidR="00742183" w:rsidRPr="00742183" w:rsidRDefault="00742183" w:rsidP="00742183">
      <w:pPr>
        <w:spacing w:after="300" w:line="360" w:lineRule="auto"/>
        <w:ind w:left="720"/>
        <w:jc w:val="both"/>
        <w:rPr>
          <w:rFonts w:cs="Times New Roman"/>
          <w:rtl/>
        </w:rPr>
      </w:pPr>
      <w:r w:rsidRPr="004B4A79">
        <w:rPr>
          <w:rFonts w:ascii="David" w:hAnsi="David"/>
          <w:rtl/>
        </w:rPr>
        <w:t>ב</w:t>
      </w:r>
      <w:hyperlink r:id="rId30" w:history="1">
        <w:r w:rsidR="00880C44" w:rsidRPr="00880C44">
          <w:rPr>
            <w:rFonts w:ascii="David" w:hAnsi="David"/>
            <w:color w:val="0000FF"/>
            <w:u w:val="single"/>
            <w:rtl/>
          </w:rPr>
          <w:t>ע"פ 6029/03</w:t>
        </w:r>
      </w:hyperlink>
      <w:r w:rsidRPr="004B4A79">
        <w:rPr>
          <w:rFonts w:ascii="David" w:hAnsi="David"/>
          <w:rtl/>
        </w:rPr>
        <w:t xml:space="preserve"> </w:t>
      </w:r>
      <w:r w:rsidRPr="004B4A79">
        <w:rPr>
          <w:rFonts w:ascii="David" w:hAnsi="David"/>
          <w:b/>
          <w:bCs/>
          <w:rtl/>
        </w:rPr>
        <w:t>מדינת ישראל נ' גולן שמאי</w:t>
      </w:r>
      <w:r w:rsidRPr="004B4A79">
        <w:rPr>
          <w:rFonts w:ascii="David" w:hAnsi="David"/>
          <w:rtl/>
        </w:rPr>
        <w:t xml:space="preserve"> (9.2.04) קבע בית המשפט העליון כי: "</w:t>
      </w:r>
      <w:r w:rsidRPr="00742183">
        <w:rPr>
          <w:rFonts w:cs="Times New Roman"/>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36155E2F"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 xml:space="preserve">לרוב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31" w:history="1">
        <w:r w:rsidR="00880C44" w:rsidRPr="00880C44">
          <w:rPr>
            <w:rFonts w:ascii="David" w:hAnsi="David"/>
            <w:color w:val="0000FF"/>
            <w:u w:val="single"/>
            <w:rtl/>
          </w:rPr>
          <w:t>ע"פ 9482/09</w:t>
        </w:r>
      </w:hyperlink>
      <w:r w:rsidRPr="004B4A79">
        <w:rPr>
          <w:rFonts w:ascii="David" w:hAnsi="David"/>
          <w:rtl/>
        </w:rPr>
        <w:t xml:space="preserve"> </w:t>
      </w:r>
      <w:r w:rsidRPr="004B4A79">
        <w:rPr>
          <w:rFonts w:ascii="David" w:hAnsi="David"/>
          <w:b/>
          <w:bCs/>
          <w:rtl/>
        </w:rPr>
        <w:t>ביטון נ' מדינת ישראל</w:t>
      </w:r>
      <w:r w:rsidRPr="004B4A79">
        <w:rPr>
          <w:rFonts w:ascii="David" w:hAnsi="David"/>
          <w:rtl/>
        </w:rPr>
        <w:t xml:space="preserve"> (24.7.11).</w:t>
      </w:r>
    </w:p>
    <w:p w14:paraId="6CCAFE3F"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 xml:space="preserve">עוד נקבע בפסיקה כי אי ההרשעה, והטלת עונש של"צ, הינה בגדר חריג שבחריגים, נוכח חומרתה, והיות הנאשם חוטא ומחטיא את הזולת. </w:t>
      </w:r>
      <w:hyperlink r:id="rId32" w:history="1">
        <w:r w:rsidR="00880C44" w:rsidRPr="00880C44">
          <w:rPr>
            <w:rFonts w:ascii="David" w:hAnsi="David"/>
            <w:color w:val="0000FF"/>
            <w:u w:val="single"/>
            <w:rtl/>
          </w:rPr>
          <w:t>רע"פ 873/12</w:t>
        </w:r>
      </w:hyperlink>
      <w:r w:rsidRPr="004B4A79">
        <w:rPr>
          <w:rFonts w:ascii="David" w:hAnsi="David"/>
          <w:rtl/>
        </w:rPr>
        <w:t xml:space="preserve"> </w:t>
      </w:r>
      <w:r w:rsidRPr="004B4A79">
        <w:rPr>
          <w:rFonts w:ascii="David" w:hAnsi="David"/>
          <w:b/>
          <w:bCs/>
          <w:rtl/>
        </w:rPr>
        <w:t>פלוני נ' מדינת ישראל</w:t>
      </w:r>
      <w:r w:rsidRPr="004B4A79">
        <w:rPr>
          <w:rFonts w:ascii="David" w:hAnsi="David"/>
          <w:rtl/>
        </w:rPr>
        <w:t xml:space="preserve"> (2.2.12).</w:t>
      </w:r>
    </w:p>
    <w:p w14:paraId="4288BA89"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ב</w:t>
      </w:r>
      <w:hyperlink r:id="rId33" w:history="1">
        <w:r w:rsidR="00880C44" w:rsidRPr="00880C44">
          <w:rPr>
            <w:rFonts w:ascii="David" w:hAnsi="David"/>
            <w:color w:val="0000FF"/>
            <w:u w:val="single"/>
            <w:rtl/>
          </w:rPr>
          <w:t>רע"פ 8632/19</w:t>
        </w:r>
      </w:hyperlink>
      <w:r w:rsidRPr="004B4A79">
        <w:rPr>
          <w:rFonts w:ascii="David" w:hAnsi="David"/>
          <w:rtl/>
        </w:rPr>
        <w:t xml:space="preserve"> </w:t>
      </w:r>
      <w:r w:rsidRPr="004B4A79">
        <w:rPr>
          <w:rFonts w:ascii="David" w:hAnsi="David"/>
          <w:b/>
          <w:bCs/>
          <w:rtl/>
        </w:rPr>
        <w:t>בן כהן נ' מדינת ישראל</w:t>
      </w:r>
      <w:r w:rsidRPr="004B4A79">
        <w:rPr>
          <w:rFonts w:ascii="David" w:hAnsi="David"/>
          <w:rtl/>
        </w:rPr>
        <w:t xml:space="preserve"> (05.01.20) נדון ערעור בעניינו של נאשם שמכר ב-13 הזדמנויות קנאביס בכמויות קטנות. הנאשם הורשע ב-3 עבירות סחר, עבירת החזקת סם שלא לשימוש עצמי ובהחזקת כלים לצורך השימוש. בתחילה הוטל על הנאשם עונש מקל בדמות 400 שעות של"צ וצו מבחן. הנאשם לא עמד בתנאי המבחן, שב להשתמש בסמים ולא ביצע את שעות השל"צ ועל כן הוטלו עליו 9 חודשי מאסר אשר ירוצה בעבודות שירות, מאסר מותנה הופעל בחופף לתקופת הריצוי וכן הוטל תנאי נוסף. ערעור על גזה"ד נדחה בבית המשפט המחוזי ובבית המשפט העליון.</w:t>
      </w:r>
    </w:p>
    <w:p w14:paraId="1268F928"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34" w:history="1">
        <w:r w:rsidR="00880C44" w:rsidRPr="00880C44">
          <w:rPr>
            <w:rFonts w:ascii="David" w:hAnsi="David"/>
            <w:color w:val="0000FF"/>
            <w:u w:val="single"/>
            <w:rtl/>
          </w:rPr>
          <w:t>רע"פ 7996/12</w:t>
        </w:r>
      </w:hyperlink>
      <w:r w:rsidRPr="004B4A79">
        <w:rPr>
          <w:rFonts w:ascii="David" w:hAnsi="David"/>
          <w:rtl/>
        </w:rPr>
        <w:t xml:space="preserve"> </w:t>
      </w:r>
      <w:r w:rsidRPr="004B4A79">
        <w:rPr>
          <w:rFonts w:ascii="David" w:hAnsi="David"/>
          <w:b/>
          <w:bCs/>
          <w:rtl/>
        </w:rPr>
        <w:t>אליהו יוסף נ' מדינת ישראל</w:t>
      </w:r>
      <w:r w:rsidRPr="004B4A79">
        <w:rPr>
          <w:rFonts w:ascii="David" w:hAnsi="David"/>
          <w:rtl/>
        </w:rPr>
        <w:t xml:space="preserve"> (23.01.13), במקרה שנסיבותיו דומות ל</w:t>
      </w:r>
      <w:r>
        <w:rPr>
          <w:rFonts w:ascii="David" w:hAnsi="David"/>
          <w:rtl/>
        </w:rPr>
        <w:t>מקרה של</w:t>
      </w:r>
      <w:r>
        <w:rPr>
          <w:rFonts w:ascii="David" w:hAnsi="David" w:hint="cs"/>
          <w:rtl/>
        </w:rPr>
        <w:t>פ</w:t>
      </w:r>
      <w:r>
        <w:rPr>
          <w:rFonts w:ascii="David" w:hAnsi="David"/>
          <w:rtl/>
        </w:rPr>
        <w:t>ני (2 עבירות סחר בחשיש</w:t>
      </w:r>
      <w:r>
        <w:rPr>
          <w:rFonts w:ascii="David" w:hAnsi="David" w:hint="cs"/>
          <w:rtl/>
        </w:rPr>
        <w:t xml:space="preserve">, </w:t>
      </w:r>
      <w:r w:rsidRPr="004B4A79">
        <w:rPr>
          <w:rFonts w:ascii="David" w:hAnsi="David"/>
          <w:rtl/>
        </w:rPr>
        <w:t xml:space="preserve">עבירת תיווך אחת, ועבירת החזקת קוקאין לשימוש עצמי, כולן בכמויות קטנות) אושר גזר דינו של בית משפט השלום בו נקבע כי מתחם הענישה בגין עבירות הסחר נע בין 7-18 חודשי מאסר, ונגזרו על הנאשם 21 חודשי מאסר בפועל. </w:t>
      </w:r>
    </w:p>
    <w:p w14:paraId="602B2FC6"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35" w:history="1">
        <w:r w:rsidR="00880C44" w:rsidRPr="00880C44">
          <w:rPr>
            <w:rFonts w:ascii="David" w:hAnsi="David"/>
            <w:color w:val="0000FF"/>
            <w:u w:val="single"/>
            <w:rtl/>
          </w:rPr>
          <w:t>רע"פ 6401/18</w:t>
        </w:r>
      </w:hyperlink>
      <w:r w:rsidRPr="004B4A79">
        <w:rPr>
          <w:rFonts w:ascii="David" w:hAnsi="David"/>
          <w:rtl/>
        </w:rPr>
        <w:t xml:space="preserve"> </w:t>
      </w:r>
      <w:r w:rsidRPr="004B4A79">
        <w:rPr>
          <w:rFonts w:ascii="David" w:hAnsi="David"/>
          <w:b/>
          <w:bCs/>
          <w:rtl/>
        </w:rPr>
        <w:t>אביעד ספיר נ' מדינת ישראל</w:t>
      </w:r>
      <w:r w:rsidRPr="004B4A79">
        <w:rPr>
          <w:rFonts w:ascii="David" w:hAnsi="David"/>
          <w:rtl/>
        </w:rPr>
        <w:t xml:space="preserve"> (17.09.18) אושר גזר דינו של בית משפט השלום אשר קבע כי מתחם הענישה בגין 6 עבירות סחר בסם מסוג קנאביס, עבירת החזקת סמים, עבירת תיווך בסם ועבירת הפרעה לשוטר הינו בין 16 ל-36 חודשי מאסר בפועל והוטלו על הנאשם 12 חודשי מאסר</w:t>
      </w:r>
      <w:r>
        <w:rPr>
          <w:rFonts w:ascii="David" w:hAnsi="David" w:hint="cs"/>
          <w:rtl/>
        </w:rPr>
        <w:t xml:space="preserve"> </w:t>
      </w:r>
      <w:r w:rsidRPr="004B4A79">
        <w:rPr>
          <w:rFonts w:ascii="David" w:hAnsi="David"/>
          <w:rtl/>
        </w:rPr>
        <w:t>בפועל וענישה נלווית, לרבות פסילת רישיון למשך שנה.</w:t>
      </w:r>
    </w:p>
    <w:p w14:paraId="73D49A44"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36" w:history="1">
        <w:r w:rsidR="00880C44" w:rsidRPr="00880C44">
          <w:rPr>
            <w:rFonts w:ascii="David" w:hAnsi="David"/>
            <w:color w:val="0000FF"/>
            <w:u w:val="single"/>
            <w:rtl/>
          </w:rPr>
          <w:t>רע"פ 5712/16</w:t>
        </w:r>
      </w:hyperlink>
      <w:r w:rsidRPr="004B4A79">
        <w:rPr>
          <w:rFonts w:ascii="David" w:hAnsi="David"/>
          <w:rtl/>
        </w:rPr>
        <w:t xml:space="preserve"> </w:t>
      </w:r>
      <w:r w:rsidRPr="004B4A79">
        <w:rPr>
          <w:rFonts w:ascii="David" w:hAnsi="David"/>
          <w:b/>
          <w:bCs/>
          <w:rtl/>
        </w:rPr>
        <w:t>יצחק אייזנבאך נ' מדינת ישראל</w:t>
      </w:r>
      <w:r w:rsidRPr="004B4A79">
        <w:rPr>
          <w:rFonts w:ascii="David" w:hAnsi="David"/>
          <w:rtl/>
        </w:rPr>
        <w:t xml:space="preserve">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 </w:t>
      </w:r>
    </w:p>
    <w:p w14:paraId="3E2F0CA7"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37" w:history="1">
        <w:r w:rsidR="00880C44" w:rsidRPr="00880C44">
          <w:rPr>
            <w:rFonts w:ascii="David" w:hAnsi="David"/>
            <w:color w:val="0000FF"/>
            <w:u w:val="single"/>
            <w:rtl/>
          </w:rPr>
          <w:t>רע"פ 3627/13</w:t>
        </w:r>
      </w:hyperlink>
      <w:r w:rsidRPr="004B4A79">
        <w:rPr>
          <w:rFonts w:ascii="David" w:hAnsi="David"/>
          <w:rtl/>
        </w:rPr>
        <w:t xml:space="preserve"> </w:t>
      </w:r>
      <w:r w:rsidRPr="004B4A79">
        <w:rPr>
          <w:rFonts w:ascii="David" w:hAnsi="David"/>
          <w:b/>
          <w:bCs/>
          <w:rtl/>
        </w:rPr>
        <w:t>שדה נגד מדינת ישראל</w:t>
      </w:r>
      <w:r w:rsidRPr="004B4A79">
        <w:rPr>
          <w:rFonts w:ascii="David" w:hAnsi="David"/>
          <w:rtl/>
        </w:rPr>
        <w:t xml:space="preserve"> (22.5.13) אושר גזר דין בו הוטל על  נאשם שהורשע על יסוד הודאתו ב-2 עבירות של סחר בסמים מסוג קנביס עונש של 7 חודשי מאסר בפועל. </w:t>
      </w:r>
    </w:p>
    <w:p w14:paraId="2E053684"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38" w:history="1">
        <w:r w:rsidR="00880C44" w:rsidRPr="00880C44">
          <w:rPr>
            <w:rFonts w:ascii="David" w:hAnsi="David"/>
            <w:color w:val="0000FF"/>
            <w:u w:val="single"/>
            <w:rtl/>
          </w:rPr>
          <w:t>ת"פ 17400-02-14</w:t>
        </w:r>
      </w:hyperlink>
      <w:r w:rsidRPr="004B4A79">
        <w:rPr>
          <w:rFonts w:ascii="David" w:hAnsi="David"/>
          <w:rtl/>
        </w:rPr>
        <w:t xml:space="preserve"> </w:t>
      </w:r>
      <w:r w:rsidRPr="004B4A79">
        <w:rPr>
          <w:rFonts w:ascii="David" w:hAnsi="David"/>
          <w:b/>
          <w:bCs/>
          <w:rtl/>
        </w:rPr>
        <w:t>מדינת ישראל נ' חאזם גבראן</w:t>
      </w:r>
      <w:r w:rsidRPr="004B4A79">
        <w:rPr>
          <w:rFonts w:ascii="David" w:hAnsi="David"/>
          <w:rtl/>
        </w:rPr>
        <w:t xml:space="preserve"> (02.07.14) </w:t>
      </w:r>
      <w:r>
        <w:rPr>
          <w:rFonts w:ascii="David" w:hAnsi="David" w:hint="cs"/>
          <w:rtl/>
        </w:rPr>
        <w:t>נ</w:t>
      </w:r>
      <w:r w:rsidRPr="004B4A79">
        <w:rPr>
          <w:rFonts w:ascii="David" w:hAnsi="David"/>
          <w:rtl/>
        </w:rPr>
        <w:t>גזר</w:t>
      </w:r>
      <w:r>
        <w:rPr>
          <w:rFonts w:ascii="David" w:hAnsi="David" w:hint="cs"/>
          <w:rtl/>
        </w:rPr>
        <w:t xml:space="preserve">ו </w:t>
      </w:r>
      <w:r w:rsidRPr="004B4A79">
        <w:rPr>
          <w:rFonts w:ascii="David" w:hAnsi="David"/>
          <w:rtl/>
        </w:rPr>
        <w:t xml:space="preserve"> </w:t>
      </w:r>
      <w:r>
        <w:rPr>
          <w:rFonts w:ascii="David" w:hAnsi="David" w:hint="cs"/>
          <w:rtl/>
        </w:rPr>
        <w:t xml:space="preserve">על נאשם ביחס ל- </w:t>
      </w:r>
      <w:r w:rsidRPr="004B4A79">
        <w:rPr>
          <w:rFonts w:ascii="David" w:hAnsi="David"/>
          <w:rtl/>
        </w:rPr>
        <w:t xml:space="preserve">5 עבירות </w:t>
      </w:r>
      <w:r>
        <w:rPr>
          <w:rFonts w:ascii="David" w:hAnsi="David" w:hint="cs"/>
          <w:rtl/>
        </w:rPr>
        <w:t xml:space="preserve">של </w:t>
      </w:r>
      <w:r w:rsidRPr="004B4A79">
        <w:rPr>
          <w:rFonts w:ascii="David" w:hAnsi="David"/>
          <w:rtl/>
        </w:rPr>
        <w:t>סחר ב</w:t>
      </w:r>
      <w:r>
        <w:rPr>
          <w:rFonts w:ascii="David" w:hAnsi="David" w:hint="cs"/>
          <w:rtl/>
        </w:rPr>
        <w:t xml:space="preserve">סם מסוג </w:t>
      </w:r>
      <w:r w:rsidRPr="004B4A79">
        <w:rPr>
          <w:rFonts w:ascii="David" w:hAnsi="David"/>
          <w:rtl/>
        </w:rPr>
        <w:t>חשיש בכמויות קטנות</w:t>
      </w:r>
      <w:r>
        <w:rPr>
          <w:rFonts w:ascii="David" w:hAnsi="David" w:hint="cs"/>
          <w:rtl/>
        </w:rPr>
        <w:t>,</w:t>
      </w:r>
      <w:r w:rsidRPr="004B4A79">
        <w:rPr>
          <w:rFonts w:ascii="David" w:hAnsi="David"/>
          <w:rtl/>
        </w:rPr>
        <w:t xml:space="preserve"> ובעבירה נוספת של החזקת </w:t>
      </w:r>
      <w:r>
        <w:rPr>
          <w:rFonts w:ascii="David" w:hAnsi="David" w:hint="cs"/>
          <w:rtl/>
        </w:rPr>
        <w:t xml:space="preserve">סם, </w:t>
      </w:r>
      <w:r w:rsidRPr="004B4A79">
        <w:rPr>
          <w:rFonts w:ascii="David" w:hAnsi="David"/>
          <w:rtl/>
        </w:rPr>
        <w:t xml:space="preserve">8 חודשי מאסר בפועל וכן הופעל מאסר מותנה כך שסה"כ הוטלו על הנאשם 11 חודשי מאסר בפועל. </w:t>
      </w:r>
    </w:p>
    <w:p w14:paraId="1909233F"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39" w:history="1">
        <w:r w:rsidR="00880C44" w:rsidRPr="00880C44">
          <w:rPr>
            <w:rFonts w:ascii="David" w:hAnsi="David"/>
            <w:color w:val="0000FF"/>
            <w:u w:val="single"/>
            <w:rtl/>
          </w:rPr>
          <w:t>ת"פ 726-01-14</w:t>
        </w:r>
      </w:hyperlink>
      <w:r w:rsidRPr="004B4A79">
        <w:rPr>
          <w:rFonts w:ascii="David" w:hAnsi="David"/>
          <w:rtl/>
        </w:rPr>
        <w:t xml:space="preserve"> </w:t>
      </w:r>
      <w:r w:rsidRPr="004B4A79">
        <w:rPr>
          <w:rFonts w:ascii="David" w:hAnsi="David"/>
          <w:b/>
          <w:bCs/>
          <w:rtl/>
        </w:rPr>
        <w:t>מדינת ישראל נ' עבד אל חלים זיתון</w:t>
      </w:r>
      <w:r w:rsidRPr="004B4A79">
        <w:rPr>
          <w:rFonts w:ascii="David" w:hAnsi="David"/>
          <w:rtl/>
        </w:rPr>
        <w:t xml:space="preserve">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 </w:t>
      </w:r>
    </w:p>
    <w:p w14:paraId="0E99F1B2"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 xml:space="preserve">עם זאת, ישנם מקרים בהם קיבל בית המשפט את המלצת שירות המבחן וגזר את עונשו של הנאשם על דרך עבודות של"צ, תוך </w:t>
      </w:r>
      <w:r>
        <w:rPr>
          <w:rFonts w:ascii="David" w:hAnsi="David" w:hint="cs"/>
          <w:rtl/>
        </w:rPr>
        <w:t>מתן משקל מכריע להיבט ה</w:t>
      </w:r>
      <w:r w:rsidRPr="004B4A79">
        <w:rPr>
          <w:rFonts w:ascii="David" w:hAnsi="David"/>
          <w:rtl/>
        </w:rPr>
        <w:t xml:space="preserve">שיקומי. </w:t>
      </w:r>
    </w:p>
    <w:p w14:paraId="42D9E9EB" w14:textId="77777777" w:rsidR="00742183" w:rsidRDefault="00742183" w:rsidP="00742183">
      <w:pPr>
        <w:spacing w:after="300" w:line="360" w:lineRule="auto"/>
        <w:ind w:left="720"/>
        <w:jc w:val="both"/>
        <w:rPr>
          <w:rFonts w:ascii="David" w:hAnsi="David"/>
          <w:rtl/>
        </w:rPr>
      </w:pPr>
      <w:r w:rsidRPr="004B4A79">
        <w:rPr>
          <w:rFonts w:ascii="David" w:hAnsi="David"/>
          <w:rtl/>
        </w:rPr>
        <w:t>כך לדוגמה ב</w:t>
      </w:r>
      <w:hyperlink r:id="rId40" w:history="1">
        <w:r w:rsidR="00880C44" w:rsidRPr="00880C44">
          <w:rPr>
            <w:rFonts w:ascii="David" w:hAnsi="David"/>
            <w:color w:val="0000FF"/>
            <w:u w:val="single"/>
            <w:rtl/>
          </w:rPr>
          <w:t>ת"פ 46914-06-18</w:t>
        </w:r>
      </w:hyperlink>
      <w:r w:rsidRPr="004B4A79">
        <w:rPr>
          <w:rFonts w:ascii="David" w:hAnsi="David"/>
          <w:rtl/>
        </w:rPr>
        <w:t xml:space="preserve"> </w:t>
      </w:r>
      <w:r w:rsidRPr="004B4A79">
        <w:rPr>
          <w:rFonts w:ascii="David" w:hAnsi="David"/>
          <w:b/>
          <w:bCs/>
          <w:rtl/>
        </w:rPr>
        <w:t>מדינת ישראל נ' רבאב חג'אזי</w:t>
      </w:r>
      <w:r w:rsidRPr="004B4A79">
        <w:rPr>
          <w:rFonts w:ascii="David" w:hAnsi="David"/>
          <w:rtl/>
        </w:rPr>
        <w:t xml:space="preserve"> (23.09.19) התחשב בית המשפט בגילה הצעיר של הנאשמת, מצבה הנפשי הקרוב לסייג האחריות הפלילית, נטילת אחריות, היעדר עבר פלילי ועוד, וגזר את עונשה בצו מבחן, של"צ בהיקף 300 שעות ומאסר מותנה. </w:t>
      </w:r>
    </w:p>
    <w:p w14:paraId="3CEFB550" w14:textId="77777777" w:rsidR="00742183" w:rsidRDefault="00742183" w:rsidP="00742183">
      <w:pPr>
        <w:spacing w:after="300" w:line="360" w:lineRule="auto"/>
        <w:ind w:left="720"/>
        <w:jc w:val="both"/>
        <w:rPr>
          <w:rFonts w:ascii="David" w:hAnsi="David"/>
          <w:rtl/>
        </w:rPr>
      </w:pPr>
      <w:r w:rsidRPr="004B4A79">
        <w:rPr>
          <w:rFonts w:ascii="David" w:hAnsi="David"/>
          <w:rtl/>
        </w:rPr>
        <w:t>ב</w:t>
      </w:r>
      <w:hyperlink r:id="rId41" w:history="1">
        <w:r w:rsidR="00880C44" w:rsidRPr="00880C44">
          <w:rPr>
            <w:rFonts w:ascii="David" w:hAnsi="David"/>
            <w:color w:val="0000FF"/>
            <w:u w:val="single"/>
            <w:rtl/>
          </w:rPr>
          <w:t>ת"פ 34271-10-18</w:t>
        </w:r>
      </w:hyperlink>
      <w:r w:rsidRPr="004B4A79">
        <w:rPr>
          <w:rFonts w:ascii="David" w:hAnsi="David"/>
          <w:rtl/>
        </w:rPr>
        <w:t xml:space="preserve"> </w:t>
      </w:r>
      <w:r w:rsidRPr="004B4A79">
        <w:rPr>
          <w:rFonts w:ascii="David" w:hAnsi="David"/>
          <w:b/>
          <w:bCs/>
          <w:rtl/>
        </w:rPr>
        <w:t>מדינת ישראל נ' אור שמואל דהן</w:t>
      </w:r>
      <w:r w:rsidRPr="004B4A79">
        <w:rPr>
          <w:rFonts w:ascii="David" w:hAnsi="David"/>
          <w:rtl/>
        </w:rPr>
        <w:t xml:space="preserve"> (23.03.19) אף הסתיים ההליך נגד נאשם ב-2 עבירות סחר בקנאביס באמצעות טלגראס ובהחזקה לשימוש עצמי ללא הרשעה וזאת תוך התחשבות בגילו הצעיר של הנאשם (בן 18), היעדר עבר פלילי ושיקום מרשים. על הנאשם הוטל צו מבחן למשך שנה. </w:t>
      </w:r>
    </w:p>
    <w:p w14:paraId="530B88D7" w14:textId="77777777" w:rsidR="00742183" w:rsidRPr="004B4A79" w:rsidRDefault="00742183" w:rsidP="00742183">
      <w:pPr>
        <w:spacing w:after="300" w:line="360" w:lineRule="auto"/>
        <w:ind w:left="720"/>
        <w:jc w:val="both"/>
        <w:rPr>
          <w:rFonts w:ascii="David" w:hAnsi="David"/>
          <w:rtl/>
        </w:rPr>
      </w:pPr>
      <w:r w:rsidRPr="004B4A79">
        <w:rPr>
          <w:rFonts w:ascii="David" w:hAnsi="David"/>
          <w:rtl/>
        </w:rPr>
        <w:t>ב</w:t>
      </w:r>
      <w:hyperlink r:id="rId42" w:history="1">
        <w:r w:rsidR="00880C44" w:rsidRPr="00880C44">
          <w:rPr>
            <w:rFonts w:ascii="David" w:hAnsi="David"/>
            <w:color w:val="0000FF"/>
            <w:u w:val="single"/>
            <w:rtl/>
          </w:rPr>
          <w:t>ת"פ 21679-04-15</w:t>
        </w:r>
      </w:hyperlink>
      <w:r w:rsidRPr="004B4A79">
        <w:rPr>
          <w:rFonts w:ascii="David" w:hAnsi="David"/>
          <w:rtl/>
        </w:rPr>
        <w:t xml:space="preserve"> </w:t>
      </w:r>
      <w:r w:rsidRPr="004B4A79">
        <w:rPr>
          <w:rFonts w:ascii="David" w:hAnsi="David"/>
          <w:b/>
          <w:bCs/>
          <w:rtl/>
        </w:rPr>
        <w:t>מדינת ישראל נ' שאול בראנץ</w:t>
      </w:r>
      <w:r w:rsidRPr="004B4A79">
        <w:rPr>
          <w:rFonts w:ascii="David" w:hAnsi="David"/>
          <w:rtl/>
        </w:rPr>
        <w:t xml:space="preserve"> (24.02.16) התחשב בית המשפט בגילו המבוגר של הנאשם ובמצבו הרפואי החמור והטיל על הנאשם עונש של"צ. </w:t>
      </w:r>
    </w:p>
    <w:p w14:paraId="7C8D8495" w14:textId="77777777" w:rsidR="00742183" w:rsidRPr="00D87856" w:rsidRDefault="00742183" w:rsidP="00742183">
      <w:pPr>
        <w:spacing w:after="300" w:line="360" w:lineRule="auto"/>
        <w:jc w:val="both"/>
        <w:rPr>
          <w:rFonts w:ascii="David" w:hAnsi="David"/>
          <w:b/>
          <w:bCs/>
          <w:rtl/>
        </w:rPr>
      </w:pPr>
      <w:r w:rsidRPr="00D87856">
        <w:rPr>
          <w:rFonts w:ascii="David" w:hAnsi="David"/>
          <w:b/>
          <w:bCs/>
          <w:rtl/>
        </w:rPr>
        <w:t>מתחם ענישה בגין עבירת שימוש עצמי</w:t>
      </w:r>
    </w:p>
    <w:p w14:paraId="5C243838"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מתחם הענישה בגין עבירות החזקת סמים לשימוש עצמי תלוי בחומרת העבירה. ב</w:t>
      </w:r>
      <w:hyperlink r:id="rId43" w:history="1">
        <w:r w:rsidR="00880C44" w:rsidRPr="00880C44">
          <w:rPr>
            <w:rFonts w:ascii="David" w:hAnsi="David"/>
            <w:color w:val="0000FF"/>
            <w:u w:val="single"/>
            <w:rtl/>
          </w:rPr>
          <w:t>רע"פ 7996/12</w:t>
        </w:r>
      </w:hyperlink>
      <w:r w:rsidRPr="004B4A79">
        <w:rPr>
          <w:rFonts w:ascii="David" w:hAnsi="David"/>
          <w:rtl/>
        </w:rPr>
        <w:t xml:space="preserve"> </w:t>
      </w:r>
      <w:r w:rsidRPr="004B4A79">
        <w:rPr>
          <w:rFonts w:ascii="David" w:hAnsi="David"/>
          <w:b/>
          <w:bCs/>
          <w:rtl/>
        </w:rPr>
        <w:t>אליהו יוסף נ' מדינת ישראל</w:t>
      </w:r>
      <w:r w:rsidRPr="004B4A79">
        <w:rPr>
          <w:rFonts w:ascii="David" w:hAnsi="David"/>
          <w:rtl/>
        </w:rPr>
        <w:t xml:space="preserve">  הנז' נקבע כי מתחם הענישה בגין עבירת החזקת סם לשימוש עצמי </w:t>
      </w:r>
      <w:r>
        <w:rPr>
          <w:rFonts w:ascii="David" w:hAnsi="David" w:hint="cs"/>
          <w:rtl/>
        </w:rPr>
        <w:t>הינו החל מ</w:t>
      </w:r>
      <w:r w:rsidRPr="004B4A79">
        <w:rPr>
          <w:rFonts w:ascii="David" w:hAnsi="David"/>
          <w:rtl/>
        </w:rPr>
        <w:t xml:space="preserve">מאסר מותנה </w:t>
      </w:r>
      <w:r>
        <w:rPr>
          <w:rFonts w:ascii="David" w:hAnsi="David" w:hint="cs"/>
          <w:rtl/>
        </w:rPr>
        <w:t xml:space="preserve">ועד </w:t>
      </w:r>
      <w:r w:rsidRPr="004B4A79">
        <w:rPr>
          <w:rFonts w:ascii="David" w:hAnsi="David"/>
          <w:rtl/>
        </w:rPr>
        <w:t xml:space="preserve">למאסר </w:t>
      </w:r>
      <w:r>
        <w:rPr>
          <w:rFonts w:ascii="David" w:hAnsi="David" w:hint="cs"/>
          <w:rtl/>
        </w:rPr>
        <w:t>קצר שיכול ו</w:t>
      </w:r>
      <w:r w:rsidRPr="004B4A79">
        <w:rPr>
          <w:rFonts w:ascii="David" w:hAnsi="David"/>
          <w:rtl/>
        </w:rPr>
        <w:t xml:space="preserve">ירוצה בעבודות שירות. </w:t>
      </w:r>
    </w:p>
    <w:p w14:paraId="748DB25A" w14:textId="77777777" w:rsidR="00742183" w:rsidRPr="004B4A79" w:rsidRDefault="00742183" w:rsidP="00742183">
      <w:pPr>
        <w:numPr>
          <w:ilvl w:val="0"/>
          <w:numId w:val="1"/>
        </w:numPr>
        <w:spacing w:after="300" w:line="360" w:lineRule="auto"/>
        <w:ind w:hanging="579"/>
        <w:jc w:val="both"/>
        <w:rPr>
          <w:rFonts w:ascii="David" w:hAnsi="David"/>
          <w:rtl/>
        </w:rPr>
      </w:pPr>
      <w:r>
        <w:rPr>
          <w:rFonts w:ascii="David" w:hAnsi="David"/>
          <w:rtl/>
        </w:rPr>
        <w:t>לרוב, כאשר המדובר בעבירה יחידה</w:t>
      </w:r>
      <w:r>
        <w:rPr>
          <w:rFonts w:ascii="David" w:hAnsi="David" w:hint="cs"/>
          <w:rtl/>
        </w:rPr>
        <w:t xml:space="preserve">, </w:t>
      </w:r>
      <w:r w:rsidRPr="004B4A79">
        <w:rPr>
          <w:rFonts w:ascii="David" w:hAnsi="David"/>
          <w:rtl/>
        </w:rPr>
        <w:t xml:space="preserve">בכמות קטנה </w:t>
      </w:r>
      <w:r>
        <w:rPr>
          <w:rFonts w:ascii="David" w:hAnsi="David" w:hint="cs"/>
          <w:rtl/>
        </w:rPr>
        <w:t>ובסוגי סמים המוגדרים על פי הפסיקה כסמים קלים, ייט</w:t>
      </w:r>
      <w:r w:rsidRPr="004B4A79">
        <w:rPr>
          <w:rFonts w:ascii="David" w:hAnsi="David"/>
          <w:rtl/>
        </w:rPr>
        <w:t xml:space="preserve">ה בית המשפט להטיל על נאשם עונש מאסר מותנה </w:t>
      </w:r>
      <w:r>
        <w:rPr>
          <w:rFonts w:ascii="David" w:hAnsi="David" w:hint="cs"/>
          <w:rtl/>
        </w:rPr>
        <w:t xml:space="preserve">לצד רכיב ענישה של קנס ו/או התחייבות. </w:t>
      </w:r>
      <w:r w:rsidRPr="004B4A79">
        <w:rPr>
          <w:rFonts w:ascii="David" w:hAnsi="David"/>
          <w:rtl/>
        </w:rPr>
        <w:t xml:space="preserve">(ראו לדוגמה: </w:t>
      </w:r>
      <w:hyperlink r:id="rId44" w:history="1">
        <w:r w:rsidR="00880C44" w:rsidRPr="00880C44">
          <w:rPr>
            <w:rFonts w:ascii="David" w:hAnsi="David"/>
            <w:color w:val="0000FF"/>
            <w:u w:val="single"/>
            <w:rtl/>
          </w:rPr>
          <w:t>ת"פ 50810-12-10</w:t>
        </w:r>
      </w:hyperlink>
      <w:r w:rsidRPr="004B4A79">
        <w:rPr>
          <w:rFonts w:ascii="David" w:hAnsi="David"/>
          <w:rtl/>
        </w:rPr>
        <w:t xml:space="preserve"> </w:t>
      </w:r>
      <w:r w:rsidRPr="004B4A79">
        <w:rPr>
          <w:rFonts w:ascii="David" w:hAnsi="David"/>
          <w:b/>
          <w:bCs/>
          <w:rtl/>
        </w:rPr>
        <w:t>מדינת ישראל נ' גבריאל בראונשטיין</w:t>
      </w:r>
      <w:r w:rsidRPr="004B4A79">
        <w:rPr>
          <w:rFonts w:ascii="David" w:hAnsi="David"/>
          <w:rtl/>
        </w:rPr>
        <w:t xml:space="preserve"> (5.3.12); </w:t>
      </w:r>
      <w:hyperlink r:id="rId45" w:history="1">
        <w:r w:rsidR="00880C44" w:rsidRPr="00880C44">
          <w:rPr>
            <w:rFonts w:ascii="David" w:hAnsi="David"/>
            <w:color w:val="0000FF"/>
            <w:u w:val="single"/>
            <w:rtl/>
          </w:rPr>
          <w:t>ת"פ 32746-11-09</w:t>
        </w:r>
      </w:hyperlink>
      <w:r w:rsidRPr="004B4A79">
        <w:rPr>
          <w:rFonts w:ascii="David" w:hAnsi="David"/>
          <w:rtl/>
        </w:rPr>
        <w:t xml:space="preserve"> </w:t>
      </w:r>
      <w:r w:rsidRPr="004B4A79">
        <w:rPr>
          <w:rFonts w:ascii="David" w:hAnsi="David"/>
          <w:b/>
          <w:bCs/>
          <w:rtl/>
        </w:rPr>
        <w:t>מדינת ישראל נ' ביטון ואח'</w:t>
      </w:r>
      <w:r w:rsidRPr="004B4A79">
        <w:rPr>
          <w:rFonts w:ascii="David" w:hAnsi="David"/>
          <w:rtl/>
        </w:rPr>
        <w:t xml:space="preserve"> (16.5.10); </w:t>
      </w:r>
      <w:hyperlink r:id="rId46" w:history="1">
        <w:r w:rsidR="00880C44" w:rsidRPr="00880C44">
          <w:rPr>
            <w:rFonts w:ascii="David" w:hAnsi="David"/>
            <w:color w:val="0000FF"/>
            <w:u w:val="single"/>
            <w:rtl/>
          </w:rPr>
          <w:t>ת"פ 4864-05-11</w:t>
        </w:r>
      </w:hyperlink>
      <w:r w:rsidRPr="004B4A79">
        <w:rPr>
          <w:rFonts w:ascii="David" w:hAnsi="David"/>
          <w:rtl/>
        </w:rPr>
        <w:t xml:space="preserve"> </w:t>
      </w:r>
      <w:r w:rsidRPr="004B4A79">
        <w:rPr>
          <w:rFonts w:ascii="David" w:hAnsi="David"/>
          <w:b/>
          <w:bCs/>
          <w:rtl/>
        </w:rPr>
        <w:t>מדינת ישראל נ' נסר גבריס</w:t>
      </w:r>
      <w:r w:rsidRPr="004B4A79">
        <w:rPr>
          <w:rFonts w:ascii="David" w:hAnsi="David"/>
          <w:rtl/>
        </w:rPr>
        <w:t xml:space="preserve"> (18.1.12) ועוד). </w:t>
      </w:r>
    </w:p>
    <w:p w14:paraId="7B002A1E"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כאשר המדובר בכמו</w:t>
      </w:r>
      <w:r>
        <w:rPr>
          <w:rFonts w:ascii="David" w:hAnsi="David" w:hint="cs"/>
          <w:rtl/>
        </w:rPr>
        <w:t>יו</w:t>
      </w:r>
      <w:r w:rsidRPr="004B4A79">
        <w:rPr>
          <w:rFonts w:ascii="David" w:hAnsi="David"/>
          <w:rtl/>
        </w:rPr>
        <w:t>ת גדול</w:t>
      </w:r>
      <w:r>
        <w:rPr>
          <w:rFonts w:ascii="David" w:hAnsi="David" w:hint="cs"/>
          <w:rtl/>
        </w:rPr>
        <w:t xml:space="preserve">ות של החזקה וביחס לנאשם </w:t>
      </w:r>
      <w:r w:rsidRPr="004B4A79">
        <w:rPr>
          <w:rFonts w:ascii="David" w:hAnsi="David"/>
          <w:rtl/>
        </w:rPr>
        <w:t xml:space="preserve">בעל עבר </w:t>
      </w:r>
      <w:r>
        <w:rPr>
          <w:rFonts w:ascii="David" w:hAnsi="David" w:hint="cs"/>
          <w:rtl/>
        </w:rPr>
        <w:t>פלילי ב</w:t>
      </w:r>
      <w:r w:rsidRPr="004B4A79">
        <w:rPr>
          <w:rFonts w:ascii="David" w:hAnsi="David"/>
          <w:rtl/>
        </w:rPr>
        <w:t xml:space="preserve">עבירות סמים, אזי יחמיר בית המשפט עד לכדי הטלת עונש מאסר בפועל למשך מספר חודשים (ראו לדוגמה: </w:t>
      </w:r>
      <w:hyperlink r:id="rId47" w:history="1">
        <w:r w:rsidR="0044445D" w:rsidRPr="0044445D">
          <w:rPr>
            <w:rFonts w:ascii="David" w:hAnsi="David"/>
            <w:color w:val="0000FF"/>
            <w:u w:val="single"/>
            <w:rtl/>
          </w:rPr>
          <w:t>ע"פ 6138/09</w:t>
        </w:r>
      </w:hyperlink>
      <w:r w:rsidRPr="004B4A79">
        <w:rPr>
          <w:rFonts w:ascii="David" w:hAnsi="David"/>
          <w:rtl/>
        </w:rPr>
        <w:t xml:space="preserve"> </w:t>
      </w:r>
      <w:r w:rsidRPr="00D87856">
        <w:rPr>
          <w:rFonts w:ascii="David" w:hAnsi="David"/>
          <w:b/>
          <w:bCs/>
          <w:rtl/>
        </w:rPr>
        <w:t>איליה פרדזב נ' מדינת ישראל</w:t>
      </w:r>
      <w:r w:rsidRPr="004B4A79">
        <w:rPr>
          <w:rFonts w:ascii="David" w:hAnsi="David"/>
          <w:rtl/>
        </w:rPr>
        <w:t xml:space="preserve"> (2.8.09)). </w:t>
      </w:r>
    </w:p>
    <w:p w14:paraId="505CB1D1" w14:textId="77777777" w:rsidR="00742183" w:rsidRDefault="00742183" w:rsidP="00742183">
      <w:pPr>
        <w:spacing w:after="300" w:line="360" w:lineRule="auto"/>
        <w:ind w:left="141"/>
        <w:jc w:val="both"/>
        <w:rPr>
          <w:rFonts w:ascii="David" w:hAnsi="David"/>
          <w:b/>
          <w:bCs/>
          <w:rtl/>
        </w:rPr>
      </w:pPr>
    </w:p>
    <w:p w14:paraId="0F1E6E94" w14:textId="77777777" w:rsidR="00742183" w:rsidRPr="00D87856" w:rsidRDefault="00742183" w:rsidP="00742183">
      <w:pPr>
        <w:spacing w:after="300" w:line="360" w:lineRule="auto"/>
        <w:ind w:left="141"/>
        <w:jc w:val="both"/>
        <w:rPr>
          <w:rFonts w:ascii="David" w:hAnsi="David"/>
          <w:b/>
          <w:bCs/>
          <w:rtl/>
        </w:rPr>
      </w:pPr>
      <w:r w:rsidRPr="00D87856">
        <w:rPr>
          <w:rFonts w:ascii="David" w:hAnsi="David"/>
          <w:b/>
          <w:bCs/>
          <w:rtl/>
        </w:rPr>
        <w:t>הפרת הוראה חוקית</w:t>
      </w:r>
    </w:p>
    <w:p w14:paraId="1D84DA77"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מתחם הענישה בגין עבירת הפרת הוראה חוקית נע בין מאסר מותנה לבין עונש מאסר קצר, עד 4 חודשים</w:t>
      </w:r>
      <w:r>
        <w:rPr>
          <w:rFonts w:ascii="David" w:hAnsi="David" w:hint="cs"/>
          <w:rtl/>
        </w:rPr>
        <w:t xml:space="preserve"> שיכול וירוצה על דרך עבודות השירות</w:t>
      </w:r>
      <w:r w:rsidRPr="004B4A79">
        <w:rPr>
          <w:rFonts w:ascii="David" w:hAnsi="David"/>
          <w:rtl/>
        </w:rPr>
        <w:t xml:space="preserve">. ראה: </w:t>
      </w:r>
      <w:hyperlink r:id="rId48" w:history="1">
        <w:r w:rsidR="00880C44" w:rsidRPr="00880C44">
          <w:rPr>
            <w:rFonts w:ascii="David" w:hAnsi="David"/>
            <w:color w:val="0000FF"/>
            <w:u w:val="single"/>
            <w:rtl/>
          </w:rPr>
          <w:t>רע"פ 5023/18</w:t>
        </w:r>
      </w:hyperlink>
      <w:r w:rsidRPr="004B4A79">
        <w:rPr>
          <w:rFonts w:ascii="David" w:hAnsi="David"/>
          <w:rtl/>
        </w:rPr>
        <w:t xml:space="preserve"> </w:t>
      </w:r>
      <w:r w:rsidRPr="00D87856">
        <w:rPr>
          <w:rFonts w:ascii="David" w:hAnsi="David"/>
          <w:b/>
          <w:bCs/>
          <w:rtl/>
        </w:rPr>
        <w:t>עוקבה בדיר נ' מדינת ישראל</w:t>
      </w:r>
      <w:r w:rsidRPr="004B4A79">
        <w:rPr>
          <w:rFonts w:ascii="David" w:hAnsi="David"/>
          <w:rtl/>
        </w:rPr>
        <w:t xml:space="preserve"> (28.06.18). </w:t>
      </w:r>
      <w:hyperlink r:id="rId49" w:history="1">
        <w:r w:rsidR="00880C44" w:rsidRPr="00880C44">
          <w:rPr>
            <w:rFonts w:ascii="David" w:hAnsi="David"/>
            <w:color w:val="0000FF"/>
            <w:u w:val="single"/>
            <w:rtl/>
          </w:rPr>
          <w:t>רע"פ 1940/16</w:t>
        </w:r>
      </w:hyperlink>
      <w:r w:rsidRPr="004B4A79">
        <w:rPr>
          <w:rFonts w:ascii="David" w:hAnsi="David"/>
          <w:rtl/>
        </w:rPr>
        <w:t xml:space="preserve"> </w:t>
      </w:r>
      <w:r w:rsidRPr="00D87856">
        <w:rPr>
          <w:rFonts w:ascii="David" w:hAnsi="David"/>
          <w:b/>
          <w:bCs/>
          <w:rtl/>
        </w:rPr>
        <w:t>אורי פולק נ' מדינת ישראל</w:t>
      </w:r>
      <w:r w:rsidRPr="004B4A79">
        <w:rPr>
          <w:rFonts w:ascii="David" w:hAnsi="David"/>
          <w:rtl/>
        </w:rPr>
        <w:t xml:space="preserve"> (14.03.16).</w:t>
      </w:r>
    </w:p>
    <w:p w14:paraId="0CBDD1A3" w14:textId="77777777" w:rsidR="00742183" w:rsidRPr="00D87856" w:rsidRDefault="00742183" w:rsidP="00742183">
      <w:pPr>
        <w:spacing w:after="300" w:line="360" w:lineRule="auto"/>
        <w:ind w:left="141"/>
        <w:jc w:val="both"/>
        <w:rPr>
          <w:rFonts w:ascii="David" w:hAnsi="David"/>
          <w:b/>
          <w:bCs/>
          <w:rtl/>
        </w:rPr>
      </w:pPr>
      <w:r w:rsidRPr="00D87856">
        <w:rPr>
          <w:rFonts w:ascii="David" w:hAnsi="David"/>
          <w:b/>
          <w:bCs/>
          <w:rtl/>
        </w:rPr>
        <w:t>קביעת המתחם ההולם בעניינו של הנאשם שלפני</w:t>
      </w:r>
    </w:p>
    <w:p w14:paraId="69201BDA" w14:textId="77777777" w:rsidR="00742183" w:rsidRPr="004B4A79" w:rsidRDefault="00742183" w:rsidP="00742183">
      <w:pPr>
        <w:numPr>
          <w:ilvl w:val="0"/>
          <w:numId w:val="1"/>
        </w:numPr>
        <w:spacing w:after="300" w:line="360" w:lineRule="auto"/>
        <w:ind w:hanging="579"/>
        <w:jc w:val="both"/>
        <w:rPr>
          <w:rFonts w:ascii="David" w:hAnsi="David"/>
          <w:rtl/>
        </w:rPr>
      </w:pPr>
      <w:r w:rsidRPr="004B4A79">
        <w:rPr>
          <w:rFonts w:ascii="David" w:hAnsi="David"/>
          <w:rtl/>
        </w:rPr>
        <w:t xml:space="preserve">בעת קביעת עונשו של הנאשם בתוך מתחם הענישה יש להתחשב בנסיבות שונות הקשורות בביצוע העבירה כמפורט </w:t>
      </w:r>
      <w:hyperlink r:id="rId50" w:history="1">
        <w:r w:rsidR="00CD5A72" w:rsidRPr="00CD5A72">
          <w:rPr>
            <w:rStyle w:val="Hyperlink"/>
            <w:rFonts w:ascii="David" w:hAnsi="David"/>
            <w:rtl/>
          </w:rPr>
          <w:t>בסעיף 40ט'</w:t>
        </w:r>
      </w:hyperlink>
      <w:r w:rsidRPr="004B4A79">
        <w:rPr>
          <w:rFonts w:ascii="David" w:hAnsi="David"/>
          <w:rtl/>
        </w:rPr>
        <w:t xml:space="preserve"> ל</w:t>
      </w:r>
      <w:hyperlink r:id="rId51" w:history="1">
        <w:r w:rsidR="00880C44" w:rsidRPr="00880C44">
          <w:rPr>
            <w:rFonts w:ascii="David" w:hAnsi="David"/>
            <w:color w:val="0000FF"/>
            <w:u w:val="single"/>
            <w:rtl/>
          </w:rPr>
          <w:t>חוק העונשין</w:t>
        </w:r>
      </w:hyperlink>
      <w:r w:rsidRPr="004B4A79">
        <w:rPr>
          <w:rFonts w:ascii="David" w:hAnsi="David"/>
          <w:rtl/>
        </w:rPr>
        <w:t xml:space="preserve">. </w:t>
      </w:r>
    </w:p>
    <w:p w14:paraId="0FD95889" w14:textId="77777777" w:rsidR="00742183" w:rsidRPr="00742183" w:rsidRDefault="00742183" w:rsidP="00742183">
      <w:pPr>
        <w:numPr>
          <w:ilvl w:val="0"/>
          <w:numId w:val="1"/>
        </w:numPr>
        <w:spacing w:after="300" w:line="360" w:lineRule="auto"/>
        <w:ind w:hanging="579"/>
        <w:jc w:val="both"/>
        <w:rPr>
          <w:rFonts w:cs="Times New Roman"/>
          <w:rtl/>
        </w:rPr>
      </w:pPr>
      <w:r w:rsidRPr="004B4A79">
        <w:rPr>
          <w:rFonts w:ascii="David" w:hAnsi="David"/>
          <w:rtl/>
        </w:rPr>
        <w:t xml:space="preserve">במקרה שלפני המדובר בסם מסוג קנאביס, המוגדר כסם קל </w:t>
      </w:r>
      <w:r>
        <w:rPr>
          <w:rFonts w:ascii="David" w:hAnsi="David" w:hint="cs"/>
          <w:rtl/>
        </w:rPr>
        <w:t>על פי הפסיקה. בנוסף יש ל</w:t>
      </w:r>
      <w:r w:rsidRPr="004B4A79">
        <w:rPr>
          <w:rFonts w:ascii="David" w:hAnsi="David"/>
          <w:rtl/>
        </w:rPr>
        <w:t xml:space="preserve">התחשב בכך שכמויות </w:t>
      </w:r>
      <w:r>
        <w:rPr>
          <w:rFonts w:ascii="David" w:hAnsi="David" w:hint="cs"/>
          <w:rtl/>
        </w:rPr>
        <w:t xml:space="preserve">הסם אותן </w:t>
      </w:r>
      <w:r w:rsidRPr="004B4A79">
        <w:rPr>
          <w:rFonts w:ascii="David" w:hAnsi="David"/>
          <w:rtl/>
        </w:rPr>
        <w:t>מכר הנאשם היו קטנות</w:t>
      </w:r>
      <w:r>
        <w:rPr>
          <w:rFonts w:ascii="David" w:hAnsi="David" w:hint="cs"/>
          <w:rtl/>
        </w:rPr>
        <w:t>,</w:t>
      </w:r>
      <w:r w:rsidRPr="004B4A79">
        <w:rPr>
          <w:rFonts w:ascii="David" w:hAnsi="David"/>
          <w:rtl/>
        </w:rPr>
        <w:t xml:space="preserve"> </w:t>
      </w:r>
      <w:r>
        <w:rPr>
          <w:rFonts w:ascii="David" w:hAnsi="David" w:hint="cs"/>
          <w:rtl/>
        </w:rPr>
        <w:t xml:space="preserve">במועד אחד, </w:t>
      </w:r>
      <w:r w:rsidRPr="004B4A79">
        <w:rPr>
          <w:rFonts w:ascii="David" w:hAnsi="David"/>
          <w:rtl/>
        </w:rPr>
        <w:t xml:space="preserve">והתמורה שהתקבלה בעדן פחותה. מצד שני יש להתחשב בנזק ובסיכון הרב הטמון בעבירות הסחר והחזקת הסמים, וכפי שציינתי לעיל – הפסיקה מייחסת לעבירות </w:t>
      </w:r>
      <w:r>
        <w:rPr>
          <w:rFonts w:ascii="David" w:hAnsi="David" w:hint="cs"/>
          <w:rtl/>
        </w:rPr>
        <w:t xml:space="preserve">מסוג זה </w:t>
      </w:r>
      <w:r w:rsidRPr="004B4A79">
        <w:rPr>
          <w:rFonts w:ascii="David" w:hAnsi="David"/>
          <w:rtl/>
        </w:rPr>
        <w:t>חומרה יתרה. כך נקבע ב</w:t>
      </w:r>
      <w:hyperlink r:id="rId52" w:history="1">
        <w:r w:rsidR="00880C44" w:rsidRPr="00880C44">
          <w:rPr>
            <w:rFonts w:ascii="David" w:hAnsi="David"/>
            <w:color w:val="0000FF"/>
            <w:u w:val="single"/>
            <w:rtl/>
          </w:rPr>
          <w:t>ע"פ 170/07</w:t>
        </w:r>
      </w:hyperlink>
      <w:r w:rsidRPr="004B4A79">
        <w:rPr>
          <w:rFonts w:ascii="David" w:hAnsi="David"/>
          <w:rtl/>
        </w:rPr>
        <w:t xml:space="preserve"> </w:t>
      </w:r>
      <w:r w:rsidRPr="006250C7">
        <w:rPr>
          <w:rFonts w:ascii="David" w:hAnsi="David"/>
          <w:b/>
          <w:bCs/>
          <w:rtl/>
        </w:rPr>
        <w:t>מטיס נ' מדינת ישראל</w:t>
      </w:r>
      <w:r w:rsidRPr="004B4A79">
        <w:rPr>
          <w:rFonts w:ascii="David" w:hAnsi="David"/>
          <w:rtl/>
        </w:rPr>
        <w:t xml:space="preserve"> (</w:t>
      </w:r>
      <w:r>
        <w:rPr>
          <w:rFonts w:ascii="David" w:hAnsi="David" w:hint="cs"/>
          <w:rtl/>
        </w:rPr>
        <w:t>19.11.</w:t>
      </w:r>
      <w:r w:rsidRPr="004B4A79">
        <w:rPr>
          <w:rFonts w:ascii="David" w:hAnsi="David"/>
          <w:rtl/>
        </w:rPr>
        <w:t xml:space="preserve">07) כי: </w:t>
      </w:r>
      <w:r w:rsidRPr="00742183">
        <w:rPr>
          <w:rFonts w:cs="Times New Roman"/>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2026272F" w14:textId="77777777" w:rsidR="00742183" w:rsidRDefault="00742183" w:rsidP="00742183">
      <w:pPr>
        <w:numPr>
          <w:ilvl w:val="0"/>
          <w:numId w:val="1"/>
        </w:numPr>
        <w:spacing w:after="300" w:line="360" w:lineRule="auto"/>
        <w:ind w:hanging="579"/>
        <w:jc w:val="both"/>
        <w:rPr>
          <w:rFonts w:ascii="David" w:hAnsi="David"/>
        </w:rPr>
      </w:pPr>
      <w:r w:rsidRPr="00632A60">
        <w:rPr>
          <w:rFonts w:ascii="David" w:hAnsi="David"/>
          <w:rtl/>
        </w:rPr>
        <w:t>לאחר ששקלתי את נסיבות ביצוע העבירה, האינטרס המוגן וכן הפסיקה הנוהגת אני קובע כי מתחם הענישה הינו החל מ</w:t>
      </w:r>
      <w:r w:rsidRPr="00632A60">
        <w:rPr>
          <w:rFonts w:ascii="David" w:hAnsi="David" w:hint="cs"/>
          <w:rtl/>
        </w:rPr>
        <w:t xml:space="preserve">שמונה </w:t>
      </w:r>
      <w:r>
        <w:rPr>
          <w:rFonts w:ascii="David" w:hAnsi="David" w:hint="cs"/>
          <w:rtl/>
        </w:rPr>
        <w:t xml:space="preserve">חודשי מאסר ועד </w:t>
      </w:r>
      <w:r w:rsidRPr="00632A60">
        <w:rPr>
          <w:rFonts w:ascii="David" w:hAnsi="David"/>
          <w:rtl/>
        </w:rPr>
        <w:t>20 חודשי</w:t>
      </w:r>
      <w:r>
        <w:rPr>
          <w:rFonts w:ascii="David" w:hAnsi="David" w:hint="cs"/>
          <w:rtl/>
        </w:rPr>
        <w:t xml:space="preserve">ם ביחס לעבירות הסחר, וביחס לעבירות החזקת הסם והפרת הוראה חוקית </w:t>
      </w:r>
      <w:r w:rsidRPr="00632A60">
        <w:rPr>
          <w:rFonts w:ascii="David" w:hAnsi="David"/>
          <w:rtl/>
        </w:rPr>
        <w:t>בטווח שנע בין מאסר מותנה ועד</w:t>
      </w:r>
      <w:r>
        <w:rPr>
          <w:rFonts w:ascii="David" w:hAnsi="David" w:hint="cs"/>
          <w:rtl/>
        </w:rPr>
        <w:t xml:space="preserve"> </w:t>
      </w:r>
      <w:r w:rsidRPr="00632A60">
        <w:rPr>
          <w:rFonts w:ascii="David" w:hAnsi="David" w:hint="cs"/>
          <w:rtl/>
        </w:rPr>
        <w:t xml:space="preserve">לתקופת מאסר קצרה. </w:t>
      </w:r>
    </w:p>
    <w:p w14:paraId="72B9FE61" w14:textId="77777777" w:rsidR="00742183" w:rsidRPr="00AA3FF1" w:rsidRDefault="00742183" w:rsidP="00742183">
      <w:pPr>
        <w:spacing w:after="300" w:line="360" w:lineRule="auto"/>
        <w:ind w:left="720" w:hanging="579"/>
        <w:jc w:val="both"/>
        <w:rPr>
          <w:rFonts w:ascii="David" w:hAnsi="David"/>
          <w:rtl/>
        </w:rPr>
      </w:pPr>
      <w:r w:rsidRPr="00AA3FF1">
        <w:rPr>
          <w:rFonts w:ascii="David" w:hAnsi="David"/>
          <w:b/>
          <w:bCs/>
          <w:rtl/>
        </w:rPr>
        <w:t>סטייה מהמתחם בשל שיקולי</w:t>
      </w:r>
      <w:r>
        <w:rPr>
          <w:rFonts w:ascii="David" w:hAnsi="David" w:hint="cs"/>
          <w:b/>
          <w:bCs/>
          <w:rtl/>
        </w:rPr>
        <w:t xml:space="preserve"> שיקום ובהתחשב במצבו של הנאשם</w:t>
      </w:r>
    </w:p>
    <w:p w14:paraId="6460B3F1" w14:textId="77777777" w:rsidR="00742183" w:rsidRPr="00C40EA0" w:rsidRDefault="00742183" w:rsidP="00742183">
      <w:pPr>
        <w:numPr>
          <w:ilvl w:val="0"/>
          <w:numId w:val="1"/>
        </w:numPr>
        <w:spacing w:after="300" w:line="360" w:lineRule="auto"/>
        <w:ind w:hanging="579"/>
        <w:jc w:val="both"/>
        <w:rPr>
          <w:rFonts w:ascii="David" w:hAnsi="David"/>
        </w:rPr>
      </w:pPr>
      <w:r w:rsidRPr="008162F9">
        <w:rPr>
          <w:rFonts w:ascii="David" w:hAnsi="David" w:hint="cs"/>
          <w:rtl/>
        </w:rPr>
        <w:t xml:space="preserve">במסגרת </w:t>
      </w:r>
      <w:hyperlink r:id="rId53" w:history="1">
        <w:r w:rsidR="00880C44" w:rsidRPr="00880C44">
          <w:rPr>
            <w:rFonts w:ascii="David" w:hAnsi="David"/>
            <w:color w:val="0000FF"/>
            <w:u w:val="single"/>
            <w:rtl/>
          </w:rPr>
          <w:t>ע"פ 5668/13</w:t>
        </w:r>
      </w:hyperlink>
      <w:r w:rsidRPr="008162F9">
        <w:rPr>
          <w:rFonts w:ascii="David" w:hAnsi="David"/>
          <w:rtl/>
        </w:rPr>
        <w:t xml:space="preserve"> </w:t>
      </w:r>
      <w:r w:rsidRPr="008162F9">
        <w:rPr>
          <w:rFonts w:ascii="David" w:hAnsi="David"/>
          <w:b/>
          <w:bCs/>
          <w:rtl/>
        </w:rPr>
        <w:t>מזרחי נ' מדינת ישראל</w:t>
      </w:r>
      <w:r w:rsidRPr="008162F9">
        <w:rPr>
          <w:rFonts w:ascii="David" w:hAnsi="David"/>
          <w:rtl/>
        </w:rPr>
        <w:t xml:space="preserve"> (17.3.16) </w:t>
      </w:r>
      <w:r>
        <w:rPr>
          <w:rFonts w:ascii="David" w:hAnsi="David" w:hint="cs"/>
          <w:rtl/>
        </w:rPr>
        <w:t xml:space="preserve">צוין: </w:t>
      </w:r>
    </w:p>
    <w:p w14:paraId="6CE4032F" w14:textId="77777777" w:rsidR="00742183" w:rsidRPr="008162F9" w:rsidRDefault="00742183" w:rsidP="00742183">
      <w:pPr>
        <w:spacing w:after="300" w:line="360" w:lineRule="auto"/>
        <w:ind w:left="720"/>
        <w:jc w:val="both"/>
        <w:rPr>
          <w:rFonts w:ascii="David" w:hAnsi="David"/>
        </w:rPr>
      </w:pPr>
      <w:r w:rsidRPr="00742183">
        <w:rPr>
          <w:rFonts w:cs="Times New Roman"/>
          <w:rtl/>
        </w:rPr>
        <w:t xml:space="preserve">"כל פרשה </w:t>
      </w:r>
      <w:r w:rsidRPr="00742183">
        <w:rPr>
          <w:rFonts w:cs="Times New Roman" w:hint="cs"/>
          <w:rtl/>
        </w:rPr>
        <w:t>ייחודי</w:t>
      </w:r>
      <w:r w:rsidRPr="00742183">
        <w:rPr>
          <w:rFonts w:cs="Times New Roman" w:hint="eastAsia"/>
          <w:rtl/>
        </w:rPr>
        <w:t>ת</w:t>
      </w:r>
      <w:r w:rsidRPr="00742183">
        <w:rPr>
          <w:rFonts w:cs="Times New Roman"/>
          <w:rtl/>
        </w:rPr>
        <w:t xml:space="preserve"> היא, ואין עבריין אחד דומה לחברו... קשה עד בלתי-אפשרי לאפיין כל פרשה על-פי אמות מידה ברורות ומהן לגזור את העונש ההולם. אנו, לא במדעים מדויקים עסקינן, אלא בדיני נפשות, אשר מטיבם וטבעם אינם עניין לנוסחאות מתמטיות... ודאות אינה נוקשות, ואחידות אינה זהוּת".</w:t>
      </w:r>
      <w:r w:rsidRPr="008162F9">
        <w:rPr>
          <w:rFonts w:ascii="David" w:hAnsi="David"/>
          <w:rtl/>
        </w:rPr>
        <w:t xml:space="preserve"> </w:t>
      </w:r>
    </w:p>
    <w:p w14:paraId="025B0BBA" w14:textId="77777777" w:rsidR="00742183" w:rsidRDefault="00742183" w:rsidP="00742183">
      <w:pPr>
        <w:pStyle w:val="a9"/>
        <w:numPr>
          <w:ilvl w:val="0"/>
          <w:numId w:val="3"/>
        </w:numPr>
        <w:spacing w:after="300" w:line="360" w:lineRule="auto"/>
        <w:ind w:left="708" w:hanging="567"/>
        <w:contextualSpacing w:val="0"/>
        <w:jc w:val="both"/>
        <w:rPr>
          <w:rFonts w:ascii="David" w:hAnsi="David"/>
        </w:rPr>
      </w:pPr>
      <w:r>
        <w:rPr>
          <w:rFonts w:ascii="David" w:hAnsi="David" w:hint="cs"/>
          <w:rtl/>
        </w:rPr>
        <w:t>המקרה שבפ</w:t>
      </w:r>
      <w:r>
        <w:rPr>
          <w:rFonts w:ascii="David" w:hAnsi="David"/>
          <w:rtl/>
        </w:rPr>
        <w:t xml:space="preserve">ני </w:t>
      </w:r>
      <w:r>
        <w:rPr>
          <w:rFonts w:ascii="David" w:hAnsi="David" w:hint="cs"/>
          <w:rtl/>
        </w:rPr>
        <w:t xml:space="preserve">אינו פשוט להכרעה. מן הצד האחד </w:t>
      </w:r>
      <w:r>
        <w:rPr>
          <w:rFonts w:ascii="David" w:hAnsi="David"/>
          <w:rtl/>
        </w:rPr>
        <w:t>עבירות שחומרתן רבה ביותר</w:t>
      </w:r>
      <w:r>
        <w:rPr>
          <w:rFonts w:ascii="David" w:hAnsi="David" w:hint="cs"/>
          <w:rtl/>
        </w:rPr>
        <w:t>, אשר מתחם הענישה בגינן, כפי שצוין לעיל, הינו החל ממספר חודשי מאסר לצד ענישה נלווית</w:t>
      </w:r>
      <w:r>
        <w:rPr>
          <w:rFonts w:ascii="David" w:hAnsi="David"/>
          <w:rtl/>
        </w:rPr>
        <w:t xml:space="preserve">. </w:t>
      </w:r>
      <w:r>
        <w:rPr>
          <w:rFonts w:ascii="David" w:hAnsi="David" w:hint="cs"/>
          <w:rtl/>
        </w:rPr>
        <w:t xml:space="preserve">בנוסף, ונוכח מצבו הנפשי של הנאשם בעת הזו, והעדר וודאות בדבר מצבו ההתמכרותי, שרות המבחן אינו בא בהמלצה ממשית בעניינו של הנאשם, והוא אף שב מעמדתו הראשונית בדבר הטלת צו מבחן ורכיבי ענישה שיקומיים. מן הצד השני ניצב מצבו הנפשי של הנאשם, אשר לטעמי, וכפי שיפורט להלן, מצדיק לאמץ את עמדת ההגנה, לסטות ממתחם הענישה לקולא, ולהימנע מהטלת עונש מאסר </w:t>
      </w:r>
      <w:r>
        <w:rPr>
          <w:rFonts w:ascii="David" w:hAnsi="David"/>
          <w:rtl/>
        </w:rPr>
        <w:t>–</w:t>
      </w:r>
      <w:r>
        <w:rPr>
          <w:rFonts w:ascii="David" w:hAnsi="David" w:hint="cs"/>
          <w:rtl/>
        </w:rPr>
        <w:t xml:space="preserve">אף לא במסגרת עבודת שרות. שיקול זה מצטרף לטעם נוסף הנוגע בניסיון שנעשה מצד הנאשם להתמיד תחילה בטיפול בו שולב על ידי שרות המבחן, אף אם לא סיימה, וכן ליתן משקל למסגרת הטיפול בה הנאשם משולב כיום. </w:t>
      </w:r>
      <w:r w:rsidRPr="00EF6F8A">
        <w:rPr>
          <w:rFonts w:ascii="David" w:hAnsi="David"/>
          <w:rtl/>
        </w:rPr>
        <w:t xml:space="preserve"> </w:t>
      </w:r>
    </w:p>
    <w:p w14:paraId="79DD968A" w14:textId="77777777" w:rsidR="00742183" w:rsidRDefault="00742183" w:rsidP="00742183">
      <w:pPr>
        <w:pStyle w:val="a9"/>
        <w:numPr>
          <w:ilvl w:val="0"/>
          <w:numId w:val="3"/>
        </w:numPr>
        <w:spacing w:after="300" w:line="360" w:lineRule="auto"/>
        <w:ind w:left="708" w:hanging="567"/>
        <w:contextualSpacing w:val="0"/>
        <w:jc w:val="both"/>
        <w:rPr>
          <w:rFonts w:ascii="David" w:hAnsi="David"/>
        </w:rPr>
      </w:pPr>
      <w:r w:rsidRPr="00EF6F8A">
        <w:rPr>
          <w:rFonts w:ascii="David" w:hAnsi="David"/>
          <w:rtl/>
        </w:rPr>
        <w:t xml:space="preserve">ער אני לכך כי נסיבות אלו אינן בגדר </w:t>
      </w:r>
      <w:r>
        <w:rPr>
          <w:rFonts w:ascii="David" w:hAnsi="David" w:hint="cs"/>
          <w:rtl/>
        </w:rPr>
        <w:t xml:space="preserve">סיומו של </w:t>
      </w:r>
      <w:r w:rsidRPr="00EF6F8A">
        <w:rPr>
          <w:rFonts w:ascii="David" w:hAnsi="David"/>
          <w:rtl/>
        </w:rPr>
        <w:t>הליך שיקום אותו עבר הנאשם במסגרת הליך זה, כפי</w:t>
      </w:r>
      <w:r w:rsidRPr="00EF6F8A">
        <w:rPr>
          <w:rFonts w:ascii="David" w:hAnsi="David" w:hint="cs"/>
          <w:rtl/>
        </w:rPr>
        <w:t xml:space="preserve"> ש</w:t>
      </w:r>
      <w:r>
        <w:rPr>
          <w:rFonts w:ascii="David" w:hAnsi="David" w:hint="cs"/>
          <w:rtl/>
        </w:rPr>
        <w:t>נ</w:t>
      </w:r>
      <w:r w:rsidRPr="00EF6F8A">
        <w:rPr>
          <w:rFonts w:ascii="David" w:hAnsi="David"/>
          <w:rtl/>
        </w:rPr>
        <w:t xml:space="preserve">דרש </w:t>
      </w:r>
      <w:r>
        <w:rPr>
          <w:rFonts w:ascii="David" w:hAnsi="David" w:hint="cs"/>
          <w:rtl/>
        </w:rPr>
        <w:t>ה</w:t>
      </w:r>
      <w:r w:rsidRPr="00EF6F8A">
        <w:rPr>
          <w:rFonts w:ascii="David" w:hAnsi="David"/>
          <w:rtl/>
        </w:rPr>
        <w:t>דבר ב</w:t>
      </w:r>
      <w:r>
        <w:rPr>
          <w:rFonts w:ascii="David" w:hAnsi="David" w:hint="cs"/>
          <w:rtl/>
        </w:rPr>
        <w:t xml:space="preserve">מסגרת </w:t>
      </w:r>
      <w:r w:rsidRPr="00EF6F8A">
        <w:rPr>
          <w:rFonts w:ascii="David" w:hAnsi="David"/>
          <w:rtl/>
        </w:rPr>
        <w:t>תיקון 113 ל</w:t>
      </w:r>
      <w:hyperlink r:id="rId54" w:history="1">
        <w:r w:rsidR="00880C44" w:rsidRPr="00880C44">
          <w:rPr>
            <w:rFonts w:ascii="David" w:hAnsi="David"/>
            <w:color w:val="0000FF"/>
            <w:u w:val="single"/>
            <w:rtl/>
          </w:rPr>
          <w:t>חוק העונשין</w:t>
        </w:r>
      </w:hyperlink>
      <w:r w:rsidRPr="00EF6F8A">
        <w:rPr>
          <w:rFonts w:ascii="David" w:hAnsi="David"/>
          <w:rtl/>
        </w:rPr>
        <w:t xml:space="preserve">, אך כפי שיפורט להלן, קיימים מקרים חריגים, ולטעמי זהו אחד מהם, בהם קיימת הצדקה לסטות ממתחם העונש בשל שיקולים נוספים: </w:t>
      </w:r>
    </w:p>
    <w:p w14:paraId="44E52046" w14:textId="77777777" w:rsidR="00742183" w:rsidRDefault="00742183" w:rsidP="00742183">
      <w:pPr>
        <w:pStyle w:val="a9"/>
        <w:numPr>
          <w:ilvl w:val="0"/>
          <w:numId w:val="4"/>
        </w:numPr>
        <w:spacing w:after="300" w:line="360" w:lineRule="auto"/>
        <w:ind w:left="1134" w:hanging="426"/>
        <w:contextualSpacing w:val="0"/>
        <w:jc w:val="both"/>
        <w:rPr>
          <w:rFonts w:ascii="David" w:hAnsi="David"/>
        </w:rPr>
      </w:pPr>
      <w:r>
        <w:rPr>
          <w:rFonts w:ascii="David" w:hAnsi="David" w:hint="cs"/>
          <w:rtl/>
        </w:rPr>
        <w:t>כ</w:t>
      </w:r>
      <w:r w:rsidRPr="00EF6F8A">
        <w:rPr>
          <w:rFonts w:ascii="David" w:hAnsi="David"/>
          <w:rtl/>
        </w:rPr>
        <w:t xml:space="preserve">עולה מתסקירי המבחן, </w:t>
      </w:r>
      <w:r>
        <w:rPr>
          <w:rFonts w:ascii="David" w:hAnsi="David" w:hint="cs"/>
          <w:rtl/>
        </w:rPr>
        <w:t>הנאשם החל לקחת חלק בהליך טיפולי במסגרתם עוד בפתח ההליך, עת הוטל עליו במסגרת הליכי המעצר צו פיקוח מעצרים למשך 6 חודשים. הנאשם שולב ביחידה להתמכרויות ביישוב מבשרת ציון החל מחודש ספטמבר 2017 ועד לחודש יוני 2018. מדיווח שהתקבל מגורמי הטיפול במסגרת תסקיר שהוגש בחודש מרץ 2018 עלה כי הנאשם נתרם מהשתתפותו בקבוצה הטיפולית בה שולב, וכן מהטיפול הפרטני שקיבל. נוכח עמדה זו סבר שרות המבחן באותה עת כי נכון יהיה להטיל על הנאשם צו מבחן בשילוב צו של"צ בהיקף נרחב, אלא שבתקופה זו חדל הנאשם מלהגיע לטיפול, וניסיונות נוספים מצד שרות המבחן לרתום אותו להמשך התהליך כשל. בבסיס הפסקת הטיפול, התדרדרות נפשית משמעותית במצבו הנפשי של הנאשם כמתואר בתסקיר המבחן מיום 22.1.19 (עמוד 2 פסקה ראשונה). שרות המבחן העריך כי קיים סיכון גבוה להידרדרות נוספת, ואף נעשה ניסיון מצדו להפנות את הנאשם למכון הירושלמי לתחלואה כפולה, אלא שהנאשם לא נענה לפניות שרות המבחן בעניין זה.</w:t>
      </w:r>
    </w:p>
    <w:p w14:paraId="2513FCD1" w14:textId="77777777" w:rsidR="00742183" w:rsidRDefault="00742183" w:rsidP="00742183">
      <w:pPr>
        <w:pStyle w:val="a9"/>
        <w:numPr>
          <w:ilvl w:val="0"/>
          <w:numId w:val="4"/>
        </w:numPr>
        <w:spacing w:after="300" w:line="360" w:lineRule="auto"/>
        <w:ind w:left="1134" w:hanging="426"/>
        <w:contextualSpacing w:val="0"/>
        <w:jc w:val="both"/>
        <w:rPr>
          <w:rFonts w:ascii="David" w:hAnsi="David"/>
        </w:rPr>
      </w:pPr>
      <w:r w:rsidRPr="00CB3BC2">
        <w:rPr>
          <w:rFonts w:ascii="David" w:hAnsi="David" w:hint="cs"/>
          <w:rtl/>
        </w:rPr>
        <w:t>במהלך תקופה זו החל הנאשם בקשר טיפולי עם פסיכיאטר במסגרת התחנה לבריאות הנפש במקום מגוריו (ראו תסקיר מיום 25.6.19 עמוד 2 פסקאות 2 ו-3). נוכח עמדה זו של הפסיכיאט</w:t>
      </w:r>
      <w:r w:rsidRPr="00CB3BC2">
        <w:rPr>
          <w:rFonts w:ascii="David" w:hAnsi="David" w:hint="eastAsia"/>
          <w:rtl/>
        </w:rPr>
        <w:t>ר</w:t>
      </w:r>
      <w:r w:rsidRPr="00CB3BC2">
        <w:rPr>
          <w:rFonts w:ascii="David" w:hAnsi="David" w:hint="cs"/>
          <w:rtl/>
        </w:rPr>
        <w:t xml:space="preserve"> המטפל</w:t>
      </w:r>
      <w:r w:rsidRPr="00CB3BC2">
        <w:rPr>
          <w:rFonts w:ascii="David" w:hAnsi="David"/>
          <w:rtl/>
        </w:rPr>
        <w:t>–</w:t>
      </w:r>
      <w:r>
        <w:rPr>
          <w:rFonts w:ascii="David" w:hAnsi="David" w:hint="cs"/>
          <w:rtl/>
        </w:rPr>
        <w:t xml:space="preserve"> </w:t>
      </w:r>
      <w:r w:rsidRPr="00CB3BC2">
        <w:rPr>
          <w:rFonts w:ascii="David" w:hAnsi="David" w:hint="cs"/>
          <w:rtl/>
        </w:rPr>
        <w:t>שב בו שרות המבחן מהמלצתו לצו מבחן</w:t>
      </w:r>
      <w:r>
        <w:rPr>
          <w:rFonts w:ascii="David" w:hAnsi="David" w:hint="cs"/>
          <w:rtl/>
        </w:rPr>
        <w:t>,</w:t>
      </w:r>
      <w:r w:rsidRPr="00CB3BC2">
        <w:rPr>
          <w:rFonts w:ascii="David" w:hAnsi="David" w:hint="cs"/>
          <w:rtl/>
        </w:rPr>
        <w:t xml:space="preserve"> והמליץ על הטלת עונש קצר שירוצה על דרך עבודות שירות. ל</w:t>
      </w:r>
      <w:r>
        <w:rPr>
          <w:rFonts w:ascii="David" w:hAnsi="David" w:hint="cs"/>
          <w:rtl/>
        </w:rPr>
        <w:t>מרבה הצער</w:t>
      </w:r>
      <w:r w:rsidRPr="00CB3BC2">
        <w:rPr>
          <w:rFonts w:ascii="David" w:hAnsi="David" w:hint="cs"/>
          <w:rtl/>
        </w:rPr>
        <w:t>, מצ</w:t>
      </w:r>
      <w:r>
        <w:rPr>
          <w:rFonts w:ascii="David" w:hAnsi="David" w:hint="cs"/>
          <w:rtl/>
        </w:rPr>
        <w:t>בו הנפשי של הנאשם הדרדר עוד יותר</w:t>
      </w:r>
      <w:r w:rsidRPr="00CB3BC2">
        <w:rPr>
          <w:rFonts w:ascii="David" w:hAnsi="David" w:hint="cs"/>
          <w:rtl/>
        </w:rPr>
        <w:t>-</w:t>
      </w:r>
      <w:r>
        <w:rPr>
          <w:rFonts w:ascii="David" w:hAnsi="David" w:hint="cs"/>
          <w:rtl/>
        </w:rPr>
        <w:t xml:space="preserve"> </w:t>
      </w:r>
      <w:r w:rsidRPr="00CB3BC2">
        <w:rPr>
          <w:rFonts w:ascii="David" w:hAnsi="David" w:hint="cs"/>
          <w:rtl/>
        </w:rPr>
        <w:t xml:space="preserve">ושיאו באמור בתסקיר המבחן מיום 8.1.20 פיסקה 2. בעקבות העדכון שהובא בתסקיר, שוחח שרות המבחן עם הנאשם שמסר כי הוא צפוי להשתלב בתוכנית טיפולית של אשפוז יום במחלקה לבריאות הנפש. נוכח זאת שב בו שרות המבחן גם מהמלצתו להטלת עונש מאסר על דרך עבודות השירות. על פיו כוחותיו של הנאשם לא יעמדו לו לעמוד בענישה מוחשית וממושכת, והיא אף עלולה להחמיר את מצבו הנפשי. (ראו: פיסקה 4 בתסקיר הנזכר). </w:t>
      </w:r>
    </w:p>
    <w:p w14:paraId="0AD69A2C" w14:textId="77777777" w:rsidR="00742183" w:rsidRPr="00CB3BC2" w:rsidRDefault="00742183" w:rsidP="00742183">
      <w:pPr>
        <w:pStyle w:val="a9"/>
        <w:numPr>
          <w:ilvl w:val="0"/>
          <w:numId w:val="4"/>
        </w:numPr>
        <w:spacing w:after="300" w:line="360" w:lineRule="auto"/>
        <w:ind w:left="1134" w:hanging="426"/>
        <w:contextualSpacing w:val="0"/>
        <w:jc w:val="both"/>
        <w:rPr>
          <w:rFonts w:ascii="David" w:hAnsi="David"/>
        </w:rPr>
      </w:pPr>
      <w:r w:rsidRPr="00CB3BC2">
        <w:rPr>
          <w:rFonts w:ascii="David" w:hAnsi="David" w:hint="cs"/>
          <w:rtl/>
        </w:rPr>
        <w:t xml:space="preserve">נוכח נתון זה והעדר שיתוף פעולה </w:t>
      </w:r>
      <w:r>
        <w:rPr>
          <w:rFonts w:ascii="David" w:hAnsi="David" w:hint="cs"/>
          <w:rtl/>
        </w:rPr>
        <w:t xml:space="preserve">מצד </w:t>
      </w:r>
      <w:r w:rsidRPr="00CB3BC2">
        <w:rPr>
          <w:rFonts w:ascii="David" w:hAnsi="David" w:hint="cs"/>
          <w:rtl/>
        </w:rPr>
        <w:t xml:space="preserve">הנאשם </w:t>
      </w:r>
      <w:r>
        <w:rPr>
          <w:rFonts w:ascii="David" w:hAnsi="David" w:hint="cs"/>
          <w:rtl/>
        </w:rPr>
        <w:t xml:space="preserve">נוכח </w:t>
      </w:r>
      <w:r w:rsidRPr="00CB3BC2">
        <w:rPr>
          <w:rFonts w:ascii="David" w:hAnsi="David" w:hint="cs"/>
          <w:rtl/>
        </w:rPr>
        <w:t>מצבו כעת, סבר שרות המבחן כי אין מקום להמליץ על צו של"צ, אלא ש</w:t>
      </w:r>
      <w:r>
        <w:rPr>
          <w:rFonts w:ascii="David" w:hAnsi="David" w:hint="cs"/>
          <w:rtl/>
        </w:rPr>
        <w:t>ב</w:t>
      </w:r>
      <w:r w:rsidRPr="00CB3BC2">
        <w:rPr>
          <w:rFonts w:ascii="David" w:hAnsi="David" w:hint="cs"/>
          <w:rtl/>
        </w:rPr>
        <w:t xml:space="preserve">מהלך הדיון בפניי הביע הנאשם רצון להמשיך בטיפול אותו החל במסגרת </w:t>
      </w:r>
      <w:r>
        <w:rPr>
          <w:rFonts w:ascii="David" w:hAnsi="David" w:hint="cs"/>
          <w:rtl/>
        </w:rPr>
        <w:t>ה</w:t>
      </w:r>
      <w:r w:rsidRPr="00CB3BC2">
        <w:rPr>
          <w:rFonts w:ascii="David" w:hAnsi="David" w:hint="cs"/>
          <w:rtl/>
        </w:rPr>
        <w:t xml:space="preserve">ביטוח לאומי, להשלים את </w:t>
      </w:r>
      <w:r>
        <w:rPr>
          <w:rFonts w:ascii="David" w:hAnsi="David" w:hint="cs"/>
          <w:rtl/>
        </w:rPr>
        <w:t xml:space="preserve">לימודי </w:t>
      </w:r>
      <w:r w:rsidRPr="00CB3BC2">
        <w:rPr>
          <w:rFonts w:ascii="David" w:hAnsi="David" w:hint="cs"/>
          <w:rtl/>
        </w:rPr>
        <w:t>הבגרות</w:t>
      </w:r>
      <w:r>
        <w:rPr>
          <w:rFonts w:ascii="David" w:hAnsi="David" w:hint="cs"/>
          <w:rtl/>
        </w:rPr>
        <w:t>,</w:t>
      </w:r>
      <w:r w:rsidRPr="00CB3BC2">
        <w:rPr>
          <w:rFonts w:ascii="David" w:hAnsi="David" w:hint="cs"/>
          <w:rtl/>
        </w:rPr>
        <w:t xml:space="preserve"> ולהתמיד בפגישותיו עם הפסיכיאט</w:t>
      </w:r>
      <w:r w:rsidRPr="00CB3BC2">
        <w:rPr>
          <w:rFonts w:ascii="David" w:hAnsi="David" w:hint="eastAsia"/>
          <w:rtl/>
        </w:rPr>
        <w:t>ר</w:t>
      </w:r>
      <w:r w:rsidRPr="00CB3BC2">
        <w:rPr>
          <w:rFonts w:ascii="David" w:hAnsi="David" w:hint="cs"/>
          <w:rtl/>
        </w:rPr>
        <w:t xml:space="preserve"> המטפל בו. הנאשם </w:t>
      </w:r>
      <w:r>
        <w:rPr>
          <w:rFonts w:ascii="David" w:hAnsi="David" w:hint="cs"/>
          <w:rtl/>
        </w:rPr>
        <w:t xml:space="preserve">הוסיף שככל ויוחלט על כך- יבצע את </w:t>
      </w:r>
      <w:r w:rsidRPr="00CB3BC2">
        <w:rPr>
          <w:rFonts w:ascii="David" w:hAnsi="David" w:hint="cs"/>
          <w:rtl/>
        </w:rPr>
        <w:t xml:space="preserve">צו </w:t>
      </w:r>
      <w:r>
        <w:rPr>
          <w:rFonts w:ascii="David" w:hAnsi="David" w:hint="cs"/>
          <w:rtl/>
        </w:rPr>
        <w:t>ה</w:t>
      </w:r>
      <w:r w:rsidRPr="00CB3BC2">
        <w:rPr>
          <w:rFonts w:ascii="David" w:hAnsi="David" w:hint="cs"/>
          <w:rtl/>
        </w:rPr>
        <w:t>של"צ</w:t>
      </w:r>
      <w:r>
        <w:rPr>
          <w:rFonts w:ascii="David" w:hAnsi="David" w:hint="cs"/>
          <w:rtl/>
        </w:rPr>
        <w:t xml:space="preserve"> כפי שיידרש ממנו</w:t>
      </w:r>
      <w:r w:rsidRPr="00CB3BC2">
        <w:rPr>
          <w:rFonts w:ascii="David" w:hAnsi="David" w:hint="cs"/>
          <w:rtl/>
        </w:rPr>
        <w:t>.</w:t>
      </w:r>
    </w:p>
    <w:p w14:paraId="65E53EF5" w14:textId="77777777" w:rsidR="00742183" w:rsidRDefault="00742183" w:rsidP="00742183">
      <w:pPr>
        <w:pStyle w:val="a9"/>
        <w:numPr>
          <w:ilvl w:val="0"/>
          <w:numId w:val="3"/>
        </w:numPr>
        <w:spacing w:after="300" w:line="360" w:lineRule="auto"/>
        <w:ind w:left="708" w:hanging="567"/>
        <w:contextualSpacing w:val="0"/>
        <w:jc w:val="both"/>
        <w:rPr>
          <w:rFonts w:ascii="David" w:hAnsi="David"/>
        </w:rPr>
      </w:pPr>
      <w:r>
        <w:rPr>
          <w:rFonts w:ascii="David" w:hAnsi="David" w:hint="cs"/>
          <w:rtl/>
        </w:rPr>
        <w:t xml:space="preserve">בפסיקה צוין לא אחת שבעונש השל"צ יש לעיתים כדי להפיק תוצאות טובות יותר למניעת פשיעה חוזרת מאשר בהטלת עונשי מאסר בפועל או בעבודות שירות. </w:t>
      </w:r>
    </w:p>
    <w:p w14:paraId="26AD26F4" w14:textId="77777777" w:rsidR="00742183" w:rsidRDefault="00742183" w:rsidP="00742183">
      <w:pPr>
        <w:pStyle w:val="a9"/>
        <w:numPr>
          <w:ilvl w:val="0"/>
          <w:numId w:val="3"/>
        </w:numPr>
        <w:spacing w:after="300" w:line="360" w:lineRule="auto"/>
        <w:ind w:left="708" w:hanging="567"/>
        <w:contextualSpacing w:val="0"/>
        <w:jc w:val="both"/>
        <w:rPr>
          <w:rFonts w:ascii="David" w:hAnsi="David"/>
        </w:rPr>
      </w:pPr>
      <w:r w:rsidRPr="00EF00BC">
        <w:rPr>
          <w:rFonts w:ascii="David" w:hAnsi="David"/>
          <w:rtl/>
        </w:rPr>
        <w:t>בפסה"ד ב</w:t>
      </w:r>
      <w:hyperlink r:id="rId55" w:history="1">
        <w:r w:rsidR="00880C44" w:rsidRPr="00880C44">
          <w:rPr>
            <w:rFonts w:ascii="David" w:hAnsi="David"/>
            <w:color w:val="0000FF"/>
            <w:u w:val="single"/>
            <w:rtl/>
          </w:rPr>
          <w:t>עת"מ 34952-06-11</w:t>
        </w:r>
      </w:hyperlink>
      <w:r w:rsidRPr="00EF00BC">
        <w:rPr>
          <w:rFonts w:ascii="David" w:hAnsi="David"/>
          <w:rtl/>
        </w:rPr>
        <w:t xml:space="preserve"> </w:t>
      </w:r>
      <w:r w:rsidRPr="00EF00BC">
        <w:rPr>
          <w:rFonts w:ascii="David" w:hAnsi="David"/>
          <w:b/>
          <w:bCs/>
          <w:rtl/>
        </w:rPr>
        <w:t>הוצאת עיתון הארץ בע"מ נ' שירות בתי הסוהר</w:t>
      </w:r>
      <w:r w:rsidRPr="00EF00BC">
        <w:rPr>
          <w:rFonts w:ascii="David" w:hAnsi="David"/>
          <w:rtl/>
        </w:rPr>
        <w:t xml:space="preserve"> (17.6.12) </w:t>
      </w:r>
      <w:r>
        <w:rPr>
          <w:rFonts w:ascii="David" w:hAnsi="David" w:hint="cs"/>
          <w:rtl/>
        </w:rPr>
        <w:t xml:space="preserve">צוין </w:t>
      </w:r>
      <w:r w:rsidRPr="00EF00BC">
        <w:rPr>
          <w:rFonts w:ascii="David" w:hAnsi="David"/>
          <w:rtl/>
        </w:rPr>
        <w:t xml:space="preserve">שהועדה לדרכי ענישה ולטיפול בעבריין, בראשות השופט חיים כהן ז"ל, המליצה על עונש השירות לתועלת הציבור, בין השאר במטרה לחנך את הנידון ולהקנות לו ערכי מוסר ועבודה לשירות הכלל. בדברי ההסבר להצעת </w:t>
      </w:r>
      <w:hyperlink r:id="rId56" w:history="1">
        <w:r w:rsidR="00880C44" w:rsidRPr="00880C44">
          <w:rPr>
            <w:rFonts w:ascii="David" w:hAnsi="David"/>
            <w:color w:val="0000FF"/>
            <w:u w:val="single"/>
            <w:rtl/>
          </w:rPr>
          <w:t>חוק העונשין</w:t>
        </w:r>
      </w:hyperlink>
      <w:r w:rsidRPr="00EF00BC">
        <w:rPr>
          <w:rFonts w:ascii="David" w:hAnsi="David"/>
          <w:rtl/>
        </w:rPr>
        <w:t xml:space="preserve"> (תיקון מס' 8), תשל"ח-1978, נאמר כי בשירות לתועלת הציבור, שהוא שירות לזולת, יש כדי לשרת את הרעיון של הטבת הנזק שגרם הנידון לחברה בעבירה שעבר, ועם זאת להקנות לו ערכים ובכך לתרום לשיקומו. </w:t>
      </w:r>
    </w:p>
    <w:p w14:paraId="5BBC3256" w14:textId="77777777" w:rsidR="00742183" w:rsidRPr="00EF00BC" w:rsidRDefault="00742183" w:rsidP="00742183">
      <w:pPr>
        <w:pStyle w:val="a9"/>
        <w:numPr>
          <w:ilvl w:val="0"/>
          <w:numId w:val="3"/>
        </w:numPr>
        <w:spacing w:after="300" w:line="360" w:lineRule="auto"/>
        <w:ind w:left="708" w:hanging="567"/>
        <w:contextualSpacing w:val="0"/>
        <w:jc w:val="both"/>
        <w:rPr>
          <w:rFonts w:ascii="David" w:hAnsi="David"/>
        </w:rPr>
      </w:pPr>
      <w:r w:rsidRPr="00EF00BC">
        <w:rPr>
          <w:rFonts w:ascii="David" w:hAnsi="David"/>
          <w:rtl/>
        </w:rPr>
        <w:t>ב</w:t>
      </w:r>
      <w:r>
        <w:rPr>
          <w:rFonts w:ascii="David" w:hAnsi="David" w:hint="cs"/>
          <w:rtl/>
        </w:rPr>
        <w:t xml:space="preserve">מסגרת </w:t>
      </w:r>
      <w:hyperlink r:id="rId57" w:history="1">
        <w:r w:rsidR="0044445D" w:rsidRPr="0044445D">
          <w:rPr>
            <w:rFonts w:ascii="David" w:hAnsi="David"/>
            <w:color w:val="0000FF"/>
            <w:u w:val="single"/>
            <w:rtl/>
          </w:rPr>
          <w:t>55303-03-17</w:t>
        </w:r>
      </w:hyperlink>
      <w:r w:rsidRPr="00EF00BC">
        <w:rPr>
          <w:rFonts w:ascii="David" w:hAnsi="David"/>
          <w:rtl/>
        </w:rPr>
        <w:t xml:space="preserve"> </w:t>
      </w:r>
      <w:r w:rsidRPr="001E6A99">
        <w:rPr>
          <w:rFonts w:ascii="David" w:hAnsi="David"/>
          <w:b/>
          <w:bCs/>
          <w:rtl/>
        </w:rPr>
        <w:t>מוסא דארי  נ' מדינת ישראל</w:t>
      </w:r>
      <w:r w:rsidRPr="00EF00BC">
        <w:rPr>
          <w:rFonts w:ascii="David" w:hAnsi="David"/>
          <w:rtl/>
        </w:rPr>
        <w:t xml:space="preserve"> (17.5.17) </w:t>
      </w:r>
      <w:r>
        <w:rPr>
          <w:rFonts w:ascii="David" w:hAnsi="David" w:hint="cs"/>
          <w:rtl/>
        </w:rPr>
        <w:t>ציין</w:t>
      </w:r>
      <w:r w:rsidRPr="00EF00BC">
        <w:rPr>
          <w:rFonts w:ascii="David" w:hAnsi="David"/>
          <w:rtl/>
        </w:rPr>
        <w:t xml:space="preserve"> כב' השופט ד"ר שפירא ששיקול הדעת המסור לבית המשפט מכוח הוראות החוק מחייב את ביהמ"ש לבחון האם הנאשם השתקם או שקיים סיכוי ממשי שישתקם. "דו"ח ועדת דורנר קובע כי אין טעם בניסיון לקדם את ההרתעה באמצעות הרחבת השימוש במאסרים או באמצעות שימוש במאסרים ממושכים יותר. הדו"ח מצביע על כך שבמקרים המתאימים, שיקום בקהילה באמצעות ענישה שנעה בין עבודות שירות לצווי מבחן ושירות למען הציבור צפוי להפיק תוצאות טובות יותר מאשר שימוש נרחב יותר במאסרים".</w:t>
      </w:r>
    </w:p>
    <w:p w14:paraId="5DE3E2F5" w14:textId="77777777" w:rsidR="00742183" w:rsidRDefault="00742183" w:rsidP="00742183">
      <w:pPr>
        <w:pStyle w:val="a9"/>
        <w:numPr>
          <w:ilvl w:val="0"/>
          <w:numId w:val="3"/>
        </w:numPr>
        <w:spacing w:after="300" w:line="360" w:lineRule="auto"/>
        <w:ind w:left="708" w:hanging="567"/>
        <w:contextualSpacing w:val="0"/>
        <w:jc w:val="both"/>
        <w:rPr>
          <w:rFonts w:ascii="David" w:hAnsi="David"/>
        </w:rPr>
      </w:pPr>
      <w:r w:rsidRPr="00CB3BC2">
        <w:rPr>
          <w:rFonts w:ascii="David" w:hAnsi="David" w:hint="cs"/>
          <w:rtl/>
        </w:rPr>
        <w:t xml:space="preserve">בנסיבות </w:t>
      </w:r>
      <w:r>
        <w:rPr>
          <w:rFonts w:ascii="David" w:hAnsi="David" w:hint="cs"/>
          <w:rtl/>
        </w:rPr>
        <w:t>ה</w:t>
      </w:r>
      <w:r w:rsidRPr="00CB3BC2">
        <w:rPr>
          <w:rFonts w:ascii="David" w:hAnsi="David" w:hint="cs"/>
          <w:rtl/>
        </w:rPr>
        <w:t xml:space="preserve">מקרה </w:t>
      </w:r>
      <w:r>
        <w:rPr>
          <w:rFonts w:ascii="David" w:hAnsi="David" w:hint="cs"/>
          <w:rtl/>
        </w:rPr>
        <w:t>שלפני שוכנעתי, נוכח מצבו החמור של הנאשם, שבקבלת המלצת שירות המבחן, ייעשה איזון ראוי יותר בין שיקולי ההרתעה למול שיקולי השיקום של הנאשם, וסבורני</w:t>
      </w:r>
      <w:r w:rsidRPr="00CB3BC2">
        <w:rPr>
          <w:rFonts w:ascii="David" w:hAnsi="David" w:hint="cs"/>
          <w:rtl/>
        </w:rPr>
        <w:t xml:space="preserve"> כי יש להעדיף אפיק עונשי התואם את מ</w:t>
      </w:r>
      <w:r>
        <w:rPr>
          <w:rFonts w:ascii="David" w:hAnsi="David" w:hint="cs"/>
          <w:rtl/>
        </w:rPr>
        <w:t xml:space="preserve">צבו </w:t>
      </w:r>
      <w:r w:rsidRPr="00CB3BC2">
        <w:rPr>
          <w:rFonts w:ascii="David" w:hAnsi="David" w:hint="cs"/>
          <w:rtl/>
        </w:rPr>
        <w:t>של הנאשם</w:t>
      </w:r>
      <w:r>
        <w:rPr>
          <w:rFonts w:ascii="David" w:hAnsi="David" w:hint="cs"/>
          <w:rtl/>
        </w:rPr>
        <w:t xml:space="preserve"> כעת</w:t>
      </w:r>
      <w:r w:rsidRPr="00CB3BC2">
        <w:rPr>
          <w:rFonts w:ascii="David" w:hAnsi="David" w:hint="cs"/>
          <w:rtl/>
        </w:rPr>
        <w:t xml:space="preserve">. </w:t>
      </w:r>
      <w:r>
        <w:rPr>
          <w:rFonts w:ascii="David" w:hAnsi="David" w:hint="cs"/>
          <w:rtl/>
        </w:rPr>
        <w:t>הטלת עונש מאסר בנסיבות מקרה זה, נוכח מצבו של הנאשם, תפר את האיזון הראוי בין שיקולי הענישה השונים, ותביא לפגיעה משמעותית בנאשם, וממילא תחבל באופן סופי בסיכוי לשקמו. ע</w:t>
      </w:r>
      <w:r w:rsidRPr="00CB3BC2">
        <w:rPr>
          <w:rFonts w:ascii="David" w:hAnsi="David" w:hint="cs"/>
          <w:rtl/>
        </w:rPr>
        <w:t>מדה זו כאמור מקבלת אישוש בהמלצת שרות המבחן</w:t>
      </w:r>
      <w:r>
        <w:rPr>
          <w:rFonts w:ascii="David" w:hAnsi="David" w:hint="cs"/>
          <w:rtl/>
        </w:rPr>
        <w:t xml:space="preserve">, ועל כן אני מוצא לנכון להורות על רכיב עונשי </w:t>
      </w:r>
      <w:r w:rsidRPr="00CB3BC2">
        <w:rPr>
          <w:rFonts w:ascii="David" w:hAnsi="David" w:hint="cs"/>
          <w:rtl/>
        </w:rPr>
        <w:t>שאינו כולל מאסר</w:t>
      </w:r>
      <w:r>
        <w:rPr>
          <w:rFonts w:ascii="David" w:hAnsi="David" w:hint="cs"/>
          <w:rtl/>
        </w:rPr>
        <w:t>,</w:t>
      </w:r>
      <w:r w:rsidRPr="00CB3BC2">
        <w:rPr>
          <w:rFonts w:ascii="David" w:hAnsi="David" w:hint="cs"/>
          <w:rtl/>
        </w:rPr>
        <w:t xml:space="preserve"> </w:t>
      </w:r>
      <w:r>
        <w:rPr>
          <w:rFonts w:ascii="David" w:hAnsi="David" w:hint="cs"/>
          <w:rtl/>
        </w:rPr>
        <w:t xml:space="preserve">אף לא </w:t>
      </w:r>
      <w:r w:rsidRPr="00CB3BC2">
        <w:rPr>
          <w:rFonts w:ascii="David" w:hAnsi="David" w:hint="cs"/>
          <w:rtl/>
        </w:rPr>
        <w:t xml:space="preserve">בדרך של עבודות שירות.   </w:t>
      </w:r>
    </w:p>
    <w:p w14:paraId="0A86C96B" w14:textId="77777777" w:rsidR="00742183" w:rsidRPr="00CB3BC2" w:rsidRDefault="00742183" w:rsidP="00742183">
      <w:pPr>
        <w:pStyle w:val="a9"/>
        <w:spacing w:after="300" w:line="360" w:lineRule="auto"/>
        <w:ind w:left="708" w:hanging="567"/>
        <w:contextualSpacing w:val="0"/>
        <w:jc w:val="both"/>
        <w:rPr>
          <w:rFonts w:ascii="David" w:hAnsi="David"/>
        </w:rPr>
      </w:pPr>
      <w:r w:rsidRPr="00CB3BC2">
        <w:rPr>
          <w:rFonts w:ascii="David" w:hAnsi="David" w:hint="cs"/>
          <w:b/>
          <w:bCs/>
          <w:rtl/>
        </w:rPr>
        <w:t>ג</w:t>
      </w:r>
      <w:r w:rsidRPr="00CB3BC2">
        <w:rPr>
          <w:rFonts w:ascii="David" w:hAnsi="David"/>
          <w:b/>
          <w:bCs/>
          <w:rtl/>
        </w:rPr>
        <w:t>זירת העונש המתאים לנאשם:</w:t>
      </w:r>
    </w:p>
    <w:p w14:paraId="6FE9BD5F" w14:textId="77777777" w:rsidR="00742183" w:rsidRPr="00CB3BC2" w:rsidRDefault="00742183" w:rsidP="00742183">
      <w:pPr>
        <w:pStyle w:val="a9"/>
        <w:numPr>
          <w:ilvl w:val="0"/>
          <w:numId w:val="3"/>
        </w:numPr>
        <w:spacing w:after="300" w:line="360" w:lineRule="auto"/>
        <w:ind w:left="708" w:hanging="567"/>
        <w:contextualSpacing w:val="0"/>
        <w:jc w:val="both"/>
        <w:rPr>
          <w:rFonts w:ascii="David" w:hAnsi="David"/>
          <w:rtl/>
        </w:rPr>
      </w:pPr>
      <w:r w:rsidRPr="00CB3BC2">
        <w:rPr>
          <w:rFonts w:ascii="David" w:hAnsi="David"/>
          <w:rtl/>
        </w:rPr>
        <w:t xml:space="preserve">בגזירת העונש המתאים לנאשם, יש להתחשב בנסיבות שאינן קשורות בביצוע העבירה (סעיף  </w:t>
      </w:r>
      <w:hyperlink r:id="rId58" w:history="1">
        <w:r w:rsidR="00CD5A72" w:rsidRPr="00CD5A72">
          <w:rPr>
            <w:rStyle w:val="Hyperlink"/>
            <w:rFonts w:ascii="David" w:hAnsi="David"/>
            <w:rtl/>
          </w:rPr>
          <w:t>40 יא'</w:t>
        </w:r>
      </w:hyperlink>
      <w:r w:rsidRPr="00CB3BC2">
        <w:rPr>
          <w:rFonts w:ascii="David" w:hAnsi="David"/>
          <w:rtl/>
        </w:rPr>
        <w:t xml:space="preserve">). במסגרת זו מן הראוי לתת את הדעת לנסיבות הבאות: הנאשם כבן </w:t>
      </w:r>
      <w:r w:rsidRPr="00CB3BC2">
        <w:rPr>
          <w:rFonts w:ascii="David" w:hAnsi="David" w:hint="cs"/>
          <w:rtl/>
        </w:rPr>
        <w:t xml:space="preserve">29 נעדר עבר פלילי. </w:t>
      </w:r>
      <w:r w:rsidRPr="00CB3BC2">
        <w:rPr>
          <w:rFonts w:ascii="David" w:hAnsi="David"/>
          <w:rtl/>
        </w:rPr>
        <w:t xml:space="preserve">הנאשם נטל אחריות בבית המשפט ואף </w:t>
      </w:r>
      <w:r w:rsidRPr="00CB3BC2">
        <w:rPr>
          <w:rFonts w:ascii="David" w:hAnsi="David" w:hint="cs"/>
          <w:rtl/>
        </w:rPr>
        <w:t xml:space="preserve">צירף שני תיקים נוספים שהיו תלויים ועומדים נגדו. הבאתי בחשבון את חלוף הזמן מעת ביצוען של העבירות, (שלוש שנים וחצי מאז ביצוען של עבירות הסחר), ולקשר בין עבירות אלו לעבירות הנוספות בהן הורשע הנאשם. בנוסף לקחתי בחשבון את מעצרו של הנאשם במסגרת תיק זה, ואת משך תנאי מעצר הבית בהן שהה לאחר מכן.  </w:t>
      </w:r>
    </w:p>
    <w:p w14:paraId="7512EBDB" w14:textId="77777777" w:rsidR="00742183" w:rsidRPr="00143001" w:rsidRDefault="00742183" w:rsidP="00742183">
      <w:pPr>
        <w:numPr>
          <w:ilvl w:val="0"/>
          <w:numId w:val="1"/>
        </w:numPr>
        <w:spacing w:after="300" w:line="360" w:lineRule="auto"/>
        <w:ind w:hanging="579"/>
        <w:jc w:val="both"/>
        <w:rPr>
          <w:rFonts w:ascii="David" w:hAnsi="David"/>
          <w:rtl/>
        </w:rPr>
      </w:pPr>
      <w:r w:rsidRPr="00143001">
        <w:rPr>
          <w:rFonts w:ascii="David" w:hAnsi="David"/>
          <w:rtl/>
        </w:rPr>
        <w:t xml:space="preserve">באיזון בין השיקולים השונים סבורני כי  ישנו מקום לגזור על הנאשם עונש הכולל צו של"צ בהיקף שעות </w:t>
      </w:r>
      <w:r>
        <w:rPr>
          <w:rFonts w:ascii="David" w:hAnsi="David" w:hint="cs"/>
          <w:rtl/>
        </w:rPr>
        <w:t>נ</w:t>
      </w:r>
      <w:r w:rsidRPr="00143001">
        <w:rPr>
          <w:rFonts w:ascii="David" w:hAnsi="David"/>
          <w:rtl/>
        </w:rPr>
        <w:t>רחב, זאת לצד עונשים נלווים כפי שיפורט להלן.</w:t>
      </w:r>
    </w:p>
    <w:p w14:paraId="71EF249F" w14:textId="77777777" w:rsidR="00742183" w:rsidRPr="00F31B37" w:rsidRDefault="00742183" w:rsidP="00742183">
      <w:pPr>
        <w:pStyle w:val="a9"/>
        <w:numPr>
          <w:ilvl w:val="0"/>
          <w:numId w:val="2"/>
        </w:numPr>
        <w:spacing w:after="300" w:line="360" w:lineRule="auto"/>
        <w:ind w:left="1434" w:hanging="357"/>
        <w:contextualSpacing w:val="0"/>
        <w:jc w:val="both"/>
        <w:rPr>
          <w:rFonts w:ascii="David" w:hAnsi="David"/>
          <w:rtl/>
        </w:rPr>
      </w:pPr>
      <w:r w:rsidRPr="00F31B37">
        <w:rPr>
          <w:rFonts w:ascii="David" w:hAnsi="David"/>
          <w:rtl/>
        </w:rPr>
        <w:t>צו ש</w:t>
      </w:r>
      <w:r w:rsidRPr="00F31B37">
        <w:rPr>
          <w:rFonts w:ascii="David" w:hAnsi="David" w:hint="cs"/>
          <w:rtl/>
        </w:rPr>
        <w:t xml:space="preserve">ירות לתועלת הציבור </w:t>
      </w:r>
      <w:r w:rsidRPr="00F31B37">
        <w:rPr>
          <w:rFonts w:ascii="David" w:hAnsi="David"/>
          <w:rtl/>
        </w:rPr>
        <w:t xml:space="preserve">בהיקף </w:t>
      </w:r>
      <w:r w:rsidRPr="00F31B37">
        <w:rPr>
          <w:rFonts w:ascii="David" w:hAnsi="David" w:hint="cs"/>
          <w:rtl/>
        </w:rPr>
        <w:t>2</w:t>
      </w:r>
      <w:r w:rsidRPr="00F31B37">
        <w:rPr>
          <w:rFonts w:ascii="David" w:hAnsi="David"/>
          <w:rtl/>
        </w:rPr>
        <w:t xml:space="preserve">50 שעות בהתאם לתוכנית שתוגש על ידי שרות המבחן </w:t>
      </w:r>
      <w:r w:rsidRPr="00F31B37">
        <w:rPr>
          <w:rFonts w:ascii="David" w:hAnsi="David" w:hint="cs"/>
          <w:rtl/>
        </w:rPr>
        <w:t xml:space="preserve">לאישור בית המשפט </w:t>
      </w:r>
      <w:r w:rsidRPr="00F31B37">
        <w:rPr>
          <w:rFonts w:ascii="David" w:hAnsi="David"/>
          <w:rtl/>
        </w:rPr>
        <w:t>בתוך 60 יום.</w:t>
      </w:r>
    </w:p>
    <w:p w14:paraId="7E5CCF89" w14:textId="77777777" w:rsidR="00742183" w:rsidRDefault="00742183" w:rsidP="00742183">
      <w:pPr>
        <w:pStyle w:val="a9"/>
        <w:numPr>
          <w:ilvl w:val="0"/>
          <w:numId w:val="2"/>
        </w:numPr>
        <w:spacing w:after="300" w:line="360" w:lineRule="auto"/>
        <w:ind w:left="1434" w:hanging="357"/>
        <w:contextualSpacing w:val="0"/>
        <w:jc w:val="both"/>
        <w:rPr>
          <w:rFonts w:ascii="David" w:hAnsi="David"/>
        </w:rPr>
      </w:pPr>
      <w:r w:rsidRPr="00EF6F8A">
        <w:rPr>
          <w:rFonts w:ascii="David" w:hAnsi="David"/>
          <w:rtl/>
        </w:rPr>
        <w:t xml:space="preserve">אני דן את הנאשם למאסר למשך </w:t>
      </w:r>
      <w:r w:rsidRPr="00EF6F8A">
        <w:rPr>
          <w:rFonts w:ascii="David" w:hAnsi="David" w:hint="cs"/>
          <w:rtl/>
        </w:rPr>
        <w:t>5</w:t>
      </w:r>
      <w:r w:rsidRPr="00EF6F8A">
        <w:rPr>
          <w:rFonts w:ascii="David" w:hAnsi="David"/>
          <w:rtl/>
        </w:rPr>
        <w:t xml:space="preserve"> חודשים וזאת על תנאי למשך שלוש שנים </w:t>
      </w:r>
      <w:r w:rsidRPr="00EF6F8A">
        <w:rPr>
          <w:rFonts w:ascii="David" w:hAnsi="David" w:hint="cs"/>
          <w:rtl/>
        </w:rPr>
        <w:t xml:space="preserve">שלא יעבור עבירת פשע </w:t>
      </w:r>
      <w:r>
        <w:rPr>
          <w:rFonts w:ascii="David" w:hAnsi="David" w:hint="cs"/>
          <w:rtl/>
        </w:rPr>
        <w:t>מ</w:t>
      </w:r>
      <w:hyperlink r:id="rId59" w:history="1">
        <w:r w:rsidR="00880C44" w:rsidRPr="00880C44">
          <w:rPr>
            <w:rFonts w:ascii="David" w:hAnsi="David"/>
            <w:color w:val="0000FF"/>
            <w:u w:val="single"/>
            <w:rtl/>
          </w:rPr>
          <w:t>פקודת הסמים המסוכנים</w:t>
        </w:r>
      </w:hyperlink>
      <w:r w:rsidRPr="00EF6F8A">
        <w:rPr>
          <w:rFonts w:ascii="David" w:hAnsi="David"/>
          <w:rtl/>
        </w:rPr>
        <w:t>.</w:t>
      </w:r>
    </w:p>
    <w:p w14:paraId="4992AAA3" w14:textId="77777777" w:rsidR="00742183" w:rsidRDefault="00742183" w:rsidP="00742183">
      <w:pPr>
        <w:pStyle w:val="a9"/>
        <w:numPr>
          <w:ilvl w:val="0"/>
          <w:numId w:val="2"/>
        </w:numPr>
        <w:spacing w:after="300" w:line="360" w:lineRule="auto"/>
        <w:ind w:left="1434" w:hanging="357"/>
        <w:contextualSpacing w:val="0"/>
        <w:jc w:val="both"/>
        <w:rPr>
          <w:rFonts w:ascii="David" w:hAnsi="David"/>
        </w:rPr>
      </w:pPr>
      <w:r w:rsidRPr="00EF6F8A">
        <w:rPr>
          <w:rFonts w:ascii="David" w:hAnsi="David"/>
          <w:rtl/>
        </w:rPr>
        <w:t xml:space="preserve">אני דן את הנאשם למאסר למשך </w:t>
      </w:r>
      <w:r w:rsidRPr="00EF6F8A">
        <w:rPr>
          <w:rFonts w:ascii="David" w:hAnsi="David" w:hint="cs"/>
          <w:rtl/>
        </w:rPr>
        <w:t>2</w:t>
      </w:r>
      <w:r w:rsidRPr="00EF6F8A">
        <w:rPr>
          <w:rFonts w:ascii="David" w:hAnsi="David"/>
          <w:rtl/>
        </w:rPr>
        <w:t xml:space="preserve"> חודשים וזאת על תנאי למשך שלוש שנים </w:t>
      </w:r>
      <w:r w:rsidRPr="00EF6F8A">
        <w:rPr>
          <w:rFonts w:ascii="David" w:hAnsi="David" w:hint="cs"/>
          <w:rtl/>
        </w:rPr>
        <w:t xml:space="preserve">שלא יעבור עבירה מסוג עוון </w:t>
      </w:r>
      <w:r>
        <w:rPr>
          <w:rFonts w:ascii="David" w:hAnsi="David" w:hint="cs"/>
          <w:rtl/>
        </w:rPr>
        <w:t>מ</w:t>
      </w:r>
      <w:hyperlink r:id="rId60" w:history="1">
        <w:r w:rsidR="00880C44" w:rsidRPr="00880C44">
          <w:rPr>
            <w:rFonts w:ascii="David" w:hAnsi="David"/>
            <w:color w:val="0000FF"/>
            <w:u w:val="single"/>
            <w:rtl/>
          </w:rPr>
          <w:t>פקודת הסמים המסוכנים</w:t>
        </w:r>
      </w:hyperlink>
      <w:r>
        <w:rPr>
          <w:rFonts w:ascii="David" w:hAnsi="David" w:hint="cs"/>
          <w:rtl/>
        </w:rPr>
        <w:t>,</w:t>
      </w:r>
      <w:r w:rsidRPr="00EF6F8A">
        <w:rPr>
          <w:rFonts w:ascii="David" w:hAnsi="David" w:hint="cs"/>
          <w:rtl/>
        </w:rPr>
        <w:t xml:space="preserve"> או עבירה של הפרת הוראה חוקית</w:t>
      </w:r>
      <w:r>
        <w:rPr>
          <w:rFonts w:ascii="David" w:hAnsi="David" w:hint="cs"/>
          <w:rtl/>
        </w:rPr>
        <w:t>.</w:t>
      </w:r>
    </w:p>
    <w:p w14:paraId="1AA91066" w14:textId="77777777" w:rsidR="00742183" w:rsidRDefault="00742183" w:rsidP="00742183">
      <w:pPr>
        <w:pStyle w:val="a9"/>
        <w:numPr>
          <w:ilvl w:val="0"/>
          <w:numId w:val="2"/>
        </w:numPr>
        <w:spacing w:after="300" w:line="360" w:lineRule="auto"/>
        <w:ind w:left="1434" w:hanging="357"/>
        <w:contextualSpacing w:val="0"/>
        <w:jc w:val="both"/>
        <w:rPr>
          <w:rFonts w:ascii="David" w:hAnsi="David"/>
        </w:rPr>
      </w:pPr>
      <w:r w:rsidRPr="00EF6F8A">
        <w:rPr>
          <w:rFonts w:ascii="David" w:hAnsi="David"/>
          <w:rtl/>
        </w:rPr>
        <w:t>התחייבות בסך</w:t>
      </w:r>
      <w:r w:rsidRPr="00EF6F8A">
        <w:rPr>
          <w:rFonts w:ascii="David" w:hAnsi="David" w:hint="cs"/>
          <w:rtl/>
        </w:rPr>
        <w:t xml:space="preserve"> 3</w:t>
      </w:r>
      <w:r>
        <w:rPr>
          <w:rFonts w:ascii="David" w:hAnsi="David" w:hint="cs"/>
          <w:rtl/>
        </w:rPr>
        <w:t>,</w:t>
      </w:r>
      <w:r w:rsidRPr="00EF6F8A">
        <w:rPr>
          <w:rFonts w:ascii="David" w:hAnsi="David" w:hint="cs"/>
          <w:rtl/>
        </w:rPr>
        <w:t>500</w:t>
      </w:r>
      <w:r>
        <w:rPr>
          <w:rFonts w:ascii="David" w:hAnsi="David" w:hint="cs"/>
          <w:rtl/>
        </w:rPr>
        <w:t xml:space="preserve"> ₪</w:t>
      </w:r>
      <w:r w:rsidRPr="00EF6F8A">
        <w:rPr>
          <w:rFonts w:ascii="David" w:hAnsi="David" w:hint="cs"/>
          <w:rtl/>
        </w:rPr>
        <w:t xml:space="preserve"> </w:t>
      </w:r>
      <w:r w:rsidRPr="00EF6F8A">
        <w:rPr>
          <w:rFonts w:ascii="David" w:hAnsi="David"/>
          <w:rtl/>
        </w:rPr>
        <w:t>שלא לעבור את עביר</w:t>
      </w:r>
      <w:r w:rsidRPr="00EF6F8A">
        <w:rPr>
          <w:rFonts w:ascii="David" w:hAnsi="David" w:hint="cs"/>
          <w:rtl/>
        </w:rPr>
        <w:t>ה בניגוד ל</w:t>
      </w:r>
      <w:hyperlink r:id="rId61" w:history="1">
        <w:r w:rsidR="00880C44" w:rsidRPr="00880C44">
          <w:rPr>
            <w:rFonts w:ascii="David" w:hAnsi="David"/>
            <w:color w:val="0000FF"/>
            <w:u w:val="single"/>
            <w:rtl/>
          </w:rPr>
          <w:t>פקודת הסמים המסוכנים</w:t>
        </w:r>
      </w:hyperlink>
      <w:r w:rsidRPr="00EF6F8A">
        <w:rPr>
          <w:rFonts w:ascii="David" w:hAnsi="David" w:hint="cs"/>
          <w:rtl/>
        </w:rPr>
        <w:t xml:space="preserve"> וזאת </w:t>
      </w:r>
      <w:r w:rsidRPr="00EF6F8A">
        <w:rPr>
          <w:rFonts w:ascii="David" w:hAnsi="David"/>
          <w:rtl/>
        </w:rPr>
        <w:t>למשך שנתיים</w:t>
      </w:r>
      <w:r w:rsidRPr="00EF6F8A">
        <w:rPr>
          <w:rFonts w:ascii="David" w:hAnsi="David" w:hint="cs"/>
          <w:rtl/>
        </w:rPr>
        <w:t xml:space="preserve"> מהיום</w:t>
      </w:r>
      <w:r>
        <w:rPr>
          <w:rFonts w:ascii="David" w:hAnsi="David" w:hint="cs"/>
          <w:rtl/>
        </w:rPr>
        <w:t>, שלא יעבור עבירה מפקודת הסמים המסוכנים</w:t>
      </w:r>
      <w:r w:rsidRPr="00EF6F8A">
        <w:rPr>
          <w:rFonts w:ascii="David" w:hAnsi="David"/>
          <w:rtl/>
        </w:rPr>
        <w:t>.</w:t>
      </w:r>
    </w:p>
    <w:p w14:paraId="62E6E315" w14:textId="77777777" w:rsidR="00742183" w:rsidRDefault="00742183" w:rsidP="00742183">
      <w:pPr>
        <w:pStyle w:val="a9"/>
        <w:numPr>
          <w:ilvl w:val="0"/>
          <w:numId w:val="2"/>
        </w:numPr>
        <w:spacing w:after="300" w:line="360" w:lineRule="auto"/>
        <w:ind w:left="1434" w:hanging="357"/>
        <w:contextualSpacing w:val="0"/>
        <w:jc w:val="both"/>
        <w:rPr>
          <w:rFonts w:ascii="David" w:hAnsi="David"/>
        </w:rPr>
      </w:pPr>
      <w:r>
        <w:rPr>
          <w:rFonts w:ascii="David" w:hAnsi="David" w:hint="cs"/>
          <w:rtl/>
        </w:rPr>
        <w:t>ככל וקיימות הפקדות בתיק -ניתן להשיבן לאביו של הנאשם, וזאת בכפוף לכל דין.</w:t>
      </w:r>
    </w:p>
    <w:p w14:paraId="4EA28827" w14:textId="77777777" w:rsidR="00742183" w:rsidRPr="00B778C6" w:rsidRDefault="00742183" w:rsidP="00742183">
      <w:pPr>
        <w:spacing w:after="300" w:line="360" w:lineRule="auto"/>
        <w:jc w:val="both"/>
        <w:rPr>
          <w:rFonts w:ascii="David" w:hAnsi="David"/>
          <w:b/>
          <w:bCs/>
        </w:rPr>
      </w:pPr>
      <w:r w:rsidRPr="00B778C6">
        <w:rPr>
          <w:rFonts w:ascii="David" w:hAnsi="David" w:hint="cs"/>
          <w:b/>
          <w:bCs/>
          <w:rtl/>
        </w:rPr>
        <w:t>זכות ערעור לבית המשפט המחוזי בתוך 45 יום.</w:t>
      </w:r>
    </w:p>
    <w:p w14:paraId="4C4E0CBF" w14:textId="77777777" w:rsidR="00742183" w:rsidRDefault="00742183" w:rsidP="00742183">
      <w:pPr>
        <w:spacing w:after="300" w:line="360" w:lineRule="auto"/>
        <w:jc w:val="both"/>
        <w:rPr>
          <w:rFonts w:ascii="David" w:hAnsi="David"/>
          <w:b/>
          <w:bCs/>
          <w:u w:val="single"/>
          <w:rtl/>
        </w:rPr>
      </w:pPr>
      <w:r w:rsidRPr="00B778C6">
        <w:rPr>
          <w:rFonts w:ascii="David" w:hAnsi="David" w:hint="cs"/>
          <w:b/>
          <w:bCs/>
          <w:u w:val="single"/>
          <w:rtl/>
        </w:rPr>
        <w:t>המזכירות תשלח העתק גזר הדין לשרות המבחן.</w:t>
      </w:r>
    </w:p>
    <w:p w14:paraId="694BC749" w14:textId="77777777" w:rsidR="00742183" w:rsidRPr="00EE6E4A" w:rsidRDefault="00880C44" w:rsidP="00742183">
      <w:pPr>
        <w:spacing w:after="300" w:line="360" w:lineRule="auto"/>
        <w:ind w:left="1080"/>
        <w:jc w:val="both"/>
        <w:rPr>
          <w:rFonts w:ascii="David" w:hAnsi="David"/>
          <w:b/>
          <w:bCs/>
          <w:u w:val="single"/>
          <w:rtl/>
        </w:rPr>
      </w:pPr>
      <w:bookmarkStart w:id="7" w:name="Nitan"/>
      <w:r w:rsidRPr="00880C44">
        <w:rPr>
          <w:rFonts w:ascii="Arial" w:hAnsi="Arial"/>
          <w:color w:val="FFFFFF"/>
          <w:sz w:val="2"/>
          <w:szCs w:val="2"/>
          <w:rtl/>
        </w:rPr>
        <w:t>5129371</w:t>
      </w:r>
      <w:r>
        <w:rPr>
          <w:rFonts w:ascii="Arial" w:hAnsi="Arial"/>
          <w:rtl/>
        </w:rPr>
        <w:t xml:space="preserve">ניתנה היום, י' חשוון תשפ"א, 28 אוקטובר 2020, בנוכחות המאשימה הנאשם ובא כוחו. </w:t>
      </w:r>
      <w:bookmarkEnd w:id="7"/>
    </w:p>
    <w:p w14:paraId="1B293BCD" w14:textId="77777777" w:rsidR="00742183" w:rsidRPr="00880C44" w:rsidRDefault="00880C44" w:rsidP="00742183">
      <w:pPr>
        <w:spacing w:after="300" w:line="360" w:lineRule="auto"/>
        <w:ind w:left="1080"/>
        <w:jc w:val="both"/>
        <w:rPr>
          <w:rFonts w:ascii="David" w:hAnsi="David"/>
          <w:b/>
          <w:bCs/>
          <w:color w:val="FFFFFF"/>
          <w:sz w:val="2"/>
          <w:szCs w:val="2"/>
          <w:u w:val="single"/>
          <w:rtl/>
        </w:rPr>
      </w:pPr>
      <w:r w:rsidRPr="00880C44">
        <w:rPr>
          <w:rFonts w:ascii="David" w:hAnsi="David"/>
          <w:b/>
          <w:bCs/>
          <w:color w:val="FFFFFF"/>
          <w:sz w:val="2"/>
          <w:szCs w:val="2"/>
          <w:u w:val="single"/>
          <w:rtl/>
        </w:rPr>
        <w:t>54678313</w:t>
      </w:r>
    </w:p>
    <w:p w14:paraId="17E7D9C1" w14:textId="77777777" w:rsidR="00742183" w:rsidRDefault="00742183" w:rsidP="00880C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4997005" w14:textId="77777777" w:rsidR="00742183" w:rsidRDefault="00742183" w:rsidP="00742183">
      <w:pPr>
        <w:jc w:val="center"/>
        <w:rPr>
          <w:rFonts w:ascii="Arial" w:hAnsi="Arial" w:cs="FrankRuehl"/>
          <w:sz w:val="28"/>
          <w:szCs w:val="28"/>
          <w:rtl/>
        </w:rPr>
      </w:pPr>
    </w:p>
    <w:p w14:paraId="7D6B3E6A" w14:textId="77777777" w:rsidR="00742183" w:rsidRDefault="00742183" w:rsidP="00742183">
      <w:pPr>
        <w:rPr>
          <w:rFonts w:cs="FrankRuehl"/>
          <w:sz w:val="28"/>
          <w:szCs w:val="28"/>
          <w:rtl/>
        </w:rPr>
      </w:pPr>
    </w:p>
    <w:p w14:paraId="1646571B" w14:textId="77777777" w:rsidR="00742183" w:rsidRDefault="00742183" w:rsidP="00742183">
      <w:pPr>
        <w:pStyle w:val="a3"/>
        <w:jc w:val="center"/>
        <w:rPr>
          <w:rtl/>
        </w:rPr>
      </w:pPr>
    </w:p>
    <w:p w14:paraId="23885E2F" w14:textId="77777777" w:rsidR="003677D3" w:rsidRPr="00880C44" w:rsidRDefault="003677D3" w:rsidP="00880C44">
      <w:pPr>
        <w:keepNext/>
        <w:rPr>
          <w:rFonts w:ascii="David" w:hAnsi="David"/>
          <w:color w:val="000000"/>
          <w:sz w:val="22"/>
          <w:szCs w:val="22"/>
          <w:rtl/>
        </w:rPr>
      </w:pPr>
    </w:p>
    <w:p w14:paraId="4191ED77" w14:textId="77777777" w:rsidR="00880C44" w:rsidRPr="00880C44" w:rsidRDefault="00880C44" w:rsidP="00880C44">
      <w:pPr>
        <w:keepNext/>
        <w:rPr>
          <w:rFonts w:ascii="David" w:hAnsi="David"/>
          <w:color w:val="000000"/>
          <w:sz w:val="22"/>
          <w:szCs w:val="22"/>
          <w:rtl/>
        </w:rPr>
      </w:pPr>
      <w:r w:rsidRPr="00880C44">
        <w:rPr>
          <w:rFonts w:ascii="David" w:hAnsi="David"/>
          <w:color w:val="000000"/>
          <w:sz w:val="22"/>
          <w:szCs w:val="22"/>
          <w:rtl/>
        </w:rPr>
        <w:t>ארנון איתן 54678313</w:t>
      </w:r>
    </w:p>
    <w:p w14:paraId="164FD782" w14:textId="77777777" w:rsidR="00880C44" w:rsidRDefault="00880C44" w:rsidP="00880C44">
      <w:r w:rsidRPr="00880C44">
        <w:rPr>
          <w:color w:val="000000"/>
          <w:rtl/>
        </w:rPr>
        <w:t>נוסח מסמך זה כפוף לשינויי ניסוח ועריכה</w:t>
      </w:r>
    </w:p>
    <w:p w14:paraId="100B5193" w14:textId="77777777" w:rsidR="00880C44" w:rsidRDefault="00880C44" w:rsidP="00880C44">
      <w:pPr>
        <w:rPr>
          <w:rtl/>
        </w:rPr>
      </w:pPr>
    </w:p>
    <w:p w14:paraId="1D45227C" w14:textId="77777777" w:rsidR="00880C44" w:rsidRDefault="00880C44" w:rsidP="00880C44">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0048BDBA" w14:textId="77777777" w:rsidR="00880C44" w:rsidRPr="00880C44" w:rsidRDefault="00880C44" w:rsidP="00880C44">
      <w:pPr>
        <w:jc w:val="center"/>
        <w:rPr>
          <w:color w:val="0000FF"/>
          <w:u w:val="single"/>
        </w:rPr>
      </w:pPr>
    </w:p>
    <w:sectPr w:rsidR="00880C44" w:rsidRPr="00880C44" w:rsidSect="00880C44">
      <w:headerReference w:type="even" r:id="rId63"/>
      <w:headerReference w:type="default" r:id="rId64"/>
      <w:footerReference w:type="even" r:id="rId65"/>
      <w:footerReference w:type="default" r:id="rId6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AA72B" w14:textId="77777777" w:rsidR="001A55F4" w:rsidRDefault="001A55F4" w:rsidP="00A55CC4">
      <w:r>
        <w:separator/>
      </w:r>
    </w:p>
  </w:endnote>
  <w:endnote w:type="continuationSeparator" w:id="0">
    <w:p w14:paraId="7EC03CDB" w14:textId="77777777" w:rsidR="001A55F4" w:rsidRDefault="001A55F4" w:rsidP="00A5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4199B" w14:textId="77777777" w:rsidR="00880C44" w:rsidRDefault="00880C44" w:rsidP="00880C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C7263A" w14:textId="77777777" w:rsidR="0048675B" w:rsidRPr="00880C44" w:rsidRDefault="00880C44" w:rsidP="00880C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C7FA" w14:textId="77777777" w:rsidR="00880C44" w:rsidRDefault="00880C44" w:rsidP="00880C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1094">
      <w:rPr>
        <w:rFonts w:ascii="FrankRuehl" w:hAnsi="FrankRuehl" w:cs="FrankRuehl"/>
        <w:noProof/>
        <w:rtl/>
      </w:rPr>
      <w:t>1</w:t>
    </w:r>
    <w:r>
      <w:rPr>
        <w:rFonts w:ascii="FrankRuehl" w:hAnsi="FrankRuehl" w:cs="FrankRuehl"/>
        <w:rtl/>
      </w:rPr>
      <w:fldChar w:fldCharType="end"/>
    </w:r>
  </w:p>
  <w:p w14:paraId="5EE8816F" w14:textId="77777777" w:rsidR="0048675B" w:rsidRPr="00880C44" w:rsidRDefault="00880C44" w:rsidP="00880C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49A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B3C65" w14:textId="77777777" w:rsidR="001A55F4" w:rsidRDefault="001A55F4" w:rsidP="00A55CC4">
      <w:r>
        <w:separator/>
      </w:r>
    </w:p>
  </w:footnote>
  <w:footnote w:type="continuationSeparator" w:id="0">
    <w:p w14:paraId="20FDB3CF" w14:textId="77777777" w:rsidR="001A55F4" w:rsidRDefault="001A55F4" w:rsidP="00A55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4EB0" w14:textId="77777777" w:rsidR="00880C44" w:rsidRPr="00880C44" w:rsidRDefault="00880C44" w:rsidP="00880C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30197-04-17</w:t>
    </w:r>
    <w:r>
      <w:rPr>
        <w:rFonts w:ascii="David" w:hAnsi="David"/>
        <w:color w:val="000000"/>
        <w:sz w:val="22"/>
        <w:szCs w:val="22"/>
        <w:rtl/>
      </w:rPr>
      <w:tab/>
      <w:t xml:space="preserve"> מדינת ישראל נ' יוסף יוסי עמיאל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001F7" w14:textId="77777777" w:rsidR="00880C44" w:rsidRPr="00880C44" w:rsidRDefault="00880C44" w:rsidP="00880C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30197-04-17</w:t>
    </w:r>
    <w:r>
      <w:rPr>
        <w:rFonts w:ascii="David" w:hAnsi="David"/>
        <w:color w:val="000000"/>
        <w:sz w:val="22"/>
        <w:szCs w:val="22"/>
        <w:rtl/>
      </w:rPr>
      <w:tab/>
      <w:t xml:space="preserve"> מדינת ישראל נ' יוסף יוסי עמיאל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12E6F"/>
    <w:multiLevelType w:val="hybridMultilevel"/>
    <w:tmpl w:val="7E064762"/>
    <w:lvl w:ilvl="0" w:tplc="04090013">
      <w:start w:val="1"/>
      <w:numFmt w:val="hebrew1"/>
      <w:lvlText w:val="%1."/>
      <w:lvlJc w:val="center"/>
      <w:pPr>
        <w:ind w:left="369" w:hanging="360"/>
      </w:p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 w15:restartNumberingAfterBreak="0">
    <w:nsid w:val="36AB0105"/>
    <w:multiLevelType w:val="hybridMultilevel"/>
    <w:tmpl w:val="BA4C69A4"/>
    <w:lvl w:ilvl="0" w:tplc="04090013">
      <w:start w:val="1"/>
      <w:numFmt w:val="hebrew1"/>
      <w:lvlText w:val="%1."/>
      <w:lvlJc w:val="center"/>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38B1265A"/>
    <w:multiLevelType w:val="hybridMultilevel"/>
    <w:tmpl w:val="B296C6C8"/>
    <w:lvl w:ilvl="0" w:tplc="7200D8A4">
      <w:start w:val="2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F530A"/>
    <w:multiLevelType w:val="hybridMultilevel"/>
    <w:tmpl w:val="E7A8CA7C"/>
    <w:lvl w:ilvl="0" w:tplc="BF166902">
      <w:start w:val="4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7916952">
    <w:abstractNumId w:val="2"/>
  </w:num>
  <w:num w:numId="2" w16cid:durableId="617177345">
    <w:abstractNumId w:val="0"/>
  </w:num>
  <w:num w:numId="3" w16cid:durableId="540745382">
    <w:abstractNumId w:val="3"/>
  </w:num>
  <w:num w:numId="4" w16cid:durableId="187407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2183"/>
    <w:rsid w:val="001A55F4"/>
    <w:rsid w:val="003677D3"/>
    <w:rsid w:val="003A33AF"/>
    <w:rsid w:val="0044445D"/>
    <w:rsid w:val="0048675B"/>
    <w:rsid w:val="004B6D25"/>
    <w:rsid w:val="006D559C"/>
    <w:rsid w:val="006F7D92"/>
    <w:rsid w:val="00742183"/>
    <w:rsid w:val="00880C44"/>
    <w:rsid w:val="0090548A"/>
    <w:rsid w:val="00967BDE"/>
    <w:rsid w:val="00A0432A"/>
    <w:rsid w:val="00A55CC4"/>
    <w:rsid w:val="00A91094"/>
    <w:rsid w:val="00CD5A72"/>
    <w:rsid w:val="00EA68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12B335"/>
  <w15:chartTrackingRefBased/>
  <w15:docId w15:val="{46D4FE57-DB95-4AFC-ADC3-94E0AC85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21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42183"/>
    <w:pPr>
      <w:tabs>
        <w:tab w:val="center" w:pos="4153"/>
        <w:tab w:val="right" w:pos="8306"/>
      </w:tabs>
    </w:pPr>
  </w:style>
  <w:style w:type="character" w:customStyle="1" w:styleId="a4">
    <w:name w:val="כותרת עליונה תו"/>
    <w:link w:val="a3"/>
    <w:rsid w:val="00742183"/>
    <w:rPr>
      <w:rFonts w:ascii="Times New Roman" w:eastAsia="Times New Roman" w:hAnsi="Times New Roman" w:cs="David"/>
      <w:sz w:val="24"/>
      <w:szCs w:val="24"/>
    </w:rPr>
  </w:style>
  <w:style w:type="paragraph" w:styleId="a5">
    <w:name w:val="footer"/>
    <w:basedOn w:val="a"/>
    <w:link w:val="a6"/>
    <w:rsid w:val="00742183"/>
    <w:pPr>
      <w:tabs>
        <w:tab w:val="center" w:pos="4153"/>
        <w:tab w:val="right" w:pos="8306"/>
      </w:tabs>
    </w:pPr>
  </w:style>
  <w:style w:type="character" w:customStyle="1" w:styleId="a6">
    <w:name w:val="כותרת תחתונה תו"/>
    <w:link w:val="a5"/>
    <w:rsid w:val="00742183"/>
    <w:rPr>
      <w:rFonts w:ascii="Times New Roman" w:eastAsia="Times New Roman" w:hAnsi="Times New Roman" w:cs="David"/>
      <w:sz w:val="24"/>
      <w:szCs w:val="24"/>
    </w:rPr>
  </w:style>
  <w:style w:type="table" w:styleId="a7">
    <w:name w:val="Table Grid"/>
    <w:basedOn w:val="a1"/>
    <w:rsid w:val="007421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42183"/>
  </w:style>
  <w:style w:type="paragraph" w:styleId="a9">
    <w:name w:val="List Paragraph"/>
    <w:basedOn w:val="a"/>
    <w:qFormat/>
    <w:rsid w:val="00742183"/>
    <w:pPr>
      <w:ind w:left="720"/>
      <w:contextualSpacing/>
    </w:pPr>
  </w:style>
  <w:style w:type="character" w:styleId="Hyperlink">
    <w:name w:val="Hyperlink"/>
    <w:rsid w:val="00880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287.a" TargetMode="External"/><Relationship Id="rId34" Type="http://schemas.openxmlformats.org/officeDocument/2006/relationships/hyperlink" Target="http://www.nevo.co.il/case/5605484" TargetMode="External"/><Relationship Id="rId42" Type="http://schemas.openxmlformats.org/officeDocument/2006/relationships/hyperlink" Target="http://www.nevo.co.il/case/20199517" TargetMode="External"/><Relationship Id="rId47" Type="http://schemas.openxmlformats.org/officeDocument/2006/relationships/hyperlink" Target="http://www.nevo.co.il/case/6051623"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4654820"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0033641"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248620" TargetMode="External"/><Relationship Id="rId37" Type="http://schemas.openxmlformats.org/officeDocument/2006/relationships/hyperlink" Target="http://www.nevo.co.il/case/7012287" TargetMode="External"/><Relationship Id="rId40" Type="http://schemas.openxmlformats.org/officeDocument/2006/relationships/hyperlink" Target="http://www.nevo.co.il/case/24319534" TargetMode="External"/><Relationship Id="rId45" Type="http://schemas.openxmlformats.org/officeDocument/2006/relationships/hyperlink" Target="http://www.nevo.co.il/case/4914678" TargetMode="External"/><Relationship Id="rId53" Type="http://schemas.openxmlformats.org/officeDocument/2006/relationships/hyperlink" Target="http://www.nevo.co.il/case/7958246" TargetMode="External"/><Relationship Id="rId58" Type="http://schemas.openxmlformats.org/officeDocument/2006/relationships/hyperlink" Target="http://www.nevo.co.il/law/70301/40ja"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case/5786821" TargetMode="External"/><Relationship Id="rId35" Type="http://schemas.openxmlformats.org/officeDocument/2006/relationships/hyperlink" Target="http://www.nevo.co.il/case/24975541" TargetMode="External"/><Relationship Id="rId43" Type="http://schemas.openxmlformats.org/officeDocument/2006/relationships/hyperlink" Target="http://www.nevo.co.il/case/5605484" TargetMode="External"/><Relationship Id="rId48" Type="http://schemas.openxmlformats.org/officeDocument/2006/relationships/hyperlink" Target="http://www.nevo.co.il/case/24345650" TargetMode="External"/><Relationship Id="rId56" Type="http://schemas.openxmlformats.org/officeDocument/2006/relationships/hyperlink" Target="http://www.nevo.co.il/law/70301"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6314376" TargetMode="External"/><Relationship Id="rId38" Type="http://schemas.openxmlformats.org/officeDocument/2006/relationships/hyperlink" Target="http://www.nevo.co.il/case/11306079" TargetMode="External"/><Relationship Id="rId46" Type="http://schemas.openxmlformats.org/officeDocument/2006/relationships/hyperlink" Target="http://www.nevo.co.il/case/2903544" TargetMode="External"/><Relationship Id="rId59" Type="http://schemas.openxmlformats.org/officeDocument/2006/relationships/hyperlink" Target="http://www.nevo.co.il/law/4216" TargetMode="External"/><Relationship Id="rId67" Type="http://schemas.openxmlformats.org/officeDocument/2006/relationships/fontTable" Target="fontTable.xml"/><Relationship Id="rId20" Type="http://schemas.openxmlformats.org/officeDocument/2006/relationships/hyperlink" Target="http://www.nevo.co.il/law/4216/7.a.;7.c" TargetMode="External"/><Relationship Id="rId41" Type="http://schemas.openxmlformats.org/officeDocument/2006/relationships/hyperlink" Target="http://www.nevo.co.il/case/25053162" TargetMode="External"/><Relationship Id="rId54" Type="http://schemas.openxmlformats.org/officeDocument/2006/relationships/hyperlink" Target="http://www.nevo.co.il/law/70301"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0301/287.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477472" TargetMode="External"/><Relationship Id="rId49" Type="http://schemas.openxmlformats.org/officeDocument/2006/relationships/hyperlink" Target="http://www.nevo.co.il/case/21029216" TargetMode="External"/><Relationship Id="rId57" Type="http://schemas.openxmlformats.org/officeDocument/2006/relationships/hyperlink" Target="http://www.nevo.co.il/case/22355740"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726579" TargetMode="External"/><Relationship Id="rId44" Type="http://schemas.openxmlformats.org/officeDocument/2006/relationships/hyperlink" Target="http://www.nevo.co.il/case/5607304" TargetMode="External"/><Relationship Id="rId52" Type="http://schemas.openxmlformats.org/officeDocument/2006/relationships/hyperlink" Target="http://www.nevo.co.il/case/5681787" TargetMode="External"/><Relationship Id="rId60" Type="http://schemas.openxmlformats.org/officeDocument/2006/relationships/hyperlink" Target="http://www.nevo.co.il/law/421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4216/13;19" TargetMode="External"/><Relationship Id="rId39" Type="http://schemas.openxmlformats.org/officeDocument/2006/relationships/hyperlink" Target="http://www.nevo.co.il/case/112137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4943</Words>
  <Characters>24720</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29604</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8257637</vt:i4>
      </vt:variant>
      <vt:variant>
        <vt:i4>162</vt:i4>
      </vt:variant>
      <vt:variant>
        <vt:i4>0</vt:i4>
      </vt:variant>
      <vt:variant>
        <vt:i4>5</vt:i4>
      </vt:variant>
      <vt:variant>
        <vt:lpwstr>http://www.nevo.co.il/law/4216</vt:lpwstr>
      </vt:variant>
      <vt:variant>
        <vt:lpwstr/>
      </vt:variant>
      <vt:variant>
        <vt:i4>8257637</vt:i4>
      </vt:variant>
      <vt:variant>
        <vt:i4>159</vt:i4>
      </vt:variant>
      <vt:variant>
        <vt:i4>0</vt:i4>
      </vt:variant>
      <vt:variant>
        <vt:i4>5</vt:i4>
      </vt:variant>
      <vt:variant>
        <vt:lpwstr>http://www.nevo.co.il/law/4216</vt:lpwstr>
      </vt:variant>
      <vt:variant>
        <vt:lpwstr/>
      </vt:variant>
      <vt:variant>
        <vt:i4>8257637</vt:i4>
      </vt:variant>
      <vt:variant>
        <vt:i4>156</vt:i4>
      </vt:variant>
      <vt:variant>
        <vt:i4>0</vt:i4>
      </vt:variant>
      <vt:variant>
        <vt:i4>5</vt:i4>
      </vt:variant>
      <vt:variant>
        <vt:lpwstr>http://www.nevo.co.il/law/4216</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3145844</vt:i4>
      </vt:variant>
      <vt:variant>
        <vt:i4>150</vt:i4>
      </vt:variant>
      <vt:variant>
        <vt:i4>0</vt:i4>
      </vt:variant>
      <vt:variant>
        <vt:i4>5</vt:i4>
      </vt:variant>
      <vt:variant>
        <vt:lpwstr>http://www.nevo.co.il/case/22355740</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3735668</vt:i4>
      </vt:variant>
      <vt:variant>
        <vt:i4>144</vt:i4>
      </vt:variant>
      <vt:variant>
        <vt:i4>0</vt:i4>
      </vt:variant>
      <vt:variant>
        <vt:i4>5</vt:i4>
      </vt:variant>
      <vt:variant>
        <vt:lpwstr>http://www.nevo.co.il/case/4654820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3539057</vt:i4>
      </vt:variant>
      <vt:variant>
        <vt:i4>138</vt:i4>
      </vt:variant>
      <vt:variant>
        <vt:i4>0</vt:i4>
      </vt:variant>
      <vt:variant>
        <vt:i4>5</vt:i4>
      </vt:variant>
      <vt:variant>
        <vt:lpwstr>http://www.nevo.co.il/case/7958246</vt:lpwstr>
      </vt:variant>
      <vt:variant>
        <vt:lpwstr/>
      </vt:variant>
      <vt:variant>
        <vt:i4>3997819</vt:i4>
      </vt:variant>
      <vt:variant>
        <vt:i4>135</vt:i4>
      </vt:variant>
      <vt:variant>
        <vt:i4>0</vt:i4>
      </vt:variant>
      <vt:variant>
        <vt:i4>5</vt:i4>
      </vt:variant>
      <vt:variant>
        <vt:lpwstr>http://www.nevo.co.il/case/5681787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3801205</vt:i4>
      </vt:variant>
      <vt:variant>
        <vt:i4>126</vt:i4>
      </vt:variant>
      <vt:variant>
        <vt:i4>0</vt:i4>
      </vt:variant>
      <vt:variant>
        <vt:i4>5</vt:i4>
      </vt:variant>
      <vt:variant>
        <vt:lpwstr>http://www.nevo.co.il/case/21029216</vt:lpwstr>
      </vt:variant>
      <vt:variant>
        <vt:lpwstr/>
      </vt:variant>
      <vt:variant>
        <vt:i4>3211378</vt:i4>
      </vt:variant>
      <vt:variant>
        <vt:i4>123</vt:i4>
      </vt:variant>
      <vt:variant>
        <vt:i4>0</vt:i4>
      </vt:variant>
      <vt:variant>
        <vt:i4>5</vt:i4>
      </vt:variant>
      <vt:variant>
        <vt:lpwstr>http://www.nevo.co.il/case/24345650</vt:lpwstr>
      </vt:variant>
      <vt:variant>
        <vt:lpwstr/>
      </vt:variant>
      <vt:variant>
        <vt:i4>3539063</vt:i4>
      </vt:variant>
      <vt:variant>
        <vt:i4>120</vt:i4>
      </vt:variant>
      <vt:variant>
        <vt:i4>0</vt:i4>
      </vt:variant>
      <vt:variant>
        <vt:i4>5</vt:i4>
      </vt:variant>
      <vt:variant>
        <vt:lpwstr>http://www.nevo.co.il/case/6051623</vt:lpwstr>
      </vt:variant>
      <vt:variant>
        <vt:lpwstr/>
      </vt:variant>
      <vt:variant>
        <vt:i4>3342458</vt:i4>
      </vt:variant>
      <vt:variant>
        <vt:i4>117</vt:i4>
      </vt:variant>
      <vt:variant>
        <vt:i4>0</vt:i4>
      </vt:variant>
      <vt:variant>
        <vt:i4>5</vt:i4>
      </vt:variant>
      <vt:variant>
        <vt:lpwstr>http://www.nevo.co.il/case/2903544</vt:lpwstr>
      </vt:variant>
      <vt:variant>
        <vt:lpwstr/>
      </vt:variant>
      <vt:variant>
        <vt:i4>3866750</vt:i4>
      </vt:variant>
      <vt:variant>
        <vt:i4>114</vt:i4>
      </vt:variant>
      <vt:variant>
        <vt:i4>0</vt:i4>
      </vt:variant>
      <vt:variant>
        <vt:i4>5</vt:i4>
      </vt:variant>
      <vt:variant>
        <vt:lpwstr>http://www.nevo.co.il/case/4914678</vt:lpwstr>
      </vt:variant>
      <vt:variant>
        <vt:lpwstr/>
      </vt:variant>
      <vt:variant>
        <vt:i4>3276917</vt:i4>
      </vt:variant>
      <vt:variant>
        <vt:i4>111</vt:i4>
      </vt:variant>
      <vt:variant>
        <vt:i4>0</vt:i4>
      </vt:variant>
      <vt:variant>
        <vt:i4>5</vt:i4>
      </vt:variant>
      <vt:variant>
        <vt:lpwstr>http://www.nevo.co.il/case/5607304</vt:lpwstr>
      </vt:variant>
      <vt:variant>
        <vt:lpwstr/>
      </vt:variant>
      <vt:variant>
        <vt:i4>3473535</vt:i4>
      </vt:variant>
      <vt:variant>
        <vt:i4>108</vt:i4>
      </vt:variant>
      <vt:variant>
        <vt:i4>0</vt:i4>
      </vt:variant>
      <vt:variant>
        <vt:i4>5</vt:i4>
      </vt:variant>
      <vt:variant>
        <vt:lpwstr>http://www.nevo.co.il/case/5605484</vt:lpwstr>
      </vt:variant>
      <vt:variant>
        <vt:lpwstr/>
      </vt:variant>
      <vt:variant>
        <vt:i4>3866744</vt:i4>
      </vt:variant>
      <vt:variant>
        <vt:i4>105</vt:i4>
      </vt:variant>
      <vt:variant>
        <vt:i4>0</vt:i4>
      </vt:variant>
      <vt:variant>
        <vt:i4>5</vt:i4>
      </vt:variant>
      <vt:variant>
        <vt:lpwstr>http://www.nevo.co.il/case/20199517</vt:lpwstr>
      </vt:variant>
      <vt:variant>
        <vt:lpwstr/>
      </vt:variant>
      <vt:variant>
        <vt:i4>3604597</vt:i4>
      </vt:variant>
      <vt:variant>
        <vt:i4>102</vt:i4>
      </vt:variant>
      <vt:variant>
        <vt:i4>0</vt:i4>
      </vt:variant>
      <vt:variant>
        <vt:i4>5</vt:i4>
      </vt:variant>
      <vt:variant>
        <vt:lpwstr>http://www.nevo.co.il/case/25053162</vt:lpwstr>
      </vt:variant>
      <vt:variant>
        <vt:lpwstr/>
      </vt:variant>
      <vt:variant>
        <vt:i4>3866740</vt:i4>
      </vt:variant>
      <vt:variant>
        <vt:i4>99</vt:i4>
      </vt:variant>
      <vt:variant>
        <vt:i4>0</vt:i4>
      </vt:variant>
      <vt:variant>
        <vt:i4>5</vt:i4>
      </vt:variant>
      <vt:variant>
        <vt:lpwstr>http://www.nevo.co.il/case/24319534</vt:lpwstr>
      </vt:variant>
      <vt:variant>
        <vt:lpwstr/>
      </vt:variant>
      <vt:variant>
        <vt:i4>3145843</vt:i4>
      </vt:variant>
      <vt:variant>
        <vt:i4>96</vt:i4>
      </vt:variant>
      <vt:variant>
        <vt:i4>0</vt:i4>
      </vt:variant>
      <vt:variant>
        <vt:i4>5</vt:i4>
      </vt:variant>
      <vt:variant>
        <vt:lpwstr>http://www.nevo.co.il/case/11213700</vt:lpwstr>
      </vt:variant>
      <vt:variant>
        <vt:lpwstr/>
      </vt:variant>
      <vt:variant>
        <vt:i4>3342453</vt:i4>
      </vt:variant>
      <vt:variant>
        <vt:i4>93</vt:i4>
      </vt:variant>
      <vt:variant>
        <vt:i4>0</vt:i4>
      </vt:variant>
      <vt:variant>
        <vt:i4>5</vt:i4>
      </vt:variant>
      <vt:variant>
        <vt:lpwstr>http://www.nevo.co.il/case/11306079</vt:lpwstr>
      </vt:variant>
      <vt:variant>
        <vt:lpwstr/>
      </vt:variant>
      <vt:variant>
        <vt:i4>3342462</vt:i4>
      </vt:variant>
      <vt:variant>
        <vt:i4>90</vt:i4>
      </vt:variant>
      <vt:variant>
        <vt:i4>0</vt:i4>
      </vt:variant>
      <vt:variant>
        <vt:i4>5</vt:i4>
      </vt:variant>
      <vt:variant>
        <vt:lpwstr>http://www.nevo.co.il/case/7012287</vt:lpwstr>
      </vt:variant>
      <vt:variant>
        <vt:lpwstr/>
      </vt:variant>
      <vt:variant>
        <vt:i4>3539062</vt:i4>
      </vt:variant>
      <vt:variant>
        <vt:i4>87</vt:i4>
      </vt:variant>
      <vt:variant>
        <vt:i4>0</vt:i4>
      </vt:variant>
      <vt:variant>
        <vt:i4>5</vt:i4>
      </vt:variant>
      <vt:variant>
        <vt:lpwstr>http://www.nevo.co.il/case/21477472</vt:lpwstr>
      </vt:variant>
      <vt:variant>
        <vt:lpwstr/>
      </vt:variant>
      <vt:variant>
        <vt:i4>3801202</vt:i4>
      </vt:variant>
      <vt:variant>
        <vt:i4>84</vt:i4>
      </vt:variant>
      <vt:variant>
        <vt:i4>0</vt:i4>
      </vt:variant>
      <vt:variant>
        <vt:i4>5</vt:i4>
      </vt:variant>
      <vt:variant>
        <vt:lpwstr>http://www.nevo.co.il/case/24975541</vt:lpwstr>
      </vt:variant>
      <vt:variant>
        <vt:lpwstr/>
      </vt:variant>
      <vt:variant>
        <vt:i4>3473535</vt:i4>
      </vt:variant>
      <vt:variant>
        <vt:i4>81</vt:i4>
      </vt:variant>
      <vt:variant>
        <vt:i4>0</vt:i4>
      </vt:variant>
      <vt:variant>
        <vt:i4>5</vt:i4>
      </vt:variant>
      <vt:variant>
        <vt:lpwstr>http://www.nevo.co.il/case/5605484</vt:lpwstr>
      </vt:variant>
      <vt:variant>
        <vt:lpwstr/>
      </vt:variant>
      <vt:variant>
        <vt:i4>3276912</vt:i4>
      </vt:variant>
      <vt:variant>
        <vt:i4>78</vt:i4>
      </vt:variant>
      <vt:variant>
        <vt:i4>0</vt:i4>
      </vt:variant>
      <vt:variant>
        <vt:i4>5</vt:i4>
      </vt:variant>
      <vt:variant>
        <vt:lpwstr>http://www.nevo.co.il/case/26314376</vt:lpwstr>
      </vt:variant>
      <vt:variant>
        <vt:lpwstr/>
      </vt:variant>
      <vt:variant>
        <vt:i4>3407996</vt:i4>
      </vt:variant>
      <vt:variant>
        <vt:i4>75</vt:i4>
      </vt:variant>
      <vt:variant>
        <vt:i4>0</vt:i4>
      </vt:variant>
      <vt:variant>
        <vt:i4>5</vt:i4>
      </vt:variant>
      <vt:variant>
        <vt:lpwstr>http://www.nevo.co.il/case/6248620</vt:lpwstr>
      </vt:variant>
      <vt:variant>
        <vt:lpwstr/>
      </vt:variant>
      <vt:variant>
        <vt:i4>3866738</vt:i4>
      </vt:variant>
      <vt:variant>
        <vt:i4>72</vt:i4>
      </vt:variant>
      <vt:variant>
        <vt:i4>0</vt:i4>
      </vt:variant>
      <vt:variant>
        <vt:i4>5</vt:i4>
      </vt:variant>
      <vt:variant>
        <vt:lpwstr>http://www.nevo.co.il/case/5726579</vt:lpwstr>
      </vt:variant>
      <vt:variant>
        <vt:lpwstr/>
      </vt:variant>
      <vt:variant>
        <vt:i4>3407991</vt:i4>
      </vt:variant>
      <vt:variant>
        <vt:i4>69</vt:i4>
      </vt:variant>
      <vt:variant>
        <vt:i4>0</vt:i4>
      </vt:variant>
      <vt:variant>
        <vt:i4>5</vt:i4>
      </vt:variant>
      <vt:variant>
        <vt:lpwstr>http://www.nevo.co.il/case/5786821</vt:lpwstr>
      </vt:variant>
      <vt:variant>
        <vt:lpwstr/>
      </vt:variant>
      <vt:variant>
        <vt:i4>3473521</vt:i4>
      </vt:variant>
      <vt:variant>
        <vt:i4>66</vt:i4>
      </vt:variant>
      <vt:variant>
        <vt:i4>0</vt:i4>
      </vt:variant>
      <vt:variant>
        <vt:i4>5</vt:i4>
      </vt:variant>
      <vt:variant>
        <vt:lpwstr>http://www.nevo.co.il/case/20033641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4390992</vt:i4>
      </vt:variant>
      <vt:variant>
        <vt:i4>48</vt:i4>
      </vt:variant>
      <vt:variant>
        <vt:i4>0</vt:i4>
      </vt:variant>
      <vt:variant>
        <vt:i4>5</vt:i4>
      </vt:variant>
      <vt:variant>
        <vt:lpwstr>http://www.nevo.co.il/law/70301/287.a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5046344</vt:i4>
      </vt:variant>
      <vt:variant>
        <vt:i4>33</vt:i4>
      </vt:variant>
      <vt:variant>
        <vt:i4>0</vt:i4>
      </vt:variant>
      <vt:variant>
        <vt:i4>5</vt:i4>
      </vt:variant>
      <vt:variant>
        <vt:lpwstr>http://www.nevo.co.il/law/4216/13;19</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30197;36028;14862</vt:lpwstr>
  </property>
  <property fmtid="{D5CDD505-2E9C-101B-9397-08002B2CF9AE}" pid="6" name="NEWPARTB">
    <vt:lpwstr>04;10;01</vt:lpwstr>
  </property>
  <property fmtid="{D5CDD505-2E9C-101B-9397-08002B2CF9AE}" pid="7" name="NEWPARTC">
    <vt:lpwstr>17;18;20</vt:lpwstr>
  </property>
  <property fmtid="{D5CDD505-2E9C-101B-9397-08002B2CF9AE}" pid="8" name="APPELLANT">
    <vt:lpwstr>מדינת ישראל</vt:lpwstr>
  </property>
  <property fmtid="{D5CDD505-2E9C-101B-9397-08002B2CF9AE}" pid="9" name="APPELLEE">
    <vt:lpwstr>יוסף יוסי עמיאל</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20201028</vt:lpwstr>
  </property>
  <property fmtid="{D5CDD505-2E9C-101B-9397-08002B2CF9AE}" pid="13" name="TYPE_N_DATE">
    <vt:lpwstr>38020201028</vt:lpwstr>
  </property>
  <property fmtid="{D5CDD505-2E9C-101B-9397-08002B2CF9AE}" pid="14" name="WORDNUMPAGES">
    <vt:lpwstr>13</vt:lpwstr>
  </property>
  <property fmtid="{D5CDD505-2E9C-101B-9397-08002B2CF9AE}" pid="15" name="TYPE_ABS_DATE">
    <vt:lpwstr>380020201028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20033641;5786821;5726579;6248620;26314376;5605484:2;24975541;21477472;7012287;11306079;11213700;24319534;25053162;20199517;5607304;4914678;2903544;6051623;24345650;21029216;5681787;7958246;4654820;22355740</vt:lpwstr>
  </property>
  <property fmtid="{D5CDD505-2E9C-101B-9397-08002B2CF9AE}" pid="36" name="LAWLISTTMP1">
    <vt:lpwstr>4216/013;019;007.a;007.c</vt:lpwstr>
  </property>
  <property fmtid="{D5CDD505-2E9C-101B-9397-08002B2CF9AE}" pid="37" name="LAWLISTTMP2">
    <vt:lpwstr>70301/287.a:2;040b;40jc;040i;40ja</vt:lpwstr>
  </property>
</Properties>
</file>