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82CE5" w:rsidRPr="005865D5" w14:paraId="543B4D21" w14:textId="77777777" w:rsidTr="00756D07">
        <w:trPr>
          <w:trHeight w:hRule="exact" w:val="418"/>
          <w:jc w:val="center"/>
        </w:trPr>
        <w:tc>
          <w:tcPr>
            <w:tcW w:w="8721" w:type="dxa"/>
            <w:gridSpan w:val="2"/>
          </w:tcPr>
          <w:p w14:paraId="765FCCA8" w14:textId="77777777" w:rsidR="00882CE5" w:rsidRPr="005865D5" w:rsidRDefault="00882CE5" w:rsidP="005865D5">
            <w:pPr>
              <w:pStyle w:val="a3"/>
              <w:jc w:val="center"/>
              <w:rPr>
                <w:rFonts w:ascii="Tahoma" w:hAnsi="Tahoma" w:cs="Tahoma"/>
                <w:color w:val="000080"/>
                <w:rtl/>
              </w:rPr>
            </w:pPr>
            <w:bookmarkStart w:id="0" w:name="LastJudge"/>
            <w:r w:rsidRPr="005865D5">
              <w:rPr>
                <w:rFonts w:ascii="Tahoma" w:hAnsi="Tahoma" w:cs="Tahoma"/>
                <w:b/>
                <w:bCs/>
                <w:color w:val="000080"/>
                <w:rtl/>
              </w:rPr>
              <w:t>בית משפט השלום בירושלים</w:t>
            </w:r>
          </w:p>
        </w:tc>
      </w:tr>
      <w:tr w:rsidR="00882CE5" w:rsidRPr="005865D5" w14:paraId="00AA6314" w14:textId="77777777" w:rsidTr="00756D07">
        <w:trPr>
          <w:trHeight w:val="337"/>
          <w:jc w:val="center"/>
        </w:trPr>
        <w:tc>
          <w:tcPr>
            <w:tcW w:w="5058" w:type="dxa"/>
          </w:tcPr>
          <w:p w14:paraId="020ACDD3" w14:textId="77777777" w:rsidR="00882CE5" w:rsidRPr="005865D5" w:rsidRDefault="00882CE5" w:rsidP="005865D5">
            <w:pPr>
              <w:rPr>
                <w:rFonts w:cs="FrankRuehl"/>
                <w:sz w:val="28"/>
                <w:szCs w:val="28"/>
                <w:rtl/>
              </w:rPr>
            </w:pPr>
            <w:r w:rsidRPr="005865D5">
              <w:rPr>
                <w:rFonts w:cs="FrankRuehl"/>
                <w:sz w:val="28"/>
                <w:szCs w:val="28"/>
                <w:rtl/>
              </w:rPr>
              <w:t>ת"פ</w:t>
            </w:r>
            <w:r w:rsidRPr="005865D5">
              <w:rPr>
                <w:rFonts w:cs="FrankRuehl" w:hint="cs"/>
                <w:sz w:val="28"/>
                <w:szCs w:val="28"/>
                <w:rtl/>
              </w:rPr>
              <w:t xml:space="preserve"> </w:t>
            </w:r>
            <w:r w:rsidRPr="005865D5">
              <w:rPr>
                <w:rFonts w:cs="FrankRuehl"/>
                <w:sz w:val="28"/>
                <w:szCs w:val="28"/>
                <w:rtl/>
              </w:rPr>
              <w:t>42116-04-17</w:t>
            </w:r>
            <w:r w:rsidRPr="005865D5">
              <w:rPr>
                <w:rFonts w:cs="FrankRuehl" w:hint="cs"/>
                <w:sz w:val="28"/>
                <w:szCs w:val="28"/>
                <w:rtl/>
              </w:rPr>
              <w:t xml:space="preserve"> </w:t>
            </w:r>
            <w:r w:rsidRPr="005865D5">
              <w:rPr>
                <w:rFonts w:cs="FrankRuehl"/>
                <w:sz w:val="28"/>
                <w:szCs w:val="28"/>
                <w:rtl/>
              </w:rPr>
              <w:t>מדינת ישראל נ' יהודה(עציר)</w:t>
            </w:r>
          </w:p>
          <w:p w14:paraId="7386BB2A" w14:textId="77777777" w:rsidR="00882CE5" w:rsidRPr="005865D5" w:rsidRDefault="00882CE5" w:rsidP="005865D5">
            <w:pPr>
              <w:pStyle w:val="a3"/>
              <w:rPr>
                <w:rFonts w:cs="FrankRuehl"/>
                <w:sz w:val="28"/>
                <w:szCs w:val="28"/>
                <w:rtl/>
              </w:rPr>
            </w:pPr>
          </w:p>
        </w:tc>
        <w:tc>
          <w:tcPr>
            <w:tcW w:w="3663" w:type="dxa"/>
          </w:tcPr>
          <w:p w14:paraId="12C73E36" w14:textId="77777777" w:rsidR="00882CE5" w:rsidRPr="005865D5" w:rsidRDefault="00882CE5" w:rsidP="005865D5">
            <w:pPr>
              <w:pStyle w:val="a3"/>
              <w:jc w:val="right"/>
              <w:rPr>
                <w:rFonts w:cs="FrankRuehl"/>
                <w:sz w:val="28"/>
                <w:szCs w:val="28"/>
                <w:rtl/>
              </w:rPr>
            </w:pPr>
          </w:p>
        </w:tc>
      </w:tr>
    </w:tbl>
    <w:p w14:paraId="23A7B85B" w14:textId="77777777" w:rsidR="00882CE5" w:rsidRPr="005865D5" w:rsidRDefault="00882CE5" w:rsidP="00882CE5">
      <w:pPr>
        <w:pStyle w:val="a3"/>
        <w:rPr>
          <w:rtl/>
        </w:rPr>
      </w:pPr>
      <w:r w:rsidRPr="005865D5">
        <w:rPr>
          <w:rFonts w:hint="cs"/>
          <w:rtl/>
        </w:rPr>
        <w:t xml:space="preserve"> </w:t>
      </w:r>
    </w:p>
    <w:p w14:paraId="7458367A" w14:textId="77777777" w:rsidR="00882CE5" w:rsidRPr="005865D5" w:rsidRDefault="00882CE5" w:rsidP="00882CE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82CE5" w:rsidRPr="005865D5" w14:paraId="62FF0F0D" w14:textId="77777777" w:rsidTr="00882CE5">
        <w:trPr>
          <w:trHeight w:val="295"/>
          <w:jc w:val="center"/>
        </w:trPr>
        <w:tc>
          <w:tcPr>
            <w:tcW w:w="923" w:type="dxa"/>
            <w:tcBorders>
              <w:top w:val="nil"/>
              <w:left w:val="nil"/>
              <w:bottom w:val="nil"/>
              <w:right w:val="nil"/>
            </w:tcBorders>
            <w:shd w:val="clear" w:color="auto" w:fill="auto"/>
          </w:tcPr>
          <w:p w14:paraId="772ECD3B" w14:textId="77777777" w:rsidR="00882CE5" w:rsidRPr="005865D5" w:rsidRDefault="00882CE5" w:rsidP="005865D5">
            <w:pPr>
              <w:rPr>
                <w:b/>
                <w:bCs/>
                <w:sz w:val="26"/>
                <w:szCs w:val="26"/>
              </w:rPr>
            </w:pPr>
            <w:r w:rsidRPr="005865D5">
              <w:rPr>
                <w:rFonts w:hint="cs"/>
                <w:b/>
                <w:bCs/>
                <w:sz w:val="26"/>
                <w:szCs w:val="26"/>
                <w:rtl/>
              </w:rPr>
              <w:t>ב</w:t>
            </w:r>
            <w:r w:rsidRPr="005865D5">
              <w:rPr>
                <w:b/>
                <w:bCs/>
                <w:sz w:val="26"/>
                <w:szCs w:val="26"/>
                <w:rtl/>
              </w:rPr>
              <w:t xml:space="preserve">פני </w:t>
            </w:r>
          </w:p>
        </w:tc>
        <w:tc>
          <w:tcPr>
            <w:tcW w:w="7897" w:type="dxa"/>
            <w:gridSpan w:val="2"/>
            <w:tcBorders>
              <w:top w:val="nil"/>
              <w:left w:val="nil"/>
              <w:bottom w:val="nil"/>
              <w:right w:val="nil"/>
            </w:tcBorders>
            <w:shd w:val="clear" w:color="auto" w:fill="auto"/>
          </w:tcPr>
          <w:p w14:paraId="59845009" w14:textId="77777777" w:rsidR="00882CE5" w:rsidRPr="005865D5" w:rsidRDefault="00882CE5" w:rsidP="005865D5">
            <w:pPr>
              <w:rPr>
                <w:b/>
                <w:bCs/>
                <w:sz w:val="26"/>
                <w:szCs w:val="26"/>
                <w:rtl/>
              </w:rPr>
            </w:pPr>
            <w:r w:rsidRPr="005865D5">
              <w:rPr>
                <w:rFonts w:hint="cs"/>
                <w:b/>
                <w:bCs/>
                <w:sz w:val="26"/>
                <w:szCs w:val="26"/>
                <w:rtl/>
              </w:rPr>
              <w:t>כבוד ה</w:t>
            </w:r>
            <w:r w:rsidRPr="005865D5">
              <w:rPr>
                <w:b/>
                <w:bCs/>
                <w:sz w:val="26"/>
                <w:szCs w:val="26"/>
                <w:rtl/>
              </w:rPr>
              <w:t>שופט</w:t>
            </w:r>
            <w:r w:rsidRPr="005865D5">
              <w:rPr>
                <w:rFonts w:hint="cs"/>
                <w:b/>
                <w:bCs/>
                <w:sz w:val="26"/>
                <w:szCs w:val="26"/>
                <w:rtl/>
              </w:rPr>
              <w:t xml:space="preserve">  </w:t>
            </w:r>
            <w:r w:rsidRPr="005865D5">
              <w:rPr>
                <w:b/>
                <w:bCs/>
                <w:sz w:val="26"/>
                <w:szCs w:val="26"/>
                <w:rtl/>
              </w:rPr>
              <w:t>דוד שאול גבאי ריכטר</w:t>
            </w:r>
          </w:p>
          <w:p w14:paraId="43FF4FFF" w14:textId="77777777" w:rsidR="00882CE5" w:rsidRPr="005865D5" w:rsidRDefault="00882CE5" w:rsidP="005865D5">
            <w:pPr>
              <w:rPr>
                <w:b/>
                <w:bCs/>
                <w:sz w:val="26"/>
                <w:szCs w:val="26"/>
                <w:rtl/>
              </w:rPr>
            </w:pPr>
          </w:p>
          <w:p w14:paraId="34ACC49A" w14:textId="77777777" w:rsidR="00882CE5" w:rsidRPr="005865D5" w:rsidRDefault="00882CE5" w:rsidP="005865D5">
            <w:pPr>
              <w:rPr>
                <w:b/>
                <w:bCs/>
                <w:sz w:val="26"/>
                <w:szCs w:val="26"/>
              </w:rPr>
            </w:pPr>
          </w:p>
        </w:tc>
      </w:tr>
      <w:tr w:rsidR="00882CE5" w:rsidRPr="005865D5" w14:paraId="15C7506C" w14:textId="77777777" w:rsidTr="00882CE5">
        <w:trPr>
          <w:trHeight w:val="355"/>
          <w:jc w:val="center"/>
        </w:trPr>
        <w:tc>
          <w:tcPr>
            <w:tcW w:w="923" w:type="dxa"/>
            <w:tcBorders>
              <w:top w:val="nil"/>
              <w:left w:val="nil"/>
              <w:bottom w:val="nil"/>
              <w:right w:val="nil"/>
            </w:tcBorders>
            <w:shd w:val="clear" w:color="auto" w:fill="auto"/>
          </w:tcPr>
          <w:p w14:paraId="6DF14E05" w14:textId="77777777" w:rsidR="00882CE5" w:rsidRPr="005865D5" w:rsidRDefault="00882CE5" w:rsidP="005865D5">
            <w:pPr>
              <w:rPr>
                <w:b/>
                <w:bCs/>
                <w:sz w:val="26"/>
                <w:szCs w:val="26"/>
              </w:rPr>
            </w:pPr>
            <w:bookmarkStart w:id="1" w:name="FirstAppellant"/>
            <w:r w:rsidRPr="005865D5">
              <w:rPr>
                <w:rFonts w:hint="cs"/>
                <w:b/>
                <w:bCs/>
                <w:sz w:val="26"/>
                <w:szCs w:val="26"/>
                <w:rtl/>
              </w:rPr>
              <w:t>בעניין:</w:t>
            </w:r>
          </w:p>
        </w:tc>
        <w:tc>
          <w:tcPr>
            <w:tcW w:w="4126" w:type="dxa"/>
            <w:tcBorders>
              <w:top w:val="nil"/>
              <w:left w:val="nil"/>
              <w:bottom w:val="nil"/>
              <w:right w:val="nil"/>
            </w:tcBorders>
            <w:shd w:val="clear" w:color="auto" w:fill="auto"/>
          </w:tcPr>
          <w:p w14:paraId="5D4B1006" w14:textId="77777777" w:rsidR="00882CE5" w:rsidRPr="005865D5" w:rsidRDefault="00882CE5" w:rsidP="005865D5">
            <w:pPr>
              <w:rPr>
                <w:b/>
                <w:bCs/>
                <w:sz w:val="26"/>
                <w:szCs w:val="26"/>
              </w:rPr>
            </w:pPr>
            <w:r w:rsidRPr="005865D5">
              <w:rPr>
                <w:b/>
                <w:bCs/>
                <w:sz w:val="26"/>
                <w:szCs w:val="26"/>
                <w:rtl/>
              </w:rPr>
              <w:t>מדינת ישראל</w:t>
            </w:r>
          </w:p>
        </w:tc>
        <w:tc>
          <w:tcPr>
            <w:tcW w:w="3771" w:type="dxa"/>
            <w:tcBorders>
              <w:top w:val="nil"/>
              <w:left w:val="nil"/>
              <w:bottom w:val="nil"/>
              <w:right w:val="nil"/>
            </w:tcBorders>
            <w:shd w:val="clear" w:color="auto" w:fill="auto"/>
          </w:tcPr>
          <w:p w14:paraId="23B299E9" w14:textId="77777777" w:rsidR="00882CE5" w:rsidRPr="005865D5" w:rsidRDefault="00882CE5" w:rsidP="00882CE5">
            <w:pPr>
              <w:jc w:val="both"/>
              <w:rPr>
                <w:rFonts w:ascii="Arial" w:hAnsi="Arial" w:cs="FrankRuehl"/>
                <w:sz w:val="28"/>
                <w:szCs w:val="28"/>
              </w:rPr>
            </w:pPr>
          </w:p>
        </w:tc>
      </w:tr>
      <w:bookmarkEnd w:id="1"/>
      <w:tr w:rsidR="00882CE5" w:rsidRPr="005865D5" w14:paraId="088F754A" w14:textId="77777777" w:rsidTr="00882CE5">
        <w:trPr>
          <w:trHeight w:val="355"/>
          <w:jc w:val="center"/>
        </w:trPr>
        <w:tc>
          <w:tcPr>
            <w:tcW w:w="923" w:type="dxa"/>
            <w:tcBorders>
              <w:top w:val="nil"/>
              <w:left w:val="nil"/>
              <w:bottom w:val="nil"/>
              <w:right w:val="nil"/>
            </w:tcBorders>
            <w:shd w:val="clear" w:color="auto" w:fill="auto"/>
          </w:tcPr>
          <w:p w14:paraId="1A64EB5F" w14:textId="77777777" w:rsidR="00882CE5" w:rsidRPr="005865D5" w:rsidRDefault="00882CE5" w:rsidP="00882C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CA64E77" w14:textId="77777777" w:rsidR="00882CE5" w:rsidRPr="005865D5" w:rsidRDefault="00882CE5" w:rsidP="00882CE5">
            <w:pPr>
              <w:jc w:val="both"/>
              <w:rPr>
                <w:rtl/>
              </w:rPr>
            </w:pPr>
          </w:p>
        </w:tc>
        <w:tc>
          <w:tcPr>
            <w:tcW w:w="3771" w:type="dxa"/>
            <w:tcBorders>
              <w:top w:val="nil"/>
              <w:left w:val="nil"/>
              <w:bottom w:val="nil"/>
              <w:right w:val="nil"/>
            </w:tcBorders>
            <w:shd w:val="clear" w:color="auto" w:fill="auto"/>
          </w:tcPr>
          <w:p w14:paraId="031CF27E" w14:textId="77777777" w:rsidR="00882CE5" w:rsidRPr="005865D5" w:rsidRDefault="00882CE5" w:rsidP="00882CE5">
            <w:pPr>
              <w:jc w:val="right"/>
              <w:rPr>
                <w:rFonts w:ascii="Arial" w:hAnsi="Arial" w:cs="FrankRuehl"/>
                <w:sz w:val="28"/>
                <w:szCs w:val="28"/>
                <w:rtl/>
              </w:rPr>
            </w:pPr>
            <w:r w:rsidRPr="005865D5">
              <w:rPr>
                <w:rFonts w:ascii="Arial" w:hAnsi="Arial" w:cs="FrankRuehl" w:hint="cs"/>
                <w:sz w:val="28"/>
                <w:szCs w:val="28"/>
                <w:rtl/>
              </w:rPr>
              <w:t>ה</w:t>
            </w:r>
            <w:r w:rsidRPr="005865D5">
              <w:rPr>
                <w:rFonts w:ascii="Arial" w:hAnsi="Arial" w:cs="FrankRuehl"/>
                <w:sz w:val="28"/>
                <w:szCs w:val="28"/>
                <w:rtl/>
              </w:rPr>
              <w:t>מאשימה</w:t>
            </w:r>
          </w:p>
        </w:tc>
      </w:tr>
      <w:tr w:rsidR="00882CE5" w:rsidRPr="005865D5" w14:paraId="73947933" w14:textId="77777777" w:rsidTr="00882CE5">
        <w:trPr>
          <w:trHeight w:val="355"/>
          <w:jc w:val="center"/>
        </w:trPr>
        <w:tc>
          <w:tcPr>
            <w:tcW w:w="923" w:type="dxa"/>
            <w:tcBorders>
              <w:top w:val="nil"/>
              <w:left w:val="nil"/>
              <w:bottom w:val="nil"/>
              <w:right w:val="nil"/>
            </w:tcBorders>
            <w:shd w:val="clear" w:color="auto" w:fill="auto"/>
          </w:tcPr>
          <w:p w14:paraId="02933D21" w14:textId="77777777" w:rsidR="00882CE5" w:rsidRPr="005865D5" w:rsidRDefault="00882CE5" w:rsidP="00882CE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59CC9A8" w14:textId="77777777" w:rsidR="00882CE5" w:rsidRPr="005865D5" w:rsidRDefault="00882CE5" w:rsidP="00882CE5">
            <w:pPr>
              <w:jc w:val="center"/>
              <w:rPr>
                <w:rFonts w:ascii="Arial" w:hAnsi="Arial" w:cs="FrankRuehl"/>
                <w:b/>
                <w:bCs/>
                <w:sz w:val="28"/>
                <w:szCs w:val="28"/>
                <w:rtl/>
              </w:rPr>
            </w:pPr>
          </w:p>
          <w:p w14:paraId="4AF12933" w14:textId="77777777" w:rsidR="00882CE5" w:rsidRPr="005865D5" w:rsidRDefault="00882CE5" w:rsidP="00882CE5">
            <w:pPr>
              <w:jc w:val="center"/>
              <w:rPr>
                <w:rFonts w:ascii="Arial" w:hAnsi="Arial" w:cs="FrankRuehl"/>
                <w:b/>
                <w:bCs/>
                <w:sz w:val="28"/>
                <w:szCs w:val="28"/>
                <w:rtl/>
              </w:rPr>
            </w:pPr>
            <w:r w:rsidRPr="005865D5">
              <w:rPr>
                <w:rFonts w:ascii="Arial" w:hAnsi="Arial" w:cs="FrankRuehl"/>
                <w:b/>
                <w:bCs/>
                <w:sz w:val="28"/>
                <w:szCs w:val="28"/>
                <w:rtl/>
              </w:rPr>
              <w:t>נגד</w:t>
            </w:r>
          </w:p>
          <w:p w14:paraId="20C65415" w14:textId="77777777" w:rsidR="00882CE5" w:rsidRPr="005865D5" w:rsidRDefault="00882CE5" w:rsidP="00882CE5">
            <w:pPr>
              <w:jc w:val="both"/>
              <w:rPr>
                <w:rFonts w:ascii="Arial" w:hAnsi="Arial" w:cs="FrankRuehl"/>
                <w:sz w:val="28"/>
                <w:szCs w:val="28"/>
              </w:rPr>
            </w:pPr>
          </w:p>
        </w:tc>
      </w:tr>
      <w:tr w:rsidR="00882CE5" w:rsidRPr="005865D5" w14:paraId="0AAC1402" w14:textId="77777777" w:rsidTr="00882CE5">
        <w:trPr>
          <w:trHeight w:val="355"/>
          <w:jc w:val="center"/>
        </w:trPr>
        <w:tc>
          <w:tcPr>
            <w:tcW w:w="923" w:type="dxa"/>
            <w:tcBorders>
              <w:top w:val="nil"/>
              <w:left w:val="nil"/>
              <w:bottom w:val="nil"/>
              <w:right w:val="nil"/>
            </w:tcBorders>
            <w:shd w:val="clear" w:color="auto" w:fill="auto"/>
          </w:tcPr>
          <w:p w14:paraId="21FA95FC" w14:textId="77777777" w:rsidR="00882CE5" w:rsidRPr="005865D5" w:rsidRDefault="00882CE5" w:rsidP="005865D5">
            <w:pPr>
              <w:rPr>
                <w:rFonts w:ascii="Arial" w:hAnsi="Arial" w:cs="FrankRuehl"/>
                <w:sz w:val="28"/>
                <w:szCs w:val="28"/>
                <w:rtl/>
              </w:rPr>
            </w:pPr>
          </w:p>
        </w:tc>
        <w:tc>
          <w:tcPr>
            <w:tcW w:w="4126" w:type="dxa"/>
            <w:tcBorders>
              <w:top w:val="nil"/>
              <w:left w:val="nil"/>
              <w:bottom w:val="nil"/>
              <w:right w:val="nil"/>
            </w:tcBorders>
            <w:shd w:val="clear" w:color="auto" w:fill="auto"/>
          </w:tcPr>
          <w:p w14:paraId="2558B326" w14:textId="77777777" w:rsidR="00882CE5" w:rsidRPr="005865D5" w:rsidRDefault="00882CE5" w:rsidP="005865D5">
            <w:pPr>
              <w:rPr>
                <w:rtl/>
              </w:rPr>
            </w:pPr>
            <w:r w:rsidRPr="005865D5">
              <w:rPr>
                <w:b/>
                <w:bCs/>
                <w:sz w:val="26"/>
                <w:szCs w:val="26"/>
                <w:rtl/>
              </w:rPr>
              <w:t xml:space="preserve">אלחנן יהודה ת.ז.  </w:t>
            </w:r>
            <w:r w:rsidR="005865D5">
              <w:rPr>
                <w:b/>
                <w:bCs/>
                <w:sz w:val="26"/>
                <w:szCs w:val="26"/>
              </w:rPr>
              <w:t>xxxxxxxxx</w:t>
            </w:r>
          </w:p>
        </w:tc>
        <w:tc>
          <w:tcPr>
            <w:tcW w:w="3771" w:type="dxa"/>
            <w:tcBorders>
              <w:top w:val="nil"/>
              <w:left w:val="nil"/>
              <w:bottom w:val="nil"/>
              <w:right w:val="nil"/>
            </w:tcBorders>
            <w:shd w:val="clear" w:color="auto" w:fill="auto"/>
          </w:tcPr>
          <w:p w14:paraId="56DD8109" w14:textId="77777777" w:rsidR="00882CE5" w:rsidRPr="005865D5" w:rsidRDefault="00882CE5" w:rsidP="00882CE5">
            <w:pPr>
              <w:jc w:val="right"/>
              <w:rPr>
                <w:rFonts w:ascii="Arial" w:hAnsi="Arial" w:cs="FrankRuehl"/>
                <w:sz w:val="28"/>
                <w:szCs w:val="28"/>
              </w:rPr>
            </w:pPr>
          </w:p>
        </w:tc>
      </w:tr>
      <w:tr w:rsidR="00882CE5" w:rsidRPr="005865D5" w14:paraId="1B7478BF" w14:textId="77777777" w:rsidTr="00882CE5">
        <w:trPr>
          <w:trHeight w:val="355"/>
          <w:jc w:val="center"/>
        </w:trPr>
        <w:tc>
          <w:tcPr>
            <w:tcW w:w="923" w:type="dxa"/>
            <w:tcBorders>
              <w:top w:val="nil"/>
              <w:left w:val="nil"/>
              <w:bottom w:val="nil"/>
              <w:right w:val="nil"/>
            </w:tcBorders>
            <w:shd w:val="clear" w:color="auto" w:fill="auto"/>
          </w:tcPr>
          <w:p w14:paraId="06884D1F" w14:textId="77777777" w:rsidR="00882CE5" w:rsidRPr="005865D5" w:rsidRDefault="00882CE5" w:rsidP="00882C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603612C" w14:textId="77777777" w:rsidR="00882CE5" w:rsidRPr="005865D5" w:rsidRDefault="00882CE5" w:rsidP="00882CE5">
            <w:pPr>
              <w:jc w:val="both"/>
              <w:rPr>
                <w:rtl/>
              </w:rPr>
            </w:pPr>
          </w:p>
        </w:tc>
        <w:tc>
          <w:tcPr>
            <w:tcW w:w="3771" w:type="dxa"/>
            <w:tcBorders>
              <w:top w:val="nil"/>
              <w:left w:val="nil"/>
              <w:bottom w:val="nil"/>
              <w:right w:val="nil"/>
            </w:tcBorders>
            <w:shd w:val="clear" w:color="auto" w:fill="auto"/>
          </w:tcPr>
          <w:p w14:paraId="3AB3B6B1" w14:textId="77777777" w:rsidR="00882CE5" w:rsidRPr="005865D5" w:rsidRDefault="00882CE5" w:rsidP="00882CE5">
            <w:pPr>
              <w:jc w:val="right"/>
              <w:rPr>
                <w:rFonts w:ascii="Arial" w:hAnsi="Arial" w:cs="FrankRuehl"/>
                <w:sz w:val="28"/>
                <w:szCs w:val="28"/>
              </w:rPr>
            </w:pPr>
            <w:r w:rsidRPr="005865D5">
              <w:rPr>
                <w:rFonts w:ascii="Arial" w:hAnsi="Arial" w:cs="FrankRuehl" w:hint="cs"/>
                <w:sz w:val="28"/>
                <w:szCs w:val="28"/>
                <w:rtl/>
              </w:rPr>
              <w:t>ה</w:t>
            </w:r>
            <w:r w:rsidRPr="005865D5">
              <w:rPr>
                <w:rFonts w:ascii="Arial" w:hAnsi="Arial" w:cs="FrankRuehl"/>
                <w:sz w:val="28"/>
                <w:szCs w:val="28"/>
                <w:rtl/>
              </w:rPr>
              <w:t>נאשמים</w:t>
            </w:r>
          </w:p>
        </w:tc>
      </w:tr>
    </w:tbl>
    <w:p w14:paraId="5E49060F" w14:textId="77777777" w:rsidR="00756D07" w:rsidRPr="00756D07" w:rsidRDefault="00756D07" w:rsidP="00756D07">
      <w:pPr>
        <w:spacing w:after="120" w:line="240" w:lineRule="exact"/>
        <w:ind w:left="283" w:hanging="283"/>
        <w:jc w:val="both"/>
        <w:rPr>
          <w:rFonts w:ascii="FrankRuehl" w:hAnsi="FrankRuehl" w:cs="FrankRuehl"/>
          <w:rtl/>
        </w:rPr>
      </w:pPr>
      <w:bookmarkStart w:id="2" w:name="LawTable"/>
      <w:bookmarkEnd w:id="2"/>
    </w:p>
    <w:p w14:paraId="327A6303" w14:textId="77777777" w:rsidR="00756D07" w:rsidRPr="00756D07" w:rsidRDefault="00756D07" w:rsidP="00756D07">
      <w:pPr>
        <w:spacing w:after="120" w:line="240" w:lineRule="exact"/>
        <w:ind w:left="283" w:hanging="283"/>
        <w:jc w:val="both"/>
        <w:rPr>
          <w:rFonts w:ascii="FrankRuehl" w:hAnsi="FrankRuehl" w:cs="FrankRuehl"/>
          <w:rtl/>
        </w:rPr>
      </w:pPr>
      <w:r w:rsidRPr="00756D07">
        <w:rPr>
          <w:rFonts w:ascii="FrankRuehl" w:hAnsi="FrankRuehl" w:cs="FrankRuehl"/>
          <w:rtl/>
        </w:rPr>
        <w:t xml:space="preserve">חקיקה שאוזכרה: </w:t>
      </w:r>
    </w:p>
    <w:p w14:paraId="1C3543B5" w14:textId="77777777" w:rsidR="00756D07" w:rsidRPr="00756D07" w:rsidRDefault="00756D07" w:rsidP="00756D07">
      <w:pPr>
        <w:spacing w:after="120" w:line="240" w:lineRule="exact"/>
        <w:ind w:left="283" w:hanging="283"/>
        <w:jc w:val="both"/>
        <w:rPr>
          <w:rFonts w:ascii="FrankRuehl" w:hAnsi="FrankRuehl" w:cs="FrankRuehl"/>
          <w:rtl/>
        </w:rPr>
      </w:pPr>
      <w:hyperlink r:id="rId7" w:history="1">
        <w:r w:rsidRPr="00756D07">
          <w:rPr>
            <w:rFonts w:ascii="FrankRuehl" w:hAnsi="FrankRuehl" w:cs="FrankRuehl"/>
            <w:color w:val="0000FF"/>
            <w:u w:val="single"/>
            <w:rtl/>
          </w:rPr>
          <w:t>פקודת הסמים המסוכנים [נוסח חדש], תשל"ג-1973</w:t>
        </w:r>
      </w:hyperlink>
      <w:r w:rsidRPr="00756D07">
        <w:rPr>
          <w:rFonts w:ascii="FrankRuehl" w:hAnsi="FrankRuehl" w:cs="FrankRuehl"/>
          <w:rtl/>
        </w:rPr>
        <w:t xml:space="preserve">: סע'  </w:t>
      </w:r>
      <w:hyperlink r:id="rId8" w:history="1">
        <w:r w:rsidRPr="00756D07">
          <w:rPr>
            <w:rFonts w:ascii="FrankRuehl" w:hAnsi="FrankRuehl" w:cs="FrankRuehl"/>
            <w:color w:val="0000FF"/>
            <w:u w:val="single"/>
            <w:rtl/>
          </w:rPr>
          <w:t>7.א.</w:t>
        </w:r>
      </w:hyperlink>
      <w:r w:rsidRPr="00756D07">
        <w:rPr>
          <w:rFonts w:ascii="FrankRuehl" w:hAnsi="FrankRuehl" w:cs="FrankRuehl"/>
          <w:rtl/>
        </w:rPr>
        <w:t xml:space="preserve">, </w:t>
      </w:r>
      <w:hyperlink r:id="rId9" w:history="1">
        <w:r w:rsidRPr="00756D07">
          <w:rPr>
            <w:rFonts w:ascii="FrankRuehl" w:hAnsi="FrankRuehl" w:cs="FrankRuehl"/>
            <w:color w:val="0000FF"/>
            <w:u w:val="single"/>
            <w:rtl/>
          </w:rPr>
          <w:t>7.ג</w:t>
        </w:r>
      </w:hyperlink>
    </w:p>
    <w:p w14:paraId="42733385" w14:textId="77777777" w:rsidR="00756D07" w:rsidRPr="00756D07" w:rsidRDefault="00756D07" w:rsidP="00756D07">
      <w:pPr>
        <w:spacing w:after="120" w:line="240" w:lineRule="exact"/>
        <w:ind w:left="283" w:hanging="283"/>
        <w:jc w:val="both"/>
        <w:rPr>
          <w:rFonts w:ascii="FrankRuehl" w:hAnsi="FrankRuehl" w:cs="FrankRuehl"/>
          <w:rtl/>
        </w:rPr>
      </w:pPr>
      <w:hyperlink r:id="rId10" w:history="1">
        <w:r w:rsidRPr="00756D07">
          <w:rPr>
            <w:rFonts w:ascii="FrankRuehl" w:hAnsi="FrankRuehl" w:cs="FrankRuehl"/>
            <w:color w:val="0000FF"/>
            <w:u w:val="single"/>
            <w:rtl/>
          </w:rPr>
          <w:t>חוק העונשין, תשל"ז-1977</w:t>
        </w:r>
      </w:hyperlink>
      <w:r w:rsidRPr="00756D07">
        <w:rPr>
          <w:rFonts w:ascii="FrankRuehl" w:hAnsi="FrankRuehl" w:cs="FrankRuehl"/>
          <w:rtl/>
        </w:rPr>
        <w:t xml:space="preserve">: סע'  </w:t>
      </w:r>
      <w:hyperlink r:id="rId11" w:history="1">
        <w:r w:rsidRPr="00756D07">
          <w:rPr>
            <w:rFonts w:ascii="FrankRuehl" w:hAnsi="FrankRuehl" w:cs="FrankRuehl"/>
            <w:color w:val="0000FF"/>
            <w:u w:val="single"/>
            <w:rtl/>
          </w:rPr>
          <w:t>31</w:t>
        </w:r>
      </w:hyperlink>
      <w:r w:rsidRPr="00756D07">
        <w:rPr>
          <w:rFonts w:ascii="FrankRuehl" w:hAnsi="FrankRuehl" w:cs="FrankRuehl"/>
          <w:rtl/>
        </w:rPr>
        <w:t xml:space="preserve">, </w:t>
      </w:r>
      <w:hyperlink r:id="rId12" w:history="1">
        <w:r w:rsidRPr="00756D07">
          <w:rPr>
            <w:rFonts w:ascii="FrankRuehl" w:hAnsi="FrankRuehl" w:cs="FrankRuehl"/>
            <w:color w:val="0000FF"/>
            <w:u w:val="single"/>
            <w:rtl/>
          </w:rPr>
          <w:t>32</w:t>
        </w:r>
      </w:hyperlink>
      <w:r w:rsidRPr="00756D07">
        <w:rPr>
          <w:rFonts w:ascii="FrankRuehl" w:hAnsi="FrankRuehl" w:cs="FrankRuehl"/>
          <w:rtl/>
        </w:rPr>
        <w:t xml:space="preserve">, </w:t>
      </w:r>
      <w:hyperlink r:id="rId13" w:history="1">
        <w:r w:rsidRPr="00756D07">
          <w:rPr>
            <w:rFonts w:ascii="FrankRuehl" w:hAnsi="FrankRuehl" w:cs="FrankRuehl"/>
            <w:color w:val="0000FF"/>
            <w:u w:val="single"/>
            <w:rtl/>
          </w:rPr>
          <w:t>40ד'</w:t>
        </w:r>
      </w:hyperlink>
      <w:r w:rsidRPr="00756D07">
        <w:rPr>
          <w:rFonts w:ascii="FrankRuehl" w:hAnsi="FrankRuehl" w:cs="FrankRuehl"/>
          <w:rtl/>
        </w:rPr>
        <w:t xml:space="preserve">, </w:t>
      </w:r>
      <w:hyperlink r:id="rId14" w:history="1">
        <w:r w:rsidRPr="00756D07">
          <w:rPr>
            <w:rFonts w:ascii="FrankRuehl" w:hAnsi="FrankRuehl" w:cs="FrankRuehl"/>
            <w:color w:val="0000FF"/>
            <w:u w:val="single"/>
            <w:rtl/>
          </w:rPr>
          <w:t>40ט'</w:t>
        </w:r>
      </w:hyperlink>
      <w:r w:rsidRPr="00756D07">
        <w:rPr>
          <w:rFonts w:ascii="FrankRuehl" w:hAnsi="FrankRuehl" w:cs="FrankRuehl"/>
          <w:rtl/>
        </w:rPr>
        <w:t xml:space="preserve">, </w:t>
      </w:r>
      <w:hyperlink r:id="rId15" w:history="1">
        <w:r w:rsidRPr="00756D07">
          <w:rPr>
            <w:rFonts w:ascii="FrankRuehl" w:hAnsi="FrankRuehl" w:cs="FrankRuehl"/>
            <w:color w:val="0000FF"/>
            <w:u w:val="single"/>
            <w:rtl/>
          </w:rPr>
          <w:t>40יא</w:t>
        </w:r>
      </w:hyperlink>
    </w:p>
    <w:p w14:paraId="588C5B11" w14:textId="77777777" w:rsidR="00756D07" w:rsidRPr="00756D07" w:rsidRDefault="00756D07" w:rsidP="00756D0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2CE5" w14:paraId="591FD79F" w14:textId="77777777" w:rsidTr="00882CE5">
        <w:trPr>
          <w:trHeight w:val="355"/>
          <w:jc w:val="center"/>
        </w:trPr>
        <w:tc>
          <w:tcPr>
            <w:tcW w:w="8820" w:type="dxa"/>
            <w:tcBorders>
              <w:top w:val="nil"/>
              <w:left w:val="nil"/>
              <w:bottom w:val="nil"/>
              <w:right w:val="nil"/>
            </w:tcBorders>
            <w:shd w:val="clear" w:color="auto" w:fill="auto"/>
          </w:tcPr>
          <w:p w14:paraId="1B8E8EA5" w14:textId="77777777" w:rsidR="005865D5" w:rsidRPr="005865D5" w:rsidRDefault="005865D5" w:rsidP="005865D5">
            <w:pPr>
              <w:jc w:val="center"/>
              <w:rPr>
                <w:rFonts w:ascii="Arial" w:hAnsi="Arial" w:cs="FrankRuehl"/>
                <w:b/>
                <w:bCs/>
                <w:sz w:val="32"/>
                <w:szCs w:val="32"/>
                <w:u w:val="single"/>
                <w:rtl/>
              </w:rPr>
            </w:pPr>
            <w:bookmarkStart w:id="3" w:name="LawTable_End"/>
            <w:bookmarkStart w:id="4" w:name="PsakDin" w:colFirst="0" w:colLast="0"/>
            <w:bookmarkEnd w:id="0"/>
            <w:bookmarkEnd w:id="3"/>
            <w:r w:rsidRPr="005865D5">
              <w:rPr>
                <w:rFonts w:ascii="Arial" w:hAnsi="Arial" w:cs="FrankRuehl"/>
                <w:b/>
                <w:bCs/>
                <w:sz w:val="32"/>
                <w:szCs w:val="32"/>
                <w:u w:val="single"/>
                <w:rtl/>
              </w:rPr>
              <w:t>גזר דין</w:t>
            </w:r>
          </w:p>
          <w:p w14:paraId="4702FFE5" w14:textId="77777777" w:rsidR="00882CE5" w:rsidRPr="005865D5" w:rsidRDefault="00882CE5" w:rsidP="005865D5">
            <w:pPr>
              <w:jc w:val="center"/>
              <w:rPr>
                <w:rFonts w:ascii="Arial" w:hAnsi="Arial" w:cs="FrankRuehl"/>
                <w:bCs/>
                <w:sz w:val="32"/>
                <w:szCs w:val="32"/>
                <w:u w:val="single"/>
                <w:rtl/>
              </w:rPr>
            </w:pPr>
          </w:p>
        </w:tc>
      </w:tr>
      <w:bookmarkEnd w:id="4"/>
    </w:tbl>
    <w:p w14:paraId="359FCA06" w14:textId="77777777" w:rsidR="00882CE5" w:rsidRPr="00B05847" w:rsidRDefault="00882CE5" w:rsidP="00882CE5">
      <w:pPr>
        <w:rPr>
          <w:rFonts w:ascii="Arial" w:hAnsi="Arial"/>
          <w:rtl/>
        </w:rPr>
      </w:pPr>
    </w:p>
    <w:p w14:paraId="4E162B29" w14:textId="77777777" w:rsidR="00882CE5" w:rsidRPr="00B05847" w:rsidRDefault="00882CE5" w:rsidP="00882CE5">
      <w:pPr>
        <w:rPr>
          <w:rFonts w:ascii="Arial" w:hAnsi="Arial"/>
          <w:rtl/>
        </w:rPr>
      </w:pPr>
    </w:p>
    <w:p w14:paraId="43829BB6" w14:textId="77777777" w:rsidR="00882CE5" w:rsidRPr="00B05847" w:rsidRDefault="00882CE5" w:rsidP="00882CE5">
      <w:pPr>
        <w:rPr>
          <w:rtl/>
        </w:rPr>
      </w:pPr>
    </w:p>
    <w:p w14:paraId="049C6A77" w14:textId="77777777" w:rsidR="00882CE5" w:rsidRPr="00B05847" w:rsidRDefault="00882CE5" w:rsidP="00882CE5">
      <w:pPr>
        <w:rPr>
          <w:rtl/>
        </w:rPr>
      </w:pPr>
    </w:p>
    <w:p w14:paraId="7FAD066F" w14:textId="77777777" w:rsidR="00882CE5" w:rsidRDefault="00882CE5" w:rsidP="00882CE5">
      <w:pPr>
        <w:numPr>
          <w:ilvl w:val="0"/>
          <w:numId w:val="1"/>
        </w:numPr>
        <w:spacing w:after="200" w:line="360" w:lineRule="auto"/>
        <w:jc w:val="both"/>
        <w:rPr>
          <w:sz w:val="22"/>
        </w:rPr>
      </w:pPr>
      <w:bookmarkStart w:id="5" w:name="ABSTRACT_START"/>
      <w:bookmarkEnd w:id="5"/>
      <w:r>
        <w:rPr>
          <w:rFonts w:hint="cs"/>
          <w:rtl/>
        </w:rPr>
        <w:t xml:space="preserve">הנאשם שלפניי הורשע על-פי הודאתו בעובדות כתב האישום המתוקן ובביצוע עבירה של סיוע להחזקת סם מסוכן שלא לצריכה עצמית, לפי </w:t>
      </w:r>
      <w:hyperlink r:id="rId16" w:history="1">
        <w:r w:rsidR="00756D07" w:rsidRPr="00756D07">
          <w:rPr>
            <w:color w:val="0000FF"/>
            <w:u w:val="single"/>
            <w:rtl/>
          </w:rPr>
          <w:t>סעיפים 7(א)+7(ג)רישא</w:t>
        </w:r>
      </w:hyperlink>
      <w:r>
        <w:rPr>
          <w:rFonts w:hint="cs"/>
          <w:rtl/>
        </w:rPr>
        <w:t xml:space="preserve"> ל</w:t>
      </w:r>
      <w:hyperlink r:id="rId17" w:history="1">
        <w:r w:rsidR="005865D5" w:rsidRPr="005865D5">
          <w:rPr>
            <w:rStyle w:val="Hyperlink"/>
            <w:rFonts w:hint="eastAsia"/>
            <w:rtl/>
          </w:rPr>
          <w:t>פקודת</w:t>
        </w:r>
        <w:r w:rsidR="005865D5" w:rsidRPr="005865D5">
          <w:rPr>
            <w:rStyle w:val="Hyperlink"/>
            <w:rtl/>
          </w:rPr>
          <w:t xml:space="preserve"> הסמים המסוכנים</w:t>
        </w:r>
      </w:hyperlink>
      <w:r>
        <w:rPr>
          <w:rFonts w:hint="cs"/>
          <w:rtl/>
        </w:rPr>
        <w:t xml:space="preserve"> וכן </w:t>
      </w:r>
      <w:hyperlink r:id="rId18" w:history="1">
        <w:r w:rsidR="00756D07" w:rsidRPr="00756D07">
          <w:rPr>
            <w:color w:val="0000FF"/>
            <w:u w:val="single"/>
            <w:rtl/>
          </w:rPr>
          <w:t>סעיף 31</w:t>
        </w:r>
      </w:hyperlink>
      <w:r>
        <w:rPr>
          <w:rFonts w:hint="cs"/>
          <w:rtl/>
        </w:rPr>
        <w:t xml:space="preserve"> ל</w:t>
      </w:r>
      <w:hyperlink r:id="rId19" w:history="1">
        <w:r w:rsidR="005865D5" w:rsidRPr="005865D5">
          <w:rPr>
            <w:rStyle w:val="Hyperlink"/>
            <w:rFonts w:hint="eastAsia"/>
            <w:rtl/>
          </w:rPr>
          <w:t>חוק</w:t>
        </w:r>
        <w:r w:rsidR="005865D5" w:rsidRPr="005865D5">
          <w:rPr>
            <w:rStyle w:val="Hyperlink"/>
            <w:rtl/>
          </w:rPr>
          <w:t xml:space="preserve"> העונשין</w:t>
        </w:r>
      </w:hyperlink>
      <w:r>
        <w:rPr>
          <w:rFonts w:hint="cs"/>
          <w:rtl/>
        </w:rPr>
        <w:t xml:space="preserve">, התשל"ז-1977. </w:t>
      </w:r>
    </w:p>
    <w:p w14:paraId="2BDCBACD" w14:textId="77777777" w:rsidR="00882CE5" w:rsidRDefault="00882CE5" w:rsidP="00882CE5">
      <w:pPr>
        <w:numPr>
          <w:ilvl w:val="0"/>
          <w:numId w:val="1"/>
        </w:numPr>
        <w:spacing w:after="200" w:line="360" w:lineRule="auto"/>
        <w:jc w:val="both"/>
        <w:rPr>
          <w:rtl/>
        </w:rPr>
      </w:pPr>
      <w:bookmarkStart w:id="6" w:name="ABSTRACT_END"/>
      <w:bookmarkEnd w:id="6"/>
      <w:r>
        <w:rPr>
          <w:rFonts w:hint="cs"/>
          <w:rtl/>
        </w:rPr>
        <w:t>מעובדות כתב האישום המתוקן עולה, כי הגיעה לארץ חבילה מאת "יוסף לוין" מקליפורניה ארצות הברית ל"משה שטיין" בישראל, וזאת באמצעות חברת שילוח בינלאומית. בחבילה נכלל מארז משחק "לגו", שמתחתיו הוחבאו 2 שקיות ניילון שהכילו 1,361.53 גרם סם מסוג קנבוס. הרשויות, שגילו את דבר העבירה בשל בדיקת החבילה, הציבו שוטר שהתחזה לשליח חברת השליחויות. בסופו של דבר, יצר השוטר קשר עם "משה שטיין" והשניים תיאמו להעביר את החבילה בזמן ומועד נתונים. לפגישה התייצב הנאשם שפגש בשוטר כשהוא אומר לשוטר: "אתה יודע כמה זמן אני מחכה לחבילה הזאת"?. במעמד זה נעצר הנאשם.</w:t>
      </w:r>
    </w:p>
    <w:p w14:paraId="4DF7024B" w14:textId="77777777" w:rsidR="00882CE5" w:rsidRDefault="00882CE5" w:rsidP="00882CE5">
      <w:pPr>
        <w:numPr>
          <w:ilvl w:val="0"/>
          <w:numId w:val="1"/>
        </w:numPr>
        <w:spacing w:after="200" w:line="360" w:lineRule="auto"/>
        <w:jc w:val="both"/>
        <w:rPr>
          <w:rtl/>
        </w:rPr>
      </w:pPr>
      <w:r>
        <w:rPr>
          <w:rFonts w:hint="cs"/>
          <w:rtl/>
        </w:rPr>
        <w:lastRenderedPageBreak/>
        <w:t>הנאשם הודה במסגרת הסדר טיעון שכלל גם הסכמות הנוגעות להיבט הראייתי, שיש בו להשפיע על הטיעונים לעונש, ולפיהן:</w:t>
      </w:r>
    </w:p>
    <w:p w14:paraId="181FDD73" w14:textId="77777777" w:rsidR="00882CE5" w:rsidRDefault="00882CE5" w:rsidP="00882CE5">
      <w:pPr>
        <w:numPr>
          <w:ilvl w:val="0"/>
          <w:numId w:val="2"/>
        </w:numPr>
        <w:spacing w:after="200" w:line="360" w:lineRule="auto"/>
        <w:jc w:val="both"/>
        <w:rPr>
          <w:rtl/>
        </w:rPr>
      </w:pPr>
      <w:r>
        <w:rPr>
          <w:rFonts w:hint="cs"/>
          <w:rtl/>
        </w:rPr>
        <w:t>לנאשם הובטחו 4,000 ₪ לעניין ביצוע העבירה;</w:t>
      </w:r>
    </w:p>
    <w:p w14:paraId="197F5554" w14:textId="77777777" w:rsidR="00882CE5" w:rsidRDefault="00882CE5" w:rsidP="00882CE5">
      <w:pPr>
        <w:numPr>
          <w:ilvl w:val="0"/>
          <w:numId w:val="2"/>
        </w:numPr>
        <w:spacing w:after="200" w:line="360" w:lineRule="auto"/>
        <w:jc w:val="both"/>
      </w:pPr>
      <w:r>
        <w:rPr>
          <w:rFonts w:hint="cs"/>
          <w:rtl/>
        </w:rPr>
        <w:t>הנאשם לא ידע מהו סוג הסם ומשקלו;</w:t>
      </w:r>
    </w:p>
    <w:p w14:paraId="44F9351B" w14:textId="77777777" w:rsidR="00882CE5" w:rsidRDefault="00882CE5" w:rsidP="00882CE5">
      <w:pPr>
        <w:numPr>
          <w:ilvl w:val="0"/>
          <w:numId w:val="2"/>
        </w:numPr>
        <w:spacing w:after="200" w:line="360" w:lineRule="auto"/>
        <w:jc w:val="both"/>
      </w:pPr>
      <w:r>
        <w:rPr>
          <w:rFonts w:hint="cs"/>
          <w:rtl/>
        </w:rPr>
        <w:t>עבירת ה"סיוע" להחזקת הסם נובעת מ"עצימת עיניו" של הנאשם, כאשר אין שום ראיה לכך שהנאשם ידע מה מקור הסם;</w:t>
      </w:r>
    </w:p>
    <w:p w14:paraId="2777327D" w14:textId="77777777" w:rsidR="00882CE5" w:rsidRDefault="00882CE5" w:rsidP="00882CE5">
      <w:pPr>
        <w:numPr>
          <w:ilvl w:val="0"/>
          <w:numId w:val="2"/>
        </w:numPr>
        <w:spacing w:after="200" w:line="360" w:lineRule="auto"/>
        <w:jc w:val="both"/>
      </w:pPr>
      <w:r>
        <w:rPr>
          <w:rFonts w:hint="cs"/>
          <w:rtl/>
        </w:rPr>
        <w:t>הנאשם שיתף פעולה בחקירתו במשטרה (פרו' מיום 26.4.2017 עמ' 1).</w:t>
      </w:r>
    </w:p>
    <w:p w14:paraId="22D8AB8C" w14:textId="77777777" w:rsidR="00882CE5" w:rsidRDefault="00882CE5" w:rsidP="00882CE5">
      <w:pPr>
        <w:numPr>
          <w:ilvl w:val="0"/>
          <w:numId w:val="1"/>
        </w:numPr>
        <w:spacing w:after="200" w:line="360" w:lineRule="auto"/>
        <w:jc w:val="both"/>
        <w:rPr>
          <w:rtl/>
        </w:rPr>
      </w:pPr>
      <w:r>
        <w:rPr>
          <w:rFonts w:hint="cs"/>
          <w:rtl/>
        </w:rPr>
        <w:t>הצדדים הסכימו כי הנאשם יישלח לתסקיר שירות המבחן, אך כל  צד שמר על זכותו לטעון לעונש כהבנתו. יצוין, כי הצדדים הגיעו להסכמות גם בעניין תנאי השחרור של המשיב אשר שונו מעת לעת, לנוכח ליוויו של המשיב על-ידי שירות המבחן במסגרת צו פיקוח מעצרים.</w:t>
      </w:r>
    </w:p>
    <w:p w14:paraId="6D39CDEF" w14:textId="77777777" w:rsidR="00882CE5" w:rsidRDefault="00882CE5" w:rsidP="00882CE5">
      <w:pPr>
        <w:numPr>
          <w:ilvl w:val="0"/>
          <w:numId w:val="1"/>
        </w:numPr>
        <w:spacing w:after="200" w:line="360" w:lineRule="auto"/>
        <w:jc w:val="both"/>
        <w:rPr>
          <w:rtl/>
        </w:rPr>
      </w:pPr>
      <w:r>
        <w:rPr>
          <w:rFonts w:hint="cs"/>
          <w:rtl/>
        </w:rPr>
        <w:t xml:space="preserve">יצוין, כי הנאשם שהה במעצר ממש מיום 2.4.2017 עד ליום 7.4.2017. </w:t>
      </w:r>
    </w:p>
    <w:p w14:paraId="5D9E2CE1" w14:textId="77777777" w:rsidR="00882CE5" w:rsidRDefault="00882CE5" w:rsidP="00882CE5">
      <w:pPr>
        <w:spacing w:line="360" w:lineRule="auto"/>
        <w:rPr>
          <w:b/>
          <w:bCs/>
          <w:rtl/>
        </w:rPr>
      </w:pPr>
    </w:p>
    <w:p w14:paraId="182C92AD" w14:textId="77777777" w:rsidR="00882CE5" w:rsidRDefault="00882CE5" w:rsidP="00882CE5">
      <w:pPr>
        <w:spacing w:line="360" w:lineRule="auto"/>
        <w:rPr>
          <w:b/>
          <w:bCs/>
          <w:rtl/>
        </w:rPr>
      </w:pPr>
      <w:r>
        <w:rPr>
          <w:rFonts w:hint="cs"/>
          <w:b/>
          <w:bCs/>
          <w:rtl/>
        </w:rPr>
        <w:t>תסקיר שירות המבחן וחוות דעת הממונה על עבודות השירות</w:t>
      </w:r>
    </w:p>
    <w:p w14:paraId="0103AFA6" w14:textId="77777777" w:rsidR="00882CE5" w:rsidRDefault="00882CE5" w:rsidP="00882CE5">
      <w:pPr>
        <w:numPr>
          <w:ilvl w:val="0"/>
          <w:numId w:val="1"/>
        </w:numPr>
        <w:spacing w:after="200" w:line="360" w:lineRule="auto"/>
        <w:jc w:val="both"/>
        <w:rPr>
          <w:rtl/>
        </w:rPr>
      </w:pPr>
      <w:r>
        <w:rPr>
          <w:rFonts w:hint="cs"/>
          <w:rtl/>
        </w:rPr>
        <w:t xml:space="preserve">מהתסקיר על אודות הנאשם עולה, כי מדובר באדם כבן שלושים, ללא רישום פלילי, אשר סיים 12 שנות לימוד והופטר משירות צבאי בשל רקעו החרדי. הוא חווה משברים עם חלק מבני משפחתו על רקע אורחות חייו. במהלך שמונה השנים האחרונות עבד הנאשם כטבח במסעדה, שם אף התגורר לאחרונה במסגרת תנאי השחרור, כאשר שירות המבחן עמד על כך שהמסעדה ומעסיקו של הנאשם במסעדה מהווים עבורו עוגן משמעותי בחייו. שירות המבחן התרשם כי הנאשם חווה את ההליך הפלילי באופן טראומטי ומטלטל. שירות המבחן עמד על שילובו של הנאשם בתוכנית טיפולית במשך מספר חודשים. מהדברים עולה כי הנאשם שיתף פעולה באופן מלא עם שירות המבחן, מסר בדיקות שתן נקיות משרידי סם, נטל אחריות מלאה למעשיו, מתחרט עליהם ואף נוטה לשפוט עצמו לחומרה באופן מתמיד על רקע מעורבותו בביצוע העבירה. הוא מסר בדיקות שתן שנמצאו נקיות ונעזר בהליך הטיפולי להבין את הפסול במעשיו. להערכת שירות המבחן, לצד הרקע לביצוע העבירה הנובע ממשבר זהות שבו היה מצוי הנאשם והיגררות אחר "כסף קל", קיים עוגן חיובי משמעותי בכך שלנאשם אין כל עבר פלילי, הוא שמר לאורך שנים רבות על רמת תפקוד גבוהה, והתמודד בהצלחה עם קשיים לא מועטים הנובעים מרקעו כפי שפורט בתסקיר, שיתף פעולה באופן מלא עם השירות והביע חרטה כנה על מעשיו, שאינם מאפיינים את הליכותיו בדרך כלל. לנוכח כל זאת, ולנוכח המוטיבציה הטיפולית הטובה שהביע הנאשם, סבר שירות המבחן כי יש לסיים את ההליכים בענישה בעלת אופק שיקומי – שירות לתועלת הציבור (של"ץ) בהיקף 220 שעות והטלת צו פיקוח לתקופה של שנה, במסגרתו </w:t>
      </w:r>
      <w:r>
        <w:rPr>
          <w:rFonts w:hint="cs"/>
          <w:rtl/>
        </w:rPr>
        <w:lastRenderedPageBreak/>
        <w:t xml:space="preserve">ישובץ הנאשם במעקב שוטף ובפעילות ייעודית שתחזק בו את הטעון חיזוק ותסייע לו לבנות לעצמו עתיד טוב יותר תוך העצמה עצמית.  </w:t>
      </w:r>
    </w:p>
    <w:p w14:paraId="05761AA5" w14:textId="77777777" w:rsidR="00882CE5" w:rsidRDefault="00882CE5" w:rsidP="00882CE5">
      <w:pPr>
        <w:numPr>
          <w:ilvl w:val="0"/>
          <w:numId w:val="1"/>
        </w:numPr>
        <w:spacing w:after="200" w:line="360" w:lineRule="auto"/>
        <w:jc w:val="both"/>
        <w:rPr>
          <w:rtl/>
        </w:rPr>
      </w:pPr>
      <w:r>
        <w:rPr>
          <w:rFonts w:hint="cs"/>
          <w:rtl/>
        </w:rPr>
        <w:t>במקביל שלחתי את הנאשם לבחינת האפשרות של ריצוי עונש מאסר בדרך של עבודות שירות. מחוות דעת הממונה על עבודות השירות נמצא כי הנאשם כשיר ומתאים לריצוי עונש מסוג זה.</w:t>
      </w:r>
    </w:p>
    <w:p w14:paraId="1EE8ED48" w14:textId="77777777" w:rsidR="00882CE5" w:rsidRDefault="00882CE5" w:rsidP="00882CE5">
      <w:pPr>
        <w:bidi w:val="0"/>
        <w:rPr>
          <w:rtl/>
        </w:rPr>
      </w:pPr>
      <w:r>
        <w:rPr>
          <w:rtl/>
        </w:rPr>
        <w:br w:type="page"/>
      </w:r>
    </w:p>
    <w:p w14:paraId="68E3B11D" w14:textId="77777777" w:rsidR="00882CE5" w:rsidRDefault="00882CE5" w:rsidP="00882CE5">
      <w:pPr>
        <w:spacing w:line="360" w:lineRule="auto"/>
        <w:rPr>
          <w:rtl/>
        </w:rPr>
      </w:pPr>
    </w:p>
    <w:p w14:paraId="020E8ACE" w14:textId="77777777" w:rsidR="00882CE5" w:rsidRDefault="00882CE5" w:rsidP="00882CE5">
      <w:pPr>
        <w:spacing w:line="360" w:lineRule="auto"/>
        <w:rPr>
          <w:b/>
          <w:bCs/>
          <w:rtl/>
        </w:rPr>
      </w:pPr>
      <w:r>
        <w:rPr>
          <w:rFonts w:hint="cs"/>
          <w:b/>
          <w:bCs/>
          <w:rtl/>
        </w:rPr>
        <w:t>טענות הצדדים</w:t>
      </w:r>
    </w:p>
    <w:p w14:paraId="02EFB3CB" w14:textId="77777777" w:rsidR="00882CE5" w:rsidRPr="00157D69" w:rsidRDefault="00882CE5" w:rsidP="00882CE5">
      <w:pPr>
        <w:numPr>
          <w:ilvl w:val="0"/>
          <w:numId w:val="1"/>
        </w:numPr>
        <w:spacing w:after="200" w:line="360" w:lineRule="auto"/>
        <w:jc w:val="both"/>
      </w:pPr>
      <w:r>
        <w:rPr>
          <w:rFonts w:hint="cs"/>
          <w:rtl/>
        </w:rPr>
        <w:t xml:space="preserve">המאשימה טוענת כי עונש של של"ץ אינו יכול להלום את נסיבות המקרה כפי שפורטו. נטען כי בשל העובדה שמדובר בסיוע, בשל העובדה שמדובר בסם מסוג קנבוס שנחשב לסם קל ובשל נסיבות המקרה הספציפיות, מן הראוי שמתחם הענישה יחל בחצי שנת מאסר בפועל, כשזהו העונש לו היא עותרת כעת. </w:t>
      </w:r>
    </w:p>
    <w:p w14:paraId="40D113A4" w14:textId="77777777" w:rsidR="00882CE5" w:rsidRDefault="00882CE5" w:rsidP="00882CE5">
      <w:pPr>
        <w:numPr>
          <w:ilvl w:val="0"/>
          <w:numId w:val="1"/>
        </w:numPr>
        <w:spacing w:after="200" w:line="360" w:lineRule="auto"/>
        <w:jc w:val="both"/>
      </w:pPr>
      <w:r w:rsidRPr="00D057C0">
        <w:rPr>
          <w:rFonts w:hint="cs"/>
          <w:rtl/>
        </w:rPr>
        <w:t xml:space="preserve">הסניגור השמיע את מעסיקו של הנאשם, אשר סיפר על היכרותו המעמיקה עם הנאשם במשך שנים רבים רבות כעובד ואף כבן בית. כמו כן הוגש מכתב של אשת המעסיק, שטענה כי מדובר בבן בית של ממש, שאף מסייע בטיפול בילדיהם של בני הזוג, והוא מצטיין באורך רוח ובנועם </w:t>
      </w:r>
      <w:r w:rsidRPr="0060139B">
        <w:rPr>
          <w:rFonts w:hint="cs"/>
          <w:rtl/>
        </w:rPr>
        <w:t xml:space="preserve">הליכות, כשמדובר באדם חרוץ מאוד שאינו בוחל בכל עבודה על-מנת לפרנס את עצמו, בהיעדר כל מוקד תמיכה. </w:t>
      </w:r>
      <w:r>
        <w:rPr>
          <w:rFonts w:hint="cs"/>
          <w:rtl/>
        </w:rPr>
        <w:t xml:space="preserve">הסניגור עמד על התנהלותו של הנאשם בתיק זה, שחסכה הן מהליכי החקירה והן מהליכי המשפט, שכן ההסדר גובש, הודות לו בשלב מוקדם מאוד של ההליך מבלי שהערים קשיים. </w:t>
      </w:r>
    </w:p>
    <w:p w14:paraId="2FEB6174" w14:textId="77777777" w:rsidR="00882CE5" w:rsidRPr="0060139B" w:rsidRDefault="00882CE5" w:rsidP="00882CE5">
      <w:pPr>
        <w:numPr>
          <w:ilvl w:val="0"/>
          <w:numId w:val="1"/>
        </w:numPr>
        <w:spacing w:after="200" w:line="360" w:lineRule="auto"/>
        <w:jc w:val="both"/>
        <w:rPr>
          <w:rtl/>
        </w:rPr>
      </w:pPr>
      <w:r>
        <w:rPr>
          <w:rFonts w:hint="cs"/>
          <w:rtl/>
        </w:rPr>
        <w:t xml:space="preserve">שמעתי את הנאשם בדברו האחרון לפני מתן גזר הדין. הנאשם היה חנוק מכדי לדבר ברצף. זאת יחד עם דבריו לפניי מעידים על מי שאכן מכה על חטא ומצטער עד לעמקי נשמתו על מעשיו. </w:t>
      </w:r>
    </w:p>
    <w:p w14:paraId="74065A08" w14:textId="77777777" w:rsidR="00882CE5" w:rsidRDefault="00882CE5" w:rsidP="00882CE5">
      <w:pPr>
        <w:spacing w:line="360" w:lineRule="auto"/>
        <w:rPr>
          <w:b/>
          <w:bCs/>
          <w:rtl/>
        </w:rPr>
      </w:pPr>
    </w:p>
    <w:p w14:paraId="32B8DC45" w14:textId="77777777" w:rsidR="00882CE5" w:rsidRDefault="00882CE5" w:rsidP="00882CE5">
      <w:pPr>
        <w:spacing w:line="360" w:lineRule="auto"/>
        <w:rPr>
          <w:b/>
          <w:bCs/>
          <w:rtl/>
        </w:rPr>
      </w:pPr>
      <w:r>
        <w:rPr>
          <w:rFonts w:hint="cs"/>
          <w:b/>
          <w:bCs/>
          <w:rtl/>
        </w:rPr>
        <w:t xml:space="preserve">קביעת מתחם הענישה </w:t>
      </w:r>
    </w:p>
    <w:p w14:paraId="78E7042D" w14:textId="77777777" w:rsidR="00882CE5" w:rsidRDefault="00882CE5" w:rsidP="00882CE5">
      <w:pPr>
        <w:numPr>
          <w:ilvl w:val="0"/>
          <w:numId w:val="1"/>
        </w:numPr>
        <w:spacing w:after="200" w:line="360" w:lineRule="auto"/>
        <w:jc w:val="both"/>
        <w:rPr>
          <w:rtl/>
        </w:rPr>
      </w:pPr>
      <w:r>
        <w:rPr>
          <w:rFonts w:hint="cs"/>
          <w:u w:val="single"/>
          <w:rtl/>
        </w:rPr>
        <w:t>מתחם הענישה</w:t>
      </w:r>
      <w:r>
        <w:rPr>
          <w:rFonts w:hint="cs"/>
          <w:rtl/>
        </w:rPr>
        <w:t xml:space="preserve"> צריך להתייחס לעקרון ההלימה, הנוגע ליחס לערך החברתי המוגן, מידת הפגיעה בו, מדיניות הענישה הנוהגת ונסיבות ביצוע העבירה. </w:t>
      </w:r>
    </w:p>
    <w:p w14:paraId="51982CA1" w14:textId="77777777" w:rsidR="00882CE5" w:rsidRDefault="00882CE5" w:rsidP="00882CE5">
      <w:pPr>
        <w:numPr>
          <w:ilvl w:val="0"/>
          <w:numId w:val="1"/>
        </w:numPr>
        <w:spacing w:after="200" w:line="360" w:lineRule="auto"/>
        <w:jc w:val="both"/>
        <w:rPr>
          <w:rtl/>
        </w:rPr>
      </w:pPr>
      <w:r>
        <w:rPr>
          <w:rFonts w:hint="cs"/>
          <w:u w:val="single"/>
          <w:rtl/>
        </w:rPr>
        <w:t>אשר לערך המוגן</w:t>
      </w:r>
      <w:r>
        <w:rPr>
          <w:rFonts w:hint="cs"/>
          <w:rtl/>
        </w:rPr>
        <w:t xml:space="preserve">, מדובר בעבירות סמים שפגיעתן רעה בכל תחומי החיים. גם כאשר מדובר בסם מסוג קנבוס, מדובר  בסם מסוכן ואסור על-פי חוק, כאשר הכמות של מעל קילוגרם שנתפסה עם הנאשם, מלמדת על חומרת המעשה, וכך גם על מידת הפגיעה בערך המוגן. </w:t>
      </w:r>
    </w:p>
    <w:p w14:paraId="55F5071C" w14:textId="77777777" w:rsidR="00882CE5" w:rsidRDefault="00882CE5" w:rsidP="00882CE5">
      <w:pPr>
        <w:numPr>
          <w:ilvl w:val="0"/>
          <w:numId w:val="1"/>
        </w:numPr>
        <w:spacing w:after="200" w:line="360" w:lineRule="auto"/>
        <w:jc w:val="both"/>
        <w:rPr>
          <w:rtl/>
        </w:rPr>
      </w:pPr>
      <w:r>
        <w:rPr>
          <w:rFonts w:hint="cs"/>
          <w:u w:val="single"/>
          <w:rtl/>
        </w:rPr>
        <w:t>אשר לנסיבות הקשורות בביצוע העבירה</w:t>
      </w:r>
      <w:r>
        <w:rPr>
          <w:rFonts w:hint="cs"/>
          <w:rtl/>
        </w:rPr>
        <w:t xml:space="preserve"> (</w:t>
      </w:r>
      <w:hyperlink r:id="rId20" w:history="1">
        <w:r w:rsidR="00756D07" w:rsidRPr="00756D07">
          <w:rPr>
            <w:color w:val="0000FF"/>
            <w:u w:val="single"/>
            <w:rtl/>
          </w:rPr>
          <w:t>סעיף 40ט'</w:t>
        </w:r>
      </w:hyperlink>
      <w:r>
        <w:rPr>
          <w:rFonts w:hint="cs"/>
          <w:rtl/>
        </w:rPr>
        <w:t xml:space="preserve"> ל</w:t>
      </w:r>
      <w:hyperlink r:id="rId21" w:history="1">
        <w:r w:rsidR="005865D5" w:rsidRPr="005865D5">
          <w:rPr>
            <w:rStyle w:val="Hyperlink"/>
            <w:rFonts w:hint="eastAsia"/>
            <w:rtl/>
          </w:rPr>
          <w:t>חוק</w:t>
        </w:r>
        <w:r w:rsidR="005865D5" w:rsidRPr="005865D5">
          <w:rPr>
            <w:rStyle w:val="Hyperlink"/>
            <w:rtl/>
          </w:rPr>
          <w:t xml:space="preserve"> העונשין</w:t>
        </w:r>
      </w:hyperlink>
      <w:r>
        <w:rPr>
          <w:rFonts w:hint="cs"/>
          <w:rtl/>
        </w:rPr>
        <w:t xml:space="preserve">), יש להתייחס לנסיבות הבאות: קשה לטעון כי הנאשם תכנן את העבירה, מה גם שיש הסכמה כי מדובר במבצע אשר "עצם עיניו" לעניין נסיבות המקרה ופרטיו הנוגעים לסוג הסם וכמותו; ככל שהסם היה מופץ היה בכך כדי לגרום נזק לציבור, הגם שבפועל הסם נתפס ונמנע הנזק האמור; כעולה מתסקיר שירות המבחן, הנאשם ביצע את העבירה תמורת כסף בשל מצוקה בה היה נתון; אין ספק כי הנאשם יכול היה להימנע מביצוע העבירה לנוכח גילו. </w:t>
      </w:r>
    </w:p>
    <w:p w14:paraId="341EA938" w14:textId="77777777" w:rsidR="00882CE5" w:rsidRDefault="00882CE5" w:rsidP="00882CE5">
      <w:pPr>
        <w:numPr>
          <w:ilvl w:val="0"/>
          <w:numId w:val="1"/>
        </w:numPr>
        <w:spacing w:after="200" w:line="360" w:lineRule="auto"/>
        <w:jc w:val="both"/>
        <w:rPr>
          <w:rtl/>
        </w:rPr>
      </w:pPr>
      <w:r>
        <w:rPr>
          <w:rFonts w:hint="cs"/>
          <w:u w:val="single"/>
          <w:rtl/>
        </w:rPr>
        <w:t>סיוע</w:t>
      </w:r>
      <w:r>
        <w:rPr>
          <w:rFonts w:hint="cs"/>
          <w:rtl/>
        </w:rPr>
        <w:t xml:space="preserve"> – כאן המקום להתייחס למשמעות עבירת הסיוע - </w:t>
      </w:r>
      <w:hyperlink r:id="rId22" w:history="1">
        <w:r w:rsidR="00756D07" w:rsidRPr="00756D07">
          <w:rPr>
            <w:color w:val="0000FF"/>
            <w:u w:val="single"/>
            <w:rtl/>
          </w:rPr>
          <w:t>סעיף 32</w:t>
        </w:r>
      </w:hyperlink>
      <w:r>
        <w:rPr>
          <w:rFonts w:hint="cs"/>
          <w:rtl/>
        </w:rPr>
        <w:t xml:space="preserve"> ל</w:t>
      </w:r>
      <w:hyperlink r:id="rId23" w:history="1">
        <w:r w:rsidR="005865D5" w:rsidRPr="005865D5">
          <w:rPr>
            <w:rStyle w:val="Hyperlink"/>
            <w:rFonts w:hint="eastAsia"/>
            <w:rtl/>
          </w:rPr>
          <w:t>חוק</w:t>
        </w:r>
        <w:r w:rsidR="005865D5" w:rsidRPr="005865D5">
          <w:rPr>
            <w:rStyle w:val="Hyperlink"/>
            <w:rtl/>
          </w:rPr>
          <w:t xml:space="preserve"> העונשין</w:t>
        </w:r>
      </w:hyperlink>
      <w:r>
        <w:rPr>
          <w:rFonts w:hint="cs"/>
          <w:rtl/>
        </w:rPr>
        <w:t xml:space="preserve"> קובע, כי עונשו של מסייע הוא "מחצית העונש שנקבע בחיקוק בשל ביצועה העיקרי". נדמה, כי אין דרך אחרת לפרש את הסכמת הצדדים לעניין העונש, אלא כיציקת תוכן להוראות </w:t>
      </w:r>
      <w:hyperlink r:id="rId24" w:history="1">
        <w:r w:rsidR="00756D07" w:rsidRPr="00756D07">
          <w:rPr>
            <w:color w:val="0000FF"/>
            <w:u w:val="single"/>
            <w:rtl/>
          </w:rPr>
          <w:t>סעיף 32</w:t>
        </w:r>
      </w:hyperlink>
      <w:r>
        <w:rPr>
          <w:rFonts w:hint="cs"/>
          <w:rtl/>
        </w:rPr>
        <w:t xml:space="preserve">, בכך שהנאשם לא היה המבצע העיקרי של העבירה, והגם שאמור היה להפיק ממנה רווח, לא היה מודע באופן מלא לפסול שבמעשים או לחומרתם. זהו שיקול משמעותי בעיניי, שיש בו להוות עוגן בשיקוליי לִזְכוּת הנאשם בעת גזירת הדין [ראו בהקשר זה: </w:t>
      </w:r>
      <w:hyperlink r:id="rId25" w:history="1">
        <w:r w:rsidR="005865D5" w:rsidRPr="005865D5">
          <w:rPr>
            <w:rStyle w:val="Hyperlink"/>
            <w:rFonts w:hint="eastAsia"/>
            <w:rtl/>
          </w:rPr>
          <w:t>ע</w:t>
        </w:r>
        <w:r w:rsidR="005865D5" w:rsidRPr="005865D5">
          <w:rPr>
            <w:rStyle w:val="Hyperlink"/>
            <w:rtl/>
          </w:rPr>
          <w:t>"פ 4592/15</w:t>
        </w:r>
      </w:hyperlink>
      <w:r>
        <w:rPr>
          <w:rFonts w:hint="cs"/>
          <w:rtl/>
        </w:rPr>
        <w:t xml:space="preserve"> </w:t>
      </w:r>
      <w:r>
        <w:rPr>
          <w:rFonts w:hint="cs"/>
          <w:b/>
          <w:bCs/>
          <w:u w:val="single"/>
          <w:rtl/>
        </w:rPr>
        <w:t>פדידה</w:t>
      </w:r>
      <w:r>
        <w:rPr>
          <w:rFonts w:hint="cs"/>
          <w:rtl/>
        </w:rPr>
        <w:t xml:space="preserve"> נ' </w:t>
      </w:r>
      <w:r>
        <w:rPr>
          <w:rFonts w:hint="cs"/>
          <w:b/>
          <w:bCs/>
          <w:u w:val="single"/>
          <w:rtl/>
        </w:rPr>
        <w:t>מ"י</w:t>
      </w:r>
      <w:r>
        <w:rPr>
          <w:rFonts w:hint="cs"/>
          <w:rtl/>
        </w:rPr>
        <w:t xml:space="preserve"> (מיום 8.2.2016)]. עמדת המאשימה בהקשר זה כפי שהובעה בטיעונים, הוגנת מאוד. </w:t>
      </w:r>
    </w:p>
    <w:p w14:paraId="174EA057" w14:textId="77777777" w:rsidR="00882CE5" w:rsidRDefault="00882CE5" w:rsidP="00882CE5">
      <w:pPr>
        <w:numPr>
          <w:ilvl w:val="0"/>
          <w:numId w:val="1"/>
        </w:numPr>
        <w:spacing w:after="200" w:line="360" w:lineRule="auto"/>
        <w:jc w:val="both"/>
        <w:rPr>
          <w:rtl/>
        </w:rPr>
      </w:pPr>
      <w:r>
        <w:rPr>
          <w:rFonts w:hint="cs"/>
          <w:u w:val="single"/>
          <w:rtl/>
        </w:rPr>
        <w:t>מדיניות הענישה</w:t>
      </w:r>
      <w:r>
        <w:rPr>
          <w:rFonts w:hint="cs"/>
          <w:rtl/>
        </w:rPr>
        <w:t xml:space="preserve"> בעבירות מסוג זה הענישה מגוונת אך לרוב הכלל הוא מאסר של ממש מאחורי סורג ובריח. ב-</w:t>
      </w:r>
      <w:hyperlink r:id="rId26" w:history="1">
        <w:r w:rsidR="005865D5" w:rsidRPr="005865D5">
          <w:rPr>
            <w:rStyle w:val="Hyperlink"/>
            <w:rFonts w:hint="eastAsia"/>
            <w:rtl/>
          </w:rPr>
          <w:t>רע</w:t>
        </w:r>
        <w:r w:rsidR="005865D5" w:rsidRPr="005865D5">
          <w:rPr>
            <w:rStyle w:val="Hyperlink"/>
            <w:rtl/>
          </w:rPr>
          <w:t>"פ 1830/16</w:t>
        </w:r>
      </w:hyperlink>
      <w:r>
        <w:rPr>
          <w:rFonts w:hint="cs"/>
          <w:rtl/>
        </w:rPr>
        <w:t xml:space="preserve"> </w:t>
      </w:r>
      <w:r>
        <w:rPr>
          <w:rFonts w:hint="cs"/>
          <w:b/>
          <w:bCs/>
          <w:u w:val="single"/>
          <w:rtl/>
        </w:rPr>
        <w:t>רקיבי</w:t>
      </w:r>
      <w:r>
        <w:rPr>
          <w:rFonts w:hint="cs"/>
          <w:rtl/>
        </w:rPr>
        <w:t xml:space="preserve"> נ' </w:t>
      </w:r>
      <w:r>
        <w:rPr>
          <w:rFonts w:hint="cs"/>
          <w:b/>
          <w:bCs/>
          <w:u w:val="single"/>
          <w:rtl/>
        </w:rPr>
        <w:t>מ"י</w:t>
      </w:r>
      <w:r>
        <w:rPr>
          <w:rFonts w:hint="cs"/>
          <w:rtl/>
        </w:rPr>
        <w:t xml:space="preserve"> (מיום 11.4.2016) אושר עונש מאסר של 8 ח' מאסר על בסיס מתחם ענישה שבין 6 ח' ל-15 חודשים, לנאשם שהחזיק 2.3 ק"ג סם מסוג חשיש, כשלא היה לחובתו רישום פלילי והתסקיר היה חיובי. ב-</w:t>
      </w:r>
      <w:hyperlink r:id="rId27" w:history="1">
        <w:r w:rsidR="005865D5" w:rsidRPr="005865D5">
          <w:rPr>
            <w:rStyle w:val="Hyperlink"/>
            <w:rFonts w:hint="eastAsia"/>
            <w:rtl/>
          </w:rPr>
          <w:t>רע</w:t>
        </w:r>
        <w:r w:rsidR="005865D5" w:rsidRPr="005865D5">
          <w:rPr>
            <w:rStyle w:val="Hyperlink"/>
            <w:rtl/>
          </w:rPr>
          <w:t>"פ 7819/15</w:t>
        </w:r>
      </w:hyperlink>
      <w:r>
        <w:rPr>
          <w:rFonts w:hint="cs"/>
          <w:rtl/>
        </w:rPr>
        <w:t xml:space="preserve"> </w:t>
      </w:r>
      <w:r>
        <w:rPr>
          <w:rFonts w:hint="cs"/>
          <w:b/>
          <w:bCs/>
          <w:u w:val="single"/>
          <w:rtl/>
        </w:rPr>
        <w:t>סלור</w:t>
      </w:r>
      <w:r>
        <w:rPr>
          <w:rFonts w:hint="cs"/>
          <w:rtl/>
        </w:rPr>
        <w:t xml:space="preserve"> נ'</w:t>
      </w:r>
      <w:r>
        <w:rPr>
          <w:rFonts w:hint="cs"/>
          <w:b/>
          <w:bCs/>
          <w:u w:val="single"/>
          <w:rtl/>
        </w:rPr>
        <w:t xml:space="preserve"> מ"י </w:t>
      </w:r>
      <w:r>
        <w:rPr>
          <w:rFonts w:hint="cs"/>
          <w:rtl/>
        </w:rPr>
        <w:t xml:space="preserve">(מיום 22.5.2016) אושר עונש של 9 ח' מאסר, על בסיס מתחם של 7 עד 18 חודשי מאסר, בנסיבות של החזקת מעבדת סמים וסמים במשקל של 7.4 קנביס. ב-ע"פ 616/16 </w:t>
      </w:r>
      <w:r>
        <w:rPr>
          <w:rFonts w:hint="cs"/>
          <w:b/>
          <w:bCs/>
          <w:u w:val="single"/>
          <w:rtl/>
        </w:rPr>
        <w:t>יזרעאלוב</w:t>
      </w:r>
      <w:r>
        <w:rPr>
          <w:rFonts w:hint="cs"/>
          <w:rtl/>
        </w:rPr>
        <w:t xml:space="preserve"> נ' </w:t>
      </w:r>
      <w:r>
        <w:rPr>
          <w:rFonts w:hint="cs"/>
          <w:b/>
          <w:bCs/>
          <w:u w:val="single"/>
          <w:rtl/>
        </w:rPr>
        <w:t>מ"י</w:t>
      </w:r>
      <w:r>
        <w:rPr>
          <w:rFonts w:hint="cs"/>
          <w:rtl/>
        </w:rPr>
        <w:t xml:space="preserve"> (מיום 20.2.2017) הוטל עונש מאסר של 6 חודשים לריצוי בעבודות שירות, תוך ששם חרג בית המשפט ממתחם ענישה בין 8 ל-20 ח', בשל שיקולי שיקום. שם דובר בסחר בסם מסוג נייס גאי, לאדם ללא עבר שעבר הליך שיקומי מוצלח. </w:t>
      </w:r>
    </w:p>
    <w:p w14:paraId="3E69D8A9" w14:textId="77777777" w:rsidR="00882CE5" w:rsidRDefault="00882CE5" w:rsidP="00882CE5">
      <w:pPr>
        <w:numPr>
          <w:ilvl w:val="0"/>
          <w:numId w:val="1"/>
        </w:numPr>
        <w:spacing w:after="200" w:line="360" w:lineRule="auto"/>
        <w:jc w:val="both"/>
        <w:rPr>
          <w:rtl/>
        </w:rPr>
      </w:pPr>
      <w:r>
        <w:rPr>
          <w:rFonts w:hint="cs"/>
          <w:rtl/>
        </w:rPr>
        <w:t>ב-</w:t>
      </w:r>
      <w:hyperlink r:id="rId28" w:history="1">
        <w:r w:rsidR="005865D5" w:rsidRPr="005865D5">
          <w:rPr>
            <w:rStyle w:val="Hyperlink"/>
            <w:rFonts w:hint="eastAsia"/>
            <w:rtl/>
          </w:rPr>
          <w:t>עפ</w:t>
        </w:r>
        <w:r w:rsidR="005865D5" w:rsidRPr="005865D5">
          <w:rPr>
            <w:rStyle w:val="Hyperlink"/>
            <w:rtl/>
          </w:rPr>
          <w:t>"ג (מחוזי י-ם) 53976-05-16</w:t>
        </w:r>
      </w:hyperlink>
      <w:r>
        <w:rPr>
          <w:rFonts w:hint="cs"/>
          <w:rtl/>
        </w:rPr>
        <w:t xml:space="preserve"> </w:t>
      </w:r>
      <w:r>
        <w:rPr>
          <w:rFonts w:hint="cs"/>
          <w:b/>
          <w:bCs/>
          <w:u w:val="single"/>
          <w:rtl/>
        </w:rPr>
        <w:t>גבאי</w:t>
      </w:r>
      <w:r>
        <w:rPr>
          <w:rFonts w:hint="cs"/>
          <w:rtl/>
        </w:rPr>
        <w:t xml:space="preserve"> נ' </w:t>
      </w:r>
      <w:r>
        <w:rPr>
          <w:rFonts w:hint="cs"/>
          <w:b/>
          <w:bCs/>
          <w:u w:val="single"/>
          <w:rtl/>
        </w:rPr>
        <w:t>מ"י</w:t>
      </w:r>
      <w:r>
        <w:rPr>
          <w:rFonts w:hint="cs"/>
          <w:rtl/>
        </w:rPr>
        <w:t xml:space="preserve"> (מיום 16.8.2017) (</w:t>
      </w:r>
      <w:r w:rsidRPr="00D057C0">
        <w:rPr>
          <w:rFonts w:hint="cs"/>
          <w:b/>
          <w:bCs/>
          <w:rtl/>
        </w:rPr>
        <w:t>עניין גבאי</w:t>
      </w:r>
      <w:r>
        <w:rPr>
          <w:rFonts w:hint="cs"/>
          <w:rtl/>
        </w:rPr>
        <w:t xml:space="preserve">) הקל בית המשפט המחוזי בעונשו של נאשם, שהורשע בהחזקת חשיש שלא לצריכה עצמית במשקל 2,277.5 גרם נטו, וזאת לנוכח שיקולי שיקום. בית המשפט הסתפק בתקופת מעצרו של הנאשם (כחודשיים וחצי) והטיל עליו של"ץ בהיקף של 240 שעות על-פי המלצת שירות המבחן. </w:t>
      </w:r>
    </w:p>
    <w:p w14:paraId="7DA9A7ED" w14:textId="77777777" w:rsidR="00882CE5" w:rsidRDefault="00882CE5" w:rsidP="00882CE5">
      <w:pPr>
        <w:numPr>
          <w:ilvl w:val="0"/>
          <w:numId w:val="1"/>
        </w:numPr>
        <w:spacing w:after="200" w:line="360" w:lineRule="auto"/>
        <w:jc w:val="both"/>
        <w:rPr>
          <w:rtl/>
        </w:rPr>
      </w:pPr>
      <w:r>
        <w:rPr>
          <w:rFonts w:hint="cs"/>
          <w:u w:val="single"/>
          <w:rtl/>
        </w:rPr>
        <w:t xml:space="preserve">מתחם הענישה </w:t>
      </w:r>
      <w:r>
        <w:rPr>
          <w:rFonts w:hint="cs"/>
          <w:rtl/>
        </w:rPr>
        <w:t xml:space="preserve">– בנסיבות האמורות, ולאחר שלקחתי בחשבון את כל השיקולים הצריכים לעניין כפי שצוינו לעיל, אני קובע מתחם ענישה </w:t>
      </w:r>
      <w:r>
        <w:rPr>
          <w:rFonts w:hint="cs"/>
          <w:b/>
          <w:bCs/>
          <w:rtl/>
        </w:rPr>
        <w:t>שבין 3 חודשי מאסר לרבות אפשרות של ריצוי בעבודות שירות – עד 12 חודשי מאסר</w:t>
      </w:r>
      <w:r>
        <w:rPr>
          <w:rFonts w:hint="cs"/>
          <w:rtl/>
        </w:rPr>
        <w:t xml:space="preserve">. </w:t>
      </w:r>
    </w:p>
    <w:p w14:paraId="709C3BCF" w14:textId="77777777" w:rsidR="00882CE5" w:rsidRDefault="00882CE5" w:rsidP="00882CE5">
      <w:pPr>
        <w:numPr>
          <w:ilvl w:val="0"/>
          <w:numId w:val="1"/>
        </w:numPr>
        <w:spacing w:after="200" w:line="360" w:lineRule="auto"/>
        <w:jc w:val="both"/>
      </w:pPr>
      <w:r>
        <w:rPr>
          <w:rFonts w:hint="cs"/>
          <w:u w:val="single"/>
          <w:rtl/>
        </w:rPr>
        <w:t>אשר נסיבות שאינן קשורות בביצוע העבירה</w:t>
      </w:r>
      <w:r>
        <w:rPr>
          <w:rFonts w:hint="cs"/>
          <w:rtl/>
        </w:rPr>
        <w:t xml:space="preserve"> (</w:t>
      </w:r>
      <w:hyperlink r:id="rId29" w:history="1">
        <w:r w:rsidR="00756D07" w:rsidRPr="00756D07">
          <w:rPr>
            <w:color w:val="0000FF"/>
            <w:u w:val="single"/>
            <w:rtl/>
          </w:rPr>
          <w:t>ס' 40י"א</w:t>
        </w:r>
      </w:hyperlink>
      <w:r>
        <w:rPr>
          <w:rFonts w:hint="cs"/>
          <w:rtl/>
        </w:rPr>
        <w:t xml:space="preserve"> ל</w:t>
      </w:r>
      <w:hyperlink r:id="rId30" w:history="1">
        <w:r w:rsidR="005865D5" w:rsidRPr="005865D5">
          <w:rPr>
            <w:rStyle w:val="Hyperlink"/>
            <w:rFonts w:hint="eastAsia"/>
            <w:rtl/>
          </w:rPr>
          <w:t>חוק</w:t>
        </w:r>
        <w:r w:rsidR="005865D5" w:rsidRPr="005865D5">
          <w:rPr>
            <w:rStyle w:val="Hyperlink"/>
            <w:rtl/>
          </w:rPr>
          <w:t xml:space="preserve"> העונשין</w:t>
        </w:r>
      </w:hyperlink>
      <w:r>
        <w:rPr>
          <w:rFonts w:hint="cs"/>
          <w:rtl/>
        </w:rPr>
        <w:t xml:space="preserve">), אקח בחשבון את הנסיבות הבאות: בעקבות העבירה, הנאשם היה עצור ממש תקופה של ימים ספורים ובהמשך שהה בתנאים מגבילים שהוקלו מעת לעת לנוכח שיתוף הפעולה שלו עם שירות המבחן; הנאשם הודה במיוחס לו, נטל אחריות, לא הפר את התנאים בהם היה נתון, לא הפר את צו פיקוח המעצרים ושיתף פעולה באופן מלא עם שירות המבחן תוך שהוא מתקדם מבחינה טיפולית; מהתסקיר עולה כי המשבר האישי שבו היה נתון הנאשם ורצונו ב"רווח קל" הם שהובילוהו לביצוע העבירה – נקודה זו פועלת לזכותו ולחובתו של הנאשם כאחד; לנאשם אין כל רישום פלילי. </w:t>
      </w:r>
    </w:p>
    <w:p w14:paraId="34AF7933" w14:textId="77777777" w:rsidR="00882CE5" w:rsidRDefault="00882CE5" w:rsidP="00882CE5">
      <w:pPr>
        <w:numPr>
          <w:ilvl w:val="0"/>
          <w:numId w:val="1"/>
        </w:numPr>
        <w:spacing w:after="200" w:line="360" w:lineRule="auto"/>
        <w:jc w:val="both"/>
      </w:pPr>
      <w:r>
        <w:rPr>
          <w:rFonts w:hint="cs"/>
          <w:u w:val="single"/>
          <w:rtl/>
        </w:rPr>
        <w:t xml:space="preserve">שיקולי שיקום </w:t>
      </w:r>
      <w:r>
        <w:rPr>
          <w:u w:val="single"/>
          <w:rtl/>
        </w:rPr>
        <w:t>–</w:t>
      </w:r>
      <w:r>
        <w:rPr>
          <w:rFonts w:hint="cs"/>
          <w:u w:val="single"/>
          <w:rtl/>
        </w:rPr>
        <w:t xml:space="preserve"> </w:t>
      </w:r>
      <w:r>
        <w:rPr>
          <w:rFonts w:hint="cs"/>
          <w:rtl/>
        </w:rPr>
        <w:t>שירות המבחן המליץ את שהמליץ לנוכח מידת שיתוף הפעולה הרבה עם ההליך הטיפולי לאורך מספר חודשים, לנוכח חרטתו הכנה, לנוכח נסיבותיו האישיות המדגישות את חשיבות המשך החזקתו במסגרת התעסקותית הקיימת כשיקול שיקומי, והיעדר דפוסי עבריינו וכשלונו החד-פעמי של הנאשם.  מעבר לכך, שמעתי את המעסיק וכן קראתי את דברי אשתו והתרשמתי שמדובר באנשים מיוחדים שסייעו וממשיכים לסייע רבות לנאשם, והם מהווים תחליף אמיתי למשפחתו, בנסיבות שבהן הנאשם הפך למרבה הצער, ל"בן בלי בית" ביחס למשפחתו הגרעינית, בשל הבדלים באורחות חייו לעומת אורחות חיי המשפחה. אני מברך את בני הזוג על פועלם מחד, ומברך את הנאשם, שבזכות אישיותיו, חריצותו ודבקותו במטרה, זכה לתמיכה שכזו מצדם של אנשים "זרים" לכאורה. הדבר אינו דבר רגיל בלשון המעטה. בנוסף, אמר המעסיק שייאלץ לפטר את הנאשם אם יוטל עליו עונש של מאסר בעבודות שירות, וזהו מבחינתי שיקול מרכזי, לעניין שיקומו של הנאשם.</w:t>
      </w:r>
    </w:p>
    <w:p w14:paraId="4AC95CE3" w14:textId="77777777" w:rsidR="00882CE5" w:rsidRPr="000C3B27" w:rsidRDefault="00882CE5" w:rsidP="00882CE5">
      <w:pPr>
        <w:numPr>
          <w:ilvl w:val="0"/>
          <w:numId w:val="1"/>
        </w:numPr>
        <w:spacing w:after="200" w:line="360" w:lineRule="auto"/>
        <w:jc w:val="both"/>
        <w:rPr>
          <w:rtl/>
        </w:rPr>
      </w:pPr>
      <w:r w:rsidRPr="000C3B27">
        <w:rPr>
          <w:rFonts w:hint="cs"/>
          <w:rtl/>
        </w:rPr>
        <w:t xml:space="preserve">בנסיבות שנוצרו, אני סבור כי קיים סיכוי של ממש לשיקומו של הנאשם, המצדיק חריגה ממתחם הענישה שקבעתי, וזאת מכח </w:t>
      </w:r>
      <w:hyperlink r:id="rId31" w:history="1">
        <w:r w:rsidR="00756D07" w:rsidRPr="00756D07">
          <w:rPr>
            <w:color w:val="0000FF"/>
            <w:u w:val="single"/>
            <w:rtl/>
          </w:rPr>
          <w:t>סעיף 40ד'</w:t>
        </w:r>
      </w:hyperlink>
      <w:r w:rsidRPr="000C3B27">
        <w:rPr>
          <w:rFonts w:hint="cs"/>
          <w:rtl/>
        </w:rPr>
        <w:t xml:space="preserve"> ל</w:t>
      </w:r>
      <w:hyperlink r:id="rId32" w:history="1">
        <w:r w:rsidR="005865D5" w:rsidRPr="005865D5">
          <w:rPr>
            <w:rStyle w:val="Hyperlink"/>
            <w:rFonts w:hint="eastAsia"/>
            <w:rtl/>
          </w:rPr>
          <w:t>חוק</w:t>
        </w:r>
        <w:r w:rsidR="005865D5" w:rsidRPr="005865D5">
          <w:rPr>
            <w:rStyle w:val="Hyperlink"/>
            <w:rtl/>
          </w:rPr>
          <w:t xml:space="preserve"> העונשין</w:t>
        </w:r>
      </w:hyperlink>
      <w:r w:rsidRPr="000C3B27">
        <w:rPr>
          <w:rFonts w:hint="cs"/>
          <w:rtl/>
        </w:rPr>
        <w:t xml:space="preserve">. </w:t>
      </w:r>
      <w:r>
        <w:rPr>
          <w:rFonts w:hint="cs"/>
          <w:rtl/>
        </w:rPr>
        <w:t>אני סבור כי נסיבות מקרה זה אינם שונות מהמקרה שנדון ב</w:t>
      </w:r>
      <w:r w:rsidRPr="00D057C0">
        <w:rPr>
          <w:rFonts w:hint="cs"/>
          <w:b/>
          <w:bCs/>
          <w:rtl/>
        </w:rPr>
        <w:t>עניין גבאי</w:t>
      </w:r>
      <w:r>
        <w:rPr>
          <w:rFonts w:hint="cs"/>
          <w:rtl/>
        </w:rPr>
        <w:t xml:space="preserve"> לעיל ולכן יש ללכת בדרך דומה.</w:t>
      </w:r>
    </w:p>
    <w:p w14:paraId="29FD559F" w14:textId="77777777" w:rsidR="00882CE5" w:rsidRDefault="00882CE5" w:rsidP="00882CE5">
      <w:pPr>
        <w:spacing w:line="360" w:lineRule="auto"/>
        <w:rPr>
          <w:rtl/>
        </w:rPr>
      </w:pPr>
    </w:p>
    <w:p w14:paraId="76CA707A" w14:textId="77777777" w:rsidR="00882CE5" w:rsidRDefault="00882CE5" w:rsidP="00882CE5">
      <w:pPr>
        <w:numPr>
          <w:ilvl w:val="0"/>
          <w:numId w:val="1"/>
        </w:numPr>
        <w:spacing w:after="200" w:line="360" w:lineRule="auto"/>
        <w:jc w:val="both"/>
        <w:rPr>
          <w:rtl/>
        </w:rPr>
      </w:pPr>
      <w:r>
        <w:rPr>
          <w:rFonts w:hint="cs"/>
          <w:rtl/>
        </w:rPr>
        <w:t xml:space="preserve">שירות המבחן המליץ על הטלת של"ץ בהיקף של 240 שעות וכן הטלת עונשים נוספים וכן הטלת צו פיקוח, תוך שהוא ציין מפורשות כי הוא סבור שאין להטיל עונש של מאסר בעבודות שירות לנוכח נסיבותיו של הנאשם.  אני סבור כי ההיקף שהומלץ אינו הולם את חומרת העבירה ויש להרחיבו. </w:t>
      </w:r>
    </w:p>
    <w:p w14:paraId="4F49EF9B" w14:textId="77777777" w:rsidR="00882CE5" w:rsidRDefault="00882CE5" w:rsidP="00882CE5">
      <w:pPr>
        <w:spacing w:line="360" w:lineRule="auto"/>
        <w:rPr>
          <w:rtl/>
        </w:rPr>
      </w:pPr>
    </w:p>
    <w:p w14:paraId="6279EDBD" w14:textId="77777777" w:rsidR="00882CE5" w:rsidRDefault="00882CE5" w:rsidP="00882CE5">
      <w:pPr>
        <w:spacing w:line="360" w:lineRule="auto"/>
        <w:rPr>
          <w:b/>
          <w:bCs/>
          <w:rtl/>
        </w:rPr>
      </w:pPr>
      <w:r>
        <w:rPr>
          <w:rFonts w:hint="cs"/>
          <w:b/>
          <w:bCs/>
          <w:rtl/>
        </w:rPr>
        <w:t>גזירת הדין</w:t>
      </w:r>
    </w:p>
    <w:p w14:paraId="7AA26318" w14:textId="77777777" w:rsidR="00882CE5" w:rsidRDefault="00882CE5" w:rsidP="00882CE5">
      <w:pPr>
        <w:numPr>
          <w:ilvl w:val="0"/>
          <w:numId w:val="1"/>
        </w:numPr>
        <w:spacing w:after="200" w:line="360" w:lineRule="auto"/>
        <w:jc w:val="both"/>
        <w:rPr>
          <w:rtl/>
        </w:rPr>
      </w:pPr>
      <w:r>
        <w:rPr>
          <w:rFonts w:hint="cs"/>
          <w:rtl/>
        </w:rPr>
        <w:t>לנוכח האמור, גוזר על הנאשם את העונשים הבאים:</w:t>
      </w:r>
    </w:p>
    <w:p w14:paraId="42C07E17" w14:textId="77777777" w:rsidR="00882CE5" w:rsidRDefault="00882CE5" w:rsidP="00882CE5">
      <w:pPr>
        <w:numPr>
          <w:ilvl w:val="0"/>
          <w:numId w:val="3"/>
        </w:numPr>
        <w:spacing w:after="200" w:line="360" w:lineRule="auto"/>
        <w:jc w:val="both"/>
      </w:pPr>
      <w:r>
        <w:rPr>
          <w:rFonts w:hint="cs"/>
          <w:rtl/>
        </w:rPr>
        <w:t>400 שעות של"ץ על-פי תוכנית שהכין שירות המבחן. תחילת ריצוי עונש זה בהתאם להנחיות שירות המבחן;</w:t>
      </w:r>
    </w:p>
    <w:p w14:paraId="6DB20142" w14:textId="77777777" w:rsidR="00882CE5" w:rsidRDefault="00882CE5" w:rsidP="00882CE5">
      <w:pPr>
        <w:numPr>
          <w:ilvl w:val="0"/>
          <w:numId w:val="3"/>
        </w:numPr>
        <w:spacing w:after="200" w:line="360" w:lineRule="auto"/>
        <w:jc w:val="both"/>
      </w:pPr>
      <w:r>
        <w:rPr>
          <w:rFonts w:hint="cs"/>
          <w:rtl/>
        </w:rPr>
        <w:t>6 חודשי מאסר שלא ירוצו אלא אם יעבור הנאשם בתוך 3 שנים מהיום את העבירות בהן הורשע לרבות ניסיון לעברן;</w:t>
      </w:r>
    </w:p>
    <w:p w14:paraId="60E73710" w14:textId="77777777" w:rsidR="00882CE5" w:rsidRDefault="00882CE5" w:rsidP="00882CE5">
      <w:pPr>
        <w:numPr>
          <w:ilvl w:val="0"/>
          <w:numId w:val="3"/>
        </w:numPr>
        <w:spacing w:after="200" w:line="360" w:lineRule="auto"/>
        <w:jc w:val="both"/>
      </w:pPr>
      <w:r>
        <w:rPr>
          <w:rFonts w:hint="cs"/>
          <w:rtl/>
        </w:rPr>
        <w:t>4,000 ₪ קנס, אשר ישולם החל מיום 1.1.2018 ב-10 תשלומים שווים ורצופים ב-1 לכל חודש. לא ישולם תשלום במועדו או לא ישולם כללי, יעמוד הקנס לפירעון מיידי;</w:t>
      </w:r>
    </w:p>
    <w:p w14:paraId="213844D8" w14:textId="77777777" w:rsidR="00882CE5" w:rsidRDefault="00882CE5" w:rsidP="00882CE5">
      <w:pPr>
        <w:numPr>
          <w:ilvl w:val="0"/>
          <w:numId w:val="3"/>
        </w:numPr>
        <w:spacing w:after="200" w:line="360" w:lineRule="auto"/>
        <w:jc w:val="both"/>
      </w:pPr>
      <w:r>
        <w:rPr>
          <w:rFonts w:hint="cs"/>
          <w:rtl/>
        </w:rPr>
        <w:t xml:space="preserve">מטיל בזה צו מבחן למשך 18 חודשים, במסגרתו יהא נתון הנאשם תחת פיקוח שירות המבחן, כשהובהר לו שעליו לשתף פעולה עם כל תכנית טיפולית ופעילות שיחייבו שירות המבחן, לרבות המשך מתן בדיקות שתן. הובהר לנאשם כי אי שיתוף פעולה עם שירות המבחן עלול להביא לגזירת הדין מחדש ולהעמידו בסכנת הטלת עונש מאסר ממש ללא קשר להסדר שהיה בין הצדדים. </w:t>
      </w:r>
    </w:p>
    <w:p w14:paraId="06B5D8C1" w14:textId="77777777" w:rsidR="00882CE5" w:rsidRDefault="00882CE5" w:rsidP="00882CE5">
      <w:pPr>
        <w:spacing w:line="360" w:lineRule="auto"/>
        <w:rPr>
          <w:b/>
          <w:bCs/>
        </w:rPr>
      </w:pPr>
    </w:p>
    <w:p w14:paraId="09492621" w14:textId="77777777" w:rsidR="00882CE5" w:rsidRDefault="00882CE5" w:rsidP="00882CE5">
      <w:pPr>
        <w:spacing w:line="360" w:lineRule="auto"/>
        <w:rPr>
          <w:b/>
          <w:bCs/>
          <w:rtl/>
        </w:rPr>
      </w:pPr>
      <w:r>
        <w:rPr>
          <w:rFonts w:hint="cs"/>
          <w:b/>
          <w:bCs/>
          <w:rtl/>
        </w:rPr>
        <w:t>המזכירות תשלח העתק מגזר הדין לשירות המבחן ולממונה על עבודות השירות.</w:t>
      </w:r>
    </w:p>
    <w:p w14:paraId="56487470" w14:textId="77777777" w:rsidR="00882CE5" w:rsidRDefault="00882CE5" w:rsidP="00882CE5">
      <w:pPr>
        <w:spacing w:line="360" w:lineRule="auto"/>
        <w:rPr>
          <w:rtl/>
        </w:rPr>
      </w:pPr>
    </w:p>
    <w:p w14:paraId="34A7CC39" w14:textId="77777777" w:rsidR="00882CE5" w:rsidRDefault="00882CE5" w:rsidP="00882CE5">
      <w:pPr>
        <w:spacing w:line="360" w:lineRule="auto"/>
        <w:rPr>
          <w:rtl/>
        </w:rPr>
      </w:pPr>
    </w:p>
    <w:p w14:paraId="245270E3" w14:textId="77777777" w:rsidR="00882CE5" w:rsidRPr="005865D5" w:rsidRDefault="005865D5" w:rsidP="00882CE5">
      <w:pPr>
        <w:rPr>
          <w:color w:val="FFFFFF"/>
          <w:sz w:val="2"/>
          <w:szCs w:val="2"/>
          <w:rtl/>
        </w:rPr>
      </w:pPr>
      <w:r w:rsidRPr="005865D5">
        <w:rPr>
          <w:color w:val="FFFFFF"/>
          <w:sz w:val="2"/>
          <w:szCs w:val="2"/>
          <w:rtl/>
        </w:rPr>
        <w:t>5129371</w:t>
      </w:r>
    </w:p>
    <w:p w14:paraId="09C18790" w14:textId="77777777" w:rsidR="00882CE5" w:rsidRDefault="005865D5" w:rsidP="00882CE5">
      <w:pPr>
        <w:rPr>
          <w:rFonts w:cs="FrankRuehl"/>
          <w:sz w:val="28"/>
          <w:szCs w:val="28"/>
          <w:rtl/>
        </w:rPr>
      </w:pPr>
      <w:r w:rsidRPr="005865D5">
        <w:rPr>
          <w:rFonts w:ascii="Arial" w:hAnsi="Arial"/>
          <w:color w:val="FFFFFF"/>
          <w:sz w:val="2"/>
          <w:szCs w:val="2"/>
          <w:rtl/>
        </w:rPr>
        <w:t>54678313</w:t>
      </w:r>
      <w:r>
        <w:rPr>
          <w:rFonts w:ascii="Arial" w:hAnsi="Arial"/>
          <w:rtl/>
        </w:rPr>
        <w:t xml:space="preserve">ניתן היום,  כ"ה תשרי תשע"ח, 15 אוקטובר 2017, במעמד הצדדים. </w:t>
      </w:r>
    </w:p>
    <w:p w14:paraId="607A63A5" w14:textId="77777777" w:rsidR="00882CE5" w:rsidRDefault="00882CE5" w:rsidP="00882CE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24DA3F5" w14:textId="77777777" w:rsidR="00882CE5" w:rsidRDefault="00882CE5" w:rsidP="00882CE5">
      <w:pPr>
        <w:jc w:val="center"/>
        <w:rPr>
          <w:rFonts w:ascii="Arial" w:hAnsi="Arial" w:cs="FrankRuehl"/>
          <w:sz w:val="28"/>
          <w:szCs w:val="28"/>
          <w:rtl/>
        </w:rPr>
      </w:pPr>
    </w:p>
    <w:p w14:paraId="0797C0E1" w14:textId="77777777" w:rsidR="00882CE5" w:rsidRDefault="00882CE5" w:rsidP="00882CE5">
      <w:pPr>
        <w:rPr>
          <w:rFonts w:cs="FrankRuehl"/>
          <w:sz w:val="28"/>
          <w:szCs w:val="28"/>
          <w:rtl/>
        </w:rPr>
      </w:pPr>
    </w:p>
    <w:p w14:paraId="63CF272B" w14:textId="77777777" w:rsidR="00882CE5" w:rsidRDefault="00882CE5" w:rsidP="00882CE5">
      <w:pPr>
        <w:pStyle w:val="a3"/>
        <w:jc w:val="center"/>
        <w:rPr>
          <w:rtl/>
        </w:rPr>
      </w:pPr>
    </w:p>
    <w:p w14:paraId="1D1E75A3" w14:textId="77777777" w:rsidR="005865D5" w:rsidRPr="005865D5" w:rsidRDefault="005865D5" w:rsidP="005865D5">
      <w:pPr>
        <w:keepNext/>
        <w:rPr>
          <w:rFonts w:ascii="David" w:hAnsi="David"/>
          <w:color w:val="000000"/>
          <w:sz w:val="22"/>
          <w:szCs w:val="22"/>
          <w:rtl/>
        </w:rPr>
      </w:pPr>
    </w:p>
    <w:p w14:paraId="3493BFF6" w14:textId="77777777" w:rsidR="005865D5" w:rsidRPr="005865D5" w:rsidRDefault="005865D5" w:rsidP="005865D5">
      <w:pPr>
        <w:keepNext/>
        <w:rPr>
          <w:rFonts w:ascii="David" w:hAnsi="David"/>
          <w:color w:val="000000"/>
          <w:sz w:val="22"/>
          <w:szCs w:val="22"/>
          <w:rtl/>
        </w:rPr>
      </w:pPr>
      <w:r w:rsidRPr="005865D5">
        <w:rPr>
          <w:rFonts w:ascii="David" w:hAnsi="David"/>
          <w:color w:val="000000"/>
          <w:sz w:val="22"/>
          <w:szCs w:val="22"/>
          <w:rtl/>
        </w:rPr>
        <w:t>דוד שאול גבאי ריכטר 54678313</w:t>
      </w:r>
    </w:p>
    <w:p w14:paraId="233820BA" w14:textId="77777777" w:rsidR="005865D5" w:rsidRDefault="005865D5" w:rsidP="005865D5">
      <w:pPr>
        <w:rPr>
          <w:color w:val="000000"/>
          <w:rtl/>
        </w:rPr>
      </w:pPr>
      <w:r w:rsidRPr="005865D5">
        <w:rPr>
          <w:color w:val="000000"/>
          <w:rtl/>
        </w:rPr>
        <w:t>נוסח מסמך זה כפוף לשינויי ניסוח ועריכה</w:t>
      </w:r>
    </w:p>
    <w:p w14:paraId="3B4C49AD" w14:textId="77777777" w:rsidR="005865D5" w:rsidRDefault="005865D5" w:rsidP="005865D5">
      <w:pPr>
        <w:rPr>
          <w:rtl/>
        </w:rPr>
      </w:pPr>
    </w:p>
    <w:p w14:paraId="78B33DF9" w14:textId="77777777" w:rsidR="005865D5" w:rsidRDefault="005865D5" w:rsidP="005865D5">
      <w:pPr>
        <w:jc w:val="center"/>
        <w:rPr>
          <w:color w:val="0000FF"/>
          <w:u w:val="single"/>
          <w:rtl/>
        </w:rPr>
      </w:pPr>
      <w:hyperlink r:id="rId33" w:history="1">
        <w:r>
          <w:rPr>
            <w:rStyle w:val="Hyperlink"/>
            <w:rtl/>
          </w:rPr>
          <w:t>בעניין עריכה ושינויים במסמכי פסיקה, חקיקה ועוד באתר נבו – הקש כאן</w:t>
        </w:r>
      </w:hyperlink>
    </w:p>
    <w:p w14:paraId="0F5D6847" w14:textId="77777777" w:rsidR="002D7B2F" w:rsidRPr="005865D5" w:rsidRDefault="002D7B2F" w:rsidP="005865D5">
      <w:pPr>
        <w:jc w:val="center"/>
        <w:rPr>
          <w:color w:val="0000FF"/>
          <w:u w:val="single"/>
        </w:rPr>
      </w:pPr>
    </w:p>
    <w:sectPr w:rsidR="002D7B2F" w:rsidRPr="005865D5" w:rsidSect="005865D5">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258D3" w14:textId="77777777" w:rsidR="002F7AAB" w:rsidRDefault="002F7AAB">
      <w:r>
        <w:separator/>
      </w:r>
    </w:p>
  </w:endnote>
  <w:endnote w:type="continuationSeparator" w:id="0">
    <w:p w14:paraId="701B4B89" w14:textId="77777777" w:rsidR="002F7AAB" w:rsidRDefault="002F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3BAF2" w14:textId="77777777" w:rsidR="005865D5" w:rsidRDefault="005865D5" w:rsidP="005865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37D153" w14:textId="77777777" w:rsidR="005865D5" w:rsidRPr="005865D5" w:rsidRDefault="005865D5" w:rsidP="005865D5">
    <w:pPr>
      <w:pStyle w:val="a5"/>
      <w:pBdr>
        <w:top w:val="single" w:sz="4" w:space="1" w:color="auto"/>
        <w:between w:val="single" w:sz="4" w:space="0" w:color="auto"/>
      </w:pBdr>
      <w:spacing w:after="60"/>
      <w:jc w:val="center"/>
      <w:rPr>
        <w:rFonts w:ascii="FrankRuehl" w:hAnsi="FrankRuehl" w:cs="FrankRuehl"/>
        <w:color w:val="000000"/>
      </w:rPr>
    </w:pPr>
    <w:r w:rsidRPr="005865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A374C" w14:textId="77777777" w:rsidR="005865D5" w:rsidRDefault="005865D5" w:rsidP="005865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6E84">
      <w:rPr>
        <w:rFonts w:ascii="FrankRuehl" w:hAnsi="FrankRuehl" w:cs="FrankRuehl"/>
        <w:noProof/>
        <w:rtl/>
      </w:rPr>
      <w:t>1</w:t>
    </w:r>
    <w:r>
      <w:rPr>
        <w:rFonts w:ascii="FrankRuehl" w:hAnsi="FrankRuehl" w:cs="FrankRuehl"/>
        <w:rtl/>
      </w:rPr>
      <w:fldChar w:fldCharType="end"/>
    </w:r>
  </w:p>
  <w:p w14:paraId="1278371A" w14:textId="77777777" w:rsidR="005865D5" w:rsidRPr="005865D5" w:rsidRDefault="005865D5" w:rsidP="005865D5">
    <w:pPr>
      <w:pStyle w:val="a5"/>
      <w:pBdr>
        <w:top w:val="single" w:sz="4" w:space="1" w:color="auto"/>
        <w:between w:val="single" w:sz="4" w:space="0" w:color="auto"/>
      </w:pBdr>
      <w:spacing w:after="60"/>
      <w:jc w:val="center"/>
      <w:rPr>
        <w:rFonts w:ascii="FrankRuehl" w:hAnsi="FrankRuehl" w:cs="FrankRuehl"/>
        <w:color w:val="000000"/>
      </w:rPr>
    </w:pPr>
    <w:r w:rsidRPr="005865D5">
      <w:rPr>
        <w:rFonts w:ascii="FrankRuehl" w:hAnsi="FrankRuehl" w:cs="FrankRuehl"/>
        <w:color w:val="000000"/>
      </w:rPr>
      <w:pict w14:anchorId="4E0B8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4C0CE" w14:textId="77777777" w:rsidR="002F7AAB" w:rsidRDefault="002F7AAB">
      <w:r>
        <w:separator/>
      </w:r>
    </w:p>
  </w:footnote>
  <w:footnote w:type="continuationSeparator" w:id="0">
    <w:p w14:paraId="2AC0C345" w14:textId="77777777" w:rsidR="002F7AAB" w:rsidRDefault="002F7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0BF48" w14:textId="77777777" w:rsidR="005865D5" w:rsidRPr="005865D5" w:rsidRDefault="005865D5" w:rsidP="005865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42116-04-17</w:t>
    </w:r>
    <w:r>
      <w:rPr>
        <w:rFonts w:ascii="David" w:hAnsi="David"/>
        <w:color w:val="000000"/>
        <w:sz w:val="22"/>
        <w:szCs w:val="22"/>
        <w:rtl/>
      </w:rPr>
      <w:tab/>
      <w:t xml:space="preserve"> מדינת ישראל נ' אלחנן יהודה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068B" w14:textId="77777777" w:rsidR="005865D5" w:rsidRPr="005865D5" w:rsidRDefault="005865D5" w:rsidP="005865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42116-04-17</w:t>
    </w:r>
    <w:r>
      <w:rPr>
        <w:rFonts w:ascii="David" w:hAnsi="David"/>
        <w:color w:val="000000"/>
        <w:sz w:val="22"/>
        <w:szCs w:val="22"/>
        <w:rtl/>
      </w:rPr>
      <w:tab/>
      <w:t xml:space="preserve"> מדינת ישראל נ' אלחנן יהודה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54E02"/>
    <w:multiLevelType w:val="hybridMultilevel"/>
    <w:tmpl w:val="0824C4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1AB2A2E"/>
    <w:multiLevelType w:val="hybridMultilevel"/>
    <w:tmpl w:val="CC3CD6CA"/>
    <w:lvl w:ilvl="0" w:tplc="29F8548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F80881"/>
    <w:multiLevelType w:val="hybridMultilevel"/>
    <w:tmpl w:val="9A1CA0DE"/>
    <w:lvl w:ilvl="0" w:tplc="4A224B2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5920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6545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13272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2CE5"/>
    <w:rsid w:val="002D7B2F"/>
    <w:rsid w:val="002F7AAB"/>
    <w:rsid w:val="005865D5"/>
    <w:rsid w:val="005D3CC3"/>
    <w:rsid w:val="00706E84"/>
    <w:rsid w:val="00756D07"/>
    <w:rsid w:val="00873C7F"/>
    <w:rsid w:val="00882CE5"/>
    <w:rsid w:val="00AC1A24"/>
    <w:rsid w:val="00B643AD"/>
    <w:rsid w:val="00BA16A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3A15F727"/>
  <w15:chartTrackingRefBased/>
  <w15:docId w15:val="{3FABB416-6657-494B-A28F-BD3DF6E1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2CE5"/>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82CE5"/>
    <w:pPr>
      <w:tabs>
        <w:tab w:val="center" w:pos="4153"/>
        <w:tab w:val="right" w:pos="8306"/>
      </w:tabs>
    </w:pPr>
  </w:style>
  <w:style w:type="character" w:customStyle="1" w:styleId="a4">
    <w:name w:val="כותרת עליונה תו"/>
    <w:link w:val="a3"/>
    <w:rsid w:val="00882CE5"/>
    <w:rPr>
      <w:rFonts w:ascii="Times New Roman" w:eastAsia="Times New Roman" w:hAnsi="Times New Roman" w:cs="David"/>
      <w:sz w:val="24"/>
      <w:szCs w:val="24"/>
    </w:rPr>
  </w:style>
  <w:style w:type="paragraph" w:styleId="a5">
    <w:name w:val="footer"/>
    <w:basedOn w:val="a"/>
    <w:link w:val="a6"/>
    <w:rsid w:val="00882CE5"/>
    <w:pPr>
      <w:tabs>
        <w:tab w:val="center" w:pos="4153"/>
        <w:tab w:val="right" w:pos="8306"/>
      </w:tabs>
    </w:pPr>
  </w:style>
  <w:style w:type="character" w:customStyle="1" w:styleId="a6">
    <w:name w:val="כותרת תחתונה תו"/>
    <w:link w:val="a5"/>
    <w:rsid w:val="00882CE5"/>
    <w:rPr>
      <w:rFonts w:ascii="Times New Roman" w:eastAsia="Times New Roman" w:hAnsi="Times New Roman" w:cs="David"/>
      <w:sz w:val="24"/>
      <w:szCs w:val="24"/>
    </w:rPr>
  </w:style>
  <w:style w:type="table" w:styleId="a7">
    <w:name w:val="Table Grid"/>
    <w:basedOn w:val="a1"/>
    <w:rsid w:val="00882C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2CE5"/>
  </w:style>
  <w:style w:type="character" w:styleId="Hyperlink">
    <w:name w:val="Hyperlink"/>
    <w:basedOn w:val="a0"/>
    <w:rsid w:val="00586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21017469"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32"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41255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70301/40i"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law/70301/32"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105571"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32" TargetMode="External"/><Relationship Id="rId27" Type="http://schemas.openxmlformats.org/officeDocument/2006/relationships/hyperlink" Target="http://www.nevo.co.il/case/20685141"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1863</Words>
  <Characters>9316</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11157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3211379</vt:i4>
      </vt:variant>
      <vt:variant>
        <vt:i4>63</vt:i4>
      </vt:variant>
      <vt:variant>
        <vt:i4>0</vt:i4>
      </vt:variant>
      <vt:variant>
        <vt:i4>5</vt:i4>
      </vt:variant>
      <vt:variant>
        <vt:lpwstr>http://www.nevo.co.il/case/22105571</vt:lpwstr>
      </vt:variant>
      <vt:variant>
        <vt:lpwstr/>
      </vt:variant>
      <vt:variant>
        <vt:i4>3473533</vt:i4>
      </vt:variant>
      <vt:variant>
        <vt:i4>60</vt:i4>
      </vt:variant>
      <vt:variant>
        <vt:i4>0</vt:i4>
      </vt:variant>
      <vt:variant>
        <vt:i4>5</vt:i4>
      </vt:variant>
      <vt:variant>
        <vt:lpwstr>http://www.nevo.co.il/case/20685141</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3211376</vt:i4>
      </vt:variant>
      <vt:variant>
        <vt:i4>54</vt:i4>
      </vt:variant>
      <vt:variant>
        <vt:i4>0</vt:i4>
      </vt:variant>
      <vt:variant>
        <vt:i4>5</vt:i4>
      </vt:variant>
      <vt:variant>
        <vt:lpwstr>http://www.nevo.co.il/case/20412551</vt:lpwstr>
      </vt:variant>
      <vt:variant>
        <vt:lpwstr/>
      </vt:variant>
      <vt:variant>
        <vt:i4>6750310</vt:i4>
      </vt:variant>
      <vt:variant>
        <vt:i4>51</vt:i4>
      </vt:variant>
      <vt:variant>
        <vt:i4>0</vt:i4>
      </vt:variant>
      <vt:variant>
        <vt:i4>5</vt:i4>
      </vt:variant>
      <vt:variant>
        <vt:lpwstr>http://www.nevo.co.il/law/70301/32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6750310</vt:i4>
      </vt:variant>
      <vt:variant>
        <vt:i4>45</vt:i4>
      </vt:variant>
      <vt:variant>
        <vt:i4>0</vt:i4>
      </vt:variant>
      <vt:variant>
        <vt:i4>5</vt:i4>
      </vt:variant>
      <vt:variant>
        <vt:lpwstr>http://www.nevo.co.il/law/70301/32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42116</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אלחנן יהודה</vt:lpwstr>
  </property>
  <property fmtid="{D5CDD505-2E9C-101B-9397-08002B2CF9AE}" pid="10" name="JUDGE">
    <vt:lpwstr>דוד שאול גבאי ריכטר</vt:lpwstr>
  </property>
  <property fmtid="{D5CDD505-2E9C-101B-9397-08002B2CF9AE}" pid="11" name="CITY">
    <vt:lpwstr>י-ם</vt:lpwstr>
  </property>
  <property fmtid="{D5CDD505-2E9C-101B-9397-08002B2CF9AE}" pid="12" name="DATE">
    <vt:lpwstr>20171015</vt:lpwstr>
  </property>
  <property fmtid="{D5CDD505-2E9C-101B-9397-08002B2CF9AE}" pid="13" name="TYPE_N_DATE">
    <vt:lpwstr>38020171015</vt:lpwstr>
  </property>
  <property fmtid="{D5CDD505-2E9C-101B-9397-08002B2CF9AE}" pid="14" name="CASESLISTTMP1">
    <vt:lpwstr>20412551;21017469;20685141;22105571</vt:lpwstr>
  </property>
  <property fmtid="{D5CDD505-2E9C-101B-9397-08002B2CF9AE}" pid="15" name="CASENOTES1">
    <vt:lpwstr>ProcID=133;209&amp;PartA=616&amp;PartC=16</vt:lpwstr>
  </property>
  <property fmtid="{D5CDD505-2E9C-101B-9397-08002B2CF9AE}" pid="16" name="WORDNUMPAGES">
    <vt:lpwstr>7</vt:lpwstr>
  </property>
  <property fmtid="{D5CDD505-2E9C-101B-9397-08002B2CF9AE}" pid="17" name="TYPE_ABS_DATE">
    <vt:lpwstr>380020171015</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70301/031;040i;032:2;40ja;040d</vt:lpwstr>
  </property>
</Properties>
</file>