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584F97" w:rsidRPr="00737E90" w14:paraId="12A64AD0" w14:textId="77777777" w:rsidTr="00862DC7">
        <w:trPr>
          <w:trHeight w:hRule="exact" w:val="418"/>
          <w:jc w:val="center"/>
        </w:trPr>
        <w:tc>
          <w:tcPr>
            <w:tcW w:w="8523" w:type="dxa"/>
            <w:gridSpan w:val="2"/>
          </w:tcPr>
          <w:p w14:paraId="647C611C" w14:textId="77777777" w:rsidR="00584F97" w:rsidRPr="00737E90" w:rsidRDefault="00584F97" w:rsidP="001F0CC2">
            <w:pPr>
              <w:pStyle w:val="a3"/>
              <w:jc w:val="center"/>
              <w:rPr>
                <w:rFonts w:ascii="Tahoma" w:hAnsi="Tahoma"/>
                <w:color w:val="000080"/>
                <w:sz w:val="32"/>
                <w:szCs w:val="32"/>
                <w:rtl/>
              </w:rPr>
            </w:pPr>
            <w:bookmarkStart w:id="0" w:name="LastJudge"/>
            <w:r w:rsidRPr="00737E90">
              <w:rPr>
                <w:rFonts w:ascii="Tahoma" w:hAnsi="Tahoma"/>
                <w:b/>
                <w:bCs/>
                <w:color w:val="000080"/>
                <w:sz w:val="32"/>
                <w:szCs w:val="32"/>
                <w:rtl/>
              </w:rPr>
              <w:t>בית משפט השלום בתל אביב - יפו</w:t>
            </w:r>
          </w:p>
        </w:tc>
      </w:tr>
      <w:tr w:rsidR="00584F97" w:rsidRPr="00737E90" w14:paraId="3D178587" w14:textId="77777777" w:rsidTr="00862DC7">
        <w:trPr>
          <w:trHeight w:val="337"/>
          <w:jc w:val="center"/>
        </w:trPr>
        <w:tc>
          <w:tcPr>
            <w:tcW w:w="4945" w:type="dxa"/>
          </w:tcPr>
          <w:p w14:paraId="1090C6A9" w14:textId="77777777" w:rsidR="00584F97" w:rsidRPr="00737E90" w:rsidRDefault="00584F97" w:rsidP="001F0CC2">
            <w:pPr>
              <w:rPr>
                <w:sz w:val="26"/>
                <w:szCs w:val="26"/>
                <w:rtl/>
              </w:rPr>
            </w:pPr>
            <w:r w:rsidRPr="00737E90">
              <w:rPr>
                <w:sz w:val="26"/>
                <w:szCs w:val="26"/>
                <w:rtl/>
              </w:rPr>
              <w:t>ת"פ</w:t>
            </w:r>
            <w:r w:rsidRPr="00737E90">
              <w:rPr>
                <w:rFonts w:hint="cs"/>
                <w:sz w:val="26"/>
                <w:szCs w:val="26"/>
                <w:rtl/>
              </w:rPr>
              <w:t xml:space="preserve"> </w:t>
            </w:r>
            <w:r w:rsidRPr="00737E90">
              <w:rPr>
                <w:sz w:val="26"/>
                <w:szCs w:val="26"/>
                <w:rtl/>
              </w:rPr>
              <w:t>45070-04-17</w:t>
            </w:r>
            <w:r w:rsidRPr="00737E90">
              <w:rPr>
                <w:rFonts w:hint="cs"/>
                <w:sz w:val="26"/>
                <w:szCs w:val="26"/>
                <w:rtl/>
              </w:rPr>
              <w:t xml:space="preserve"> </w:t>
            </w:r>
            <w:r w:rsidRPr="00737E90">
              <w:rPr>
                <w:sz w:val="26"/>
                <w:szCs w:val="26"/>
                <w:rtl/>
              </w:rPr>
              <w:t>מדינת ישראל נ' אגזדה</w:t>
            </w:r>
          </w:p>
        </w:tc>
        <w:tc>
          <w:tcPr>
            <w:tcW w:w="3578" w:type="dxa"/>
          </w:tcPr>
          <w:p w14:paraId="1D22049C" w14:textId="77777777" w:rsidR="00584F97" w:rsidRPr="00737E90" w:rsidRDefault="00584F97" w:rsidP="001F0CC2">
            <w:pPr>
              <w:pStyle w:val="a3"/>
              <w:jc w:val="right"/>
              <w:rPr>
                <w:rFonts w:cs="FrankRuehl"/>
                <w:sz w:val="28"/>
                <w:szCs w:val="28"/>
                <w:rtl/>
              </w:rPr>
            </w:pPr>
          </w:p>
        </w:tc>
      </w:tr>
    </w:tbl>
    <w:p w14:paraId="4A6A5001" w14:textId="77777777" w:rsidR="00584F97" w:rsidRPr="00737E90" w:rsidRDefault="00584F97" w:rsidP="00584F97">
      <w:pPr>
        <w:pStyle w:val="a3"/>
        <w:rPr>
          <w:rtl/>
        </w:rPr>
      </w:pPr>
      <w:r w:rsidRPr="00737E90">
        <w:rPr>
          <w:rFonts w:hint="cs"/>
          <w:rtl/>
        </w:rPr>
        <w:t xml:space="preserve"> </w:t>
      </w:r>
    </w:p>
    <w:p w14:paraId="6B8C0689" w14:textId="77777777" w:rsidR="00584F97" w:rsidRPr="00737E90" w:rsidRDefault="00584F97" w:rsidP="00584F97">
      <w:pPr>
        <w:rPr>
          <w:rtl/>
        </w:rPr>
      </w:pPr>
    </w:p>
    <w:p w14:paraId="75E39D3E" w14:textId="77777777" w:rsidR="00584F97" w:rsidRPr="00737E90" w:rsidRDefault="00584F97" w:rsidP="00584F9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5"/>
        <w:gridCol w:w="3400"/>
      </w:tblGrid>
      <w:tr w:rsidR="00584F97" w:rsidRPr="00737E90" w14:paraId="7DFCA267" w14:textId="77777777" w:rsidTr="00584F97">
        <w:trPr>
          <w:trHeight w:val="295"/>
          <w:jc w:val="center"/>
        </w:trPr>
        <w:tc>
          <w:tcPr>
            <w:tcW w:w="8820" w:type="dxa"/>
            <w:gridSpan w:val="3"/>
            <w:tcBorders>
              <w:top w:val="nil"/>
              <w:left w:val="nil"/>
              <w:bottom w:val="nil"/>
              <w:right w:val="nil"/>
            </w:tcBorders>
            <w:shd w:val="clear" w:color="auto" w:fill="auto"/>
          </w:tcPr>
          <w:p w14:paraId="38144DE2" w14:textId="77777777" w:rsidR="00584F97" w:rsidRPr="00737E90" w:rsidRDefault="00584F97" w:rsidP="001F0CC2">
            <w:pPr>
              <w:rPr>
                <w:rFonts w:ascii="Arial" w:hAnsi="Arial"/>
                <w:b/>
                <w:bCs/>
                <w:sz w:val="26"/>
                <w:szCs w:val="26"/>
              </w:rPr>
            </w:pPr>
            <w:r w:rsidRPr="00737E90">
              <w:rPr>
                <w:rFonts w:ascii="Arial" w:hAnsi="Arial" w:hint="cs"/>
                <w:b/>
                <w:bCs/>
                <w:sz w:val="26"/>
                <w:szCs w:val="26"/>
                <w:rtl/>
              </w:rPr>
              <w:t>ל</w:t>
            </w:r>
            <w:r w:rsidRPr="00737E90">
              <w:rPr>
                <w:rFonts w:ascii="Arial" w:hAnsi="Arial"/>
                <w:b/>
                <w:bCs/>
                <w:sz w:val="26"/>
                <w:szCs w:val="26"/>
                <w:rtl/>
              </w:rPr>
              <w:t xml:space="preserve">פני </w:t>
            </w:r>
            <w:r w:rsidRPr="00737E90">
              <w:rPr>
                <w:rFonts w:ascii="Arial" w:hAnsi="Arial" w:hint="cs"/>
                <w:b/>
                <w:bCs/>
                <w:sz w:val="26"/>
                <w:szCs w:val="26"/>
                <w:rtl/>
              </w:rPr>
              <w:t>כבוד ה</w:t>
            </w:r>
            <w:r w:rsidRPr="00737E90">
              <w:rPr>
                <w:rFonts w:ascii="Arial" w:hAnsi="Arial"/>
                <w:b/>
                <w:bCs/>
                <w:sz w:val="26"/>
                <w:szCs w:val="26"/>
                <w:rtl/>
              </w:rPr>
              <w:t>שופט</w:t>
            </w:r>
            <w:r w:rsidRPr="00737E90">
              <w:rPr>
                <w:rFonts w:ascii="Arial" w:hAnsi="Arial" w:hint="cs"/>
                <w:b/>
                <w:bCs/>
                <w:sz w:val="26"/>
                <w:szCs w:val="26"/>
                <w:rtl/>
              </w:rPr>
              <w:t xml:space="preserve">  </w:t>
            </w:r>
            <w:r w:rsidRPr="00737E90">
              <w:rPr>
                <w:rFonts w:ascii="Arial" w:hAnsi="Arial"/>
                <w:b/>
                <w:bCs/>
                <w:sz w:val="26"/>
                <w:szCs w:val="26"/>
                <w:rtl/>
              </w:rPr>
              <w:t>איתן קורנהאוזר</w:t>
            </w:r>
            <w:r w:rsidRPr="00737E90">
              <w:rPr>
                <w:rFonts w:ascii="Arial" w:hAnsi="Arial"/>
                <w:b/>
                <w:bCs/>
                <w:sz w:val="26"/>
                <w:szCs w:val="26"/>
                <w:rtl/>
              </w:rPr>
              <w:br/>
            </w:r>
            <w:r w:rsidRPr="00737E90">
              <w:rPr>
                <w:sz w:val="26"/>
                <w:szCs w:val="26"/>
                <w:rtl/>
              </w:rPr>
              <w:br/>
            </w:r>
          </w:p>
        </w:tc>
      </w:tr>
      <w:tr w:rsidR="00584F97" w:rsidRPr="00737E90" w14:paraId="2991CC03" w14:textId="77777777" w:rsidTr="00584F97">
        <w:trPr>
          <w:trHeight w:val="355"/>
          <w:jc w:val="center"/>
        </w:trPr>
        <w:tc>
          <w:tcPr>
            <w:tcW w:w="885" w:type="dxa"/>
            <w:tcBorders>
              <w:top w:val="nil"/>
              <w:left w:val="nil"/>
              <w:bottom w:val="nil"/>
              <w:right w:val="nil"/>
            </w:tcBorders>
            <w:shd w:val="clear" w:color="auto" w:fill="auto"/>
          </w:tcPr>
          <w:p w14:paraId="5FEF384F" w14:textId="77777777" w:rsidR="00584F97" w:rsidRPr="00737E90" w:rsidRDefault="00584F97" w:rsidP="001F0CC2">
            <w:pPr>
              <w:rPr>
                <w:rFonts w:ascii="Arial" w:hAnsi="Arial"/>
                <w:b/>
                <w:bCs/>
                <w:sz w:val="26"/>
                <w:szCs w:val="26"/>
              </w:rPr>
            </w:pPr>
            <w:bookmarkStart w:id="1" w:name="FirstAppellant"/>
            <w:bookmarkStart w:id="2" w:name="FirstLawyer"/>
            <w:r w:rsidRPr="00737E90">
              <w:rPr>
                <w:rFonts w:ascii="Arial" w:hAnsi="Arial" w:hint="cs"/>
                <w:sz w:val="26"/>
                <w:szCs w:val="26"/>
                <w:rtl/>
              </w:rPr>
              <w:t>ה</w:t>
            </w:r>
            <w:r w:rsidRPr="00737E90">
              <w:rPr>
                <w:rFonts w:ascii="Arial" w:hAnsi="Arial"/>
                <w:sz w:val="26"/>
                <w:szCs w:val="26"/>
                <w:rtl/>
              </w:rPr>
              <w:t>מאשימה</w:t>
            </w:r>
          </w:p>
        </w:tc>
        <w:tc>
          <w:tcPr>
            <w:tcW w:w="4384" w:type="dxa"/>
            <w:tcBorders>
              <w:top w:val="nil"/>
              <w:left w:val="nil"/>
              <w:bottom w:val="nil"/>
              <w:right w:val="nil"/>
            </w:tcBorders>
            <w:shd w:val="clear" w:color="auto" w:fill="auto"/>
          </w:tcPr>
          <w:p w14:paraId="7750284E" w14:textId="77777777" w:rsidR="00584F97" w:rsidRPr="00737E90" w:rsidRDefault="00584F97" w:rsidP="001F0CC2">
            <w:pPr>
              <w:rPr>
                <w:sz w:val="26"/>
                <w:szCs w:val="26"/>
                <w:rtl/>
              </w:rPr>
            </w:pPr>
            <w:r w:rsidRPr="00737E90">
              <w:rPr>
                <w:rFonts w:ascii="Arial" w:hAnsi="Arial"/>
                <w:sz w:val="26"/>
                <w:szCs w:val="26"/>
                <w:rtl/>
              </w:rPr>
              <w:t>מדינת ישראל</w:t>
            </w:r>
          </w:p>
          <w:p w14:paraId="592730F8" w14:textId="77777777" w:rsidR="00584F97" w:rsidRPr="00737E90" w:rsidRDefault="00584F97" w:rsidP="001F0CC2">
            <w:pPr>
              <w:rPr>
                <w:sz w:val="26"/>
                <w:szCs w:val="26"/>
              </w:rPr>
            </w:pPr>
            <w:r w:rsidRPr="00737E90">
              <w:rPr>
                <w:rFonts w:hint="cs"/>
                <w:sz w:val="26"/>
                <w:szCs w:val="26"/>
                <w:rtl/>
              </w:rPr>
              <w:t>ע"י ב"כ עו"ד ליהי אזולאי</w:t>
            </w:r>
          </w:p>
        </w:tc>
        <w:tc>
          <w:tcPr>
            <w:tcW w:w="3551" w:type="dxa"/>
            <w:tcBorders>
              <w:top w:val="nil"/>
              <w:left w:val="nil"/>
              <w:bottom w:val="nil"/>
              <w:right w:val="nil"/>
            </w:tcBorders>
            <w:shd w:val="clear" w:color="auto" w:fill="auto"/>
          </w:tcPr>
          <w:p w14:paraId="4F8E8504" w14:textId="77777777" w:rsidR="00584F97" w:rsidRPr="00737E90" w:rsidRDefault="00584F97" w:rsidP="001F0CC2">
            <w:pPr>
              <w:rPr>
                <w:rFonts w:ascii="Arial" w:hAnsi="Arial"/>
                <w:sz w:val="26"/>
                <w:szCs w:val="26"/>
              </w:rPr>
            </w:pPr>
          </w:p>
        </w:tc>
      </w:tr>
      <w:bookmarkEnd w:id="1"/>
      <w:bookmarkEnd w:id="2"/>
      <w:tr w:rsidR="00584F97" w:rsidRPr="00737E90" w14:paraId="7C94ADCC" w14:textId="77777777" w:rsidTr="00584F97">
        <w:trPr>
          <w:trHeight w:val="373"/>
          <w:jc w:val="center"/>
        </w:trPr>
        <w:tc>
          <w:tcPr>
            <w:tcW w:w="885" w:type="dxa"/>
            <w:tcBorders>
              <w:top w:val="nil"/>
              <w:left w:val="nil"/>
              <w:bottom w:val="nil"/>
              <w:right w:val="nil"/>
            </w:tcBorders>
            <w:shd w:val="clear" w:color="auto" w:fill="auto"/>
          </w:tcPr>
          <w:p w14:paraId="594C5599" w14:textId="77777777" w:rsidR="00584F97" w:rsidRPr="00737E90" w:rsidRDefault="00584F97" w:rsidP="001F0CC2">
            <w:pPr>
              <w:rPr>
                <w:rFonts w:ascii="Arial" w:hAnsi="Arial"/>
                <w:sz w:val="26"/>
                <w:szCs w:val="26"/>
                <w:rtl/>
              </w:rPr>
            </w:pPr>
          </w:p>
        </w:tc>
        <w:tc>
          <w:tcPr>
            <w:tcW w:w="7935" w:type="dxa"/>
            <w:gridSpan w:val="2"/>
            <w:tcBorders>
              <w:top w:val="nil"/>
              <w:left w:val="nil"/>
              <w:bottom w:val="nil"/>
              <w:right w:val="nil"/>
            </w:tcBorders>
            <w:shd w:val="clear" w:color="auto" w:fill="auto"/>
          </w:tcPr>
          <w:p w14:paraId="607CA57F" w14:textId="77777777" w:rsidR="00584F97" w:rsidRPr="00737E90" w:rsidRDefault="00584F97" w:rsidP="001F0CC2">
            <w:pPr>
              <w:rPr>
                <w:rFonts w:ascii="Arial" w:hAnsi="Arial"/>
                <w:b/>
                <w:bCs/>
                <w:sz w:val="26"/>
                <w:szCs w:val="26"/>
                <w:rtl/>
              </w:rPr>
            </w:pPr>
          </w:p>
          <w:p w14:paraId="28E5EDF4" w14:textId="77777777" w:rsidR="00584F97" w:rsidRPr="00737E90" w:rsidRDefault="00584F97" w:rsidP="001F0CC2">
            <w:pPr>
              <w:rPr>
                <w:rFonts w:ascii="Arial" w:hAnsi="Arial"/>
                <w:b/>
                <w:bCs/>
                <w:sz w:val="26"/>
                <w:szCs w:val="26"/>
                <w:rtl/>
              </w:rPr>
            </w:pPr>
            <w:r w:rsidRPr="00737E90">
              <w:rPr>
                <w:rFonts w:ascii="Arial" w:hAnsi="Arial"/>
                <w:b/>
                <w:bCs/>
                <w:sz w:val="26"/>
                <w:szCs w:val="26"/>
                <w:rtl/>
              </w:rPr>
              <w:t>נגד</w:t>
            </w:r>
          </w:p>
          <w:p w14:paraId="17E663F0" w14:textId="77777777" w:rsidR="00584F97" w:rsidRPr="00737E90" w:rsidRDefault="00584F97" w:rsidP="001F0CC2">
            <w:pPr>
              <w:rPr>
                <w:rFonts w:ascii="Arial" w:hAnsi="Arial"/>
                <w:sz w:val="26"/>
                <w:szCs w:val="26"/>
              </w:rPr>
            </w:pPr>
          </w:p>
        </w:tc>
      </w:tr>
      <w:tr w:rsidR="00584F97" w:rsidRPr="00737E90" w14:paraId="24373820" w14:textId="77777777" w:rsidTr="00584F97">
        <w:trPr>
          <w:trHeight w:val="355"/>
          <w:jc w:val="center"/>
        </w:trPr>
        <w:tc>
          <w:tcPr>
            <w:tcW w:w="885" w:type="dxa"/>
            <w:tcBorders>
              <w:top w:val="nil"/>
              <w:left w:val="nil"/>
              <w:bottom w:val="nil"/>
              <w:right w:val="nil"/>
            </w:tcBorders>
            <w:shd w:val="clear" w:color="auto" w:fill="auto"/>
          </w:tcPr>
          <w:p w14:paraId="6EDC737A" w14:textId="77777777" w:rsidR="00584F97" w:rsidRPr="00737E90" w:rsidRDefault="00584F97" w:rsidP="001F0CC2">
            <w:pPr>
              <w:rPr>
                <w:rFonts w:ascii="Arial" w:hAnsi="Arial"/>
                <w:sz w:val="26"/>
                <w:szCs w:val="26"/>
                <w:rtl/>
              </w:rPr>
            </w:pPr>
            <w:r w:rsidRPr="00737E90">
              <w:rPr>
                <w:rFonts w:ascii="Arial" w:hAnsi="Arial" w:hint="cs"/>
                <w:sz w:val="26"/>
                <w:szCs w:val="26"/>
                <w:rtl/>
              </w:rPr>
              <w:t>ה</w:t>
            </w:r>
            <w:r w:rsidRPr="00737E90">
              <w:rPr>
                <w:rFonts w:ascii="Arial" w:hAnsi="Arial"/>
                <w:sz w:val="26"/>
                <w:szCs w:val="26"/>
                <w:rtl/>
              </w:rPr>
              <w:t>נאשם</w:t>
            </w:r>
          </w:p>
        </w:tc>
        <w:tc>
          <w:tcPr>
            <w:tcW w:w="4384" w:type="dxa"/>
            <w:tcBorders>
              <w:top w:val="nil"/>
              <w:left w:val="nil"/>
              <w:bottom w:val="nil"/>
              <w:right w:val="nil"/>
            </w:tcBorders>
            <w:shd w:val="clear" w:color="auto" w:fill="auto"/>
          </w:tcPr>
          <w:p w14:paraId="1A46FFA4" w14:textId="77777777" w:rsidR="00584F97" w:rsidRPr="00737E90" w:rsidRDefault="00584F97" w:rsidP="001F0CC2">
            <w:pPr>
              <w:rPr>
                <w:sz w:val="26"/>
                <w:szCs w:val="26"/>
                <w:rtl/>
              </w:rPr>
            </w:pPr>
            <w:r w:rsidRPr="00737E90">
              <w:rPr>
                <w:rFonts w:ascii="Arial" w:hAnsi="Arial"/>
                <w:sz w:val="26"/>
                <w:szCs w:val="26"/>
                <w:rtl/>
              </w:rPr>
              <w:t>מרדכי אגזדה</w:t>
            </w:r>
          </w:p>
          <w:p w14:paraId="30C9F4D8" w14:textId="77777777" w:rsidR="00584F97" w:rsidRPr="00737E90" w:rsidRDefault="00584F97" w:rsidP="001F0CC2">
            <w:pPr>
              <w:rPr>
                <w:sz w:val="26"/>
                <w:szCs w:val="26"/>
                <w:rtl/>
              </w:rPr>
            </w:pPr>
            <w:r w:rsidRPr="00737E90">
              <w:rPr>
                <w:rFonts w:hint="cs"/>
                <w:sz w:val="26"/>
                <w:szCs w:val="26"/>
                <w:rtl/>
              </w:rPr>
              <w:t>ע"י ב"כ עו"ד בן בן יהודה</w:t>
            </w:r>
          </w:p>
        </w:tc>
        <w:tc>
          <w:tcPr>
            <w:tcW w:w="3551" w:type="dxa"/>
            <w:tcBorders>
              <w:top w:val="nil"/>
              <w:left w:val="nil"/>
              <w:bottom w:val="nil"/>
              <w:right w:val="nil"/>
            </w:tcBorders>
            <w:shd w:val="clear" w:color="auto" w:fill="auto"/>
          </w:tcPr>
          <w:p w14:paraId="4EC2DA22" w14:textId="77777777" w:rsidR="00584F97" w:rsidRPr="00737E90" w:rsidRDefault="00584F97" w:rsidP="001F0CC2">
            <w:pPr>
              <w:rPr>
                <w:rFonts w:ascii="Arial" w:hAnsi="Arial"/>
                <w:sz w:val="26"/>
                <w:szCs w:val="26"/>
              </w:rPr>
            </w:pPr>
          </w:p>
        </w:tc>
      </w:tr>
    </w:tbl>
    <w:p w14:paraId="7570DB12" w14:textId="77777777" w:rsidR="00862DC7" w:rsidRDefault="00862DC7" w:rsidP="00584F97">
      <w:pPr>
        <w:rPr>
          <w:rtl/>
        </w:rPr>
      </w:pPr>
      <w:bookmarkStart w:id="3" w:name="LawTable"/>
      <w:bookmarkEnd w:id="3"/>
    </w:p>
    <w:p w14:paraId="05912B44" w14:textId="77777777" w:rsidR="00862DC7" w:rsidRPr="00862DC7" w:rsidRDefault="00862DC7" w:rsidP="00862DC7">
      <w:pPr>
        <w:spacing w:after="120" w:line="240" w:lineRule="exact"/>
        <w:ind w:left="283" w:hanging="283"/>
        <w:jc w:val="both"/>
        <w:rPr>
          <w:rFonts w:ascii="FrankRuehl" w:hAnsi="FrankRuehl" w:cs="FrankRuehl"/>
          <w:rtl/>
        </w:rPr>
      </w:pPr>
    </w:p>
    <w:p w14:paraId="2D358E92" w14:textId="77777777" w:rsidR="00862DC7" w:rsidRPr="00862DC7" w:rsidRDefault="00862DC7" w:rsidP="00862DC7">
      <w:pPr>
        <w:spacing w:after="120" w:line="240" w:lineRule="exact"/>
        <w:ind w:left="283" w:hanging="283"/>
        <w:jc w:val="both"/>
        <w:rPr>
          <w:rFonts w:ascii="FrankRuehl" w:hAnsi="FrankRuehl" w:cs="FrankRuehl"/>
          <w:rtl/>
        </w:rPr>
      </w:pPr>
      <w:r w:rsidRPr="00862DC7">
        <w:rPr>
          <w:rFonts w:ascii="FrankRuehl" w:hAnsi="FrankRuehl" w:cs="FrankRuehl"/>
          <w:rtl/>
        </w:rPr>
        <w:t xml:space="preserve">חקיקה שאוזכרה: </w:t>
      </w:r>
    </w:p>
    <w:p w14:paraId="7AAB39B9" w14:textId="77777777" w:rsidR="00862DC7" w:rsidRPr="00862DC7" w:rsidRDefault="00862DC7" w:rsidP="00862DC7">
      <w:pPr>
        <w:spacing w:after="120" w:line="240" w:lineRule="exact"/>
        <w:ind w:left="283" w:hanging="283"/>
        <w:jc w:val="both"/>
        <w:rPr>
          <w:rFonts w:ascii="FrankRuehl" w:hAnsi="FrankRuehl" w:cs="FrankRuehl"/>
          <w:rtl/>
        </w:rPr>
      </w:pPr>
      <w:hyperlink r:id="rId7" w:history="1">
        <w:r w:rsidRPr="00862DC7">
          <w:rPr>
            <w:rFonts w:ascii="FrankRuehl" w:hAnsi="FrankRuehl" w:cs="FrankRuehl"/>
            <w:color w:val="0000FF"/>
            <w:u w:val="single"/>
            <w:rtl/>
          </w:rPr>
          <w:t>פקודת הסמים המסוכנים [נוסח חדש], תשל"ג-1973</w:t>
        </w:r>
      </w:hyperlink>
      <w:r w:rsidRPr="00862DC7">
        <w:rPr>
          <w:rFonts w:ascii="FrankRuehl" w:hAnsi="FrankRuehl" w:cs="FrankRuehl"/>
          <w:rtl/>
        </w:rPr>
        <w:t xml:space="preserve">: סע'  </w:t>
      </w:r>
      <w:hyperlink r:id="rId8" w:history="1">
        <w:r w:rsidRPr="00862DC7">
          <w:rPr>
            <w:rFonts w:ascii="FrankRuehl" w:hAnsi="FrankRuehl" w:cs="FrankRuehl"/>
            <w:color w:val="0000FF"/>
            <w:u w:val="single"/>
            <w:rtl/>
          </w:rPr>
          <w:t>7(א)(ג)</w:t>
        </w:r>
      </w:hyperlink>
    </w:p>
    <w:p w14:paraId="15D26160" w14:textId="77777777" w:rsidR="00862DC7" w:rsidRPr="00862DC7" w:rsidRDefault="00862DC7" w:rsidP="00862DC7">
      <w:pPr>
        <w:spacing w:after="120" w:line="240" w:lineRule="exact"/>
        <w:ind w:left="283" w:hanging="283"/>
        <w:jc w:val="both"/>
        <w:rPr>
          <w:rFonts w:ascii="FrankRuehl" w:hAnsi="FrankRuehl" w:cs="FrankRuehl"/>
          <w:rtl/>
        </w:rPr>
      </w:pPr>
      <w:hyperlink r:id="rId9" w:history="1">
        <w:r w:rsidRPr="00862DC7">
          <w:rPr>
            <w:rFonts w:ascii="FrankRuehl" w:hAnsi="FrankRuehl" w:cs="FrankRuehl"/>
            <w:color w:val="0000FF"/>
            <w:u w:val="single"/>
            <w:rtl/>
          </w:rPr>
          <w:t>חוק העונשין, תשל"ז-1977</w:t>
        </w:r>
      </w:hyperlink>
      <w:r w:rsidRPr="00862DC7">
        <w:rPr>
          <w:rFonts w:ascii="FrankRuehl" w:hAnsi="FrankRuehl" w:cs="FrankRuehl"/>
          <w:rtl/>
        </w:rPr>
        <w:t xml:space="preserve">: סע'  </w:t>
      </w:r>
      <w:hyperlink r:id="rId10" w:history="1">
        <w:r w:rsidRPr="00862DC7">
          <w:rPr>
            <w:rFonts w:ascii="FrankRuehl" w:hAnsi="FrankRuehl" w:cs="FrankRuehl"/>
            <w:color w:val="0000FF"/>
            <w:u w:val="single"/>
            <w:rtl/>
          </w:rPr>
          <w:t>40ד'</w:t>
        </w:r>
      </w:hyperlink>
      <w:r w:rsidRPr="00862DC7">
        <w:rPr>
          <w:rFonts w:ascii="FrankRuehl" w:hAnsi="FrankRuehl" w:cs="FrankRuehl"/>
          <w:rtl/>
        </w:rPr>
        <w:t xml:space="preserve">, </w:t>
      </w:r>
      <w:hyperlink r:id="rId11" w:history="1">
        <w:r w:rsidRPr="00862DC7">
          <w:rPr>
            <w:rFonts w:ascii="FrankRuehl" w:hAnsi="FrankRuehl" w:cs="FrankRuehl"/>
            <w:color w:val="0000FF"/>
            <w:u w:val="single"/>
            <w:rtl/>
          </w:rPr>
          <w:t>275</w:t>
        </w:r>
      </w:hyperlink>
    </w:p>
    <w:p w14:paraId="42EE5A65" w14:textId="77777777" w:rsidR="00862DC7" w:rsidRPr="00862DC7" w:rsidRDefault="00862DC7" w:rsidP="00862DC7">
      <w:pPr>
        <w:spacing w:after="120" w:line="240" w:lineRule="exact"/>
        <w:ind w:left="283" w:hanging="283"/>
        <w:jc w:val="both"/>
        <w:rPr>
          <w:rFonts w:ascii="FrankRuehl" w:hAnsi="FrankRuehl" w:cs="FrankRuehl"/>
          <w:rtl/>
        </w:rPr>
      </w:pPr>
    </w:p>
    <w:p w14:paraId="4D0EA936" w14:textId="77777777" w:rsidR="00584F97" w:rsidRPr="00862DC7" w:rsidRDefault="00584F97" w:rsidP="00584F97">
      <w:pPr>
        <w:rPr>
          <w:rtl/>
        </w:rPr>
      </w:pPr>
      <w:bookmarkStart w:id="4" w:name="LawTable_End"/>
      <w:bookmarkEnd w:id="4"/>
    </w:p>
    <w:p w14:paraId="467E5243" w14:textId="77777777" w:rsidR="00737E90" w:rsidRPr="00737E90" w:rsidRDefault="00737E90" w:rsidP="00584F97">
      <w:pPr>
        <w:rPr>
          <w:rtl/>
        </w:rPr>
      </w:pPr>
    </w:p>
    <w:p w14:paraId="77269F6A" w14:textId="77777777" w:rsidR="00737E90" w:rsidRPr="00737E90" w:rsidRDefault="00737E90" w:rsidP="00584F97">
      <w:pPr>
        <w:rPr>
          <w:rtl/>
        </w:rPr>
      </w:pPr>
    </w:p>
    <w:p w14:paraId="1FBEA5DD" w14:textId="77777777" w:rsidR="00584F97" w:rsidRPr="00737E90" w:rsidRDefault="00584F97" w:rsidP="00584F9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4F97" w14:paraId="783DB273" w14:textId="77777777" w:rsidTr="00584F97">
        <w:trPr>
          <w:trHeight w:val="355"/>
          <w:jc w:val="center"/>
        </w:trPr>
        <w:tc>
          <w:tcPr>
            <w:tcW w:w="8820" w:type="dxa"/>
            <w:tcBorders>
              <w:top w:val="nil"/>
              <w:left w:val="nil"/>
              <w:bottom w:val="nil"/>
              <w:right w:val="nil"/>
            </w:tcBorders>
            <w:shd w:val="clear" w:color="auto" w:fill="auto"/>
          </w:tcPr>
          <w:p w14:paraId="6FEDC89A" w14:textId="77777777" w:rsidR="00737E90" w:rsidRPr="00737E90" w:rsidRDefault="00737E90" w:rsidP="00737E90">
            <w:pPr>
              <w:jc w:val="center"/>
              <w:rPr>
                <w:rFonts w:ascii="Arial" w:hAnsi="Arial"/>
                <w:b/>
                <w:bCs/>
                <w:sz w:val="28"/>
                <w:szCs w:val="28"/>
                <w:u w:val="single"/>
                <w:rtl/>
              </w:rPr>
            </w:pPr>
            <w:bookmarkStart w:id="5" w:name="PsakDin" w:colFirst="0" w:colLast="0"/>
            <w:bookmarkEnd w:id="0"/>
            <w:r w:rsidRPr="00737E90">
              <w:rPr>
                <w:rFonts w:ascii="Arial" w:hAnsi="Arial"/>
                <w:b/>
                <w:bCs/>
                <w:sz w:val="28"/>
                <w:szCs w:val="28"/>
                <w:u w:val="single"/>
                <w:rtl/>
              </w:rPr>
              <w:t>גזר דין</w:t>
            </w:r>
          </w:p>
          <w:p w14:paraId="1035BA6D" w14:textId="77777777" w:rsidR="00584F97" w:rsidRPr="00737E90" w:rsidRDefault="00584F97" w:rsidP="00737E90">
            <w:pPr>
              <w:jc w:val="center"/>
              <w:rPr>
                <w:rFonts w:ascii="Arial" w:hAnsi="Arial"/>
                <w:bCs/>
                <w:sz w:val="28"/>
                <w:szCs w:val="28"/>
                <w:u w:val="single"/>
                <w:rtl/>
              </w:rPr>
            </w:pPr>
          </w:p>
        </w:tc>
      </w:tr>
      <w:bookmarkEnd w:id="5"/>
    </w:tbl>
    <w:p w14:paraId="71F3D139" w14:textId="77777777" w:rsidR="00584F97" w:rsidRPr="00B05847" w:rsidRDefault="00584F97" w:rsidP="00584F97">
      <w:pPr>
        <w:rPr>
          <w:rFonts w:ascii="Arial" w:hAnsi="Arial"/>
          <w:rtl/>
        </w:rPr>
      </w:pPr>
    </w:p>
    <w:p w14:paraId="31AE63D4" w14:textId="77777777" w:rsidR="00584F97" w:rsidRDefault="00584F97" w:rsidP="00584F97">
      <w:pPr>
        <w:spacing w:line="360" w:lineRule="auto"/>
        <w:jc w:val="both"/>
        <w:rPr>
          <w:rFonts w:ascii="Arial" w:hAnsi="Arial"/>
          <w:b/>
          <w:bCs/>
          <w:u w:val="single"/>
          <w:rtl/>
        </w:rPr>
      </w:pPr>
    </w:p>
    <w:p w14:paraId="0A389A0E" w14:textId="77777777" w:rsidR="00584F97" w:rsidRDefault="00584F97" w:rsidP="00584F97">
      <w:pPr>
        <w:spacing w:line="360" w:lineRule="auto"/>
        <w:ind w:firstLine="360"/>
        <w:jc w:val="both"/>
        <w:rPr>
          <w:rFonts w:ascii="Arial" w:hAnsi="Arial"/>
          <w:rtl/>
        </w:rPr>
      </w:pPr>
      <w:r w:rsidRPr="00077D3D">
        <w:rPr>
          <w:rFonts w:ascii="Arial" w:hAnsi="Arial" w:hint="cs"/>
          <w:b/>
          <w:bCs/>
          <w:u w:val="single"/>
          <w:rtl/>
        </w:rPr>
        <w:t>רקע</w:t>
      </w:r>
    </w:p>
    <w:p w14:paraId="387ABCFD" w14:textId="77777777" w:rsidR="00584F97" w:rsidRDefault="00584F97" w:rsidP="00584F97">
      <w:pPr>
        <w:pStyle w:val="a9"/>
        <w:numPr>
          <w:ilvl w:val="0"/>
          <w:numId w:val="1"/>
        </w:numPr>
        <w:spacing w:line="360" w:lineRule="auto"/>
        <w:jc w:val="both"/>
        <w:rPr>
          <w:rFonts w:ascii="Arial" w:hAnsi="Arial"/>
        </w:rPr>
      </w:pPr>
      <w:bookmarkStart w:id="6" w:name="ABSTRACT_START"/>
      <w:bookmarkEnd w:id="6"/>
      <w:r>
        <w:rPr>
          <w:rFonts w:ascii="Arial" w:hAnsi="Arial" w:hint="cs"/>
          <w:rtl/>
        </w:rPr>
        <w:t xml:space="preserve">הנאשם הורשע בכתב אישום מתוקן, בעבירת החזקת סם שלא לצריכה עצמית - לפי </w:t>
      </w:r>
      <w:hyperlink r:id="rId12" w:history="1">
        <w:r w:rsidR="00862DC7" w:rsidRPr="00862DC7">
          <w:rPr>
            <w:rFonts w:ascii="Arial" w:hAnsi="Arial"/>
            <w:color w:val="0000FF"/>
            <w:u w:val="single"/>
            <w:rtl/>
          </w:rPr>
          <w:t>סעיף 7(א)(ג)</w:t>
        </w:r>
      </w:hyperlink>
      <w:r>
        <w:rPr>
          <w:rFonts w:ascii="Arial" w:hAnsi="Arial" w:hint="cs"/>
          <w:rtl/>
        </w:rPr>
        <w:t xml:space="preserve"> רישא ל</w:t>
      </w:r>
      <w:hyperlink r:id="rId13" w:history="1">
        <w:r w:rsidR="00737E90" w:rsidRPr="00737E90">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ובעבירת הפרעה לשוטר - לפי </w:t>
      </w:r>
      <w:hyperlink r:id="rId14" w:history="1">
        <w:r w:rsidR="00862DC7" w:rsidRPr="00862DC7">
          <w:rPr>
            <w:rFonts w:ascii="Arial" w:hAnsi="Arial"/>
            <w:color w:val="0000FF"/>
            <w:u w:val="single"/>
            <w:rtl/>
          </w:rPr>
          <w:t>סעיף 275</w:t>
        </w:r>
      </w:hyperlink>
      <w:r>
        <w:rPr>
          <w:rFonts w:ascii="Arial" w:hAnsi="Arial" w:hint="cs"/>
          <w:rtl/>
        </w:rPr>
        <w:t xml:space="preserve"> ל</w:t>
      </w:r>
      <w:hyperlink r:id="rId15" w:history="1">
        <w:r w:rsidR="00737E90" w:rsidRPr="00737E90">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(להלן: "חוק העונשין").</w:t>
      </w:r>
    </w:p>
    <w:p w14:paraId="57B10EB3" w14:textId="77777777" w:rsidR="00584F97" w:rsidRPr="00D10FFE" w:rsidRDefault="00584F97" w:rsidP="00584F97">
      <w:pPr>
        <w:pStyle w:val="a9"/>
        <w:spacing w:line="360" w:lineRule="auto"/>
        <w:jc w:val="both"/>
        <w:rPr>
          <w:rFonts w:ascii="Arial" w:hAnsi="Arial"/>
        </w:rPr>
      </w:pPr>
      <w:bookmarkStart w:id="7" w:name="ABSTRACT_END"/>
      <w:bookmarkEnd w:id="7"/>
    </w:p>
    <w:p w14:paraId="3E8DCC3C" w14:textId="77777777" w:rsidR="00584F97" w:rsidRDefault="00584F97" w:rsidP="00584F97">
      <w:pPr>
        <w:pStyle w:val="a9"/>
        <w:spacing w:line="360" w:lineRule="auto"/>
        <w:jc w:val="both"/>
        <w:rPr>
          <w:rFonts w:ascii="Arial" w:hAnsi="Arial"/>
          <w:rtl/>
        </w:rPr>
      </w:pPr>
      <w:r>
        <w:rPr>
          <w:rFonts w:ascii="Arial" w:hAnsi="Arial" w:hint="cs"/>
          <w:rtl/>
        </w:rPr>
        <w:t>בהתאם לעובדות כתב האישום המתוקן, ביום 28.1.15 החזיק הנאשם בכיס מכנסיו מנת סם מסוכן מסוג הרואין במשקל 0.86 גרם נטו (להלן: "מנת הסם"), שלא לצריכתו העצמית. בעת ששוטרים הגיעו לעצרו, השליך הנאשם את מנת הסם הצידה על מנת להכשילם.</w:t>
      </w:r>
    </w:p>
    <w:p w14:paraId="60E0E027" w14:textId="77777777" w:rsidR="00584F97" w:rsidRPr="00077D3D" w:rsidRDefault="00584F97" w:rsidP="00584F97">
      <w:pPr>
        <w:pStyle w:val="a9"/>
        <w:spacing w:line="360" w:lineRule="auto"/>
        <w:jc w:val="both"/>
        <w:rPr>
          <w:rFonts w:ascii="Arial" w:hAnsi="Arial"/>
          <w:rtl/>
        </w:rPr>
      </w:pPr>
    </w:p>
    <w:p w14:paraId="2E042783" w14:textId="77777777" w:rsidR="00584F97" w:rsidRDefault="00584F97" w:rsidP="00584F97">
      <w:pPr>
        <w:pStyle w:val="a9"/>
        <w:numPr>
          <w:ilvl w:val="0"/>
          <w:numId w:val="1"/>
        </w:numPr>
        <w:spacing w:line="360" w:lineRule="auto"/>
        <w:jc w:val="both"/>
      </w:pPr>
      <w:r>
        <w:rPr>
          <w:rFonts w:hint="cs"/>
          <w:rtl/>
        </w:rPr>
        <w:t xml:space="preserve">בטרם נשמעו טיעונים לעונש, התקבל תסקיר שרות המבחן לגבי הנאשם. שרות המבחן פירט את נסיבות חיי הנאשם, בן 47 כיום אשר החל בגיל 15 אורח חיים שולי הכולל בשימוש בסמים. לאורך השנים, ביצע הנאשם עבירות רבות לשם מימון השימוש בסם וריצה מספר מאסרים בפועל. במהלך מאסרו האחרון, ממנו השתחרר בשנת 2016, השתתף הנאשם בקבוצה טיפולית ולאחר שחרורו השתלב בקבוצות למכורים אנונימיים </w:t>
      </w:r>
      <w:r>
        <w:rPr>
          <w:rFonts w:hint="cs"/>
          <w:rtl/>
        </w:rPr>
        <w:lastRenderedPageBreak/>
        <w:t>בהן משתתף עד היום. הנאשם השתלב בעבודה ובסוף שנת 2016 פתח עסק עצמאי המספק שירותי נקיון, אותו הוא מנהל עד היום. בשנת 2017 התחתן הנאשם וכעת הוא אב לתינוקת בת שלושה חודשים. במהלך האבחון כעת, מסר הנאשם בדיקת שתן ראשונה בה נמצאו שרידי סם מסוג קנאביס, ולאחריה מסר שמונה בדיקות שנמצאו נקיות מסמים. שרות המבחן התרשם כי הנאשם קיבל אחריות מלאה על העבירות שביצע, שיתף פעולה באופן מלא עם שרות המבחן, השתקם בפן האישי, התעסוקתי והמשפחתי, ואף צוין כי מאז המקרה, למעלה מארבע שנים, לא נפתח כנגדו כל תיק חקירה. לפיכך, המליץ שרות המבחן להטיל על הנאשם צו מבחן למשך שנה ושל"צ בהיקף של 180 שעות, תוך הדגשה כי מאסר, אף בדרך של עבודות שרות, יפגע בהליך השיקומי.</w:t>
      </w:r>
    </w:p>
    <w:p w14:paraId="706CA347" w14:textId="77777777" w:rsidR="00584F97" w:rsidRDefault="00584F97" w:rsidP="00584F97">
      <w:pPr>
        <w:pStyle w:val="a9"/>
        <w:spacing w:line="360" w:lineRule="auto"/>
        <w:jc w:val="both"/>
      </w:pPr>
    </w:p>
    <w:p w14:paraId="12C0E111" w14:textId="77777777" w:rsidR="00584F97" w:rsidRDefault="00584F97" w:rsidP="00584F97">
      <w:pPr>
        <w:spacing w:line="360" w:lineRule="auto"/>
        <w:ind w:left="360"/>
        <w:jc w:val="both"/>
        <w:rPr>
          <w:rtl/>
        </w:rPr>
      </w:pPr>
      <w:r>
        <w:rPr>
          <w:rFonts w:hint="cs"/>
          <w:b/>
          <w:bCs/>
          <w:u w:val="single"/>
          <w:rtl/>
        </w:rPr>
        <w:t>טיעוני הצדדים</w:t>
      </w:r>
    </w:p>
    <w:p w14:paraId="0C870FD6" w14:textId="77777777" w:rsidR="00584F97" w:rsidRDefault="00584F97" w:rsidP="00584F97">
      <w:pPr>
        <w:pStyle w:val="a9"/>
        <w:numPr>
          <w:ilvl w:val="0"/>
          <w:numId w:val="1"/>
        </w:numPr>
        <w:spacing w:line="360" w:lineRule="auto"/>
        <w:jc w:val="both"/>
      </w:pPr>
      <w:r>
        <w:rPr>
          <w:rFonts w:hint="cs"/>
          <w:rtl/>
        </w:rPr>
        <w:t>ב"כ המאשימה טענה, כי מעשי הנאשם פגעו בשלום הציבור ובביטחונו, תוך שהדגישה את סוג הסם הקשה והנזקים שמסב. מתחם העונש לו טענה, נע בין 6 חודשי מאסר שירוצו בעבודות שרות ועד ל-12 חודשי מאסר בפועל. בהתחשב בעברו הפלילי המשמעותי של הנאשם, אשר ביצע בעבר עבירות לשם מימון צריכת סמים, חוסר עקביותו בטיפול בעבר ובדיקת שתן שמסר בה נמצאו שרידי סם, טענה ב"כ המאשימה כי לא ניתן להצביע על הליך שיקומי מלא ויציב. לפיכך, עתרה להטיל עונש המצוי בשליש האמצעי של מתחם הענישה, מאסר מותנה, קנס ופסילת רשיון נהיגה על תנאי.</w:t>
      </w:r>
    </w:p>
    <w:p w14:paraId="3477433C" w14:textId="77777777" w:rsidR="00584F97" w:rsidRDefault="00584F97" w:rsidP="00584F97">
      <w:pPr>
        <w:pStyle w:val="a9"/>
        <w:spacing w:line="360" w:lineRule="auto"/>
        <w:jc w:val="both"/>
      </w:pPr>
    </w:p>
    <w:p w14:paraId="5E5B1B01" w14:textId="77777777" w:rsidR="00584F97" w:rsidRDefault="00584F97" w:rsidP="00584F97">
      <w:pPr>
        <w:pStyle w:val="a9"/>
        <w:numPr>
          <w:ilvl w:val="0"/>
          <w:numId w:val="1"/>
        </w:numPr>
        <w:spacing w:line="360" w:lineRule="auto"/>
        <w:jc w:val="both"/>
      </w:pPr>
      <w:r>
        <w:rPr>
          <w:rFonts w:hint="cs"/>
          <w:rtl/>
        </w:rPr>
        <w:t xml:space="preserve">ב"כ הנאשם טען, כי הנאשם ביצע הליך שיקומי מרשים, הכולל שיקום מסמים, הפסקת ביצוע עבירות, שיקום משפחתי ותעסוקתי. בהתחשב בכך, טען כי נתונים אלה עונים על הצורך בהתאמת העונש לנאשם אשר עבר הליך שיקום. הנאשם כיום אדם אחראי, אב לתינוקת, בעל עסק, ומודע לגורמי הסיכון ולמחירים אותם הוא עלול לשלם. בנסיבות אלה, טען ב"כ הנאשם כי האינטרס הציבורי הוא לעודד את הנאשם להמשיך בדרך בה בחר וכי המלצת שרות המבחן נכונה. בנוסף, טען כי אין חובה להטיל של"צ על הנאשם על מנת שלא לפגוע בעבודתו. </w:t>
      </w:r>
    </w:p>
    <w:p w14:paraId="6827D6C5" w14:textId="77777777" w:rsidR="00584F97" w:rsidRDefault="00584F97" w:rsidP="00584F97">
      <w:pPr>
        <w:pStyle w:val="a9"/>
        <w:rPr>
          <w:rtl/>
        </w:rPr>
      </w:pPr>
    </w:p>
    <w:p w14:paraId="5B672280" w14:textId="77777777" w:rsidR="00584F97" w:rsidRDefault="00584F97" w:rsidP="00584F97">
      <w:pPr>
        <w:pStyle w:val="a9"/>
        <w:numPr>
          <w:ilvl w:val="0"/>
          <w:numId w:val="1"/>
        </w:numPr>
        <w:spacing w:line="360" w:lineRule="auto"/>
        <w:jc w:val="both"/>
      </w:pPr>
      <w:r>
        <w:rPr>
          <w:rFonts w:hint="cs"/>
          <w:rtl/>
        </w:rPr>
        <w:t>הנאשם בעצמו, הציג את הדרך הקשה והארוכה שעשה עד שהגיע למצבו כיום. מאז שנת 2015, התנקה מסמים והחל באורח חיים נורמטיבי הכולל ביצוע פעולות מסוימות לראשונה בחייו, כגון פתיחת חשבון בנק, עבודה ורשיון נהיגה. לראשונה מאז היותו נער, נמצא הנאשם במערכת יחסים עם אישה, במהלכה עברו טיפולי פוריות קשים ויקרים, שנשאו פרי לאחרונה. הנאשם פירט כי הוא עובד קשה, מפרנס את משפחתו וכן כי קיבל החלטה שאינו חוזר לאחור.</w:t>
      </w:r>
    </w:p>
    <w:p w14:paraId="1EA367A9" w14:textId="77777777" w:rsidR="00584F97" w:rsidRDefault="00584F97" w:rsidP="00584F97">
      <w:pPr>
        <w:spacing w:line="360" w:lineRule="auto"/>
        <w:jc w:val="both"/>
      </w:pPr>
    </w:p>
    <w:p w14:paraId="7DCC8C17" w14:textId="77777777" w:rsidR="00584F97" w:rsidRPr="00D04426" w:rsidRDefault="00584F97" w:rsidP="00584F97">
      <w:pPr>
        <w:spacing w:line="360" w:lineRule="auto"/>
        <w:jc w:val="both"/>
        <w:rPr>
          <w:b/>
          <w:bCs/>
          <w:u w:val="single"/>
          <w:rtl/>
        </w:rPr>
      </w:pPr>
      <w:r w:rsidRPr="00D04426">
        <w:rPr>
          <w:rFonts w:hint="cs"/>
          <w:b/>
          <w:bCs/>
          <w:u w:val="single"/>
          <w:rtl/>
        </w:rPr>
        <w:t>דיון והכרעה</w:t>
      </w:r>
    </w:p>
    <w:p w14:paraId="2B275C6C" w14:textId="77777777" w:rsidR="00584F97" w:rsidRDefault="00584F97" w:rsidP="00584F97">
      <w:pPr>
        <w:pStyle w:val="a9"/>
        <w:numPr>
          <w:ilvl w:val="0"/>
          <w:numId w:val="1"/>
        </w:numPr>
        <w:spacing w:line="360" w:lineRule="auto"/>
        <w:jc w:val="both"/>
      </w:pPr>
      <w:r>
        <w:rPr>
          <w:rFonts w:hint="cs"/>
          <w:rtl/>
        </w:rPr>
        <w:t xml:space="preserve">עבירות החזקת סם שלא לצריכה עצמית, הן בעלות פוטנציאל פגיעה ברבים: באדם המשתמש באותם סמים, בסביבתו הקרובה של צרכן הסמים ואף בציבור הרחב הנופל לא פעם קורבן לביצוע עבירות שנועדו לממן את צריכת הסם. במקרה הנדון מדובר בסם </w:t>
      </w:r>
      <w:r>
        <w:rPr>
          <w:rFonts w:hint="cs"/>
          <w:rtl/>
        </w:rPr>
        <w:lastRenderedPageBreak/>
        <w:t>קשה מסוג הירואין, אך בכמות קטנה ביותר הפחותה מגרם אחד. בנוסף, לא צוינו בעובדות כתב האישום ולא הוצגו כל ראיות לגבי נסיבות החזקת מנת הסם, אשר יש בהן משום חומרה מעבר לעצם החזקת הסם. לפיכך, מדובר בנסיבות המצויות ברף נמוך של עבירת החזקת סם שלא לצריכה עצמית.</w:t>
      </w:r>
    </w:p>
    <w:p w14:paraId="20115DB3" w14:textId="77777777" w:rsidR="00584F97" w:rsidRDefault="00584F97" w:rsidP="00584F97">
      <w:pPr>
        <w:pStyle w:val="a9"/>
        <w:spacing w:line="360" w:lineRule="auto"/>
        <w:jc w:val="both"/>
        <w:rPr>
          <w:rtl/>
        </w:rPr>
      </w:pPr>
      <w:r>
        <w:rPr>
          <w:rFonts w:hint="cs"/>
          <w:rtl/>
        </w:rPr>
        <w:t>אשר לעבירת הכשלת שוטר, מדובר בעבירה הפוגעת ביכולת אנשי אכיפת החוק לבצע את תפקידם כנדרש בשמירה על שלום הציבור. בחינת נסיבות ביצוע עבירה זו על ידי הנאשם, מציב אף אותה ברף הנמוך של ביצוע עבירות אלה, כאשר כל מעשי הנאשם הסתכמו בהשלכת מנת הסם מידיו.</w:t>
      </w:r>
    </w:p>
    <w:p w14:paraId="554453EC" w14:textId="77777777" w:rsidR="00584F97" w:rsidRDefault="00584F97" w:rsidP="00584F97">
      <w:pPr>
        <w:pStyle w:val="a9"/>
        <w:spacing w:line="360" w:lineRule="auto"/>
        <w:jc w:val="both"/>
        <w:rPr>
          <w:rtl/>
        </w:rPr>
      </w:pPr>
      <w:r>
        <w:rPr>
          <w:rFonts w:hint="cs"/>
          <w:rtl/>
        </w:rPr>
        <w:t>בנסיבות אלה, ובהתחשב בפסיקה הנוהגת, אני קובע כי מתחם הענישה במקרה זה נע בין מאסר קצר שירוצה בעבודות שרות ועד למאסר בפועל למשך 12 חודשים, זאת לצד ענישה נלווית של מאסר מותנה, קנס, ופסילת רשיון.</w:t>
      </w:r>
    </w:p>
    <w:p w14:paraId="395471E8" w14:textId="77777777" w:rsidR="00584F97" w:rsidRDefault="00584F97" w:rsidP="00584F97">
      <w:pPr>
        <w:pStyle w:val="a9"/>
        <w:spacing w:line="360" w:lineRule="auto"/>
        <w:jc w:val="both"/>
        <w:rPr>
          <w:rtl/>
        </w:rPr>
      </w:pPr>
    </w:p>
    <w:p w14:paraId="77A29DB4" w14:textId="77777777" w:rsidR="00584F97" w:rsidRDefault="00584F97" w:rsidP="00584F97">
      <w:pPr>
        <w:pStyle w:val="a9"/>
        <w:numPr>
          <w:ilvl w:val="0"/>
          <w:numId w:val="1"/>
        </w:numPr>
        <w:spacing w:line="360" w:lineRule="auto"/>
        <w:jc w:val="both"/>
      </w:pPr>
      <w:r>
        <w:rPr>
          <w:rFonts w:hint="cs"/>
          <w:rtl/>
        </w:rPr>
        <w:t xml:space="preserve">מתחם הענישה שנקבע, הוא המתחם לו עתרה המאשימה וב"כ הנאשם לא הביע הסתייגות ממנו. למעשה, המחלוקת בין הצדדים עוסקת בשאלה האם יש לחרוג ממתחם הענישה בהתאם להוראת </w:t>
      </w:r>
      <w:hyperlink r:id="rId16" w:history="1">
        <w:r w:rsidR="00862DC7" w:rsidRPr="00862DC7">
          <w:rPr>
            <w:color w:val="0000FF"/>
            <w:u w:val="single"/>
            <w:rtl/>
          </w:rPr>
          <w:t>סעיף 40ד'</w:t>
        </w:r>
      </w:hyperlink>
      <w:r>
        <w:rPr>
          <w:rFonts w:hint="cs"/>
          <w:rtl/>
        </w:rPr>
        <w:t xml:space="preserve"> ל</w:t>
      </w:r>
      <w:hyperlink r:id="rId17" w:history="1">
        <w:r w:rsidR="00737E90" w:rsidRPr="00737E90">
          <w:rPr>
            <w:color w:val="0000FF"/>
            <w:u w:val="single"/>
            <w:rtl/>
          </w:rPr>
          <w:t>חוק העונשין</w:t>
        </w:r>
      </w:hyperlink>
      <w:r>
        <w:rPr>
          <w:rFonts w:hint="cs"/>
          <w:rtl/>
        </w:rPr>
        <w:t>.</w:t>
      </w:r>
    </w:p>
    <w:p w14:paraId="34890D15" w14:textId="77777777" w:rsidR="00584F97" w:rsidRDefault="00584F97" w:rsidP="00584F97">
      <w:pPr>
        <w:pStyle w:val="a9"/>
        <w:spacing w:line="360" w:lineRule="auto"/>
        <w:jc w:val="both"/>
        <w:rPr>
          <w:rFonts w:ascii="Century" w:hAnsi="Century"/>
          <w:rtl/>
        </w:rPr>
      </w:pPr>
      <w:r>
        <w:rPr>
          <w:rFonts w:ascii="Century" w:hAnsi="Century" w:hint="cs"/>
          <w:rtl/>
        </w:rPr>
        <w:t xml:space="preserve">השיקולים המרכזיים שיש לבחון על מנת להעריך את סיכויי השיקום במסגרת זו, בבחינת רשימה לא סגורה, הם בין היתר: </w:t>
      </w:r>
    </w:p>
    <w:p w14:paraId="08C7C0DD" w14:textId="77777777" w:rsidR="00584F97" w:rsidRDefault="00584F97" w:rsidP="00584F97">
      <w:pPr>
        <w:pStyle w:val="a9"/>
        <w:ind w:left="1503" w:right="1418"/>
        <w:jc w:val="both"/>
        <w:rPr>
          <w:rFonts w:ascii="FrankRuehl" w:hAnsi="FrankRuehl"/>
          <w:sz w:val="28"/>
          <w:rtl/>
        </w:rPr>
      </w:pPr>
      <w:r>
        <w:rPr>
          <w:rFonts w:ascii="Century" w:hAnsi="Century" w:hint="cs"/>
          <w:rtl/>
        </w:rPr>
        <w:t>"</w:t>
      </w:r>
      <w:r w:rsidRPr="006823A6">
        <w:rPr>
          <w:rFonts w:ascii="Century" w:hAnsi="Century"/>
          <w:b/>
          <w:bCs/>
          <w:rtl/>
        </w:rPr>
        <w:t xml:space="preserve">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w:t>
      </w:r>
      <w:r w:rsidRPr="006823A6">
        <w:rPr>
          <w:rFonts w:ascii="FrankRuehl" w:hAnsi="FrankRuehl"/>
          <w:b/>
          <w:bCs/>
          <w:sz w:val="28"/>
          <w:rtl/>
        </w:rPr>
        <w:t>הבעת חרטה כנה על המעשים</w:t>
      </w:r>
      <w:r>
        <w:rPr>
          <w:rFonts w:ascii="FrankRuehl" w:hAnsi="FrankRuehl" w:hint="cs"/>
          <w:b/>
          <w:bCs/>
          <w:sz w:val="28"/>
          <w:rtl/>
        </w:rPr>
        <w:t>...</w:t>
      </w:r>
      <w:r>
        <w:rPr>
          <w:rFonts w:ascii="FrankRuehl" w:hAnsi="FrankRuehl" w:hint="cs"/>
          <w:sz w:val="28"/>
          <w:rtl/>
        </w:rPr>
        <w:t xml:space="preserve">" </w:t>
      </w:r>
    </w:p>
    <w:p w14:paraId="723E96C7" w14:textId="77777777" w:rsidR="00584F97" w:rsidRDefault="00584F97" w:rsidP="00584F97">
      <w:pPr>
        <w:pStyle w:val="a9"/>
        <w:ind w:left="1503" w:right="1418"/>
        <w:jc w:val="both"/>
        <w:rPr>
          <w:rFonts w:ascii="FrankRuehl" w:hAnsi="FrankRuehl"/>
          <w:sz w:val="28"/>
          <w:rtl/>
        </w:rPr>
      </w:pPr>
      <w:r>
        <w:rPr>
          <w:rFonts w:ascii="FrankRuehl" w:hAnsi="FrankRuehl" w:hint="cs"/>
          <w:sz w:val="28"/>
          <w:rtl/>
        </w:rPr>
        <w:t>(</w:t>
      </w:r>
      <w:hyperlink r:id="rId18" w:history="1">
        <w:r w:rsidR="00737E90" w:rsidRPr="00737E90">
          <w:rPr>
            <w:rFonts w:ascii="FrankRuehl" w:hAnsi="FrankRuehl"/>
            <w:color w:val="0000FF"/>
            <w:sz w:val="28"/>
            <w:u w:val="single"/>
            <w:rtl/>
          </w:rPr>
          <w:t>ע"פ 6637/17</w:t>
        </w:r>
      </w:hyperlink>
      <w:r>
        <w:rPr>
          <w:rFonts w:ascii="FrankRuehl" w:hAnsi="FrankRuehl" w:hint="cs"/>
          <w:sz w:val="28"/>
          <w:rtl/>
        </w:rPr>
        <w:t xml:space="preserve"> </w:t>
      </w:r>
      <w:r>
        <w:rPr>
          <w:rFonts w:ascii="FrankRuehl" w:hAnsi="FrankRuehl" w:hint="cs"/>
          <w:b/>
          <w:bCs/>
          <w:sz w:val="28"/>
          <w:rtl/>
        </w:rPr>
        <w:t>קרנדל נ' מדינת ישראל</w:t>
      </w:r>
      <w:r>
        <w:rPr>
          <w:rFonts w:ascii="FrankRuehl" w:hAnsi="FrankRuehl" w:hint="cs"/>
          <w:sz w:val="28"/>
          <w:rtl/>
        </w:rPr>
        <w:t>, פסקה 24 בפסק דינה של כב' השופטת ברק-ארז (18.04.2018))</w:t>
      </w:r>
      <w:r w:rsidRPr="0037677F">
        <w:rPr>
          <w:rFonts w:ascii="FrankRuehl" w:hAnsi="FrankRuehl" w:hint="cs"/>
          <w:sz w:val="28"/>
          <w:rtl/>
        </w:rPr>
        <w:t>.</w:t>
      </w:r>
    </w:p>
    <w:p w14:paraId="662B4ED8" w14:textId="77777777" w:rsidR="00584F97" w:rsidRPr="0037677F" w:rsidRDefault="00584F97" w:rsidP="00584F97">
      <w:pPr>
        <w:pStyle w:val="a9"/>
        <w:spacing w:line="360" w:lineRule="auto"/>
        <w:jc w:val="both"/>
        <w:rPr>
          <w:rFonts w:ascii="FrankRuehl" w:hAnsi="FrankRuehl"/>
          <w:sz w:val="28"/>
          <w:rtl/>
        </w:rPr>
      </w:pPr>
    </w:p>
    <w:p w14:paraId="267CACBB" w14:textId="77777777" w:rsidR="00584F97" w:rsidRDefault="00584F97" w:rsidP="00584F97">
      <w:pPr>
        <w:pStyle w:val="a9"/>
        <w:spacing w:line="360" w:lineRule="auto"/>
        <w:jc w:val="both"/>
        <w:rPr>
          <w:rFonts w:ascii="FrankRuehl" w:hAnsi="FrankRuehl"/>
          <w:sz w:val="28"/>
          <w:rtl/>
        </w:rPr>
      </w:pPr>
      <w:r>
        <w:rPr>
          <w:rFonts w:ascii="FrankRuehl" w:hAnsi="FrankRuehl" w:hint="cs"/>
          <w:sz w:val="28"/>
          <w:rtl/>
        </w:rPr>
        <w:t xml:space="preserve">הנאשם שבפני נידון לראשונה בבית משפט בשל עבירות פליליות שביצע בעת היותו בן 14 בלבד, זאת על רקע שימוש בקנאביס ובהמשך שימוש והתמכרות לסם מסוג הרואין. מאז, על רקע זה, המשיך הנאשם לנהל אורח חיים שולי, ביצע עבירות רבות, נכנס ויצא מבין כתלי הכלא. הדרך העבריינית הפכה לדרך חייו, מעולם לא עבד, לא ניהל מערכת יחסים זוגית, לא פעל בדרכים נורמטיביות, ונהג לפגוע ברכוש הציבור על מנת לממן את צריכת הסם. נסיונות שערך הנאשם לטפל בהתמכרותו - לא צלחו. כך המשיך הנאשם במסכת חייו, עד לפני כארבע שנים, עת שולב בקבוצות טיפוליות במסגרת מאסר שריצה. מאז שחרורו מהכלא לפני כשלוש שנים וחצי, עבר הנאשם שינוי חד ומשמעותי בכל תחומי חייו: במישור התעסוקתי, לראשונה בחייו, החל לעבוד ובהמשך אף פתח עסק עצמאי משלו; במישור האישי, הנאשם התחתן והפך לאחרונה לאב. כפי שתיאר, מדובר בתהליך ארוך ומורכב של טיפולי פוריות, עד לסוף המוצלח; באופן דומה, ניתן להצביע על התמדת הנאשם וחתירתו לחיים נורמטיביים בתחומים נוספים, כגון היציבות התעסוקתית לאורך השנים האחרונות, ופעולתו המתמשכת עד לקבלת רשיון נהיגה (עמ' 10 ש- 19-20 לפרוט'); בנוסף, מאז ביצוע העבירה, משך ארבע שנים ועשרה חודשים, לא נפתח כל תיק חקירה כנגד הנאשם. </w:t>
      </w:r>
    </w:p>
    <w:p w14:paraId="17FB49DE" w14:textId="77777777" w:rsidR="00584F97" w:rsidRDefault="00584F97" w:rsidP="00584F97">
      <w:pPr>
        <w:pStyle w:val="a9"/>
        <w:spacing w:line="360" w:lineRule="auto"/>
        <w:jc w:val="both"/>
        <w:rPr>
          <w:rFonts w:ascii="FrankRuehl" w:hAnsi="FrankRuehl"/>
          <w:sz w:val="28"/>
          <w:rtl/>
        </w:rPr>
      </w:pPr>
      <w:r>
        <w:rPr>
          <w:rFonts w:ascii="FrankRuehl" w:hAnsi="FrankRuehl" w:hint="cs"/>
          <w:sz w:val="28"/>
          <w:rtl/>
        </w:rPr>
        <w:t>מדובר בתהליך הדורש כוחות רבים ותעצומות נפש, בוודאי כאשר מדובר באדם אשר חי את חייו משך כשלושים שנים בעולם העברייני, מכור לסמים קשים, ללא כוחות ויכולת לעלות על דרך הישר. איני מוצא בבדיקת סם אחת בה נמצאו שרידי קנאביס, לאחריה שמונה בדיקות ללא כל שרידי סם, כדי לערער את המסקנה החד משמעית המתבקשת מנתונים אלה. אציין עוד, כי התרשמתי באופן בלתי אמצעי מדברי הנאשם בפני, מכנות הדברים ומעוצמתם, המעידים על שינוי משמעותי ועמוק בדרך חשיבתו והתנהלותו. שיתוף הפעולה המלא עם שרות המבחן מוסיף אף הוא על התרשמות זו. הנאשם נמצא כיום במסלול חיים אחר מזה שאפיין את חייו מאז נעוריו. ניתן בהחלט לקבוע כי הנאשם נמצא בשלב מתקדם בהליך שיקומי וקיים סיכוי של ממש כי ימשיך בדרך זו.</w:t>
      </w:r>
    </w:p>
    <w:p w14:paraId="1E4D8B83" w14:textId="77777777" w:rsidR="00584F97" w:rsidRDefault="00584F97" w:rsidP="00584F97">
      <w:pPr>
        <w:pStyle w:val="a9"/>
        <w:spacing w:line="360" w:lineRule="auto"/>
        <w:jc w:val="both"/>
        <w:rPr>
          <w:rFonts w:ascii="FrankRuehl" w:hAnsi="FrankRuehl"/>
          <w:sz w:val="28"/>
          <w:rtl/>
        </w:rPr>
      </w:pPr>
      <w:r>
        <w:rPr>
          <w:rFonts w:ascii="FrankRuehl" w:hAnsi="FrankRuehl" w:hint="cs"/>
          <w:sz w:val="28"/>
          <w:rtl/>
        </w:rPr>
        <w:t>בהתחשב בהליך מרשים זה, הנותן אותותיו בכל תחומי חיי הנאשם, אני מוצא כי יש לחרוג לקולא ממתחם הענישה במקרה הנדון, ולאמץ את המלצת שרות המבחן.</w:t>
      </w:r>
    </w:p>
    <w:p w14:paraId="1FEDED78" w14:textId="77777777" w:rsidR="00584F97" w:rsidRDefault="00584F97" w:rsidP="00584F97">
      <w:pPr>
        <w:pStyle w:val="a9"/>
        <w:spacing w:line="360" w:lineRule="auto"/>
        <w:jc w:val="both"/>
        <w:rPr>
          <w:rFonts w:ascii="FrankRuehl" w:hAnsi="FrankRuehl"/>
          <w:sz w:val="28"/>
          <w:rtl/>
        </w:rPr>
      </w:pPr>
    </w:p>
    <w:p w14:paraId="05BBD603" w14:textId="77777777" w:rsidR="00584F97" w:rsidRDefault="00584F97" w:rsidP="00584F97">
      <w:pPr>
        <w:pStyle w:val="a9"/>
        <w:spacing w:line="360" w:lineRule="auto"/>
        <w:jc w:val="both"/>
        <w:rPr>
          <w:rFonts w:ascii="FrankRuehl" w:hAnsi="FrankRuehl"/>
          <w:sz w:val="28"/>
          <w:rtl/>
        </w:rPr>
      </w:pPr>
      <w:r>
        <w:rPr>
          <w:rFonts w:ascii="FrankRuehl" w:hAnsi="FrankRuehl" w:hint="cs"/>
          <w:sz w:val="28"/>
          <w:rtl/>
        </w:rPr>
        <w:t>לפיכך, החלטתי להטיל על הנאשם את העונשים הבאים:</w:t>
      </w:r>
    </w:p>
    <w:p w14:paraId="120DD429" w14:textId="77777777" w:rsidR="00584F97" w:rsidRDefault="00584F97" w:rsidP="00584F97">
      <w:pPr>
        <w:pStyle w:val="a9"/>
        <w:numPr>
          <w:ilvl w:val="0"/>
          <w:numId w:val="2"/>
        </w:numPr>
        <w:spacing w:line="360" w:lineRule="auto"/>
        <w:jc w:val="both"/>
        <w:rPr>
          <w:rFonts w:ascii="FrankRuehl" w:hAnsi="FrankRuehl"/>
          <w:sz w:val="28"/>
        </w:rPr>
      </w:pPr>
      <w:r>
        <w:rPr>
          <w:rFonts w:ascii="FrankRuehl" w:hAnsi="FrankRuehl" w:hint="cs"/>
          <w:sz w:val="28"/>
          <w:rtl/>
        </w:rPr>
        <w:t>6 חודשי מאסר אותם לא ירצה אלא אם יעבור תוך 3 שנים מהיום עבירת סמים מסוג פשע.</w:t>
      </w:r>
    </w:p>
    <w:p w14:paraId="3790DCAC" w14:textId="77777777" w:rsidR="00584F97" w:rsidRDefault="00584F97" w:rsidP="00584F97">
      <w:pPr>
        <w:pStyle w:val="a9"/>
        <w:numPr>
          <w:ilvl w:val="0"/>
          <w:numId w:val="2"/>
        </w:numPr>
        <w:spacing w:line="360" w:lineRule="auto"/>
        <w:jc w:val="both"/>
        <w:rPr>
          <w:rFonts w:ascii="FrankRuehl" w:hAnsi="FrankRuehl"/>
          <w:sz w:val="28"/>
        </w:rPr>
      </w:pPr>
      <w:r>
        <w:rPr>
          <w:rFonts w:ascii="FrankRuehl" w:hAnsi="FrankRuehl" w:hint="cs"/>
          <w:sz w:val="28"/>
          <w:rtl/>
        </w:rPr>
        <w:t>3 חודשי מאסר אותם לא ירצה אלא אם יעבור תוך 3 שנים מהיום עבירת סמים מסוג עוון או עבירת הפרעה לשוטר.</w:t>
      </w:r>
    </w:p>
    <w:p w14:paraId="4B6E79AA" w14:textId="77777777" w:rsidR="00584F97" w:rsidRDefault="00584F97" w:rsidP="00584F97">
      <w:pPr>
        <w:pStyle w:val="a9"/>
        <w:numPr>
          <w:ilvl w:val="0"/>
          <w:numId w:val="2"/>
        </w:numPr>
        <w:spacing w:line="360" w:lineRule="auto"/>
        <w:jc w:val="both"/>
        <w:rPr>
          <w:rFonts w:ascii="FrankRuehl" w:hAnsi="FrankRuehl"/>
          <w:sz w:val="28"/>
        </w:rPr>
      </w:pPr>
      <w:r>
        <w:rPr>
          <w:rFonts w:ascii="FrankRuehl" w:hAnsi="FrankRuehl" w:hint="cs"/>
          <w:sz w:val="28"/>
          <w:rtl/>
        </w:rPr>
        <w:t>בהתחשב במצבו הכלכלי של הנאשם וכן בעובדה שלא הוכח כי העבירה בוצעה לשם הפקת רווח כספי, אני נמנע מלהטיל על הנאשם קנס.</w:t>
      </w:r>
    </w:p>
    <w:p w14:paraId="683E5E06" w14:textId="77777777" w:rsidR="00584F97" w:rsidRDefault="00584F97" w:rsidP="00584F97">
      <w:pPr>
        <w:pStyle w:val="a9"/>
        <w:numPr>
          <w:ilvl w:val="0"/>
          <w:numId w:val="2"/>
        </w:numPr>
        <w:spacing w:line="360" w:lineRule="auto"/>
        <w:jc w:val="both"/>
        <w:rPr>
          <w:rFonts w:ascii="FrankRuehl" w:hAnsi="FrankRuehl"/>
          <w:sz w:val="28"/>
        </w:rPr>
      </w:pPr>
      <w:r>
        <w:rPr>
          <w:rFonts w:ascii="FrankRuehl" w:hAnsi="FrankRuehl" w:hint="cs"/>
          <w:sz w:val="28"/>
          <w:rtl/>
        </w:rPr>
        <w:t>אני מורה על צו מבחן למשך שנה מהיום.</w:t>
      </w:r>
    </w:p>
    <w:p w14:paraId="3BAA0244" w14:textId="77777777" w:rsidR="00584F97" w:rsidRDefault="00584F97" w:rsidP="00584F97">
      <w:pPr>
        <w:pStyle w:val="a9"/>
        <w:numPr>
          <w:ilvl w:val="0"/>
          <w:numId w:val="2"/>
        </w:numPr>
        <w:spacing w:line="360" w:lineRule="auto"/>
        <w:jc w:val="both"/>
        <w:rPr>
          <w:rFonts w:ascii="FrankRuehl" w:hAnsi="FrankRuehl"/>
          <w:sz w:val="28"/>
        </w:rPr>
      </w:pPr>
      <w:r>
        <w:rPr>
          <w:rFonts w:ascii="FrankRuehl" w:hAnsi="FrankRuehl" w:hint="cs"/>
          <w:sz w:val="28"/>
          <w:rtl/>
        </w:rPr>
        <w:t xml:space="preserve">ניתן צו של"צ למשך 180 שעות, בהתאם להמלצת שרות המבחן, זאת כענישה קונקרטית. </w:t>
      </w:r>
    </w:p>
    <w:p w14:paraId="0425CEBD" w14:textId="77777777" w:rsidR="00584F97" w:rsidRDefault="00584F97" w:rsidP="00584F97">
      <w:pPr>
        <w:pStyle w:val="a9"/>
        <w:spacing w:line="360" w:lineRule="auto"/>
        <w:ind w:left="1080"/>
        <w:jc w:val="both"/>
        <w:rPr>
          <w:rFonts w:ascii="FrankRuehl" w:hAnsi="FrankRuehl"/>
          <w:sz w:val="28"/>
          <w:rtl/>
        </w:rPr>
      </w:pPr>
      <w:r>
        <w:rPr>
          <w:rFonts w:ascii="FrankRuehl" w:hAnsi="FrankRuehl" w:hint="cs"/>
          <w:sz w:val="28"/>
          <w:rtl/>
        </w:rPr>
        <w:t>בית המשפט הבהיר לנאשם את משמעות אי עמידתו בצו המבחן ובצו המבחן.</w:t>
      </w:r>
    </w:p>
    <w:p w14:paraId="3978C895" w14:textId="77777777" w:rsidR="00584F97" w:rsidRDefault="00584F97" w:rsidP="00584F97">
      <w:pPr>
        <w:pStyle w:val="a9"/>
        <w:spacing w:line="360" w:lineRule="auto"/>
        <w:jc w:val="both"/>
        <w:rPr>
          <w:rFonts w:ascii="Century" w:hAnsi="Century"/>
          <w:rtl/>
        </w:rPr>
      </w:pPr>
    </w:p>
    <w:p w14:paraId="69B3BE23" w14:textId="77777777" w:rsidR="00584F97" w:rsidRDefault="00584F97" w:rsidP="00584F97">
      <w:pPr>
        <w:pStyle w:val="a9"/>
        <w:spacing w:line="360" w:lineRule="auto"/>
        <w:jc w:val="both"/>
        <w:rPr>
          <w:rFonts w:ascii="Century" w:hAnsi="Century"/>
          <w:rtl/>
        </w:rPr>
      </w:pPr>
      <w:r>
        <w:rPr>
          <w:rFonts w:ascii="Century" w:hAnsi="Century" w:hint="cs"/>
          <w:rtl/>
        </w:rPr>
        <w:t xml:space="preserve">ניתן צו להשמדת הסמים. </w:t>
      </w:r>
    </w:p>
    <w:p w14:paraId="2F9245E4" w14:textId="77777777" w:rsidR="00584F97" w:rsidRDefault="00584F97" w:rsidP="00584F97">
      <w:pPr>
        <w:pStyle w:val="a9"/>
        <w:spacing w:line="360" w:lineRule="auto"/>
        <w:jc w:val="both"/>
        <w:rPr>
          <w:rFonts w:ascii="Century" w:hAnsi="Century"/>
          <w:rtl/>
        </w:rPr>
      </w:pPr>
    </w:p>
    <w:p w14:paraId="19901B5D" w14:textId="77777777" w:rsidR="00584F97" w:rsidRDefault="00584F97" w:rsidP="00584F97">
      <w:pPr>
        <w:pStyle w:val="a9"/>
        <w:spacing w:line="360" w:lineRule="auto"/>
        <w:jc w:val="both"/>
        <w:rPr>
          <w:rFonts w:ascii="Century" w:hAnsi="Century"/>
          <w:rtl/>
        </w:rPr>
      </w:pPr>
      <w:r>
        <w:rPr>
          <w:rFonts w:ascii="Century" w:hAnsi="Century" w:hint="cs"/>
          <w:rtl/>
        </w:rPr>
        <w:t>המזכירות תעביר עותק מגזר הדין לשרות המבחן.</w:t>
      </w:r>
    </w:p>
    <w:p w14:paraId="487688F7" w14:textId="77777777" w:rsidR="00584F97" w:rsidRDefault="00584F97" w:rsidP="00584F97">
      <w:pPr>
        <w:pStyle w:val="a9"/>
        <w:spacing w:line="360" w:lineRule="auto"/>
        <w:jc w:val="both"/>
        <w:rPr>
          <w:rFonts w:ascii="Century" w:hAnsi="Century"/>
          <w:rtl/>
        </w:rPr>
      </w:pPr>
    </w:p>
    <w:p w14:paraId="06713ED4" w14:textId="77777777" w:rsidR="00584F97" w:rsidRDefault="00584F97" w:rsidP="00584F97">
      <w:pPr>
        <w:pStyle w:val="a9"/>
        <w:spacing w:line="360" w:lineRule="auto"/>
        <w:jc w:val="both"/>
        <w:rPr>
          <w:rFonts w:ascii="Century" w:hAnsi="Century"/>
          <w:rtl/>
        </w:rPr>
      </w:pPr>
      <w:r>
        <w:rPr>
          <w:rFonts w:ascii="Century" w:hAnsi="Century" w:hint="cs"/>
          <w:rtl/>
        </w:rPr>
        <w:t>זכות ערעור לבית המשפט המחוזי תוך 45 יום מהיום.</w:t>
      </w:r>
    </w:p>
    <w:p w14:paraId="41840F5A" w14:textId="77777777" w:rsidR="00584F97" w:rsidRDefault="00584F97" w:rsidP="00584F97">
      <w:pPr>
        <w:pStyle w:val="a9"/>
        <w:spacing w:line="360" w:lineRule="auto"/>
        <w:rPr>
          <w:rFonts w:ascii="Century" w:hAnsi="Century"/>
          <w:rtl/>
        </w:rPr>
      </w:pPr>
    </w:p>
    <w:p w14:paraId="024DBC5A" w14:textId="77777777" w:rsidR="00584F97" w:rsidRPr="00737E90" w:rsidRDefault="00737E90" w:rsidP="00584F97">
      <w:pPr>
        <w:rPr>
          <w:color w:val="FFFFFF"/>
          <w:sz w:val="2"/>
          <w:szCs w:val="2"/>
          <w:rtl/>
        </w:rPr>
      </w:pPr>
      <w:r w:rsidRPr="00737E90">
        <w:rPr>
          <w:color w:val="FFFFFF"/>
          <w:sz w:val="2"/>
          <w:szCs w:val="2"/>
          <w:rtl/>
        </w:rPr>
        <w:t>5129371</w:t>
      </w:r>
    </w:p>
    <w:p w14:paraId="7B3F7533" w14:textId="77777777" w:rsidR="00584F97" w:rsidRPr="0035134C" w:rsidRDefault="00737E90" w:rsidP="00584F97">
      <w:pPr>
        <w:rPr>
          <w:rtl/>
        </w:rPr>
      </w:pPr>
      <w:bookmarkStart w:id="8" w:name="Nitan"/>
      <w:r w:rsidRPr="00737E90">
        <w:rPr>
          <w:rFonts w:ascii="Arial" w:hAnsi="Arial"/>
          <w:color w:val="FFFFFF"/>
          <w:sz w:val="2"/>
          <w:szCs w:val="2"/>
          <w:rtl/>
        </w:rPr>
        <w:t>54678313</w:t>
      </w:r>
      <w:r>
        <w:rPr>
          <w:rFonts w:ascii="Arial" w:hAnsi="Arial"/>
          <w:rtl/>
        </w:rPr>
        <w:t xml:space="preserve">ניתן היום,  ט"ו חשוון תש"פ, 13 נובמבר 2019, במעמד הצדדים. </w:t>
      </w:r>
      <w:bookmarkEnd w:id="8"/>
    </w:p>
    <w:p w14:paraId="4C8021AF" w14:textId="77777777" w:rsidR="00584F97" w:rsidRPr="00250B83" w:rsidRDefault="00584F97" w:rsidP="00737E9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A992697" w14:textId="77777777" w:rsidR="00584F97" w:rsidRPr="00250B83" w:rsidRDefault="00584F97" w:rsidP="00584F97">
      <w:pPr>
        <w:jc w:val="center"/>
        <w:rPr>
          <w:rFonts w:ascii="Arial" w:hAnsi="Arial"/>
          <w:rtl/>
        </w:rPr>
      </w:pPr>
    </w:p>
    <w:p w14:paraId="106A5DE7" w14:textId="77777777" w:rsidR="00584F97" w:rsidRPr="00250B83" w:rsidRDefault="00584F97" w:rsidP="00584F97">
      <w:pPr>
        <w:rPr>
          <w:rtl/>
        </w:rPr>
      </w:pPr>
    </w:p>
    <w:p w14:paraId="5BA121BC" w14:textId="77777777" w:rsidR="00584F97" w:rsidRDefault="00584F97" w:rsidP="00584F97">
      <w:pPr>
        <w:pStyle w:val="a3"/>
        <w:jc w:val="center"/>
        <w:rPr>
          <w:rtl/>
        </w:rPr>
      </w:pPr>
    </w:p>
    <w:p w14:paraId="4F9819B0" w14:textId="77777777" w:rsidR="00227D79" w:rsidRPr="00737E90" w:rsidRDefault="00227D79" w:rsidP="00737E90">
      <w:pPr>
        <w:keepNext/>
        <w:rPr>
          <w:rFonts w:ascii="David" w:hAnsi="David"/>
          <w:color w:val="000000"/>
          <w:sz w:val="22"/>
          <w:szCs w:val="22"/>
          <w:rtl/>
        </w:rPr>
      </w:pPr>
    </w:p>
    <w:p w14:paraId="191E6076" w14:textId="77777777" w:rsidR="00737E90" w:rsidRPr="00737E90" w:rsidRDefault="00737E90" w:rsidP="00737E90">
      <w:pPr>
        <w:keepNext/>
        <w:rPr>
          <w:rFonts w:ascii="David" w:hAnsi="David"/>
          <w:color w:val="000000"/>
          <w:sz w:val="22"/>
          <w:szCs w:val="22"/>
          <w:rtl/>
        </w:rPr>
      </w:pPr>
      <w:r w:rsidRPr="00737E90">
        <w:rPr>
          <w:rFonts w:ascii="David" w:hAnsi="David"/>
          <w:color w:val="000000"/>
          <w:sz w:val="22"/>
          <w:szCs w:val="22"/>
          <w:rtl/>
        </w:rPr>
        <w:t>איתן קורנהאוזר 54678313</w:t>
      </w:r>
    </w:p>
    <w:p w14:paraId="3D675B72" w14:textId="77777777" w:rsidR="00737E90" w:rsidRDefault="00737E90" w:rsidP="00737E90">
      <w:r w:rsidRPr="00737E90">
        <w:rPr>
          <w:color w:val="000000"/>
          <w:rtl/>
        </w:rPr>
        <w:t>נוסח מסמך זה כפוף לשינויי ניסוח ועריכה</w:t>
      </w:r>
    </w:p>
    <w:p w14:paraId="412BF051" w14:textId="77777777" w:rsidR="00737E90" w:rsidRDefault="00737E90" w:rsidP="00737E90">
      <w:pPr>
        <w:rPr>
          <w:rtl/>
        </w:rPr>
      </w:pPr>
    </w:p>
    <w:p w14:paraId="4DAF2D57" w14:textId="77777777" w:rsidR="00737E90" w:rsidRDefault="00737E90" w:rsidP="00737E90">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546B3B3F" w14:textId="77777777" w:rsidR="00737E90" w:rsidRPr="00737E90" w:rsidRDefault="00737E90" w:rsidP="00737E90">
      <w:pPr>
        <w:jc w:val="center"/>
        <w:rPr>
          <w:color w:val="0000FF"/>
          <w:u w:val="single"/>
        </w:rPr>
      </w:pPr>
    </w:p>
    <w:sectPr w:rsidR="00737E90" w:rsidRPr="00737E90" w:rsidSect="00737E90">
      <w:headerReference w:type="even" r:id="rId20"/>
      <w:headerReference w:type="default" r:id="rId21"/>
      <w:footerReference w:type="even" r:id="rId22"/>
      <w:footerReference w:type="default" r:id="rId2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68CE9" w14:textId="77777777" w:rsidR="00365559" w:rsidRDefault="00365559" w:rsidP="003E571A">
      <w:r>
        <w:separator/>
      </w:r>
    </w:p>
  </w:endnote>
  <w:endnote w:type="continuationSeparator" w:id="0">
    <w:p w14:paraId="4C4F9B5B" w14:textId="77777777" w:rsidR="00365559" w:rsidRDefault="00365559" w:rsidP="003E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FAFE0" w14:textId="77777777" w:rsidR="00737E90" w:rsidRDefault="00737E90" w:rsidP="00737E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AAFAB2" w14:textId="77777777" w:rsidR="001F0CC2" w:rsidRPr="00737E90" w:rsidRDefault="00737E90" w:rsidP="00737E9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CF9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5032" w14:textId="77777777" w:rsidR="00737E90" w:rsidRDefault="00737E90" w:rsidP="00737E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1653">
      <w:rPr>
        <w:rFonts w:ascii="FrankRuehl" w:hAnsi="FrankRuehl" w:cs="FrankRuehl"/>
        <w:noProof/>
        <w:rtl/>
      </w:rPr>
      <w:t>1</w:t>
    </w:r>
    <w:r>
      <w:rPr>
        <w:rFonts w:ascii="FrankRuehl" w:hAnsi="FrankRuehl" w:cs="FrankRuehl"/>
        <w:rtl/>
      </w:rPr>
      <w:fldChar w:fldCharType="end"/>
    </w:r>
  </w:p>
  <w:p w14:paraId="6A717124" w14:textId="77777777" w:rsidR="001F0CC2" w:rsidRPr="00737E90" w:rsidRDefault="00737E90" w:rsidP="00737E9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D64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E8E22" w14:textId="77777777" w:rsidR="00365559" w:rsidRDefault="00365559" w:rsidP="003E571A">
      <w:r>
        <w:separator/>
      </w:r>
    </w:p>
  </w:footnote>
  <w:footnote w:type="continuationSeparator" w:id="0">
    <w:p w14:paraId="3E650FDD" w14:textId="77777777" w:rsidR="00365559" w:rsidRDefault="00365559" w:rsidP="003E5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9BB7F" w14:textId="77777777" w:rsidR="00737E90" w:rsidRPr="00737E90" w:rsidRDefault="00737E90" w:rsidP="00737E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45070-04-17</w:t>
    </w:r>
    <w:r>
      <w:rPr>
        <w:rFonts w:ascii="David" w:hAnsi="David"/>
        <w:color w:val="000000"/>
        <w:sz w:val="22"/>
        <w:szCs w:val="22"/>
        <w:rtl/>
      </w:rPr>
      <w:tab/>
      <w:t xml:space="preserve"> מדינת ישראל נ' מרדכי אגזדה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38E2" w14:textId="77777777" w:rsidR="00737E90" w:rsidRPr="00737E90" w:rsidRDefault="00737E90" w:rsidP="00737E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45070-04-17</w:t>
    </w:r>
    <w:r>
      <w:rPr>
        <w:rFonts w:ascii="David" w:hAnsi="David"/>
        <w:color w:val="000000"/>
        <w:sz w:val="22"/>
        <w:szCs w:val="22"/>
        <w:rtl/>
      </w:rPr>
      <w:tab/>
      <w:t xml:space="preserve"> מדינת ישראל נ' מרדכי אגזדה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21655"/>
    <w:multiLevelType w:val="hybridMultilevel"/>
    <w:tmpl w:val="E624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C6DB3"/>
    <w:multiLevelType w:val="hybridMultilevel"/>
    <w:tmpl w:val="8C74E668"/>
    <w:lvl w:ilvl="0" w:tplc="5A98E3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9916670">
    <w:abstractNumId w:val="0"/>
  </w:num>
  <w:num w:numId="2" w16cid:durableId="759256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4F97"/>
    <w:rsid w:val="001F0CC2"/>
    <w:rsid w:val="002264AD"/>
    <w:rsid w:val="00227D79"/>
    <w:rsid w:val="00365559"/>
    <w:rsid w:val="00381020"/>
    <w:rsid w:val="003E571A"/>
    <w:rsid w:val="00584F97"/>
    <w:rsid w:val="00737E90"/>
    <w:rsid w:val="00862DC7"/>
    <w:rsid w:val="00B6126D"/>
    <w:rsid w:val="00DA1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23DC85"/>
  <w15:chartTrackingRefBased/>
  <w15:docId w15:val="{4414718D-9DAD-4CD1-B070-E7C0E95D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4F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4F97"/>
    <w:pPr>
      <w:tabs>
        <w:tab w:val="center" w:pos="4153"/>
        <w:tab w:val="right" w:pos="8306"/>
      </w:tabs>
    </w:pPr>
  </w:style>
  <w:style w:type="character" w:customStyle="1" w:styleId="a4">
    <w:name w:val="כותרת עליונה תו"/>
    <w:link w:val="a3"/>
    <w:rsid w:val="00584F97"/>
    <w:rPr>
      <w:rFonts w:ascii="Times New Roman" w:eastAsia="Times New Roman" w:hAnsi="Times New Roman" w:cs="David"/>
      <w:sz w:val="24"/>
      <w:szCs w:val="24"/>
    </w:rPr>
  </w:style>
  <w:style w:type="paragraph" w:styleId="a5">
    <w:name w:val="footer"/>
    <w:basedOn w:val="a"/>
    <w:link w:val="a6"/>
    <w:rsid w:val="00584F97"/>
    <w:pPr>
      <w:tabs>
        <w:tab w:val="center" w:pos="4153"/>
        <w:tab w:val="right" w:pos="8306"/>
      </w:tabs>
    </w:pPr>
  </w:style>
  <w:style w:type="character" w:customStyle="1" w:styleId="a6">
    <w:name w:val="כותרת תחתונה תו"/>
    <w:link w:val="a5"/>
    <w:rsid w:val="00584F97"/>
    <w:rPr>
      <w:rFonts w:ascii="Times New Roman" w:eastAsia="Times New Roman" w:hAnsi="Times New Roman" w:cs="David"/>
      <w:sz w:val="24"/>
      <w:szCs w:val="24"/>
    </w:rPr>
  </w:style>
  <w:style w:type="table" w:styleId="a7">
    <w:name w:val="Table Grid"/>
    <w:basedOn w:val="a1"/>
    <w:rsid w:val="00584F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4F97"/>
  </w:style>
  <w:style w:type="paragraph" w:styleId="a9">
    <w:name w:val="List Paragraph"/>
    <w:basedOn w:val="a"/>
    <w:qFormat/>
    <w:rsid w:val="00584F97"/>
    <w:pPr>
      <w:ind w:left="720"/>
      <w:contextualSpacing/>
    </w:pPr>
  </w:style>
  <w:style w:type="character" w:styleId="Hyperlink">
    <w:name w:val="Hyperlink"/>
    <w:rsid w:val="00737E9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2938500"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c"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27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1338</Words>
  <Characters>6694</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8016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3342448</vt:i4>
      </vt:variant>
      <vt:variant>
        <vt:i4>33</vt:i4>
      </vt:variant>
      <vt:variant>
        <vt:i4>0</vt:i4>
      </vt:variant>
      <vt:variant>
        <vt:i4>5</vt:i4>
      </vt:variant>
      <vt:variant>
        <vt:lpwstr>http://www.nevo.co.il/case/22938500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4915274</vt:i4>
      </vt:variant>
      <vt:variant>
        <vt:i4>15</vt:i4>
      </vt:variant>
      <vt:variant>
        <vt:i4>0</vt:i4>
      </vt:variant>
      <vt:variant>
        <vt:i4>5</vt:i4>
      </vt:variant>
      <vt:variant>
        <vt:lpwstr>http://www.nevo.co.il/law/4216/7.a.c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45070</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מרדכי אגזדה</vt:lpwstr>
  </property>
  <property fmtid="{D5CDD505-2E9C-101B-9397-08002B2CF9AE}" pid="10" name="LAWYER">
    <vt:lpwstr>ליהי אזולאי;בן בן יהודה</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20191113</vt:lpwstr>
  </property>
  <property fmtid="{D5CDD505-2E9C-101B-9397-08002B2CF9AE}" pid="14" name="TYPE_N_DATE">
    <vt:lpwstr>38020191113</vt:lpwstr>
  </property>
  <property fmtid="{D5CDD505-2E9C-101B-9397-08002B2CF9AE}" pid="15" name="CASESLISTTMP1">
    <vt:lpwstr>22938500</vt:lpwstr>
  </property>
  <property fmtid="{D5CDD505-2E9C-101B-9397-08002B2CF9AE}" pid="16" name="WORDNUMPAGES">
    <vt:lpwstr>4</vt:lpwstr>
  </property>
  <property fmtid="{D5CDD505-2E9C-101B-9397-08002B2CF9AE}" pid="17" name="TYPE_ABS_DATE">
    <vt:lpwstr>380020191113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4216/007.a.c</vt:lpwstr>
  </property>
  <property fmtid="{D5CDD505-2E9C-101B-9397-08002B2CF9AE}" pid="37" name="LAWLISTTMP2">
    <vt:lpwstr>70301/275;040d</vt:lpwstr>
  </property>
</Properties>
</file>