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2"/>
        <w:gridCol w:w="3659"/>
      </w:tblGrid>
      <w:tr w:rsidR="00091070" w:rsidRPr="001E3D24" w14:paraId="374F3BFC" w14:textId="77777777" w:rsidTr="00EF5357">
        <w:trPr>
          <w:trHeight w:hRule="exact" w:val="418"/>
          <w:jc w:val="center"/>
        </w:trPr>
        <w:tc>
          <w:tcPr>
            <w:tcW w:w="8721" w:type="dxa"/>
            <w:gridSpan w:val="2"/>
          </w:tcPr>
          <w:p w14:paraId="107A1A4A" w14:textId="77777777" w:rsidR="00091070" w:rsidRPr="001E3D24" w:rsidRDefault="00091070" w:rsidP="00824B79">
            <w:pPr>
              <w:pStyle w:val="a3"/>
              <w:jc w:val="center"/>
              <w:rPr>
                <w:rFonts w:ascii="FrankRuehl" w:hAnsi="FrankRuehl" w:cs="FrankRuehl"/>
                <w:b/>
                <w:bCs/>
                <w:color w:val="000080"/>
                <w:sz w:val="28"/>
                <w:szCs w:val="28"/>
                <w:rtl/>
              </w:rPr>
            </w:pPr>
            <w:bookmarkStart w:id="0" w:name="LastJudge"/>
            <w:r w:rsidRPr="001E3D24">
              <w:rPr>
                <w:rFonts w:ascii="FrankRuehl" w:hAnsi="FrankRuehl" w:cs="FrankRuehl"/>
                <w:b/>
                <w:bCs/>
                <w:color w:val="000080"/>
                <w:sz w:val="28"/>
                <w:szCs w:val="28"/>
                <w:rtl/>
              </w:rPr>
              <w:t>בית משפט השלום בירושלים</w:t>
            </w:r>
          </w:p>
        </w:tc>
      </w:tr>
      <w:tr w:rsidR="00091070" w:rsidRPr="001E3D24" w14:paraId="61A96509" w14:textId="77777777" w:rsidTr="00EF5357">
        <w:trPr>
          <w:trHeight w:val="337"/>
          <w:jc w:val="center"/>
        </w:trPr>
        <w:tc>
          <w:tcPr>
            <w:tcW w:w="5062" w:type="dxa"/>
          </w:tcPr>
          <w:p w14:paraId="75BD07BD" w14:textId="77777777" w:rsidR="00091070" w:rsidRPr="001E3D24" w:rsidRDefault="00091070" w:rsidP="00824B79">
            <w:pPr>
              <w:rPr>
                <w:rFonts w:ascii="FrankRuehl" w:hAnsi="FrankRuehl" w:cs="FrankRuehl"/>
                <w:b/>
                <w:bCs/>
                <w:sz w:val="28"/>
                <w:szCs w:val="28"/>
                <w:rtl/>
              </w:rPr>
            </w:pPr>
            <w:r w:rsidRPr="001E3D24">
              <w:rPr>
                <w:rFonts w:ascii="FrankRuehl" w:hAnsi="FrankRuehl" w:cs="FrankRuehl"/>
                <w:b/>
                <w:bCs/>
                <w:sz w:val="28"/>
                <w:szCs w:val="28"/>
                <w:rtl/>
              </w:rPr>
              <w:t>ת"פ 45539-04-17 מדינת ישראל נ' צלאח(אחר/נוסף)</w:t>
            </w:r>
          </w:p>
          <w:p w14:paraId="6FDECBA7" w14:textId="77777777" w:rsidR="00091070" w:rsidRPr="001E3D24" w:rsidRDefault="00091070" w:rsidP="00824B79">
            <w:pPr>
              <w:pStyle w:val="a3"/>
              <w:rPr>
                <w:rFonts w:ascii="FrankRuehl" w:hAnsi="FrankRuehl" w:cs="FrankRuehl"/>
                <w:b/>
                <w:bCs/>
                <w:sz w:val="28"/>
                <w:szCs w:val="28"/>
                <w:rtl/>
              </w:rPr>
            </w:pPr>
          </w:p>
        </w:tc>
        <w:tc>
          <w:tcPr>
            <w:tcW w:w="3659" w:type="dxa"/>
          </w:tcPr>
          <w:p w14:paraId="5137B862" w14:textId="77777777" w:rsidR="00091070" w:rsidRPr="001E3D24" w:rsidRDefault="00091070" w:rsidP="00824B79">
            <w:pPr>
              <w:pStyle w:val="a3"/>
              <w:jc w:val="right"/>
              <w:rPr>
                <w:rFonts w:ascii="FrankRuehl" w:hAnsi="FrankRuehl" w:cs="FrankRuehl"/>
                <w:b/>
                <w:bCs/>
                <w:sz w:val="28"/>
                <w:szCs w:val="28"/>
                <w:rtl/>
              </w:rPr>
            </w:pPr>
          </w:p>
        </w:tc>
      </w:tr>
    </w:tbl>
    <w:p w14:paraId="3A95F784" w14:textId="77777777" w:rsidR="00091070" w:rsidRPr="001E3D24" w:rsidRDefault="00091070" w:rsidP="00091070">
      <w:pPr>
        <w:pStyle w:val="a3"/>
        <w:rPr>
          <w:rtl/>
        </w:rPr>
      </w:pPr>
      <w:r w:rsidRPr="001E3D24">
        <w:rPr>
          <w:rFonts w:hint="cs"/>
          <w:rtl/>
        </w:rPr>
        <w:t xml:space="preserve"> </w:t>
      </w:r>
    </w:p>
    <w:p w14:paraId="2645565A" w14:textId="77777777" w:rsidR="00091070" w:rsidRPr="001E3D24" w:rsidRDefault="00091070" w:rsidP="00091070">
      <w:pPr>
        <w:rPr>
          <w:rtl/>
        </w:rPr>
      </w:pPr>
    </w:p>
    <w:p w14:paraId="4D0E748A" w14:textId="77777777" w:rsidR="00091070" w:rsidRPr="001E3D24" w:rsidRDefault="00091070" w:rsidP="00091070">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091070" w:rsidRPr="001E3D24" w14:paraId="647C7AC9" w14:textId="77777777" w:rsidTr="00091070">
        <w:trPr>
          <w:trHeight w:val="295"/>
          <w:jc w:val="center"/>
        </w:trPr>
        <w:tc>
          <w:tcPr>
            <w:tcW w:w="923" w:type="dxa"/>
            <w:tcBorders>
              <w:top w:val="nil"/>
              <w:left w:val="nil"/>
              <w:bottom w:val="nil"/>
              <w:right w:val="nil"/>
            </w:tcBorders>
            <w:shd w:val="clear" w:color="auto" w:fill="auto"/>
          </w:tcPr>
          <w:p w14:paraId="3E99B4AA" w14:textId="77777777" w:rsidR="00091070" w:rsidRPr="001E3D24" w:rsidRDefault="00091070" w:rsidP="00091070">
            <w:pPr>
              <w:jc w:val="both"/>
              <w:rPr>
                <w:rFonts w:ascii="FrankRuehl" w:hAnsi="FrankRuehl" w:cs="FrankRuehl"/>
                <w:b/>
                <w:bCs/>
                <w:sz w:val="28"/>
                <w:szCs w:val="28"/>
              </w:rPr>
            </w:pPr>
            <w:r w:rsidRPr="001E3D24">
              <w:rPr>
                <w:rFonts w:ascii="FrankRuehl" w:hAnsi="FrankRuehl" w:cs="FrankRuehl"/>
                <w:b/>
                <w:bCs/>
                <w:sz w:val="28"/>
                <w:szCs w:val="28"/>
                <w:rtl/>
              </w:rPr>
              <w:t xml:space="preserve">בפני </w:t>
            </w:r>
          </w:p>
        </w:tc>
        <w:tc>
          <w:tcPr>
            <w:tcW w:w="7897" w:type="dxa"/>
            <w:gridSpan w:val="2"/>
            <w:tcBorders>
              <w:top w:val="nil"/>
              <w:left w:val="nil"/>
              <w:bottom w:val="nil"/>
              <w:right w:val="nil"/>
            </w:tcBorders>
            <w:shd w:val="clear" w:color="auto" w:fill="auto"/>
          </w:tcPr>
          <w:p w14:paraId="29B4B221" w14:textId="77777777" w:rsidR="00091070" w:rsidRPr="001E3D24" w:rsidRDefault="00091070" w:rsidP="00824B79">
            <w:pPr>
              <w:rPr>
                <w:rFonts w:ascii="FrankRuehl" w:hAnsi="FrankRuehl" w:cs="FrankRuehl"/>
                <w:b/>
                <w:bCs/>
                <w:sz w:val="28"/>
                <w:szCs w:val="28"/>
                <w:rtl/>
              </w:rPr>
            </w:pPr>
            <w:r w:rsidRPr="001E3D24">
              <w:rPr>
                <w:rFonts w:ascii="FrankRuehl" w:hAnsi="FrankRuehl" w:cs="FrankRuehl"/>
                <w:b/>
                <w:bCs/>
                <w:sz w:val="28"/>
                <w:szCs w:val="28"/>
                <w:rtl/>
              </w:rPr>
              <w:t>כבוד השופט  דוד שאול גבאי ריכטר</w:t>
            </w:r>
          </w:p>
          <w:p w14:paraId="142263B3" w14:textId="77777777" w:rsidR="00091070" w:rsidRPr="001E3D24" w:rsidRDefault="00091070" w:rsidP="00824B79">
            <w:pPr>
              <w:rPr>
                <w:rFonts w:ascii="FrankRuehl" w:hAnsi="FrankRuehl" w:cs="FrankRuehl"/>
                <w:b/>
                <w:bCs/>
                <w:sz w:val="28"/>
                <w:szCs w:val="28"/>
                <w:rtl/>
              </w:rPr>
            </w:pPr>
          </w:p>
          <w:p w14:paraId="065776FD" w14:textId="77777777" w:rsidR="00091070" w:rsidRPr="001E3D24" w:rsidRDefault="00091070" w:rsidP="00091070">
            <w:pPr>
              <w:jc w:val="both"/>
              <w:rPr>
                <w:rFonts w:ascii="FrankRuehl" w:hAnsi="FrankRuehl" w:cs="FrankRuehl"/>
                <w:b/>
                <w:bCs/>
                <w:sz w:val="28"/>
                <w:szCs w:val="28"/>
              </w:rPr>
            </w:pPr>
          </w:p>
        </w:tc>
      </w:tr>
      <w:tr w:rsidR="00091070" w:rsidRPr="001E3D24" w14:paraId="70732491" w14:textId="77777777" w:rsidTr="00091070">
        <w:trPr>
          <w:trHeight w:val="355"/>
          <w:jc w:val="center"/>
        </w:trPr>
        <w:tc>
          <w:tcPr>
            <w:tcW w:w="923" w:type="dxa"/>
            <w:tcBorders>
              <w:top w:val="nil"/>
              <w:left w:val="nil"/>
              <w:bottom w:val="nil"/>
              <w:right w:val="nil"/>
            </w:tcBorders>
            <w:shd w:val="clear" w:color="auto" w:fill="auto"/>
          </w:tcPr>
          <w:p w14:paraId="167F57AD" w14:textId="77777777" w:rsidR="00091070" w:rsidRPr="001E3D24" w:rsidRDefault="00091070" w:rsidP="00091070">
            <w:pPr>
              <w:jc w:val="both"/>
              <w:rPr>
                <w:rFonts w:ascii="FrankRuehl" w:hAnsi="FrankRuehl" w:cs="FrankRuehl"/>
                <w:b/>
                <w:bCs/>
                <w:sz w:val="28"/>
                <w:szCs w:val="28"/>
              </w:rPr>
            </w:pPr>
            <w:bookmarkStart w:id="1" w:name="FirstAppellant"/>
            <w:r w:rsidRPr="001E3D24">
              <w:rPr>
                <w:rFonts w:ascii="FrankRuehl" w:hAnsi="FrankRuehl" w:cs="FrankRuehl"/>
                <w:b/>
                <w:bCs/>
                <w:sz w:val="28"/>
                <w:szCs w:val="28"/>
                <w:rtl/>
              </w:rPr>
              <w:t>בעניין:</w:t>
            </w:r>
          </w:p>
        </w:tc>
        <w:tc>
          <w:tcPr>
            <w:tcW w:w="4126" w:type="dxa"/>
            <w:tcBorders>
              <w:top w:val="nil"/>
              <w:left w:val="nil"/>
              <w:bottom w:val="nil"/>
              <w:right w:val="nil"/>
            </w:tcBorders>
            <w:shd w:val="clear" w:color="auto" w:fill="auto"/>
          </w:tcPr>
          <w:p w14:paraId="2E53357B" w14:textId="77777777" w:rsidR="00091070" w:rsidRPr="001E3D24" w:rsidRDefault="00091070" w:rsidP="00824B79">
            <w:pPr>
              <w:rPr>
                <w:rFonts w:ascii="FrankRuehl" w:hAnsi="FrankRuehl" w:cs="FrankRuehl"/>
                <w:b/>
                <w:bCs/>
                <w:sz w:val="28"/>
                <w:szCs w:val="28"/>
              </w:rPr>
            </w:pPr>
            <w:r w:rsidRPr="001E3D24">
              <w:rPr>
                <w:rFonts w:ascii="FrankRuehl" w:hAnsi="FrankRuehl" w:cs="FrankRuehl"/>
                <w:b/>
                <w:bCs/>
                <w:sz w:val="28"/>
                <w:szCs w:val="28"/>
                <w:rtl/>
              </w:rPr>
              <w:t>מדינת ישראל</w:t>
            </w:r>
          </w:p>
        </w:tc>
        <w:tc>
          <w:tcPr>
            <w:tcW w:w="3771" w:type="dxa"/>
            <w:tcBorders>
              <w:top w:val="nil"/>
              <w:left w:val="nil"/>
              <w:bottom w:val="nil"/>
              <w:right w:val="nil"/>
            </w:tcBorders>
            <w:shd w:val="clear" w:color="auto" w:fill="auto"/>
          </w:tcPr>
          <w:p w14:paraId="49377AE9" w14:textId="77777777" w:rsidR="00091070" w:rsidRPr="001E3D24" w:rsidRDefault="00091070" w:rsidP="00091070">
            <w:pPr>
              <w:jc w:val="both"/>
              <w:rPr>
                <w:rFonts w:ascii="FrankRuehl" w:hAnsi="FrankRuehl" w:cs="FrankRuehl"/>
                <w:b/>
                <w:bCs/>
                <w:sz w:val="28"/>
                <w:szCs w:val="28"/>
              </w:rPr>
            </w:pPr>
          </w:p>
        </w:tc>
      </w:tr>
      <w:bookmarkEnd w:id="1"/>
      <w:tr w:rsidR="00091070" w:rsidRPr="001E3D24" w14:paraId="24808B16" w14:textId="77777777" w:rsidTr="00091070">
        <w:trPr>
          <w:trHeight w:val="355"/>
          <w:jc w:val="center"/>
        </w:trPr>
        <w:tc>
          <w:tcPr>
            <w:tcW w:w="923" w:type="dxa"/>
            <w:tcBorders>
              <w:top w:val="nil"/>
              <w:left w:val="nil"/>
              <w:bottom w:val="nil"/>
              <w:right w:val="nil"/>
            </w:tcBorders>
            <w:shd w:val="clear" w:color="auto" w:fill="auto"/>
          </w:tcPr>
          <w:p w14:paraId="0C4ECC69" w14:textId="77777777" w:rsidR="00091070" w:rsidRPr="001E3D24" w:rsidRDefault="00091070" w:rsidP="00091070">
            <w:pPr>
              <w:jc w:val="both"/>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460483D4" w14:textId="77777777" w:rsidR="00091070" w:rsidRPr="001E3D24" w:rsidRDefault="00091070" w:rsidP="00091070">
            <w:pPr>
              <w:jc w:val="both"/>
              <w:rPr>
                <w:rFonts w:ascii="FrankRuehl" w:hAnsi="FrankRuehl" w:cs="FrankRuehl"/>
                <w:b/>
                <w:bCs/>
                <w:sz w:val="28"/>
                <w:szCs w:val="28"/>
                <w:rtl/>
              </w:rPr>
            </w:pPr>
            <w:r w:rsidRPr="001E3D24">
              <w:rPr>
                <w:rFonts w:ascii="FrankRuehl" w:hAnsi="FrankRuehl" w:cs="FrankRuehl" w:hint="cs"/>
                <w:b/>
                <w:bCs/>
                <w:sz w:val="28"/>
                <w:szCs w:val="28"/>
                <w:rtl/>
              </w:rPr>
              <w:t>תביעות ירושלים</w:t>
            </w:r>
          </w:p>
        </w:tc>
        <w:tc>
          <w:tcPr>
            <w:tcW w:w="3771" w:type="dxa"/>
            <w:tcBorders>
              <w:top w:val="nil"/>
              <w:left w:val="nil"/>
              <w:bottom w:val="nil"/>
              <w:right w:val="nil"/>
            </w:tcBorders>
            <w:shd w:val="clear" w:color="auto" w:fill="auto"/>
          </w:tcPr>
          <w:p w14:paraId="364231E2" w14:textId="77777777" w:rsidR="00091070" w:rsidRPr="001E3D24" w:rsidRDefault="00091070" w:rsidP="00091070">
            <w:pPr>
              <w:jc w:val="right"/>
              <w:rPr>
                <w:rFonts w:ascii="FrankRuehl" w:hAnsi="FrankRuehl" w:cs="FrankRuehl"/>
                <w:b/>
                <w:bCs/>
                <w:sz w:val="28"/>
                <w:szCs w:val="28"/>
                <w:rtl/>
              </w:rPr>
            </w:pPr>
            <w:r w:rsidRPr="001E3D24">
              <w:rPr>
                <w:rFonts w:ascii="FrankRuehl" w:hAnsi="FrankRuehl" w:cs="FrankRuehl"/>
                <w:b/>
                <w:bCs/>
                <w:sz w:val="28"/>
                <w:szCs w:val="28"/>
                <w:rtl/>
              </w:rPr>
              <w:t>המאשימה</w:t>
            </w:r>
          </w:p>
        </w:tc>
      </w:tr>
      <w:tr w:rsidR="00091070" w:rsidRPr="001E3D24" w14:paraId="35CDDC56" w14:textId="77777777" w:rsidTr="00091070">
        <w:trPr>
          <w:trHeight w:val="355"/>
          <w:jc w:val="center"/>
        </w:trPr>
        <w:tc>
          <w:tcPr>
            <w:tcW w:w="923" w:type="dxa"/>
            <w:tcBorders>
              <w:top w:val="nil"/>
              <w:left w:val="nil"/>
              <w:bottom w:val="nil"/>
              <w:right w:val="nil"/>
            </w:tcBorders>
            <w:shd w:val="clear" w:color="auto" w:fill="auto"/>
          </w:tcPr>
          <w:p w14:paraId="7264989D" w14:textId="77777777" w:rsidR="00091070" w:rsidRPr="001E3D24" w:rsidRDefault="00091070" w:rsidP="00091070">
            <w:pPr>
              <w:jc w:val="both"/>
              <w:rPr>
                <w:rFonts w:ascii="FrankRuehl" w:hAnsi="FrankRuehl" w:cs="FrankRuehl"/>
                <w:b/>
                <w:bCs/>
                <w:sz w:val="28"/>
                <w:szCs w:val="28"/>
                <w:rtl/>
              </w:rPr>
            </w:pPr>
          </w:p>
        </w:tc>
        <w:tc>
          <w:tcPr>
            <w:tcW w:w="7897" w:type="dxa"/>
            <w:gridSpan w:val="2"/>
            <w:tcBorders>
              <w:top w:val="nil"/>
              <w:left w:val="nil"/>
              <w:bottom w:val="nil"/>
              <w:right w:val="nil"/>
            </w:tcBorders>
            <w:shd w:val="clear" w:color="auto" w:fill="auto"/>
          </w:tcPr>
          <w:p w14:paraId="183FC622" w14:textId="77777777" w:rsidR="00091070" w:rsidRPr="001E3D24" w:rsidRDefault="00091070" w:rsidP="00091070">
            <w:pPr>
              <w:jc w:val="center"/>
              <w:rPr>
                <w:rFonts w:ascii="FrankRuehl" w:hAnsi="FrankRuehl" w:cs="FrankRuehl"/>
                <w:b/>
                <w:bCs/>
                <w:sz w:val="28"/>
                <w:szCs w:val="28"/>
                <w:rtl/>
              </w:rPr>
            </w:pPr>
          </w:p>
          <w:p w14:paraId="61A0CD02" w14:textId="77777777" w:rsidR="00091070" w:rsidRPr="001E3D24" w:rsidRDefault="00091070" w:rsidP="00091070">
            <w:pPr>
              <w:jc w:val="center"/>
              <w:rPr>
                <w:rFonts w:ascii="FrankRuehl" w:hAnsi="FrankRuehl" w:cs="FrankRuehl"/>
                <w:b/>
                <w:bCs/>
                <w:sz w:val="28"/>
                <w:szCs w:val="28"/>
                <w:rtl/>
              </w:rPr>
            </w:pPr>
            <w:r w:rsidRPr="001E3D24">
              <w:rPr>
                <w:rFonts w:ascii="FrankRuehl" w:hAnsi="FrankRuehl" w:cs="FrankRuehl"/>
                <w:b/>
                <w:bCs/>
                <w:sz w:val="28"/>
                <w:szCs w:val="28"/>
                <w:rtl/>
              </w:rPr>
              <w:t>נגד</w:t>
            </w:r>
          </w:p>
          <w:p w14:paraId="70E5AA94" w14:textId="77777777" w:rsidR="00091070" w:rsidRPr="001E3D24" w:rsidRDefault="00091070" w:rsidP="00091070">
            <w:pPr>
              <w:jc w:val="both"/>
              <w:rPr>
                <w:rFonts w:ascii="FrankRuehl" w:hAnsi="FrankRuehl" w:cs="FrankRuehl"/>
                <w:b/>
                <w:bCs/>
                <w:sz w:val="28"/>
                <w:szCs w:val="28"/>
              </w:rPr>
            </w:pPr>
          </w:p>
        </w:tc>
      </w:tr>
      <w:tr w:rsidR="00091070" w:rsidRPr="001E3D24" w14:paraId="5EB1E5B1" w14:textId="77777777" w:rsidTr="00091070">
        <w:trPr>
          <w:trHeight w:val="355"/>
          <w:jc w:val="center"/>
        </w:trPr>
        <w:tc>
          <w:tcPr>
            <w:tcW w:w="923" w:type="dxa"/>
            <w:tcBorders>
              <w:top w:val="nil"/>
              <w:left w:val="nil"/>
              <w:bottom w:val="nil"/>
              <w:right w:val="nil"/>
            </w:tcBorders>
            <w:shd w:val="clear" w:color="auto" w:fill="auto"/>
          </w:tcPr>
          <w:p w14:paraId="358AB0BA" w14:textId="77777777" w:rsidR="00091070" w:rsidRPr="001E3D24" w:rsidRDefault="00091070" w:rsidP="00824B79">
            <w:pPr>
              <w:rPr>
                <w:rFonts w:ascii="FrankRuehl" w:hAnsi="FrankRuehl" w:cs="FrankRuehl"/>
                <w:b/>
                <w:bCs/>
                <w:sz w:val="28"/>
                <w:szCs w:val="28"/>
                <w:rtl/>
              </w:rPr>
            </w:pPr>
          </w:p>
        </w:tc>
        <w:tc>
          <w:tcPr>
            <w:tcW w:w="4126" w:type="dxa"/>
            <w:tcBorders>
              <w:top w:val="nil"/>
              <w:left w:val="nil"/>
              <w:bottom w:val="nil"/>
              <w:right w:val="nil"/>
            </w:tcBorders>
            <w:shd w:val="clear" w:color="auto" w:fill="auto"/>
          </w:tcPr>
          <w:p w14:paraId="24AA8F1D" w14:textId="77777777" w:rsidR="00091070" w:rsidRPr="001E3D24" w:rsidRDefault="00091070" w:rsidP="00824B79">
            <w:pPr>
              <w:rPr>
                <w:rFonts w:ascii="FrankRuehl" w:hAnsi="FrankRuehl" w:cs="FrankRuehl"/>
                <w:b/>
                <w:bCs/>
                <w:sz w:val="28"/>
                <w:szCs w:val="28"/>
                <w:rtl/>
              </w:rPr>
            </w:pPr>
            <w:r w:rsidRPr="001E3D24">
              <w:rPr>
                <w:rFonts w:ascii="FrankRuehl" w:hAnsi="FrankRuehl" w:cs="FrankRuehl"/>
                <w:b/>
                <w:bCs/>
                <w:sz w:val="28"/>
                <w:szCs w:val="28"/>
                <w:rtl/>
              </w:rPr>
              <w:t xml:space="preserve">מחמוד סאלח </w:t>
            </w:r>
            <w:r w:rsidRPr="001E3D24">
              <w:rPr>
                <w:rFonts w:ascii="FrankRuehl" w:hAnsi="FrankRuehl" w:cs="FrankRuehl" w:hint="cs"/>
                <w:b/>
                <w:bCs/>
                <w:sz w:val="28"/>
                <w:szCs w:val="28"/>
                <w:rtl/>
              </w:rPr>
              <w:t xml:space="preserve"> </w:t>
            </w:r>
          </w:p>
        </w:tc>
        <w:tc>
          <w:tcPr>
            <w:tcW w:w="3771" w:type="dxa"/>
            <w:tcBorders>
              <w:top w:val="nil"/>
              <w:left w:val="nil"/>
              <w:bottom w:val="nil"/>
              <w:right w:val="nil"/>
            </w:tcBorders>
            <w:shd w:val="clear" w:color="auto" w:fill="auto"/>
          </w:tcPr>
          <w:p w14:paraId="3E410036" w14:textId="77777777" w:rsidR="00091070" w:rsidRPr="001E3D24" w:rsidRDefault="00091070" w:rsidP="00091070">
            <w:pPr>
              <w:jc w:val="right"/>
              <w:rPr>
                <w:rFonts w:ascii="FrankRuehl" w:hAnsi="FrankRuehl" w:cs="FrankRuehl"/>
                <w:b/>
                <w:bCs/>
                <w:sz w:val="28"/>
                <w:szCs w:val="28"/>
              </w:rPr>
            </w:pPr>
          </w:p>
        </w:tc>
      </w:tr>
      <w:tr w:rsidR="00091070" w:rsidRPr="001E3D24" w14:paraId="583C6D49" w14:textId="77777777" w:rsidTr="00091070">
        <w:trPr>
          <w:trHeight w:val="355"/>
          <w:jc w:val="center"/>
        </w:trPr>
        <w:tc>
          <w:tcPr>
            <w:tcW w:w="923" w:type="dxa"/>
            <w:tcBorders>
              <w:top w:val="nil"/>
              <w:left w:val="nil"/>
              <w:bottom w:val="nil"/>
              <w:right w:val="nil"/>
            </w:tcBorders>
            <w:shd w:val="clear" w:color="auto" w:fill="auto"/>
          </w:tcPr>
          <w:p w14:paraId="69C59B7A" w14:textId="77777777" w:rsidR="00091070" w:rsidRPr="001E3D24" w:rsidRDefault="00091070" w:rsidP="00091070">
            <w:pPr>
              <w:jc w:val="both"/>
              <w:rPr>
                <w:rFonts w:ascii="FrankRuehl" w:hAnsi="FrankRuehl" w:cs="FrankRuehl"/>
                <w:b/>
                <w:bCs/>
                <w:sz w:val="28"/>
                <w:szCs w:val="28"/>
                <w:rtl/>
              </w:rPr>
            </w:pPr>
            <w:bookmarkStart w:id="2" w:name="FirstLawyer"/>
          </w:p>
        </w:tc>
        <w:tc>
          <w:tcPr>
            <w:tcW w:w="4126" w:type="dxa"/>
            <w:tcBorders>
              <w:top w:val="nil"/>
              <w:left w:val="nil"/>
              <w:bottom w:val="nil"/>
              <w:right w:val="nil"/>
            </w:tcBorders>
            <w:shd w:val="clear" w:color="auto" w:fill="auto"/>
          </w:tcPr>
          <w:p w14:paraId="5CEA91E7" w14:textId="77777777" w:rsidR="00091070" w:rsidRPr="001E3D24" w:rsidRDefault="00091070" w:rsidP="00091070">
            <w:pPr>
              <w:jc w:val="both"/>
              <w:rPr>
                <w:rFonts w:ascii="FrankRuehl" w:hAnsi="FrankRuehl" w:cs="FrankRuehl"/>
                <w:b/>
                <w:bCs/>
                <w:sz w:val="28"/>
                <w:szCs w:val="28"/>
                <w:rtl/>
              </w:rPr>
            </w:pPr>
            <w:r w:rsidRPr="001E3D24">
              <w:rPr>
                <w:rFonts w:ascii="FrankRuehl" w:hAnsi="FrankRuehl" w:cs="FrankRuehl" w:hint="cs"/>
                <w:b/>
                <w:bCs/>
                <w:sz w:val="28"/>
                <w:szCs w:val="28"/>
                <w:rtl/>
              </w:rPr>
              <w:t>ע"י ב"כ עו"ד אמיר נבון</w:t>
            </w:r>
          </w:p>
        </w:tc>
        <w:tc>
          <w:tcPr>
            <w:tcW w:w="3771" w:type="dxa"/>
            <w:tcBorders>
              <w:top w:val="nil"/>
              <w:left w:val="nil"/>
              <w:bottom w:val="nil"/>
              <w:right w:val="nil"/>
            </w:tcBorders>
            <w:shd w:val="clear" w:color="auto" w:fill="auto"/>
          </w:tcPr>
          <w:p w14:paraId="2DEC2B0D" w14:textId="77777777" w:rsidR="00091070" w:rsidRPr="001E3D24" w:rsidRDefault="00091070" w:rsidP="00091070">
            <w:pPr>
              <w:jc w:val="right"/>
              <w:rPr>
                <w:rFonts w:ascii="FrankRuehl" w:hAnsi="FrankRuehl" w:cs="FrankRuehl"/>
                <w:b/>
                <w:bCs/>
                <w:sz w:val="28"/>
                <w:szCs w:val="28"/>
              </w:rPr>
            </w:pPr>
            <w:r w:rsidRPr="001E3D24">
              <w:rPr>
                <w:rFonts w:ascii="FrankRuehl" w:hAnsi="FrankRuehl" w:cs="FrankRuehl"/>
                <w:b/>
                <w:bCs/>
                <w:sz w:val="28"/>
                <w:szCs w:val="28"/>
                <w:rtl/>
              </w:rPr>
              <w:t>הנאשם</w:t>
            </w:r>
          </w:p>
        </w:tc>
      </w:tr>
    </w:tbl>
    <w:p w14:paraId="21396203" w14:textId="77777777" w:rsidR="00EF5357" w:rsidRDefault="00EF5357" w:rsidP="00091070">
      <w:pPr>
        <w:rPr>
          <w:rtl/>
        </w:rPr>
      </w:pPr>
      <w:bookmarkStart w:id="3" w:name="LawTable"/>
      <w:bookmarkEnd w:id="2"/>
      <w:bookmarkEnd w:id="3"/>
    </w:p>
    <w:p w14:paraId="3171D46C" w14:textId="77777777" w:rsidR="00EF5357" w:rsidRPr="00EF5357" w:rsidRDefault="00EF5357" w:rsidP="00EF5357">
      <w:pPr>
        <w:spacing w:after="120" w:line="240" w:lineRule="exact"/>
        <w:ind w:left="283" w:hanging="283"/>
        <w:jc w:val="both"/>
        <w:rPr>
          <w:rFonts w:ascii="FrankRuehl" w:hAnsi="FrankRuehl" w:cs="FrankRuehl"/>
          <w:rtl/>
        </w:rPr>
      </w:pPr>
    </w:p>
    <w:p w14:paraId="76EF0A13" w14:textId="77777777" w:rsidR="00EF5357" w:rsidRPr="00EF5357" w:rsidRDefault="00EF5357" w:rsidP="00EF5357">
      <w:pPr>
        <w:spacing w:after="120" w:line="240" w:lineRule="exact"/>
        <w:ind w:left="283" w:hanging="283"/>
        <w:jc w:val="both"/>
        <w:rPr>
          <w:rFonts w:ascii="FrankRuehl" w:hAnsi="FrankRuehl" w:cs="FrankRuehl"/>
          <w:rtl/>
        </w:rPr>
      </w:pPr>
      <w:r w:rsidRPr="00EF5357">
        <w:rPr>
          <w:rFonts w:ascii="FrankRuehl" w:hAnsi="FrankRuehl" w:cs="FrankRuehl"/>
          <w:rtl/>
        </w:rPr>
        <w:t xml:space="preserve">חקיקה שאוזכרה: </w:t>
      </w:r>
    </w:p>
    <w:p w14:paraId="4B6268BF" w14:textId="77777777" w:rsidR="00EF5357" w:rsidRPr="00EF5357" w:rsidRDefault="00EF5357" w:rsidP="00EF5357">
      <w:pPr>
        <w:spacing w:after="120" w:line="240" w:lineRule="exact"/>
        <w:ind w:left="283" w:hanging="283"/>
        <w:jc w:val="both"/>
        <w:rPr>
          <w:rFonts w:ascii="FrankRuehl" w:hAnsi="FrankRuehl" w:cs="FrankRuehl"/>
          <w:rtl/>
        </w:rPr>
      </w:pPr>
      <w:hyperlink r:id="rId7" w:history="1">
        <w:r w:rsidRPr="00EF5357">
          <w:rPr>
            <w:rFonts w:ascii="FrankRuehl" w:hAnsi="FrankRuehl" w:cs="FrankRuehl"/>
            <w:color w:val="0000FF"/>
            <w:u w:val="single"/>
            <w:rtl/>
          </w:rPr>
          <w:t>פקודת הסמים המסוכנים [נוסח חדש], תשל"ג-1973</w:t>
        </w:r>
      </w:hyperlink>
      <w:r w:rsidRPr="00EF5357">
        <w:rPr>
          <w:rFonts w:ascii="FrankRuehl" w:hAnsi="FrankRuehl" w:cs="FrankRuehl"/>
          <w:rtl/>
        </w:rPr>
        <w:t xml:space="preserve">: סע'  </w:t>
      </w:r>
      <w:hyperlink r:id="rId8" w:history="1">
        <w:r w:rsidRPr="00EF5357">
          <w:rPr>
            <w:rFonts w:ascii="FrankRuehl" w:hAnsi="FrankRuehl" w:cs="FrankRuehl"/>
            <w:color w:val="0000FF"/>
            <w:u w:val="single"/>
            <w:rtl/>
          </w:rPr>
          <w:t>13</w:t>
        </w:r>
      </w:hyperlink>
      <w:r w:rsidRPr="00EF5357">
        <w:rPr>
          <w:rFonts w:ascii="FrankRuehl" w:hAnsi="FrankRuehl" w:cs="FrankRuehl"/>
          <w:rtl/>
        </w:rPr>
        <w:t xml:space="preserve">, </w:t>
      </w:r>
      <w:hyperlink r:id="rId9" w:history="1">
        <w:r w:rsidRPr="00EF5357">
          <w:rPr>
            <w:rFonts w:ascii="FrankRuehl" w:hAnsi="FrankRuehl" w:cs="FrankRuehl"/>
            <w:color w:val="0000FF"/>
            <w:u w:val="single"/>
            <w:rtl/>
          </w:rPr>
          <w:t>19.א</w:t>
        </w:r>
      </w:hyperlink>
    </w:p>
    <w:p w14:paraId="19594C51" w14:textId="77777777" w:rsidR="00EF5357" w:rsidRPr="00EF5357" w:rsidRDefault="00EF5357" w:rsidP="00EF5357">
      <w:pPr>
        <w:spacing w:after="120" w:line="240" w:lineRule="exact"/>
        <w:ind w:left="283" w:hanging="283"/>
        <w:jc w:val="both"/>
        <w:rPr>
          <w:rFonts w:ascii="FrankRuehl" w:hAnsi="FrankRuehl" w:cs="FrankRuehl"/>
          <w:rtl/>
        </w:rPr>
      </w:pPr>
      <w:hyperlink r:id="rId10" w:history="1">
        <w:r w:rsidRPr="00EF5357">
          <w:rPr>
            <w:rFonts w:ascii="FrankRuehl" w:hAnsi="FrankRuehl" w:cs="FrankRuehl"/>
            <w:color w:val="0000FF"/>
            <w:u w:val="single"/>
            <w:rtl/>
          </w:rPr>
          <w:t>חוק העונשין, תשל"ז-1977</w:t>
        </w:r>
      </w:hyperlink>
      <w:r w:rsidRPr="00EF5357">
        <w:rPr>
          <w:rFonts w:ascii="FrankRuehl" w:hAnsi="FrankRuehl" w:cs="FrankRuehl"/>
          <w:rtl/>
        </w:rPr>
        <w:t xml:space="preserve">: סע'  </w:t>
      </w:r>
      <w:hyperlink r:id="rId11" w:history="1">
        <w:r w:rsidRPr="00EF5357">
          <w:rPr>
            <w:rFonts w:ascii="FrankRuehl" w:hAnsi="FrankRuehl" w:cs="FrankRuehl"/>
            <w:color w:val="0000FF"/>
            <w:u w:val="single"/>
            <w:rtl/>
          </w:rPr>
          <w:t>40ט'</w:t>
        </w:r>
      </w:hyperlink>
      <w:r w:rsidRPr="00EF5357">
        <w:rPr>
          <w:rFonts w:ascii="FrankRuehl" w:hAnsi="FrankRuehl" w:cs="FrankRuehl"/>
          <w:rtl/>
        </w:rPr>
        <w:t xml:space="preserve">, </w:t>
      </w:r>
      <w:hyperlink r:id="rId12" w:history="1">
        <w:r w:rsidRPr="00EF5357">
          <w:rPr>
            <w:rFonts w:ascii="FrankRuehl" w:hAnsi="FrankRuehl" w:cs="FrankRuehl"/>
            <w:color w:val="0000FF"/>
            <w:u w:val="single"/>
            <w:rtl/>
          </w:rPr>
          <w:t>40יא</w:t>
        </w:r>
      </w:hyperlink>
    </w:p>
    <w:p w14:paraId="11D18C9B" w14:textId="77777777" w:rsidR="00EF5357" w:rsidRPr="00EF5357" w:rsidRDefault="00EF5357" w:rsidP="00EF5357">
      <w:pPr>
        <w:spacing w:after="120" w:line="240" w:lineRule="exact"/>
        <w:ind w:left="283" w:hanging="283"/>
        <w:jc w:val="both"/>
        <w:rPr>
          <w:rFonts w:ascii="FrankRuehl" w:hAnsi="FrankRuehl" w:cs="FrankRuehl"/>
          <w:rtl/>
        </w:rPr>
      </w:pPr>
    </w:p>
    <w:p w14:paraId="2F0BCD3B" w14:textId="77777777" w:rsidR="00EF5357" w:rsidRPr="00EF5357" w:rsidRDefault="00EF5357" w:rsidP="00091070">
      <w:pPr>
        <w:rPr>
          <w:rtl/>
        </w:rPr>
      </w:pPr>
      <w:bookmarkStart w:id="4" w:name="LawTable_End"/>
      <w:bookmarkEnd w:id="4"/>
    </w:p>
    <w:p w14:paraId="72CD2FBD" w14:textId="77777777" w:rsidR="00EF5357" w:rsidRPr="00EF5357" w:rsidRDefault="00EF5357" w:rsidP="00091070">
      <w:pPr>
        <w:rPr>
          <w:rtl/>
        </w:rPr>
      </w:pPr>
    </w:p>
    <w:p w14:paraId="44AD67A9" w14:textId="77777777" w:rsidR="00091070" w:rsidRPr="00EF5357" w:rsidRDefault="00091070" w:rsidP="00091070"/>
    <w:p w14:paraId="4B6E9DED" w14:textId="77777777" w:rsidR="001E3D24" w:rsidRPr="001E3D24" w:rsidRDefault="001E3D24" w:rsidP="00091070">
      <w:pPr>
        <w:rPr>
          <w:rFonts w:ascii="Arial" w:hAnsi="Arial"/>
          <w:rtl/>
        </w:rPr>
      </w:pPr>
    </w:p>
    <w:p w14:paraId="6DAD7DA3" w14:textId="77777777" w:rsidR="001E3D24" w:rsidRPr="001E3D24" w:rsidRDefault="001E3D24" w:rsidP="00091070">
      <w:pPr>
        <w:rPr>
          <w:rFonts w:ascii="Arial" w:hAnsi="Arial"/>
          <w:rtl/>
        </w:rPr>
      </w:pPr>
    </w:p>
    <w:p w14:paraId="33B9CFAD" w14:textId="77777777" w:rsidR="00091070" w:rsidRPr="001E3D24" w:rsidRDefault="00091070" w:rsidP="00091070">
      <w:pPr>
        <w:rPr>
          <w:rFonts w:ascii="Arial" w:hAnsi="Arial"/>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091070" w14:paraId="0BF53B56" w14:textId="77777777" w:rsidTr="00091070">
        <w:trPr>
          <w:trHeight w:val="355"/>
          <w:jc w:val="center"/>
        </w:trPr>
        <w:tc>
          <w:tcPr>
            <w:tcW w:w="8820" w:type="dxa"/>
            <w:tcBorders>
              <w:top w:val="nil"/>
              <w:left w:val="nil"/>
              <w:bottom w:val="nil"/>
              <w:right w:val="nil"/>
            </w:tcBorders>
            <w:shd w:val="clear" w:color="auto" w:fill="auto"/>
          </w:tcPr>
          <w:p w14:paraId="7A60E441" w14:textId="77777777" w:rsidR="001E3D24" w:rsidRPr="001E3D24" w:rsidRDefault="001E3D24" w:rsidP="001E3D24">
            <w:pPr>
              <w:jc w:val="center"/>
              <w:rPr>
                <w:rFonts w:ascii="Arial" w:hAnsi="Arial" w:cs="FrankRuehl"/>
                <w:b/>
                <w:bCs/>
                <w:sz w:val="32"/>
                <w:szCs w:val="32"/>
                <w:u w:val="single"/>
                <w:rtl/>
              </w:rPr>
            </w:pPr>
            <w:bookmarkStart w:id="5" w:name="PsakDin" w:colFirst="0" w:colLast="0"/>
            <w:bookmarkEnd w:id="0"/>
            <w:r w:rsidRPr="001E3D24">
              <w:rPr>
                <w:rFonts w:ascii="Arial" w:hAnsi="Arial" w:cs="FrankRuehl"/>
                <w:b/>
                <w:bCs/>
                <w:sz w:val="32"/>
                <w:szCs w:val="32"/>
                <w:u w:val="single"/>
                <w:rtl/>
              </w:rPr>
              <w:t>גזר דין</w:t>
            </w:r>
          </w:p>
          <w:p w14:paraId="72218B98" w14:textId="77777777" w:rsidR="00091070" w:rsidRPr="001E3D24" w:rsidRDefault="00091070" w:rsidP="001E3D24">
            <w:pPr>
              <w:jc w:val="center"/>
              <w:rPr>
                <w:rFonts w:ascii="Arial" w:hAnsi="Arial" w:cs="FrankRuehl"/>
                <w:bCs/>
                <w:sz w:val="32"/>
                <w:szCs w:val="32"/>
                <w:u w:val="single"/>
                <w:rtl/>
              </w:rPr>
            </w:pPr>
          </w:p>
        </w:tc>
      </w:tr>
      <w:bookmarkEnd w:id="5"/>
    </w:tbl>
    <w:p w14:paraId="59F2021F" w14:textId="77777777" w:rsidR="00091070" w:rsidRPr="00B05847" w:rsidRDefault="00091070" w:rsidP="00091070">
      <w:pPr>
        <w:rPr>
          <w:rFonts w:ascii="Arial" w:hAnsi="Arial"/>
          <w:rtl/>
        </w:rPr>
      </w:pPr>
    </w:p>
    <w:p w14:paraId="34483BB9" w14:textId="77777777" w:rsidR="00091070" w:rsidRPr="00B05847" w:rsidRDefault="00091070" w:rsidP="00091070">
      <w:pPr>
        <w:rPr>
          <w:rFonts w:ascii="Arial" w:hAnsi="Arial"/>
          <w:rtl/>
        </w:rPr>
      </w:pPr>
    </w:p>
    <w:p w14:paraId="52280797" w14:textId="77777777" w:rsidR="00091070" w:rsidRPr="00B05847" w:rsidRDefault="00091070" w:rsidP="00091070">
      <w:pPr>
        <w:rPr>
          <w:rtl/>
        </w:rPr>
      </w:pPr>
    </w:p>
    <w:p w14:paraId="64B80E76" w14:textId="77777777" w:rsidR="00091070" w:rsidRPr="00B05847" w:rsidRDefault="00091070" w:rsidP="00091070">
      <w:pPr>
        <w:rPr>
          <w:rtl/>
        </w:rPr>
      </w:pPr>
    </w:p>
    <w:p w14:paraId="040FA035" w14:textId="77777777" w:rsidR="00091070" w:rsidRDefault="00091070" w:rsidP="00091070">
      <w:pPr>
        <w:spacing w:line="360" w:lineRule="auto"/>
        <w:rPr>
          <w:rFonts w:cs="FrankRuehl"/>
          <w:b/>
          <w:bCs/>
          <w:sz w:val="26"/>
          <w:szCs w:val="26"/>
          <w:u w:val="single"/>
        </w:rPr>
      </w:pPr>
      <w:r>
        <w:rPr>
          <w:rFonts w:cs="FrankRuehl" w:hint="cs"/>
          <w:b/>
          <w:bCs/>
          <w:sz w:val="26"/>
          <w:szCs w:val="26"/>
          <w:u w:val="single"/>
          <w:rtl/>
        </w:rPr>
        <w:t>כתב האישום</w:t>
      </w:r>
    </w:p>
    <w:p w14:paraId="6681D4D6" w14:textId="77777777" w:rsidR="00091070" w:rsidRDefault="00091070" w:rsidP="00091070">
      <w:pPr>
        <w:spacing w:line="360" w:lineRule="auto"/>
        <w:jc w:val="both"/>
        <w:rPr>
          <w:rFonts w:cs="FrankRuehl"/>
          <w:sz w:val="26"/>
          <w:szCs w:val="26"/>
        </w:rPr>
      </w:pPr>
      <w:bookmarkStart w:id="6" w:name="ABSTRACT_START"/>
      <w:bookmarkEnd w:id="6"/>
      <w:r>
        <w:rPr>
          <w:rFonts w:cs="FrankRuehl" w:hint="cs"/>
          <w:sz w:val="26"/>
          <w:szCs w:val="26"/>
          <w:rtl/>
        </w:rPr>
        <w:t xml:space="preserve">הנאשם שלפניי הורשע על-פי הודאתו בכתב אישום מתוקן, בשלושה אישומים של סחר בסמים, לפי סעיפי </w:t>
      </w:r>
      <w:hyperlink r:id="rId13" w:history="1">
        <w:r w:rsidR="00EF5357" w:rsidRPr="00EF5357">
          <w:rPr>
            <w:rFonts w:cs="FrankRuehl"/>
            <w:color w:val="0000FF"/>
            <w:sz w:val="26"/>
            <w:szCs w:val="26"/>
            <w:u w:val="single"/>
            <w:rtl/>
          </w:rPr>
          <w:t>13 + 19א</w:t>
        </w:r>
      </w:hyperlink>
      <w:r>
        <w:rPr>
          <w:rFonts w:cs="FrankRuehl" w:hint="cs"/>
          <w:sz w:val="26"/>
          <w:szCs w:val="26"/>
          <w:rtl/>
        </w:rPr>
        <w:t xml:space="preserve"> ל</w:t>
      </w:r>
      <w:hyperlink r:id="rId14" w:history="1">
        <w:r w:rsidR="001E3D24" w:rsidRPr="001E3D24">
          <w:rPr>
            <w:rFonts w:cs="FrankRuehl"/>
            <w:color w:val="0000FF"/>
            <w:sz w:val="26"/>
            <w:szCs w:val="26"/>
            <w:u w:val="single"/>
            <w:rtl/>
          </w:rPr>
          <w:t>פקודת הסמים המסוכנים</w:t>
        </w:r>
      </w:hyperlink>
      <w:r>
        <w:rPr>
          <w:rFonts w:cs="FrankRuehl" w:hint="cs"/>
          <w:sz w:val="26"/>
          <w:szCs w:val="26"/>
          <w:rtl/>
        </w:rPr>
        <w:t xml:space="preserve">. בכל האישומים מדובר במכירת סמים מידי הנאשם לסוכן משטרתי, כשביניהם היכרות מוקדמת על-רקע עבודתם המשותפת בחנות לממכר שווארמה. מדובר בסך הכל ב-3 פלטות חשיש (במשקל ממוצע של כ-93 גרם) תמורת בין 3,900 ל-4,000 ₪ בכל עסקה. העסקאות תואמו גם באמצעות אחרים והתבצעו במקומות שונים, אם כי הגורם הדומיננטי בביצוען היה </w:t>
      </w:r>
      <w:r>
        <w:rPr>
          <w:rFonts w:cs="FrankRuehl" w:hint="cs"/>
          <w:sz w:val="26"/>
          <w:szCs w:val="26"/>
          <w:rtl/>
        </w:rPr>
        <w:lastRenderedPageBreak/>
        <w:t>ללא ספק הנאשם.  שתי העסקאות הראשונות בוצעו בהפרש של ימים במהלך חודש דצמבר 2016, ואילו העסקה שלישית בוצעה בחודש מרץ 2017.</w:t>
      </w:r>
    </w:p>
    <w:p w14:paraId="1DCF0FCE" w14:textId="77777777" w:rsidR="00091070" w:rsidRDefault="00091070" w:rsidP="00091070">
      <w:pPr>
        <w:spacing w:line="360" w:lineRule="auto"/>
        <w:jc w:val="both"/>
        <w:rPr>
          <w:rFonts w:cs="FrankRuehl"/>
          <w:b/>
          <w:bCs/>
          <w:sz w:val="26"/>
          <w:szCs w:val="26"/>
          <w:u w:val="single"/>
        </w:rPr>
      </w:pPr>
      <w:bookmarkStart w:id="7" w:name="ABSTRACT_END"/>
      <w:bookmarkEnd w:id="7"/>
    </w:p>
    <w:p w14:paraId="2B9E0131" w14:textId="77777777" w:rsidR="00091070" w:rsidRDefault="00091070" w:rsidP="00091070">
      <w:pPr>
        <w:spacing w:line="360" w:lineRule="auto"/>
        <w:jc w:val="both"/>
        <w:rPr>
          <w:rFonts w:cs="FrankRuehl"/>
          <w:b/>
          <w:bCs/>
          <w:sz w:val="26"/>
          <w:szCs w:val="26"/>
          <w:u w:val="single"/>
        </w:rPr>
      </w:pPr>
      <w:r>
        <w:rPr>
          <w:rFonts w:cs="FrankRuehl" w:hint="cs"/>
          <w:b/>
          <w:bCs/>
          <w:sz w:val="26"/>
          <w:szCs w:val="26"/>
          <w:u w:val="single"/>
          <w:rtl/>
        </w:rPr>
        <w:t>מהלך הדיון</w:t>
      </w:r>
    </w:p>
    <w:p w14:paraId="67A086D8" w14:textId="77777777" w:rsidR="00091070" w:rsidRDefault="00091070" w:rsidP="00091070">
      <w:pPr>
        <w:spacing w:line="360" w:lineRule="auto"/>
        <w:jc w:val="both"/>
        <w:rPr>
          <w:rFonts w:cs="FrankRuehl"/>
          <w:sz w:val="26"/>
          <w:szCs w:val="26"/>
          <w:rtl/>
        </w:rPr>
      </w:pPr>
      <w:r>
        <w:rPr>
          <w:rFonts w:cs="FrankRuehl" w:hint="cs"/>
          <w:sz w:val="26"/>
          <w:szCs w:val="26"/>
          <w:rtl/>
        </w:rPr>
        <w:t>בעניינו של הנאשם הוגשו כתב אישום ובקשה למעצרו עד לתום ההליכים ביום 27.4.2017.</w:t>
      </w:r>
    </w:p>
    <w:p w14:paraId="146208B4" w14:textId="77777777" w:rsidR="00091070" w:rsidRDefault="00091070" w:rsidP="00091070">
      <w:pPr>
        <w:spacing w:line="360" w:lineRule="auto"/>
        <w:jc w:val="both"/>
        <w:rPr>
          <w:rFonts w:cs="FrankRuehl"/>
          <w:sz w:val="26"/>
          <w:szCs w:val="26"/>
          <w:rtl/>
        </w:rPr>
      </w:pPr>
      <w:r>
        <w:rPr>
          <w:rFonts w:cs="FrankRuehl" w:hint="cs"/>
          <w:sz w:val="26"/>
          <w:szCs w:val="26"/>
          <w:rtl/>
        </w:rPr>
        <w:t>ביום 12.6.2017 הוריתי על שחרורו למעצר בית מלא, לאחר קבלת תסקיר התומך בכך.</w:t>
      </w:r>
    </w:p>
    <w:p w14:paraId="0FF49B04" w14:textId="77777777" w:rsidR="00091070" w:rsidRDefault="00091070" w:rsidP="00091070">
      <w:pPr>
        <w:spacing w:line="360" w:lineRule="auto"/>
        <w:jc w:val="both"/>
        <w:rPr>
          <w:rFonts w:cs="FrankRuehl"/>
          <w:sz w:val="26"/>
          <w:szCs w:val="26"/>
          <w:rtl/>
        </w:rPr>
      </w:pPr>
      <w:r>
        <w:rPr>
          <w:rFonts w:cs="FrankRuehl" w:hint="cs"/>
          <w:sz w:val="26"/>
          <w:szCs w:val="26"/>
          <w:rtl/>
        </w:rPr>
        <w:t>ביום 1.1.2018, בעקבות בקשה לעיון חוזר, הוקלו תנאי השחרור, והתרתי לנאשם לצאת לעבוד בפיקוח.</w:t>
      </w:r>
    </w:p>
    <w:p w14:paraId="35EB8FB7" w14:textId="77777777" w:rsidR="00091070" w:rsidRDefault="00091070" w:rsidP="00091070">
      <w:pPr>
        <w:spacing w:line="360" w:lineRule="auto"/>
        <w:jc w:val="both"/>
        <w:rPr>
          <w:rFonts w:cs="FrankRuehl"/>
          <w:sz w:val="26"/>
          <w:szCs w:val="26"/>
          <w:rtl/>
        </w:rPr>
      </w:pPr>
      <w:r>
        <w:rPr>
          <w:rFonts w:cs="FrankRuehl" w:hint="cs"/>
          <w:sz w:val="26"/>
          <w:szCs w:val="26"/>
          <w:rtl/>
        </w:rPr>
        <w:t>ביום 20.3.2018 ביטלתי את התנאים המגבילים למעט מעצר בית לילי.</w:t>
      </w:r>
    </w:p>
    <w:p w14:paraId="28F54037" w14:textId="77777777" w:rsidR="00091070" w:rsidRPr="00202F59" w:rsidRDefault="00091070" w:rsidP="00091070">
      <w:pPr>
        <w:spacing w:line="360" w:lineRule="auto"/>
        <w:jc w:val="both"/>
        <w:rPr>
          <w:rFonts w:cs="FrankRuehl"/>
          <w:sz w:val="26"/>
          <w:szCs w:val="26"/>
          <w:rtl/>
        </w:rPr>
      </w:pPr>
      <w:r w:rsidRPr="00202F59">
        <w:rPr>
          <w:rFonts w:cs="FrankRuehl" w:hint="cs"/>
          <w:sz w:val="26"/>
          <w:szCs w:val="26"/>
          <w:rtl/>
        </w:rPr>
        <w:t>הנאשם היה עצור בתיק זה כחודשיים ימים, בין חודש אפריל לחודש יוני 2017.</w:t>
      </w:r>
    </w:p>
    <w:p w14:paraId="63AD4490" w14:textId="77777777" w:rsidR="00091070" w:rsidRDefault="00091070" w:rsidP="00091070">
      <w:pPr>
        <w:spacing w:line="360" w:lineRule="auto"/>
        <w:jc w:val="both"/>
        <w:rPr>
          <w:rFonts w:cs="FrankRuehl"/>
          <w:b/>
          <w:bCs/>
          <w:sz w:val="26"/>
          <w:szCs w:val="26"/>
          <w:u w:val="single"/>
          <w:rtl/>
        </w:rPr>
      </w:pPr>
    </w:p>
    <w:p w14:paraId="092C2634" w14:textId="77777777" w:rsidR="00091070" w:rsidRDefault="00091070" w:rsidP="00091070">
      <w:pPr>
        <w:spacing w:line="360" w:lineRule="auto"/>
        <w:jc w:val="both"/>
        <w:rPr>
          <w:rFonts w:cs="FrankRuehl"/>
          <w:b/>
          <w:bCs/>
          <w:sz w:val="26"/>
          <w:szCs w:val="26"/>
          <w:u w:val="single"/>
          <w:rtl/>
        </w:rPr>
      </w:pPr>
    </w:p>
    <w:p w14:paraId="7DC23CDA" w14:textId="77777777" w:rsidR="00091070" w:rsidRDefault="00091070" w:rsidP="00091070">
      <w:pPr>
        <w:spacing w:line="360" w:lineRule="auto"/>
        <w:jc w:val="both"/>
        <w:rPr>
          <w:rFonts w:cs="FrankRuehl"/>
          <w:b/>
          <w:bCs/>
          <w:sz w:val="26"/>
          <w:szCs w:val="26"/>
          <w:u w:val="single"/>
          <w:rtl/>
        </w:rPr>
      </w:pPr>
    </w:p>
    <w:p w14:paraId="1FA57E98" w14:textId="77777777" w:rsidR="00091070" w:rsidRDefault="00091070" w:rsidP="00091070">
      <w:pPr>
        <w:spacing w:line="360" w:lineRule="auto"/>
        <w:jc w:val="both"/>
        <w:rPr>
          <w:rFonts w:cs="FrankRuehl"/>
          <w:b/>
          <w:bCs/>
          <w:sz w:val="26"/>
          <w:szCs w:val="26"/>
          <w:u w:val="single"/>
          <w:rtl/>
        </w:rPr>
      </w:pPr>
      <w:r>
        <w:rPr>
          <w:rFonts w:cs="FrankRuehl" w:hint="cs"/>
          <w:b/>
          <w:bCs/>
          <w:sz w:val="26"/>
          <w:szCs w:val="26"/>
          <w:u w:val="single"/>
          <w:rtl/>
        </w:rPr>
        <w:t>תסקירי שירות המבחן</w:t>
      </w:r>
    </w:p>
    <w:p w14:paraId="2AF64963" w14:textId="77777777" w:rsidR="00091070" w:rsidRDefault="00091070" w:rsidP="00091070">
      <w:pPr>
        <w:spacing w:line="360" w:lineRule="auto"/>
        <w:jc w:val="both"/>
        <w:rPr>
          <w:rFonts w:cs="FrankRuehl"/>
          <w:sz w:val="26"/>
          <w:szCs w:val="26"/>
          <w:rtl/>
        </w:rPr>
      </w:pPr>
      <w:r>
        <w:rPr>
          <w:rFonts w:cs="FrankRuehl" w:hint="cs"/>
          <w:sz w:val="26"/>
          <w:szCs w:val="26"/>
          <w:rtl/>
        </w:rPr>
        <w:t xml:space="preserve">בעניינו של הנאשם הוגשו שלושה תסקירים.  מהתסקירים עולה, כי הנאשם כבן 26, נישא בחודש אוקטובר 2018, וכיום אשתו סטודנטית והם ממתינים ללידת ילדם הראשון. הנאשם סיים 9 שנות לימוד ויצא לעבודה, ועבד בעבודות שונות, אם כי שמר על יציבות תעסוקתית. יחסיו המשפחתיים מתוארים תקינים. הנאשם הודה כי בעבר השתמש באופן מזדמן בחשיש אך לא אותרה אצלו בעיית סמים, ובדיקות שתן שמסר לאורך תקופה ארוכה של צו פיקוח מעצרים, נמצאו נקיות. כמו-כן השתתף בסדנאות שונות ושיתף עימן פעולה באופן מיטבי. שירות המבחן מציין בתסקיריו, כי הנאשם נטל אחריות מלאה למעשיו, וטען כי בעקבות פניות אליו מספר פעמים מצד הסוכן, עמו הייתה לו היכרות, ומצד נוספים, התפתה לחפש סמים עבור הסוכן, ועשה כן מבצע כסף ורצון להשיג "כסף קל". אלא שהוא מכה על חטא ומבין כי טעה וכן מבין את הפסול שבמעשיו. כיום הוא עובד בצורה מסודרת. שירות המבחן התרשם לחיוב מן הנאשם וסבר, כי כשלים אלו אינם מעידים על אופיו ויכולותיו, ולנוכח התהליך הטיפולי שעבר הנאשם והיעדר עבר פלילי כלשהו, המליץ על הטלת של"ץ נרחב, מאסר מותנה וצו מבחן, לצורך המשך מעקב אחר הנאשם. השירות חזר על המלצתו גם בתסקירים נוספים, כשהעיר שבתקופת הדחייה, הנאשם המשיך בשיתוף הפעולה עמו באופן תקין. בתסקיר האחרון שהוגש באוגוסט 2019, חזר שירות המבחן על המלצתו להטיל של"ץ נרחב, תוך שעמד על המשך שיתוף הפעולה של הנאשם עם התהליך הטיפולי שלמעשה הסתיים, ציין את העובדה שאשת הנאשם בהיריון, ואת העובדה שלא נפתחו לנאשם תיקים חדשים והוא חווה את ההליך הפלילי כמרתיע. </w:t>
      </w:r>
    </w:p>
    <w:p w14:paraId="456A2F56" w14:textId="77777777" w:rsidR="00091070" w:rsidRDefault="00091070" w:rsidP="00091070">
      <w:pPr>
        <w:spacing w:line="360" w:lineRule="auto"/>
        <w:jc w:val="both"/>
        <w:rPr>
          <w:rFonts w:cs="FrankRuehl"/>
          <w:sz w:val="26"/>
          <w:szCs w:val="26"/>
        </w:rPr>
      </w:pPr>
      <w:r>
        <w:rPr>
          <w:rFonts w:cs="FrankRuehl" w:hint="cs"/>
          <w:sz w:val="26"/>
          <w:szCs w:val="26"/>
          <w:rtl/>
        </w:rPr>
        <w:t xml:space="preserve"> </w:t>
      </w:r>
    </w:p>
    <w:p w14:paraId="15A6BDF4" w14:textId="77777777" w:rsidR="00091070" w:rsidRDefault="00091070" w:rsidP="00091070">
      <w:pPr>
        <w:spacing w:line="360" w:lineRule="auto"/>
        <w:jc w:val="both"/>
        <w:rPr>
          <w:rFonts w:cs="FrankRuehl"/>
          <w:b/>
          <w:bCs/>
          <w:sz w:val="26"/>
          <w:szCs w:val="26"/>
          <w:u w:val="single"/>
          <w:rtl/>
        </w:rPr>
      </w:pPr>
    </w:p>
    <w:p w14:paraId="38D1E699" w14:textId="77777777" w:rsidR="00091070" w:rsidRDefault="00091070" w:rsidP="00091070">
      <w:pPr>
        <w:spacing w:line="360" w:lineRule="auto"/>
        <w:jc w:val="both"/>
        <w:rPr>
          <w:rFonts w:cs="FrankRuehl"/>
          <w:b/>
          <w:bCs/>
          <w:sz w:val="26"/>
          <w:szCs w:val="26"/>
          <w:u w:val="single"/>
          <w:rtl/>
        </w:rPr>
      </w:pPr>
      <w:r>
        <w:rPr>
          <w:rFonts w:cs="FrankRuehl" w:hint="cs"/>
          <w:b/>
          <w:bCs/>
          <w:sz w:val="26"/>
          <w:szCs w:val="26"/>
          <w:u w:val="single"/>
          <w:rtl/>
        </w:rPr>
        <w:t>חוות דעת של הממונה על עבודות השירות</w:t>
      </w:r>
    </w:p>
    <w:p w14:paraId="678854D2" w14:textId="77777777" w:rsidR="00091070" w:rsidRDefault="00091070" w:rsidP="00091070">
      <w:pPr>
        <w:spacing w:line="360" w:lineRule="auto"/>
        <w:jc w:val="both"/>
        <w:rPr>
          <w:rFonts w:cs="FrankRuehl"/>
          <w:sz w:val="26"/>
          <w:szCs w:val="26"/>
          <w:rtl/>
        </w:rPr>
      </w:pPr>
      <w:r>
        <w:rPr>
          <w:rFonts w:cs="FrankRuehl" w:hint="cs"/>
          <w:sz w:val="26"/>
          <w:szCs w:val="26"/>
          <w:rtl/>
        </w:rPr>
        <w:lastRenderedPageBreak/>
        <w:t>הממונה הגיש חוות דעת על אודות כשירות הנאשם לבצע מאסר בעבודות שירות. מחוות הדעת עולה, כי הנאשם נמצא כשיר לרצות מאסר בדרך של עבודות שירות בעמותת צער בעלי חיים בירושלים, החל מיום 6.11.2019.</w:t>
      </w:r>
    </w:p>
    <w:p w14:paraId="742AE2F0" w14:textId="77777777" w:rsidR="00091070" w:rsidRDefault="00091070" w:rsidP="00091070">
      <w:pPr>
        <w:spacing w:line="360" w:lineRule="auto"/>
        <w:jc w:val="both"/>
        <w:rPr>
          <w:rFonts w:cs="FrankRuehl"/>
          <w:sz w:val="26"/>
          <w:szCs w:val="26"/>
          <w:rtl/>
        </w:rPr>
      </w:pPr>
    </w:p>
    <w:p w14:paraId="2C510B8C" w14:textId="77777777" w:rsidR="00091070" w:rsidRDefault="00091070" w:rsidP="00091070">
      <w:pPr>
        <w:spacing w:line="360" w:lineRule="auto"/>
        <w:jc w:val="both"/>
        <w:rPr>
          <w:rFonts w:cs="FrankRuehl"/>
          <w:b/>
          <w:bCs/>
          <w:sz w:val="26"/>
          <w:szCs w:val="26"/>
          <w:u w:val="single"/>
          <w:rtl/>
        </w:rPr>
      </w:pPr>
      <w:r>
        <w:rPr>
          <w:rFonts w:cs="FrankRuehl" w:hint="cs"/>
          <w:b/>
          <w:bCs/>
          <w:sz w:val="26"/>
          <w:szCs w:val="26"/>
          <w:u w:val="single"/>
          <w:rtl/>
        </w:rPr>
        <w:t>טיעונים לעונש</w:t>
      </w:r>
    </w:p>
    <w:p w14:paraId="3C34C52A" w14:textId="77777777" w:rsidR="00091070" w:rsidRDefault="00091070" w:rsidP="00091070">
      <w:pPr>
        <w:spacing w:line="360" w:lineRule="auto"/>
        <w:jc w:val="both"/>
        <w:rPr>
          <w:rFonts w:cs="FrankRuehl"/>
          <w:sz w:val="26"/>
          <w:szCs w:val="26"/>
          <w:rtl/>
        </w:rPr>
      </w:pPr>
      <w:r>
        <w:rPr>
          <w:rFonts w:cs="FrankRuehl" w:hint="cs"/>
          <w:sz w:val="26"/>
          <w:szCs w:val="26"/>
          <w:rtl/>
        </w:rPr>
        <w:t xml:space="preserve">הצדדים לא הגיעו להסכמה עונשית. </w:t>
      </w:r>
    </w:p>
    <w:p w14:paraId="4F7CA4CA" w14:textId="77777777" w:rsidR="00091070" w:rsidRDefault="00091070" w:rsidP="00091070">
      <w:pPr>
        <w:spacing w:line="360" w:lineRule="auto"/>
        <w:jc w:val="both"/>
        <w:rPr>
          <w:rFonts w:cs="FrankRuehl"/>
          <w:sz w:val="26"/>
          <w:szCs w:val="26"/>
          <w:rtl/>
        </w:rPr>
      </w:pPr>
      <w:r>
        <w:rPr>
          <w:rFonts w:cs="FrankRuehl" w:hint="cs"/>
          <w:sz w:val="26"/>
          <w:szCs w:val="26"/>
          <w:rtl/>
        </w:rPr>
        <w:t xml:space="preserve">מחד, המאשימה טוענת כי יש להטיל על הנאשם עונש ברף התחתון של מתחם ענישה מצטבר של 12 עד 24 חודשי מאסר בפועל לכל עבירה, כשיש להתייחס לכל עבירה כאל אירוע נפרד וכן מאסר מותנה. </w:t>
      </w:r>
    </w:p>
    <w:p w14:paraId="7BCAACA0" w14:textId="77777777" w:rsidR="00091070" w:rsidRDefault="00091070" w:rsidP="00091070">
      <w:pPr>
        <w:spacing w:line="360" w:lineRule="auto"/>
        <w:jc w:val="both"/>
        <w:rPr>
          <w:rFonts w:cs="FrankRuehl"/>
          <w:sz w:val="26"/>
          <w:szCs w:val="26"/>
          <w:rtl/>
        </w:rPr>
      </w:pPr>
      <w:r>
        <w:rPr>
          <w:rFonts w:cs="FrankRuehl" w:hint="cs"/>
          <w:sz w:val="26"/>
          <w:szCs w:val="26"/>
          <w:rtl/>
        </w:rPr>
        <w:t xml:space="preserve">מאידך, הסניגור טען כי נסיבה משמעותית לקולא היא היעדר עברו הפלילי של הנאשם טרם פניית הסוכן אליו לצורך ביצוע העבירות בתיק הנוכחי. כמו כן טען כי מדובר במתחם אחד הואיל ומדובר במכירות לאותו סוכן. הסניגור הדגיש כי הנאשם עבר תהליך שיקומי משמעותי ושינוי מהותי ועמוק בחייו ולכן סבר הסניגור שיש לסטות ממתחם הכולל גם עבודות שירות, ולאמץ את המלצת שירות המבחן להטיל של"ץ. </w:t>
      </w:r>
    </w:p>
    <w:p w14:paraId="294D6EC3" w14:textId="77777777" w:rsidR="00091070" w:rsidRDefault="00091070" w:rsidP="00091070">
      <w:pPr>
        <w:spacing w:line="360" w:lineRule="auto"/>
        <w:jc w:val="both"/>
        <w:rPr>
          <w:rFonts w:cs="FrankRuehl"/>
          <w:b/>
          <w:bCs/>
          <w:sz w:val="26"/>
          <w:szCs w:val="26"/>
          <w:u w:val="single"/>
          <w:rtl/>
        </w:rPr>
      </w:pPr>
    </w:p>
    <w:p w14:paraId="1A9EF367" w14:textId="77777777" w:rsidR="00091070" w:rsidRDefault="00091070" w:rsidP="00091070">
      <w:pPr>
        <w:spacing w:line="360" w:lineRule="auto"/>
        <w:jc w:val="both"/>
        <w:rPr>
          <w:rFonts w:cs="FrankRuehl"/>
          <w:sz w:val="26"/>
          <w:szCs w:val="26"/>
          <w:rtl/>
        </w:rPr>
      </w:pPr>
    </w:p>
    <w:p w14:paraId="5EEC719C" w14:textId="77777777" w:rsidR="00091070" w:rsidRDefault="00091070" w:rsidP="00091070">
      <w:pPr>
        <w:spacing w:line="360" w:lineRule="auto"/>
        <w:jc w:val="both"/>
        <w:rPr>
          <w:rFonts w:cs="FrankRuehl"/>
          <w:b/>
          <w:bCs/>
          <w:sz w:val="26"/>
          <w:szCs w:val="26"/>
          <w:u w:val="single"/>
          <w:rtl/>
        </w:rPr>
      </w:pPr>
      <w:r>
        <w:rPr>
          <w:rFonts w:cs="FrankRuehl" w:hint="cs"/>
          <w:b/>
          <w:bCs/>
          <w:sz w:val="26"/>
          <w:szCs w:val="26"/>
          <w:u w:val="single"/>
          <w:rtl/>
        </w:rPr>
        <w:t xml:space="preserve">קביעת מתחם הענישה </w:t>
      </w:r>
      <w:r>
        <w:rPr>
          <w:rFonts w:cs="FrankRuehl" w:hint="cs"/>
          <w:sz w:val="26"/>
          <w:szCs w:val="26"/>
          <w:rtl/>
        </w:rPr>
        <w:t xml:space="preserve">– מתחם הענישה צריך להתייחס לעקרון ההלימה, הנוגע ליחס לערך החברתי המוגן, מידת הפגיעה בו, מדיניות הענישה הנוהגת ונסיבות ביצוע העבירה. </w:t>
      </w:r>
    </w:p>
    <w:p w14:paraId="2FCF5A8B" w14:textId="77777777" w:rsidR="00091070" w:rsidRDefault="00091070" w:rsidP="00091070">
      <w:pPr>
        <w:spacing w:line="360" w:lineRule="auto"/>
        <w:jc w:val="both"/>
        <w:rPr>
          <w:rFonts w:cs="FrankRuehl"/>
          <w:b/>
          <w:bCs/>
          <w:sz w:val="26"/>
          <w:szCs w:val="26"/>
          <w:u w:val="single"/>
          <w:rtl/>
        </w:rPr>
      </w:pPr>
    </w:p>
    <w:p w14:paraId="40D15D6A" w14:textId="77777777" w:rsidR="00091070" w:rsidRDefault="00091070" w:rsidP="00091070">
      <w:pPr>
        <w:spacing w:line="360" w:lineRule="auto"/>
        <w:jc w:val="both"/>
        <w:rPr>
          <w:rFonts w:cs="FrankRuehl"/>
          <w:sz w:val="26"/>
          <w:szCs w:val="26"/>
          <w:rtl/>
        </w:rPr>
      </w:pPr>
      <w:r>
        <w:rPr>
          <w:rFonts w:cs="FrankRuehl" w:hint="cs"/>
          <w:b/>
          <w:bCs/>
          <w:sz w:val="26"/>
          <w:szCs w:val="26"/>
          <w:u w:val="single"/>
          <w:rtl/>
        </w:rPr>
        <w:t xml:space="preserve">אשר לערך המוגן </w:t>
      </w:r>
      <w:r>
        <w:rPr>
          <w:rFonts w:cs="FrankRuehl" w:hint="cs"/>
          <w:sz w:val="26"/>
          <w:szCs w:val="26"/>
          <w:rtl/>
        </w:rPr>
        <w:t xml:space="preserve">– ברע"פ 3343/07 </w:t>
      </w:r>
      <w:r>
        <w:rPr>
          <w:rFonts w:cs="FrankRuehl" w:hint="cs"/>
          <w:b/>
          <w:bCs/>
          <w:sz w:val="26"/>
          <w:szCs w:val="26"/>
          <w:u w:val="single"/>
          <w:rtl/>
        </w:rPr>
        <w:t>מכאוי</w:t>
      </w:r>
      <w:r>
        <w:rPr>
          <w:rFonts w:cs="FrankRuehl" w:hint="cs"/>
          <w:sz w:val="26"/>
          <w:szCs w:val="26"/>
          <w:rtl/>
        </w:rPr>
        <w:t xml:space="preserve"> נ' </w:t>
      </w:r>
      <w:r>
        <w:rPr>
          <w:rFonts w:cs="FrankRuehl" w:hint="cs"/>
          <w:b/>
          <w:bCs/>
          <w:sz w:val="26"/>
          <w:szCs w:val="26"/>
          <w:u w:val="single"/>
          <w:rtl/>
        </w:rPr>
        <w:t>מ"</w:t>
      </w:r>
      <w:r>
        <w:rPr>
          <w:rFonts w:cs="FrankRuehl" w:hint="cs"/>
          <w:sz w:val="26"/>
          <w:szCs w:val="26"/>
          <w:rtl/>
        </w:rPr>
        <w:t xml:space="preserve">י (מיום 26.7.2017) נאמר: " כאשר מדובר בסחר בסמים השיקול העיקרי אינו שיקומו של העבריין, אלא הצורך המובהק במתן עונש מרתיע בדמותם של מאסרים ממושכים בפועל. סוחרי הסמים גורמים להרס חייהם של רבים ובעיקר צעירים הנופלים למעגל של מסכנות וצער הגורמים אומללו למשפחותיהם". מצד אחד, סחר בסמים הוא סחר בסמים, ובענייננו מדובר בכמות סמים גדולה ובתדירות של סחר כנסיבות לחומרה. מצד שני, בנסיבות מקרנו, מדובר בסחר בין צדדים המכירים זה את זה ואף עבדו יחדיו. על כן, בהתחשב עובדה זו ובהתחשב בטיב הסם, מידת הפגיעה בערכים המוגנים בינונית. </w:t>
      </w:r>
    </w:p>
    <w:p w14:paraId="3AF979F5" w14:textId="77777777" w:rsidR="00091070" w:rsidRDefault="00091070" w:rsidP="00091070">
      <w:pPr>
        <w:spacing w:line="360" w:lineRule="auto"/>
        <w:jc w:val="both"/>
        <w:rPr>
          <w:rFonts w:cs="FrankRuehl"/>
          <w:sz w:val="26"/>
          <w:szCs w:val="26"/>
          <w:rtl/>
        </w:rPr>
      </w:pPr>
    </w:p>
    <w:p w14:paraId="0FC88CAA" w14:textId="77777777" w:rsidR="00091070" w:rsidRDefault="00091070" w:rsidP="00091070">
      <w:pPr>
        <w:spacing w:line="360" w:lineRule="auto"/>
        <w:jc w:val="both"/>
        <w:rPr>
          <w:rFonts w:cs="FrankRuehl"/>
          <w:sz w:val="26"/>
          <w:szCs w:val="26"/>
        </w:rPr>
      </w:pPr>
      <w:r>
        <w:rPr>
          <w:rFonts w:cs="FrankRuehl" w:hint="cs"/>
          <w:b/>
          <w:bCs/>
          <w:sz w:val="26"/>
          <w:szCs w:val="26"/>
          <w:u w:val="single"/>
          <w:rtl/>
        </w:rPr>
        <w:t xml:space="preserve">נסיבות הקשורות בביצוע העבירה, לפי </w:t>
      </w:r>
      <w:hyperlink r:id="rId15" w:history="1">
        <w:r w:rsidR="00EF5357" w:rsidRPr="00EF5357">
          <w:rPr>
            <w:rFonts w:cs="FrankRuehl"/>
            <w:b/>
            <w:bCs/>
            <w:color w:val="0000FF"/>
            <w:sz w:val="26"/>
            <w:szCs w:val="26"/>
            <w:u w:val="single"/>
            <w:rtl/>
          </w:rPr>
          <w:t>סעיף 40ט'</w:t>
        </w:r>
      </w:hyperlink>
      <w:r>
        <w:rPr>
          <w:rFonts w:cs="FrankRuehl" w:hint="cs"/>
          <w:b/>
          <w:bCs/>
          <w:sz w:val="26"/>
          <w:szCs w:val="26"/>
          <w:u w:val="single"/>
          <w:rtl/>
        </w:rPr>
        <w:t xml:space="preserve"> ל</w:t>
      </w:r>
      <w:hyperlink r:id="rId16" w:history="1">
        <w:r w:rsidR="001E3D24" w:rsidRPr="001E3D24">
          <w:rPr>
            <w:rFonts w:cs="FrankRuehl"/>
            <w:b/>
            <w:bCs/>
            <w:color w:val="0000FF"/>
            <w:sz w:val="26"/>
            <w:szCs w:val="26"/>
            <w:u w:val="single"/>
            <w:rtl/>
          </w:rPr>
          <w:t>חוק העונשין</w:t>
        </w:r>
      </w:hyperlink>
      <w:r>
        <w:rPr>
          <w:rFonts w:cs="FrankRuehl" w:hint="cs"/>
          <w:b/>
          <w:bCs/>
          <w:sz w:val="26"/>
          <w:szCs w:val="26"/>
          <w:rtl/>
        </w:rPr>
        <w:t xml:space="preserve"> – </w:t>
      </w:r>
      <w:r>
        <w:rPr>
          <w:rFonts w:cs="FrankRuehl" w:hint="cs"/>
          <w:sz w:val="26"/>
          <w:szCs w:val="26"/>
          <w:rtl/>
        </w:rPr>
        <w:t xml:space="preserve">בין הנסיבות הקשורות בביצוע העבירה יש לשקול את אלה, לעניין קביעת המתחם: כאמור, מדובר בעבירות מתוכננות שדרשו תיאומים ובירורים והוצאת סיכומים אלו לפועל בדמות ביצוע העסקות וקבלת תמורה לא מבוטלת עבורן </w:t>
      </w:r>
      <w:r>
        <w:rPr>
          <w:rFonts w:cs="FrankRuehl"/>
          <w:sz w:val="26"/>
          <w:szCs w:val="26"/>
          <w:rtl/>
        </w:rPr>
        <w:t>–</w:t>
      </w:r>
      <w:r>
        <w:rPr>
          <w:rFonts w:cs="FrankRuehl" w:hint="cs"/>
          <w:sz w:val="26"/>
          <w:szCs w:val="26"/>
          <w:rtl/>
        </w:rPr>
        <w:t xml:space="preserve"> אלו הן נסיבות לחומרה; מאידך, מדובר בסוכן שהיה מוכר לנאשם על רקע חברי, ויש בכך להקהות את הסחר, שכן הוא אינו "לכל דכפין". הפסיקה הכירה בכך כנסיבה מקילה. ר' בהקשר זה: עפ"ג (י-ם) 11092-11-16 </w:t>
      </w:r>
      <w:r w:rsidRPr="00202F59">
        <w:rPr>
          <w:rFonts w:cs="FrankRuehl" w:hint="cs"/>
          <w:b/>
          <w:bCs/>
          <w:sz w:val="26"/>
          <w:szCs w:val="26"/>
          <w:u w:val="single"/>
          <w:rtl/>
        </w:rPr>
        <w:t>רוזנברג</w:t>
      </w:r>
      <w:r>
        <w:rPr>
          <w:rFonts w:cs="FrankRuehl" w:hint="cs"/>
          <w:sz w:val="26"/>
          <w:szCs w:val="26"/>
          <w:rtl/>
        </w:rPr>
        <w:t xml:space="preserve"> נ' </w:t>
      </w:r>
      <w:r w:rsidRPr="00202F59">
        <w:rPr>
          <w:rFonts w:cs="FrankRuehl" w:hint="cs"/>
          <w:b/>
          <w:bCs/>
          <w:sz w:val="26"/>
          <w:szCs w:val="26"/>
          <w:u w:val="single"/>
          <w:rtl/>
        </w:rPr>
        <w:t>מ"י</w:t>
      </w:r>
      <w:r>
        <w:rPr>
          <w:rFonts w:cs="FrankRuehl" w:hint="cs"/>
          <w:sz w:val="26"/>
          <w:szCs w:val="26"/>
          <w:rtl/>
        </w:rPr>
        <w:t xml:space="preserve"> (מיום 23.3.2017)  (להלן </w:t>
      </w:r>
      <w:r>
        <w:rPr>
          <w:rFonts w:cs="FrankRuehl"/>
          <w:sz w:val="26"/>
          <w:szCs w:val="26"/>
          <w:rtl/>
        </w:rPr>
        <w:t>–</w:t>
      </w:r>
      <w:r>
        <w:rPr>
          <w:rFonts w:cs="FrankRuehl" w:hint="cs"/>
          <w:sz w:val="26"/>
          <w:szCs w:val="26"/>
          <w:rtl/>
        </w:rPr>
        <w:t xml:space="preserve"> </w:t>
      </w:r>
      <w:r w:rsidRPr="00202F59">
        <w:rPr>
          <w:rFonts w:cs="FrankRuehl" w:hint="cs"/>
          <w:b/>
          <w:bCs/>
          <w:sz w:val="26"/>
          <w:szCs w:val="26"/>
          <w:rtl/>
        </w:rPr>
        <w:t>עניין רוזנברג</w:t>
      </w:r>
      <w:r>
        <w:rPr>
          <w:rFonts w:cs="FrankRuehl" w:hint="cs"/>
          <w:sz w:val="26"/>
          <w:szCs w:val="26"/>
          <w:rtl/>
        </w:rPr>
        <w:t>); הנאשם ביצע את המעשים מבצע כסף, והוא אחראי בלעדי למעשים וצריך היה להימנע מהם, שעה שאין ספק בהיותם פסולים ובלתי חוקיים; הנזק בעבירות סמים הוא ידוע ומועצם בעבירות סחר הנוגעות להפצת הסם לאחרים. אלא שכאן, כאמור מדובר בסוכן משטרתי, כך שהנזק שנגרם הוא שולי.</w:t>
      </w:r>
    </w:p>
    <w:p w14:paraId="1BC91560" w14:textId="77777777" w:rsidR="00091070" w:rsidRDefault="00091070" w:rsidP="00091070">
      <w:pPr>
        <w:spacing w:line="360" w:lineRule="auto"/>
        <w:jc w:val="both"/>
        <w:rPr>
          <w:rFonts w:cs="FrankRuehl"/>
          <w:b/>
          <w:bCs/>
          <w:sz w:val="26"/>
          <w:szCs w:val="26"/>
          <w:u w:val="single"/>
          <w:rtl/>
        </w:rPr>
      </w:pPr>
    </w:p>
    <w:p w14:paraId="0C45BF85" w14:textId="77777777" w:rsidR="00091070" w:rsidRDefault="00091070" w:rsidP="00091070">
      <w:pPr>
        <w:spacing w:line="360" w:lineRule="auto"/>
        <w:jc w:val="both"/>
        <w:rPr>
          <w:rFonts w:cs="FrankRuehl"/>
          <w:sz w:val="26"/>
          <w:szCs w:val="26"/>
          <w:rtl/>
        </w:rPr>
      </w:pPr>
      <w:r>
        <w:rPr>
          <w:rFonts w:cs="FrankRuehl" w:hint="cs"/>
          <w:b/>
          <w:bCs/>
          <w:sz w:val="26"/>
          <w:szCs w:val="26"/>
          <w:u w:val="single"/>
          <w:rtl/>
        </w:rPr>
        <w:t>מדיניות הענישה הנוהגת</w:t>
      </w:r>
      <w:r>
        <w:rPr>
          <w:rFonts w:cs="FrankRuehl" w:hint="cs"/>
          <w:b/>
          <w:bCs/>
          <w:sz w:val="26"/>
          <w:szCs w:val="26"/>
          <w:rtl/>
        </w:rPr>
        <w:t xml:space="preserve"> – </w:t>
      </w:r>
      <w:r>
        <w:rPr>
          <w:rFonts w:cs="FrankRuehl" w:hint="cs"/>
          <w:sz w:val="26"/>
          <w:szCs w:val="26"/>
          <w:rtl/>
        </w:rPr>
        <w:t xml:space="preserve">כפי שצוטט לעיל, לרוב ענישה בגין סחר בסמים מסתיימת במאסר בפועל ממש, ואף לתקופה דו-ספרתית. בעפ"ג (י-ם) 3175-06-18 </w:t>
      </w:r>
      <w:r w:rsidRPr="00202F59">
        <w:rPr>
          <w:rFonts w:cs="FrankRuehl" w:hint="cs"/>
          <w:b/>
          <w:bCs/>
          <w:sz w:val="26"/>
          <w:szCs w:val="26"/>
          <w:u w:val="single"/>
          <w:rtl/>
        </w:rPr>
        <w:t>מ"י</w:t>
      </w:r>
      <w:r>
        <w:rPr>
          <w:rFonts w:cs="FrankRuehl" w:hint="cs"/>
          <w:sz w:val="26"/>
          <w:szCs w:val="26"/>
          <w:rtl/>
        </w:rPr>
        <w:t xml:space="preserve"> נ' </w:t>
      </w:r>
      <w:r w:rsidRPr="00202F59">
        <w:rPr>
          <w:rFonts w:cs="FrankRuehl" w:hint="cs"/>
          <w:b/>
          <w:bCs/>
          <w:sz w:val="26"/>
          <w:szCs w:val="26"/>
          <w:u w:val="single"/>
          <w:rtl/>
        </w:rPr>
        <w:t>אבו חצירה</w:t>
      </w:r>
      <w:r w:rsidRPr="00202F59">
        <w:rPr>
          <w:rFonts w:cs="FrankRuehl" w:hint="cs"/>
          <w:sz w:val="26"/>
          <w:szCs w:val="26"/>
          <w:rtl/>
        </w:rPr>
        <w:t xml:space="preserve"> (</w:t>
      </w:r>
      <w:r>
        <w:rPr>
          <w:rFonts w:cs="FrankRuehl" w:hint="cs"/>
          <w:sz w:val="26"/>
          <w:szCs w:val="26"/>
          <w:rtl/>
        </w:rPr>
        <w:t>מיום 3.6.2019) לא מצא בית המשפט המחוזי להתערב במתחם ענישה שקבעתי, בין חודשים בודדים ל-10 חודשי מאסר בגין סחר בפלטת חשיש. שם אושר עונש של מאסר בעבודות שירות בשל שיקולי שיקום וחריגה ממתחם הענישה; ב</w:t>
      </w:r>
      <w:r w:rsidRPr="00202F59">
        <w:rPr>
          <w:rFonts w:cs="FrankRuehl" w:hint="cs"/>
          <w:b/>
          <w:bCs/>
          <w:sz w:val="26"/>
          <w:szCs w:val="26"/>
          <w:rtl/>
        </w:rPr>
        <w:t>עניין רוזנברג</w:t>
      </w:r>
      <w:r>
        <w:rPr>
          <w:rFonts w:cs="FrankRuehl" w:hint="cs"/>
          <w:sz w:val="26"/>
          <w:szCs w:val="26"/>
          <w:rtl/>
        </w:rPr>
        <w:t xml:space="preserve"> האמור, אישר בית המשפט המחוזי מתחם ענישה שבין 4 ל-14 חודשי מאסר בגין שתי עסקאות בפלטת חשיש, כשהעונש הוקל ל-49 ימי מאסר בפועל (כימי מעצרו של הנאשם שם), במקום 6 חודשי מאסר ויום שהטלתי על הנאשם; לעומת זאת ב</w:t>
      </w:r>
      <w:hyperlink r:id="rId17" w:history="1">
        <w:r w:rsidR="001E3D24" w:rsidRPr="001E3D24">
          <w:rPr>
            <w:rFonts w:cs="FrankRuehl"/>
            <w:color w:val="0000FF"/>
            <w:sz w:val="26"/>
            <w:szCs w:val="26"/>
            <w:u w:val="single"/>
            <w:rtl/>
          </w:rPr>
          <w:t>רע"פ 1370/17</w:t>
        </w:r>
      </w:hyperlink>
      <w:r>
        <w:rPr>
          <w:rFonts w:cs="FrankRuehl" w:hint="cs"/>
          <w:sz w:val="26"/>
          <w:szCs w:val="26"/>
          <w:rtl/>
        </w:rPr>
        <w:t xml:space="preserve"> </w:t>
      </w:r>
      <w:r w:rsidRPr="00202F59">
        <w:rPr>
          <w:rFonts w:cs="FrankRuehl" w:hint="cs"/>
          <w:b/>
          <w:bCs/>
          <w:sz w:val="26"/>
          <w:szCs w:val="26"/>
          <w:u w:val="single"/>
          <w:rtl/>
        </w:rPr>
        <w:t>בן נעים</w:t>
      </w:r>
      <w:r>
        <w:rPr>
          <w:rFonts w:cs="FrankRuehl" w:hint="cs"/>
          <w:sz w:val="26"/>
          <w:szCs w:val="26"/>
          <w:rtl/>
        </w:rPr>
        <w:t xml:space="preserve"> נ' </w:t>
      </w:r>
      <w:r w:rsidRPr="00202F59">
        <w:rPr>
          <w:rFonts w:cs="FrankRuehl" w:hint="cs"/>
          <w:b/>
          <w:bCs/>
          <w:sz w:val="26"/>
          <w:szCs w:val="26"/>
          <w:u w:val="single"/>
          <w:rtl/>
        </w:rPr>
        <w:t>מ"י</w:t>
      </w:r>
      <w:r>
        <w:rPr>
          <w:rFonts w:cs="FrankRuehl" w:hint="cs"/>
          <w:sz w:val="26"/>
          <w:szCs w:val="26"/>
          <w:rtl/>
        </w:rPr>
        <w:t xml:space="preserve"> (מיום 20.4.2017) אישר בית המשפט העליון מתחם ענישה שבין 12 ל-24 חודשים בגין ריבוי עבירות של סחר בחשי שלרבות סחר בפלטה, שם נשלח הנאשם בגין עבירות נוספות ל-15 חודשי מאסר בפועל. </w:t>
      </w:r>
    </w:p>
    <w:p w14:paraId="6AD11B45" w14:textId="77777777" w:rsidR="00091070" w:rsidRDefault="00091070" w:rsidP="00091070">
      <w:pPr>
        <w:spacing w:line="360" w:lineRule="auto"/>
        <w:jc w:val="both"/>
        <w:rPr>
          <w:rFonts w:cs="FrankRuehl"/>
          <w:b/>
          <w:bCs/>
          <w:sz w:val="26"/>
          <w:szCs w:val="26"/>
          <w:u w:val="single"/>
          <w:rtl/>
        </w:rPr>
      </w:pPr>
    </w:p>
    <w:p w14:paraId="73100A9E" w14:textId="77777777" w:rsidR="00091070" w:rsidRDefault="00091070" w:rsidP="00091070">
      <w:pPr>
        <w:spacing w:line="360" w:lineRule="auto"/>
        <w:jc w:val="both"/>
        <w:rPr>
          <w:rFonts w:cs="FrankRuehl"/>
          <w:sz w:val="26"/>
          <w:szCs w:val="26"/>
          <w:rtl/>
        </w:rPr>
      </w:pPr>
      <w:r>
        <w:rPr>
          <w:rFonts w:cs="FrankRuehl" w:hint="cs"/>
          <w:b/>
          <w:bCs/>
          <w:sz w:val="26"/>
          <w:szCs w:val="26"/>
          <w:u w:val="single"/>
          <w:rtl/>
        </w:rPr>
        <w:t>מתחם הענישה</w:t>
      </w:r>
      <w:r>
        <w:rPr>
          <w:rFonts w:cs="FrankRuehl" w:hint="cs"/>
          <w:sz w:val="26"/>
          <w:szCs w:val="26"/>
          <w:rtl/>
        </w:rPr>
        <w:t xml:space="preserve"> – לפיכך, מתחם הענישה צריך לעמוד על בין 6 ל-18 חודשי מאסר לרבות אפשרות לריצוי המאסר בדרך של עבודות שירות. אני סבור, כי מדובר ב"אירוע" אחד לצורך קביעת מתחם כולל, בשל זהות המעורבים, אופן ביצוע העסקאות, סוג הסמים, כמותם והתמורה בעדם. כל אלו עונים על מבחן "הקשר ההדוק" שנקבע ב</w:t>
      </w:r>
      <w:hyperlink r:id="rId18" w:history="1">
        <w:r w:rsidR="001E3D24" w:rsidRPr="001E3D24">
          <w:rPr>
            <w:rFonts w:cs="FrankRuehl"/>
            <w:color w:val="0000FF"/>
            <w:sz w:val="26"/>
            <w:szCs w:val="26"/>
            <w:u w:val="single"/>
            <w:rtl/>
          </w:rPr>
          <w:t>ע"פ 4910/13</w:t>
        </w:r>
      </w:hyperlink>
      <w:r>
        <w:rPr>
          <w:rFonts w:cs="FrankRuehl" w:hint="cs"/>
          <w:sz w:val="26"/>
          <w:szCs w:val="26"/>
          <w:rtl/>
        </w:rPr>
        <w:t xml:space="preserve"> </w:t>
      </w:r>
      <w:r>
        <w:rPr>
          <w:rFonts w:cs="FrankRuehl" w:hint="cs"/>
          <w:b/>
          <w:bCs/>
          <w:sz w:val="26"/>
          <w:szCs w:val="26"/>
          <w:u w:val="single"/>
          <w:rtl/>
        </w:rPr>
        <w:t xml:space="preserve">בני ג'אבר </w:t>
      </w:r>
      <w:r>
        <w:rPr>
          <w:rFonts w:cs="FrankRuehl" w:hint="cs"/>
          <w:sz w:val="26"/>
          <w:szCs w:val="26"/>
          <w:rtl/>
        </w:rPr>
        <w:t xml:space="preserve"> נ' </w:t>
      </w:r>
      <w:r>
        <w:rPr>
          <w:rFonts w:cs="FrankRuehl" w:hint="cs"/>
          <w:b/>
          <w:bCs/>
          <w:sz w:val="26"/>
          <w:szCs w:val="26"/>
          <w:u w:val="single"/>
          <w:rtl/>
        </w:rPr>
        <w:t>מ"י</w:t>
      </w:r>
      <w:r>
        <w:rPr>
          <w:rFonts w:cs="FrankRuehl" w:hint="cs"/>
          <w:sz w:val="26"/>
          <w:szCs w:val="26"/>
          <w:rtl/>
        </w:rPr>
        <w:t xml:space="preserve"> (מיום 29.10.2014). אציין כי פער הזמנים בין שני האישומים הראשונים לרביעי מוסבר בנסיבות הקשורות בהפעלת הסוכן, כאשר בין לבין בוצעה עסקה נוספת בחודש פברואר, שנמחקה מכתב האישום המתוקן, אך יש בה להסביר את פער הזמנים, ומדוע אין בו, לכשעצמו, להביא לביטול הקשר ההדוק שבין המקרים. </w:t>
      </w:r>
    </w:p>
    <w:p w14:paraId="4974469C" w14:textId="77777777" w:rsidR="00091070" w:rsidRDefault="00091070" w:rsidP="00091070">
      <w:pPr>
        <w:spacing w:line="360" w:lineRule="auto"/>
        <w:jc w:val="both"/>
        <w:rPr>
          <w:rFonts w:cs="FrankRuehl"/>
          <w:b/>
          <w:bCs/>
          <w:sz w:val="26"/>
          <w:szCs w:val="26"/>
          <w:rtl/>
        </w:rPr>
      </w:pPr>
    </w:p>
    <w:p w14:paraId="0CC5A837" w14:textId="77777777" w:rsidR="00091070" w:rsidRDefault="00091070" w:rsidP="00091070">
      <w:pPr>
        <w:spacing w:line="360" w:lineRule="auto"/>
        <w:jc w:val="both"/>
        <w:rPr>
          <w:rFonts w:cs="FrankRuehl"/>
          <w:sz w:val="26"/>
          <w:szCs w:val="26"/>
          <w:rtl/>
        </w:rPr>
      </w:pPr>
      <w:r>
        <w:rPr>
          <w:rFonts w:cs="FrankRuehl" w:hint="cs"/>
          <w:b/>
          <w:bCs/>
          <w:sz w:val="26"/>
          <w:szCs w:val="26"/>
          <w:u w:val="single"/>
          <w:rtl/>
        </w:rPr>
        <w:t xml:space="preserve">נסיבות שאינן קשורות בביצוע העבירה לפי </w:t>
      </w:r>
      <w:hyperlink r:id="rId19" w:history="1">
        <w:r w:rsidR="00EF5357" w:rsidRPr="00EF5357">
          <w:rPr>
            <w:rFonts w:cs="FrankRuehl"/>
            <w:b/>
            <w:bCs/>
            <w:color w:val="0000FF"/>
            <w:sz w:val="26"/>
            <w:szCs w:val="26"/>
            <w:u w:val="single"/>
            <w:rtl/>
          </w:rPr>
          <w:t>סעיף 40י"א</w:t>
        </w:r>
      </w:hyperlink>
      <w:r>
        <w:rPr>
          <w:rFonts w:cs="FrankRuehl" w:hint="cs"/>
          <w:b/>
          <w:bCs/>
          <w:sz w:val="26"/>
          <w:szCs w:val="26"/>
          <w:u w:val="single"/>
          <w:rtl/>
        </w:rPr>
        <w:t xml:space="preserve"> ל</w:t>
      </w:r>
      <w:hyperlink r:id="rId20" w:history="1">
        <w:r w:rsidR="001E3D24" w:rsidRPr="001E3D24">
          <w:rPr>
            <w:rFonts w:cs="FrankRuehl"/>
            <w:b/>
            <w:bCs/>
            <w:color w:val="0000FF"/>
            <w:sz w:val="26"/>
            <w:szCs w:val="26"/>
            <w:u w:val="single"/>
            <w:rtl/>
          </w:rPr>
          <w:t>חוק העונשין</w:t>
        </w:r>
      </w:hyperlink>
      <w:r>
        <w:rPr>
          <w:rFonts w:cs="FrankRuehl" w:hint="cs"/>
          <w:b/>
          <w:bCs/>
          <w:sz w:val="26"/>
          <w:szCs w:val="26"/>
          <w:rtl/>
        </w:rPr>
        <w:t xml:space="preserve"> – </w:t>
      </w:r>
      <w:r>
        <w:rPr>
          <w:rFonts w:cs="FrankRuehl" w:hint="cs"/>
          <w:sz w:val="26"/>
          <w:szCs w:val="26"/>
          <w:rtl/>
        </w:rPr>
        <w:t xml:space="preserve">ניתן  לתת משקל לנסיבות הבאות שאינן קשורות בביצוע העבירה, במסגרת גזירת העונש בתוך המתחם: מדובר בנאשם עציר בתחילת חייו הבוגרים, כשלאורך כל חייו תפקד באורח תקין ואחראי </w:t>
      </w:r>
      <w:r>
        <w:rPr>
          <w:rFonts w:cs="FrankRuehl"/>
          <w:sz w:val="26"/>
          <w:szCs w:val="26"/>
          <w:rtl/>
        </w:rPr>
        <w:t>–</w:t>
      </w:r>
      <w:r>
        <w:rPr>
          <w:rFonts w:cs="FrankRuehl" w:hint="cs"/>
          <w:sz w:val="26"/>
          <w:szCs w:val="26"/>
          <w:rtl/>
        </w:rPr>
        <w:t xml:space="preserve"> יעיד על כך היעדר הרישום הפלילי שלו; שליחת אדם שכזה למאסר בפעם הראשונה, עלולה להיות בעלת תוצאות הרסניות ומדרדרות לפשיעה ועל-כן, יש לבכר ענישה אחרת, הרסנית פחות אך מרתיעה באותה מידה, ברוח המלצות "וועדת דורנר"; הנאשם היה עצור ממש כחודשיים ימים, ושהה במעצר בית מלא כחצי שנה עד שיצא לעבודה. לכל אורך תקופת שחרורו לא הפר הנאשם תנאים, מסר בדיקות שתן נקיות מסמים, ושיתף פעולה באופן מלא עם שירות המבחן; הנאשם נטל אחריות מלאה למעשיו, והוכיח זאת בהתנהגותו לפניי ולפני שירות המבחן, כאמור לעיל; קיים גם רכיב של חלוף זמן מאז ביצוע העבירות </w:t>
      </w:r>
      <w:r>
        <w:rPr>
          <w:rFonts w:cs="FrankRuehl"/>
          <w:sz w:val="26"/>
          <w:szCs w:val="26"/>
          <w:rtl/>
        </w:rPr>
        <w:t>–</w:t>
      </w:r>
      <w:r>
        <w:rPr>
          <w:rFonts w:cs="FrankRuehl" w:hint="cs"/>
          <w:sz w:val="26"/>
          <w:szCs w:val="26"/>
          <w:rtl/>
        </w:rPr>
        <w:t xml:space="preserve"> חלקו הקטן קשור בשיקולי הפעלת סוכן ומועד "פרוץ" הפרשה וחשיפת ההפעלה. חלקו הגדול נובע מהתנהלות הנאשם וגרירת הרגליים עד להודייה </w:t>
      </w:r>
      <w:r>
        <w:rPr>
          <w:rFonts w:cs="FrankRuehl"/>
          <w:sz w:val="26"/>
          <w:szCs w:val="26"/>
          <w:rtl/>
        </w:rPr>
        <w:t>–</w:t>
      </w:r>
      <w:r>
        <w:rPr>
          <w:rFonts w:cs="FrankRuehl" w:hint="cs"/>
          <w:sz w:val="26"/>
          <w:szCs w:val="26"/>
          <w:rtl/>
        </w:rPr>
        <w:t xml:space="preserve"> דבר שאינו יכול להיזקף לזכותו. </w:t>
      </w:r>
    </w:p>
    <w:p w14:paraId="15D2FBC8" w14:textId="77777777" w:rsidR="00091070" w:rsidRDefault="00091070" w:rsidP="00091070">
      <w:pPr>
        <w:spacing w:line="360" w:lineRule="auto"/>
        <w:jc w:val="both"/>
        <w:rPr>
          <w:rFonts w:cs="FrankRuehl"/>
          <w:sz w:val="26"/>
          <w:szCs w:val="26"/>
          <w:rtl/>
        </w:rPr>
      </w:pPr>
    </w:p>
    <w:p w14:paraId="5A11EB2A" w14:textId="77777777" w:rsidR="00091070" w:rsidRDefault="00091070" w:rsidP="00091070">
      <w:pPr>
        <w:spacing w:line="360" w:lineRule="auto"/>
        <w:jc w:val="both"/>
        <w:rPr>
          <w:rFonts w:cs="FrankRuehl"/>
          <w:sz w:val="26"/>
          <w:szCs w:val="26"/>
          <w:rtl/>
        </w:rPr>
      </w:pPr>
      <w:r>
        <w:rPr>
          <w:rFonts w:cs="FrankRuehl" w:hint="cs"/>
          <w:b/>
          <w:bCs/>
          <w:sz w:val="26"/>
          <w:szCs w:val="26"/>
          <w:u w:val="single"/>
          <w:rtl/>
        </w:rPr>
        <w:t>המיקום במתחם</w:t>
      </w:r>
      <w:r>
        <w:rPr>
          <w:rFonts w:cs="FrankRuehl" w:hint="cs"/>
          <w:sz w:val="26"/>
          <w:szCs w:val="26"/>
          <w:rtl/>
        </w:rPr>
        <w:t xml:space="preserve"> </w:t>
      </w:r>
      <w:r>
        <w:rPr>
          <w:rFonts w:cs="FrankRuehl"/>
          <w:sz w:val="26"/>
          <w:szCs w:val="26"/>
          <w:rtl/>
        </w:rPr>
        <w:t>–</w:t>
      </w:r>
      <w:r>
        <w:rPr>
          <w:rFonts w:cs="FrankRuehl" w:hint="cs"/>
          <w:sz w:val="26"/>
          <w:szCs w:val="26"/>
          <w:rtl/>
        </w:rPr>
        <w:t xml:space="preserve">  מצד אחד, מדובר באדם נורמטיבי ששיתף פעולה עם שירות המבחן ולא הפר תנאים לאורך תקופה ארוכה. מצד שני, מדובר בעבירות חמורות כשעל הערכים המוגנים וגישת הפסיקה המחמירה עמדתי. בנסיבות אלו, המלצת שרות המבחן לשל"ץ נרחב אינה יכולה לעמוד, שכן אינה הולמת את עקרון ההלימה. לא ניתן להימנע מהטלת מאסר, ולו בדרך של ריצוי בעבודות שירות. לכן יש למקם את הנאשם בתחתית המתחם.  לא מצאתי לסטות מן המתחם בשל שיקולי שיקום, שכן מדובר במקרים מובהקים מאשר המקרה שלפניי.</w:t>
      </w:r>
    </w:p>
    <w:p w14:paraId="7C779D58" w14:textId="77777777" w:rsidR="00091070" w:rsidRDefault="00091070" w:rsidP="00091070">
      <w:pPr>
        <w:spacing w:line="360" w:lineRule="auto"/>
        <w:jc w:val="both"/>
        <w:rPr>
          <w:rFonts w:cs="FrankRuehl"/>
          <w:b/>
          <w:bCs/>
          <w:sz w:val="26"/>
          <w:szCs w:val="26"/>
          <w:u w:val="single"/>
          <w:rtl/>
        </w:rPr>
      </w:pPr>
    </w:p>
    <w:p w14:paraId="13DC392D" w14:textId="77777777" w:rsidR="00091070" w:rsidRDefault="00091070" w:rsidP="00091070">
      <w:pPr>
        <w:jc w:val="both"/>
        <w:rPr>
          <w:rFonts w:cs="FrankRuehl"/>
          <w:b/>
          <w:bCs/>
          <w:sz w:val="26"/>
          <w:szCs w:val="26"/>
          <w:u w:val="single"/>
          <w:rtl/>
        </w:rPr>
      </w:pPr>
      <w:r>
        <w:rPr>
          <w:rFonts w:cs="FrankRuehl" w:hint="cs"/>
          <w:b/>
          <w:bCs/>
          <w:sz w:val="26"/>
          <w:szCs w:val="26"/>
          <w:u w:val="single"/>
          <w:rtl/>
        </w:rPr>
        <w:t>גזירת הדין</w:t>
      </w:r>
    </w:p>
    <w:p w14:paraId="028A1EBC" w14:textId="77777777" w:rsidR="00091070" w:rsidRDefault="00091070" w:rsidP="00091070">
      <w:pPr>
        <w:spacing w:line="360" w:lineRule="auto"/>
        <w:jc w:val="both"/>
        <w:rPr>
          <w:rFonts w:cs="FrankRuehl"/>
          <w:sz w:val="26"/>
          <w:szCs w:val="26"/>
          <w:rtl/>
        </w:rPr>
      </w:pPr>
      <w:r>
        <w:rPr>
          <w:rFonts w:cs="FrankRuehl" w:hint="cs"/>
          <w:sz w:val="26"/>
          <w:szCs w:val="26"/>
          <w:rtl/>
        </w:rPr>
        <w:t>לפיכך, אני מחליט לגזור על הנאשם את העונשים הבאים:</w:t>
      </w:r>
    </w:p>
    <w:p w14:paraId="07C9CC4C" w14:textId="77777777" w:rsidR="00091070" w:rsidRDefault="00091070" w:rsidP="00091070">
      <w:pPr>
        <w:numPr>
          <w:ilvl w:val="0"/>
          <w:numId w:val="1"/>
        </w:numPr>
        <w:spacing w:after="160" w:line="360" w:lineRule="auto"/>
        <w:contextualSpacing/>
        <w:jc w:val="both"/>
        <w:rPr>
          <w:rFonts w:cs="FrankRuehl"/>
          <w:sz w:val="26"/>
          <w:szCs w:val="26"/>
          <w:rtl/>
        </w:rPr>
      </w:pPr>
      <w:r>
        <w:rPr>
          <w:rFonts w:cs="FrankRuehl" w:hint="cs"/>
          <w:sz w:val="26"/>
          <w:szCs w:val="26"/>
          <w:rtl/>
        </w:rPr>
        <w:t xml:space="preserve">6 חודשי מאסר, אשר ירוצו בעבודות שירות, החל מיום   9.11.2019 , אשר ירוצו בצער בעלי חיים בירושלים, וזאת על פי חוות דעת הממונה על עבודות השירות. על הנאשם להתייצב ביום 9.11.2019   עד לשעה 08:00 במשרד הממונה על עבודות שירות בבאר שבע לתחילת ריצוי עונשו. מובהר בזה כי הפרת הוראות הממונה ואי עמידה בכללים הנוגעים לריצוי עבודות השירות עלולים להביא להפקעת העבודות ולהמרת העונש בעונש מאסר של ממש. </w:t>
      </w:r>
      <w:r w:rsidRPr="00BF3985">
        <w:rPr>
          <w:rFonts w:cs="FrankRuehl" w:hint="cs"/>
          <w:b/>
          <w:bCs/>
          <w:sz w:val="26"/>
          <w:szCs w:val="26"/>
          <w:rtl/>
        </w:rPr>
        <w:t>מובהר כי מתקופת המאסר שהטלתי יש לנכות במלואם את ימי מעצרו של הנאשם בתיק זה ע"פ חישוב שב"ס, שיכריע</w:t>
      </w:r>
      <w:r>
        <w:rPr>
          <w:rFonts w:cs="FrankRuehl" w:hint="cs"/>
          <w:sz w:val="26"/>
          <w:szCs w:val="26"/>
          <w:rtl/>
        </w:rPr>
        <w:t>;</w:t>
      </w:r>
    </w:p>
    <w:p w14:paraId="63AF235A" w14:textId="77777777" w:rsidR="00091070" w:rsidRDefault="00091070" w:rsidP="00091070">
      <w:pPr>
        <w:numPr>
          <w:ilvl w:val="0"/>
          <w:numId w:val="1"/>
        </w:numPr>
        <w:spacing w:after="160" w:line="360" w:lineRule="auto"/>
        <w:contextualSpacing/>
        <w:jc w:val="both"/>
        <w:rPr>
          <w:rFonts w:cs="FrankRuehl"/>
          <w:sz w:val="26"/>
          <w:szCs w:val="26"/>
        </w:rPr>
      </w:pPr>
      <w:r>
        <w:rPr>
          <w:rFonts w:cs="FrankRuehl" w:hint="cs"/>
          <w:sz w:val="26"/>
          <w:szCs w:val="26"/>
          <w:rtl/>
        </w:rPr>
        <w:t xml:space="preserve">8 חודשי מאסר, שלא ירוצו אלא אם יעבור הנאשם כל עבירה לפי </w:t>
      </w:r>
      <w:hyperlink r:id="rId21" w:history="1">
        <w:r w:rsidR="001E3D24" w:rsidRPr="001E3D24">
          <w:rPr>
            <w:rFonts w:cs="FrankRuehl"/>
            <w:color w:val="0000FF"/>
            <w:sz w:val="26"/>
            <w:szCs w:val="26"/>
            <w:u w:val="single"/>
            <w:rtl/>
          </w:rPr>
          <w:t>פקודת הסמים המסוכנים</w:t>
        </w:r>
      </w:hyperlink>
      <w:r>
        <w:rPr>
          <w:rFonts w:cs="FrankRuehl" w:hint="cs"/>
          <w:sz w:val="26"/>
          <w:szCs w:val="26"/>
          <w:rtl/>
        </w:rPr>
        <w:t>, למעט שימוש עצמי ו/או החזקת כלים לשימוש עצמי בתוך 3 שנים מהיום;</w:t>
      </w:r>
    </w:p>
    <w:p w14:paraId="50EC16D1" w14:textId="77777777" w:rsidR="00091070" w:rsidRDefault="00091070" w:rsidP="00091070">
      <w:pPr>
        <w:numPr>
          <w:ilvl w:val="0"/>
          <w:numId w:val="1"/>
        </w:numPr>
        <w:spacing w:after="160" w:line="360" w:lineRule="auto"/>
        <w:contextualSpacing/>
        <w:jc w:val="both"/>
        <w:rPr>
          <w:rFonts w:cs="FrankRuehl"/>
          <w:sz w:val="26"/>
          <w:szCs w:val="26"/>
        </w:rPr>
      </w:pPr>
      <w:r>
        <w:rPr>
          <w:rFonts w:cs="FrankRuehl" w:hint="cs"/>
          <w:sz w:val="26"/>
          <w:szCs w:val="26"/>
          <w:rtl/>
        </w:rPr>
        <w:t>3 חודשי מאסר, שלא ירוצו, אלא אם יעבור הנאשם כל עבירה של שימוש עצמי בסמים או החזקת כלים לשימוש עצמי בתוך 3 שנים מהיום;</w:t>
      </w:r>
    </w:p>
    <w:p w14:paraId="0C342666" w14:textId="77777777" w:rsidR="00091070" w:rsidRDefault="00091070" w:rsidP="00091070">
      <w:pPr>
        <w:numPr>
          <w:ilvl w:val="0"/>
          <w:numId w:val="1"/>
        </w:numPr>
        <w:spacing w:after="160" w:line="360" w:lineRule="auto"/>
        <w:contextualSpacing/>
        <w:jc w:val="both"/>
        <w:rPr>
          <w:rFonts w:cs="FrankRuehl"/>
          <w:sz w:val="26"/>
          <w:szCs w:val="26"/>
        </w:rPr>
      </w:pPr>
      <w:r>
        <w:rPr>
          <w:rFonts w:cs="FrankRuehl" w:hint="cs"/>
          <w:sz w:val="26"/>
          <w:szCs w:val="26"/>
          <w:rtl/>
        </w:rPr>
        <w:t>קנס בסך 10,000  ₪, אשר ישולם החל מיום 1.1.2020, או חודשיים מאסר תמורתו. הקנס ישולם ב-20 תשלומים שווים ורצופים ב-1 בכל חודש החל מהמועד שקבעתי. לא ישולם תשלום במועד או לא ישולם כלל, יעמוד הקנס לפירעון מיידי. מורה על קיזוז ההפקדה ב</w:t>
      </w:r>
      <w:hyperlink r:id="rId22" w:history="1">
        <w:r w:rsidR="001E3D24" w:rsidRPr="001E3D24">
          <w:rPr>
            <w:rFonts w:cs="FrankRuehl"/>
            <w:color w:val="0000FF"/>
            <w:sz w:val="26"/>
            <w:szCs w:val="26"/>
            <w:u w:val="single"/>
            <w:rtl/>
          </w:rPr>
          <w:t>מ"ת 45556-04-17</w:t>
        </w:r>
      </w:hyperlink>
      <w:r>
        <w:rPr>
          <w:rFonts w:cs="FrankRuehl" w:hint="cs"/>
          <w:sz w:val="26"/>
          <w:szCs w:val="26"/>
          <w:rtl/>
        </w:rPr>
        <w:t xml:space="preserve"> לטובת הקנס, רק לאחר קבלת אישור מהממונה על התייצבות הנאשם לתחילת ריצוי עונשו, כאשר היתרה, תשולם בתשלומים כפי שקבעתי;</w:t>
      </w:r>
    </w:p>
    <w:p w14:paraId="47B1BBB2" w14:textId="77777777" w:rsidR="00091070" w:rsidRDefault="00091070" w:rsidP="00091070">
      <w:pPr>
        <w:numPr>
          <w:ilvl w:val="0"/>
          <w:numId w:val="1"/>
        </w:numPr>
        <w:spacing w:after="160" w:line="360" w:lineRule="auto"/>
        <w:contextualSpacing/>
        <w:jc w:val="both"/>
        <w:rPr>
          <w:rFonts w:cs="FrankRuehl"/>
          <w:sz w:val="26"/>
          <w:szCs w:val="26"/>
          <w:rtl/>
        </w:rPr>
      </w:pPr>
      <w:r>
        <w:rPr>
          <w:rFonts w:cs="FrankRuehl" w:hint="cs"/>
          <w:sz w:val="26"/>
          <w:szCs w:val="26"/>
          <w:rtl/>
        </w:rPr>
        <w:t>צו מבחן לתקופה של 12 חודשים מהיום. במהלך תקופה זו הנאשם מחויב בשיתוף פעולה עם שירות המבחן, כאשר מובהר כי הפרת  הצו תוכל להביא לפתיחה מחודשת של המשפט וגזירת עונשו של הנאשם, לרבות עונש מאסר.</w:t>
      </w:r>
    </w:p>
    <w:p w14:paraId="087A6EB0" w14:textId="77777777" w:rsidR="00091070" w:rsidRDefault="00091070" w:rsidP="00091070">
      <w:pPr>
        <w:numPr>
          <w:ilvl w:val="0"/>
          <w:numId w:val="1"/>
        </w:numPr>
        <w:spacing w:after="160" w:line="360" w:lineRule="auto"/>
        <w:contextualSpacing/>
        <w:jc w:val="both"/>
        <w:rPr>
          <w:rFonts w:cs="FrankRuehl"/>
          <w:sz w:val="26"/>
          <w:szCs w:val="26"/>
          <w:rtl/>
        </w:rPr>
      </w:pPr>
      <w:r>
        <w:rPr>
          <w:rFonts w:cs="FrankRuehl" w:hint="cs"/>
          <w:sz w:val="26"/>
          <w:szCs w:val="26"/>
          <w:rtl/>
        </w:rPr>
        <w:t>התחייבות בסך 5,000 ₪ שלא לעבור כל עבירה  לפי פקודת הסמים (לרבות שימוש עצמי והחזקת כלים לשימוש עצמי) במשך שנתיים מהיום או 20 ימי מאסר תמורתה אם לא תיחתם. הובהר לנאשם שמשמעות ההתחייבות היא, כי אם יעבור את העבירות הנ"ל בתוך התקופה שצוינה, בית המשפט שיגזור את הדין יהא חייב לחלט את ההתחייבות כקנס.</w:t>
      </w:r>
    </w:p>
    <w:p w14:paraId="5BF5134D" w14:textId="77777777" w:rsidR="00091070" w:rsidRDefault="00091070" w:rsidP="00091070">
      <w:pPr>
        <w:rPr>
          <w:rFonts w:ascii="FrankRuehl" w:hAnsi="FrankRuehl" w:cs="FrankRuehl"/>
          <w:sz w:val="26"/>
          <w:szCs w:val="26"/>
          <w:rtl/>
        </w:rPr>
      </w:pPr>
    </w:p>
    <w:p w14:paraId="63F2681B" w14:textId="77777777" w:rsidR="00091070" w:rsidRPr="00D313DC" w:rsidRDefault="00091070" w:rsidP="00091070">
      <w:pPr>
        <w:rPr>
          <w:rFonts w:ascii="FrankRuehl" w:hAnsi="FrankRuehl" w:cs="FrankRuehl"/>
          <w:b/>
          <w:bCs/>
          <w:sz w:val="26"/>
          <w:szCs w:val="26"/>
          <w:u w:val="single"/>
          <w:rtl/>
        </w:rPr>
      </w:pPr>
      <w:r w:rsidRPr="00D313DC">
        <w:rPr>
          <w:rFonts w:ascii="FrankRuehl" w:hAnsi="FrankRuehl" w:cs="FrankRuehl" w:hint="cs"/>
          <w:b/>
          <w:bCs/>
          <w:sz w:val="26"/>
          <w:szCs w:val="26"/>
          <w:u w:val="single"/>
          <w:rtl/>
        </w:rPr>
        <w:t>מורה על השמדת הסמים וכל ציוד שנתפס, שבו נעברו העבירות.</w:t>
      </w:r>
    </w:p>
    <w:p w14:paraId="6590CCAA" w14:textId="77777777" w:rsidR="00091070" w:rsidRDefault="00091070" w:rsidP="00091070">
      <w:pPr>
        <w:rPr>
          <w:rFonts w:ascii="FrankRuehl" w:hAnsi="FrankRuehl" w:cs="FrankRuehl"/>
          <w:sz w:val="26"/>
          <w:szCs w:val="26"/>
        </w:rPr>
      </w:pPr>
    </w:p>
    <w:p w14:paraId="7F08956F" w14:textId="77777777" w:rsidR="00091070" w:rsidRDefault="00091070" w:rsidP="00091070">
      <w:pPr>
        <w:rPr>
          <w:rFonts w:ascii="FrankRuehl" w:hAnsi="FrankRuehl" w:cs="FrankRuehl"/>
          <w:sz w:val="26"/>
          <w:szCs w:val="26"/>
          <w:rtl/>
        </w:rPr>
      </w:pPr>
      <w:r>
        <w:rPr>
          <w:rFonts w:ascii="FrankRuehl" w:hAnsi="FrankRuehl" w:cs="FrankRuehl" w:hint="cs"/>
          <w:sz w:val="26"/>
          <w:szCs w:val="26"/>
          <w:rtl/>
        </w:rPr>
        <w:t>יש לשלוח לממונה על עבודות שירות ולשירות המבחן .</w:t>
      </w:r>
    </w:p>
    <w:p w14:paraId="0759B0F3" w14:textId="77777777" w:rsidR="00091070" w:rsidRPr="001E3D24" w:rsidRDefault="001E3D24" w:rsidP="00091070">
      <w:pPr>
        <w:rPr>
          <w:rFonts w:ascii="FrankRuehl" w:hAnsi="FrankRuehl" w:cs="FrankRuehl"/>
          <w:color w:val="FFFFFF"/>
          <w:sz w:val="2"/>
          <w:szCs w:val="2"/>
          <w:rtl/>
        </w:rPr>
      </w:pPr>
      <w:r w:rsidRPr="001E3D24">
        <w:rPr>
          <w:rFonts w:ascii="FrankRuehl" w:hAnsi="FrankRuehl" w:cs="FrankRuehl"/>
          <w:color w:val="FFFFFF"/>
          <w:sz w:val="2"/>
          <w:szCs w:val="2"/>
          <w:rtl/>
        </w:rPr>
        <w:t>5129371</w:t>
      </w:r>
    </w:p>
    <w:p w14:paraId="16E603DE" w14:textId="77777777" w:rsidR="00091070" w:rsidRDefault="001E3D24" w:rsidP="00091070">
      <w:pPr>
        <w:rPr>
          <w:rFonts w:ascii="FrankRuehl" w:hAnsi="FrankRuehl" w:cs="FrankRuehl"/>
          <w:sz w:val="26"/>
          <w:szCs w:val="26"/>
        </w:rPr>
      </w:pPr>
      <w:r w:rsidRPr="001E3D24">
        <w:rPr>
          <w:rFonts w:ascii="FrankRuehl" w:hAnsi="FrankRuehl" w:cs="FrankRuehl"/>
          <w:color w:val="FFFFFF"/>
          <w:sz w:val="2"/>
          <w:szCs w:val="2"/>
          <w:rtl/>
        </w:rPr>
        <w:t>54678313</w:t>
      </w:r>
      <w:r w:rsidR="00091070">
        <w:rPr>
          <w:rFonts w:ascii="FrankRuehl" w:hAnsi="FrankRuehl" w:cs="FrankRuehl" w:hint="cs"/>
          <w:sz w:val="26"/>
          <w:szCs w:val="26"/>
          <w:rtl/>
        </w:rPr>
        <w:t>זכות ערעור כחוק לבית המשפט המחוזי בירושלים בתוך 45 יום מהיום.</w:t>
      </w:r>
    </w:p>
    <w:p w14:paraId="112F07DC" w14:textId="77777777" w:rsidR="00091070" w:rsidRDefault="00091070" w:rsidP="00091070">
      <w:pPr>
        <w:jc w:val="both"/>
        <w:rPr>
          <w:rFonts w:ascii="Arial" w:hAnsi="Arial"/>
          <w:rtl/>
        </w:rPr>
      </w:pPr>
    </w:p>
    <w:p w14:paraId="544D3CD7" w14:textId="77777777" w:rsidR="00091070" w:rsidRDefault="001E3D24" w:rsidP="00091070">
      <w:pPr>
        <w:rPr>
          <w:rFonts w:cs="FrankRuehl"/>
          <w:sz w:val="28"/>
          <w:szCs w:val="28"/>
          <w:rtl/>
        </w:rPr>
      </w:pPr>
      <w:bookmarkStart w:id="8" w:name="Nitan"/>
      <w:r>
        <w:rPr>
          <w:rFonts w:ascii="Arial" w:hAnsi="Arial"/>
          <w:rtl/>
        </w:rPr>
        <w:t xml:space="preserve">ניתן היום,  י"א אלול תשע"ט, 11 ספטמבר 2019, במעמד הצדדים. </w:t>
      </w:r>
      <w:bookmarkEnd w:id="8"/>
    </w:p>
    <w:p w14:paraId="3223ED9B" w14:textId="77777777" w:rsidR="00091070" w:rsidRDefault="00091070" w:rsidP="001E3D24">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75F238F" w14:textId="77777777" w:rsidR="00091070" w:rsidRDefault="00091070" w:rsidP="00091070">
      <w:pPr>
        <w:jc w:val="center"/>
        <w:rPr>
          <w:rFonts w:ascii="Arial" w:hAnsi="Arial" w:cs="FrankRuehl"/>
          <w:sz w:val="28"/>
          <w:szCs w:val="28"/>
          <w:rtl/>
        </w:rPr>
      </w:pPr>
    </w:p>
    <w:p w14:paraId="07E3ED09" w14:textId="77777777" w:rsidR="0084366E" w:rsidRPr="001E3D24" w:rsidRDefault="0084366E" w:rsidP="001E3D24">
      <w:pPr>
        <w:keepNext/>
        <w:rPr>
          <w:rFonts w:ascii="David" w:hAnsi="David"/>
          <w:color w:val="000000"/>
          <w:sz w:val="22"/>
          <w:szCs w:val="22"/>
          <w:rtl/>
        </w:rPr>
      </w:pPr>
    </w:p>
    <w:p w14:paraId="4E091BB4" w14:textId="77777777" w:rsidR="001E3D24" w:rsidRPr="001E3D24" w:rsidRDefault="001E3D24" w:rsidP="001E3D24">
      <w:pPr>
        <w:keepNext/>
        <w:rPr>
          <w:rFonts w:ascii="David" w:hAnsi="David"/>
          <w:color w:val="000000"/>
          <w:sz w:val="22"/>
          <w:szCs w:val="22"/>
          <w:rtl/>
        </w:rPr>
      </w:pPr>
      <w:r w:rsidRPr="001E3D24">
        <w:rPr>
          <w:rFonts w:ascii="David" w:hAnsi="David"/>
          <w:color w:val="000000"/>
          <w:sz w:val="22"/>
          <w:szCs w:val="22"/>
          <w:rtl/>
        </w:rPr>
        <w:t>דוד שאול גבאי ריכטר 54678313</w:t>
      </w:r>
    </w:p>
    <w:p w14:paraId="4E78B363" w14:textId="77777777" w:rsidR="001E3D24" w:rsidRDefault="001E3D24" w:rsidP="001E3D24">
      <w:r w:rsidRPr="001E3D24">
        <w:rPr>
          <w:color w:val="000000"/>
          <w:rtl/>
        </w:rPr>
        <w:t>נוסח מסמך זה כפוף לשינויי ניסוח ועריכה</w:t>
      </w:r>
    </w:p>
    <w:p w14:paraId="0786C57E" w14:textId="77777777" w:rsidR="001E3D24" w:rsidRDefault="001E3D24" w:rsidP="001E3D24">
      <w:pPr>
        <w:rPr>
          <w:rtl/>
        </w:rPr>
      </w:pPr>
    </w:p>
    <w:p w14:paraId="58533529" w14:textId="77777777" w:rsidR="001E3D24" w:rsidRDefault="001E3D24" w:rsidP="001E3D24">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0B2B3D31" w14:textId="77777777" w:rsidR="001E3D24" w:rsidRPr="001E3D24" w:rsidRDefault="001E3D24" w:rsidP="001E3D24">
      <w:pPr>
        <w:jc w:val="center"/>
        <w:rPr>
          <w:color w:val="0000FF"/>
          <w:u w:val="single"/>
        </w:rPr>
      </w:pPr>
    </w:p>
    <w:sectPr w:rsidR="001E3D24" w:rsidRPr="001E3D24" w:rsidSect="001E3D24">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ABF7C5A" w14:textId="77777777" w:rsidR="00453EA5" w:rsidRDefault="00453EA5" w:rsidP="009B2807">
      <w:r>
        <w:separator/>
      </w:r>
    </w:p>
  </w:endnote>
  <w:endnote w:type="continuationSeparator" w:id="0">
    <w:p w14:paraId="2209F4AF" w14:textId="77777777" w:rsidR="00453EA5" w:rsidRDefault="00453EA5" w:rsidP="009B2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72CAC7" w14:textId="77777777" w:rsidR="001E3D24" w:rsidRDefault="001E3D24" w:rsidP="001E3D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FDA0F7B" w14:textId="77777777" w:rsidR="00824B79" w:rsidRPr="001E3D24" w:rsidRDefault="001E3D24" w:rsidP="001E3D2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AB98C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CA319A" w14:textId="77777777" w:rsidR="001E3D24" w:rsidRDefault="001E3D24" w:rsidP="001E3D24">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0F1C29">
      <w:rPr>
        <w:rFonts w:ascii="FrankRuehl" w:hAnsi="FrankRuehl" w:cs="FrankRuehl"/>
        <w:noProof/>
        <w:rtl/>
      </w:rPr>
      <w:t>1</w:t>
    </w:r>
    <w:r>
      <w:rPr>
        <w:rFonts w:ascii="FrankRuehl" w:hAnsi="FrankRuehl" w:cs="FrankRuehl"/>
        <w:rtl/>
      </w:rPr>
      <w:fldChar w:fldCharType="end"/>
    </w:r>
  </w:p>
  <w:p w14:paraId="19DDB5EB" w14:textId="77777777" w:rsidR="00824B79" w:rsidRPr="001E3D24" w:rsidRDefault="001E3D24" w:rsidP="001E3D24">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B49FC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C15334" w14:textId="77777777" w:rsidR="00453EA5" w:rsidRDefault="00453EA5" w:rsidP="009B2807">
      <w:r>
        <w:separator/>
      </w:r>
    </w:p>
  </w:footnote>
  <w:footnote w:type="continuationSeparator" w:id="0">
    <w:p w14:paraId="396B60A3" w14:textId="77777777" w:rsidR="00453EA5" w:rsidRDefault="00453EA5" w:rsidP="009B2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3AE484" w14:textId="77777777" w:rsidR="001E3D24" w:rsidRPr="001E3D24" w:rsidRDefault="001E3D24" w:rsidP="001E3D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45539-04-17</w:t>
    </w:r>
    <w:r>
      <w:rPr>
        <w:rFonts w:ascii="David" w:hAnsi="David"/>
        <w:color w:val="000000"/>
        <w:sz w:val="22"/>
        <w:szCs w:val="22"/>
        <w:rtl/>
      </w:rPr>
      <w:tab/>
      <w:t xml:space="preserve"> מדינת ישראל נ' מחמוד סאלח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8CF17" w14:textId="77777777" w:rsidR="001E3D24" w:rsidRPr="001E3D24" w:rsidRDefault="001E3D24" w:rsidP="001E3D24">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45539-04-17</w:t>
    </w:r>
    <w:r>
      <w:rPr>
        <w:rFonts w:ascii="David" w:hAnsi="David"/>
        <w:color w:val="000000"/>
        <w:sz w:val="22"/>
        <w:szCs w:val="22"/>
        <w:rtl/>
      </w:rPr>
      <w:tab/>
      <w:t xml:space="preserve"> מדינת ישראל נ' מחמוד סאלח</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D5B689C"/>
    <w:multiLevelType w:val="hybridMultilevel"/>
    <w:tmpl w:val="208E3610"/>
    <w:lvl w:ilvl="0" w:tplc="F3802B80">
      <w:start w:val="1"/>
      <w:numFmt w:val="hebrew1"/>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num w:numId="1" w16cid:durableId="13578531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091070"/>
    <w:rsid w:val="00091070"/>
    <w:rsid w:val="000F1C29"/>
    <w:rsid w:val="001E3D24"/>
    <w:rsid w:val="00453EA5"/>
    <w:rsid w:val="00507970"/>
    <w:rsid w:val="00824B79"/>
    <w:rsid w:val="0084366E"/>
    <w:rsid w:val="009B2807"/>
    <w:rsid w:val="009F6CC9"/>
    <w:rsid w:val="00A245DF"/>
    <w:rsid w:val="00EF53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065CBD6"/>
  <w15:chartTrackingRefBased/>
  <w15:docId w15:val="{5E493546-ED44-487B-8B8E-1186FDEA1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070"/>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091070"/>
    <w:pPr>
      <w:tabs>
        <w:tab w:val="center" w:pos="4153"/>
        <w:tab w:val="right" w:pos="8306"/>
      </w:tabs>
    </w:pPr>
  </w:style>
  <w:style w:type="character" w:customStyle="1" w:styleId="a4">
    <w:name w:val="כותרת עליונה תו"/>
    <w:link w:val="a3"/>
    <w:rsid w:val="00091070"/>
    <w:rPr>
      <w:rFonts w:ascii="Times New Roman" w:eastAsia="Times New Roman" w:hAnsi="Times New Roman" w:cs="David"/>
      <w:sz w:val="24"/>
      <w:szCs w:val="24"/>
    </w:rPr>
  </w:style>
  <w:style w:type="paragraph" w:styleId="a5">
    <w:name w:val="footer"/>
    <w:basedOn w:val="a"/>
    <w:link w:val="a6"/>
    <w:rsid w:val="00091070"/>
    <w:pPr>
      <w:tabs>
        <w:tab w:val="center" w:pos="4153"/>
        <w:tab w:val="right" w:pos="8306"/>
      </w:tabs>
    </w:pPr>
  </w:style>
  <w:style w:type="character" w:customStyle="1" w:styleId="a6">
    <w:name w:val="כותרת תחתונה תו"/>
    <w:link w:val="a5"/>
    <w:rsid w:val="00091070"/>
    <w:rPr>
      <w:rFonts w:ascii="Times New Roman" w:eastAsia="Times New Roman" w:hAnsi="Times New Roman" w:cs="David"/>
      <w:sz w:val="24"/>
      <w:szCs w:val="24"/>
    </w:rPr>
  </w:style>
  <w:style w:type="table" w:styleId="a7">
    <w:name w:val="Table Grid"/>
    <w:basedOn w:val="a1"/>
    <w:rsid w:val="00091070"/>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091070"/>
  </w:style>
  <w:style w:type="character" w:styleId="Hyperlink">
    <w:name w:val="Hyperlink"/>
    <w:rsid w:val="001E3D24"/>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3" TargetMode="External"/><Relationship Id="rId13" Type="http://schemas.openxmlformats.org/officeDocument/2006/relationships/hyperlink" Target="http://www.nevo.co.il/law/4216/13;19.a" TargetMode="External"/><Relationship Id="rId18" Type="http://schemas.openxmlformats.org/officeDocument/2006/relationships/hyperlink" Target="http://www.nevo.co.il/case/13093721"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nevo.co.il/law/4216" TargetMode="External"/><Relationship Id="rId7" Type="http://schemas.openxmlformats.org/officeDocument/2006/relationships/hyperlink" Target="http://www.nevo.co.il/law/4216" TargetMode="External"/><Relationship Id="rId12" Type="http://schemas.openxmlformats.org/officeDocument/2006/relationships/hyperlink" Target="http://www.nevo.co.il/law/70301/40ja" TargetMode="External"/><Relationship Id="rId17" Type="http://schemas.openxmlformats.org/officeDocument/2006/relationships/hyperlink" Target="http://www.nevo.co.il/case/22240058"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40i"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i"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yperlink" Target="http://www.nevo.co.il/law/70301/40ja" TargetMode="External"/><Relationship Id="rId4" Type="http://schemas.openxmlformats.org/officeDocument/2006/relationships/webSettings" Target="webSettings.xml"/><Relationship Id="rId9" Type="http://schemas.openxmlformats.org/officeDocument/2006/relationships/hyperlink" Target="http://www.nevo.co.il/law/4216/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553999"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1764</Words>
  <Characters>8825</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10568</CharactersWithSpaces>
  <SharedDoc>false</SharedDoc>
  <HLinks>
    <vt:vector size="102" baseType="variant">
      <vt:variant>
        <vt:i4>393283</vt:i4>
      </vt:variant>
      <vt:variant>
        <vt:i4>48</vt:i4>
      </vt:variant>
      <vt:variant>
        <vt:i4>0</vt:i4>
      </vt:variant>
      <vt:variant>
        <vt:i4>5</vt:i4>
      </vt:variant>
      <vt:variant>
        <vt:lpwstr>http://www.nevo.co.il/advertisements/nevo-100.doc</vt:lpwstr>
      </vt:variant>
      <vt:variant>
        <vt:lpwstr/>
      </vt:variant>
      <vt:variant>
        <vt:i4>3997818</vt:i4>
      </vt:variant>
      <vt:variant>
        <vt:i4>45</vt:i4>
      </vt:variant>
      <vt:variant>
        <vt:i4>0</vt:i4>
      </vt:variant>
      <vt:variant>
        <vt:i4>5</vt:i4>
      </vt:variant>
      <vt:variant>
        <vt:lpwstr>http://www.nevo.co.il/case/22553999</vt:lpwstr>
      </vt:variant>
      <vt:variant>
        <vt:lpwstr/>
      </vt:variant>
      <vt:variant>
        <vt:i4>8257637</vt:i4>
      </vt:variant>
      <vt:variant>
        <vt:i4>42</vt:i4>
      </vt:variant>
      <vt:variant>
        <vt:i4>0</vt:i4>
      </vt:variant>
      <vt:variant>
        <vt:i4>5</vt:i4>
      </vt:variant>
      <vt:variant>
        <vt:lpwstr>http://www.nevo.co.il/law/4216</vt:lpwstr>
      </vt:variant>
      <vt:variant>
        <vt:lpwstr/>
      </vt:variant>
      <vt:variant>
        <vt:i4>7995492</vt:i4>
      </vt:variant>
      <vt:variant>
        <vt:i4>39</vt:i4>
      </vt:variant>
      <vt:variant>
        <vt:i4>0</vt:i4>
      </vt:variant>
      <vt:variant>
        <vt:i4>5</vt:i4>
      </vt:variant>
      <vt:variant>
        <vt:lpwstr>http://www.nevo.co.il/law/70301</vt:lpwstr>
      </vt:variant>
      <vt:variant>
        <vt:lpwstr/>
      </vt:variant>
      <vt:variant>
        <vt:i4>262155</vt:i4>
      </vt:variant>
      <vt:variant>
        <vt:i4>36</vt:i4>
      </vt:variant>
      <vt:variant>
        <vt:i4>0</vt:i4>
      </vt:variant>
      <vt:variant>
        <vt:i4>5</vt:i4>
      </vt:variant>
      <vt:variant>
        <vt:lpwstr>http://www.nevo.co.il/law/70301/40ja</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3473522</vt:i4>
      </vt:variant>
      <vt:variant>
        <vt:i4>30</vt:i4>
      </vt:variant>
      <vt:variant>
        <vt:i4>0</vt:i4>
      </vt:variant>
      <vt:variant>
        <vt:i4>5</vt:i4>
      </vt:variant>
      <vt:variant>
        <vt:lpwstr>http://www.nevo.co.il/case/22240058</vt:lpwstr>
      </vt:variant>
      <vt:variant>
        <vt:lpwstr/>
      </vt:variant>
      <vt:variant>
        <vt:i4>7995492</vt:i4>
      </vt:variant>
      <vt:variant>
        <vt:i4>27</vt:i4>
      </vt:variant>
      <vt:variant>
        <vt:i4>0</vt:i4>
      </vt:variant>
      <vt:variant>
        <vt:i4>5</vt:i4>
      </vt:variant>
      <vt:variant>
        <vt:lpwstr>http://www.nevo.co.il/law/70301</vt:lpwstr>
      </vt:variant>
      <vt:variant>
        <vt:lpwstr/>
      </vt:variant>
      <vt:variant>
        <vt:i4>6619233</vt:i4>
      </vt:variant>
      <vt:variant>
        <vt:i4>24</vt:i4>
      </vt:variant>
      <vt:variant>
        <vt:i4>0</vt:i4>
      </vt:variant>
      <vt:variant>
        <vt:i4>5</vt:i4>
      </vt:variant>
      <vt:variant>
        <vt:lpwstr>http://www.nevo.co.il/law/70301/40i</vt:lpwstr>
      </vt:variant>
      <vt:variant>
        <vt:lpwstr/>
      </vt:variant>
      <vt:variant>
        <vt:i4>8257637</vt:i4>
      </vt:variant>
      <vt:variant>
        <vt:i4>21</vt:i4>
      </vt:variant>
      <vt:variant>
        <vt:i4>0</vt:i4>
      </vt:variant>
      <vt:variant>
        <vt:i4>5</vt:i4>
      </vt:variant>
      <vt:variant>
        <vt:lpwstr>http://www.nevo.co.il/law/4216</vt:lpwstr>
      </vt:variant>
      <vt:variant>
        <vt:lpwstr/>
      </vt:variant>
      <vt:variant>
        <vt:i4>2883686</vt:i4>
      </vt:variant>
      <vt:variant>
        <vt:i4>18</vt:i4>
      </vt:variant>
      <vt:variant>
        <vt:i4>0</vt:i4>
      </vt:variant>
      <vt:variant>
        <vt:i4>5</vt:i4>
      </vt:variant>
      <vt:variant>
        <vt:lpwstr>http://www.nevo.co.il/law/4216/13;19.a</vt:lpwstr>
      </vt:variant>
      <vt:variant>
        <vt:lpwstr/>
      </vt:variant>
      <vt:variant>
        <vt:i4>262155</vt:i4>
      </vt:variant>
      <vt:variant>
        <vt:i4>15</vt:i4>
      </vt:variant>
      <vt:variant>
        <vt:i4>0</vt:i4>
      </vt:variant>
      <vt:variant>
        <vt:i4>5</vt:i4>
      </vt:variant>
      <vt:variant>
        <vt:lpwstr>http://www.nevo.co.il/law/70301/40ja</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7995492</vt:i4>
      </vt:variant>
      <vt:variant>
        <vt:i4>9</vt:i4>
      </vt:variant>
      <vt:variant>
        <vt:i4>0</vt:i4>
      </vt:variant>
      <vt:variant>
        <vt:i4>5</vt:i4>
      </vt:variant>
      <vt:variant>
        <vt:lpwstr>http://www.nevo.co.il/law/70301</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2025-04-22T23:23:00Z</dcterms:created>
  <dcterms:modified xsi:type="dcterms:W3CDTF">2025-04-22T23:23:00Z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45539</vt:lpwstr>
  </property>
  <property fmtid="{D5CDD505-2E9C-101B-9397-08002B2CF9AE}" pid="6" name="NEWPARTB">
    <vt:lpwstr>04</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מחמוד סאלח</vt:lpwstr>
  </property>
  <property fmtid="{D5CDD505-2E9C-101B-9397-08002B2CF9AE}" pid="10" name="LAWYER">
    <vt:lpwstr>אמיר נבון</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20190911</vt:lpwstr>
  </property>
  <property fmtid="{D5CDD505-2E9C-101B-9397-08002B2CF9AE}" pid="14" name="TYPE_N_DATE">
    <vt:lpwstr>38020190911</vt:lpwstr>
  </property>
  <property fmtid="{D5CDD505-2E9C-101B-9397-08002B2CF9AE}" pid="15" name="CASESLISTTMP1">
    <vt:lpwstr>22240058;13093721;22553999</vt:lpwstr>
  </property>
  <property fmtid="{D5CDD505-2E9C-101B-9397-08002B2CF9AE}" pid="16" name="CASENOTES1">
    <vt:lpwstr>ProcID=135&amp;PartA=11092&amp;PartB=11&amp;PartC=16</vt:lpwstr>
  </property>
  <property fmtid="{D5CDD505-2E9C-101B-9397-08002B2CF9AE}" pid="17" name="CASENOTES2">
    <vt:lpwstr>ProcID=135&amp;PartA=3175&amp;PartB=06&amp;PartC=18</vt:lpwstr>
  </property>
  <property fmtid="{D5CDD505-2E9C-101B-9397-08002B2CF9AE}" pid="18" name="CASENOTES3">
    <vt:lpwstr>ProcID=174;133;209&amp;PartA=3343&amp;PartC=07</vt:lpwstr>
  </property>
  <property fmtid="{D5CDD505-2E9C-101B-9397-08002B2CF9AE}" pid="19" name="WORDNUMPAGES">
    <vt:lpwstr>6</vt:lpwstr>
  </property>
  <property fmtid="{D5CDD505-2E9C-101B-9397-08002B2CF9AE}" pid="20" name="TYPE_ABS_DATE">
    <vt:lpwstr>380020190911</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4216/013;019.a</vt:lpwstr>
  </property>
  <property fmtid="{D5CDD505-2E9C-101B-9397-08002B2CF9AE}" pid="40" name="LAWLISTTMP2">
    <vt:lpwstr>70301/040i;40ja</vt:lpwstr>
  </property>
</Properties>
</file>