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71B97" w:rsidRPr="00437C61" w14:paraId="7C3A4A86" w14:textId="77777777" w:rsidTr="00BF484D">
        <w:trPr>
          <w:trHeight w:hRule="exact" w:val="418"/>
          <w:jc w:val="center"/>
        </w:trPr>
        <w:tc>
          <w:tcPr>
            <w:tcW w:w="8720" w:type="dxa"/>
            <w:gridSpan w:val="3"/>
          </w:tcPr>
          <w:p w14:paraId="192A0624" w14:textId="77777777" w:rsidR="00F71B97" w:rsidRPr="00437C61" w:rsidRDefault="00F71B97" w:rsidP="00BF484D">
            <w:pPr>
              <w:pStyle w:val="a3"/>
              <w:tabs>
                <w:tab w:val="clear" w:pos="8306"/>
              </w:tabs>
              <w:jc w:val="center"/>
              <w:rPr>
                <w:rFonts w:ascii="Tahoma" w:hAnsi="Tahoma" w:cs="Tahoma"/>
                <w:b/>
                <w:bCs/>
                <w:color w:val="000080"/>
                <w:sz w:val="20"/>
                <w:szCs w:val="20"/>
                <w:rtl/>
              </w:rPr>
            </w:pPr>
            <w:bookmarkStart w:id="0" w:name="LastJudge"/>
            <w:r w:rsidRPr="00437C61">
              <w:rPr>
                <w:rFonts w:ascii="Tahoma" w:hAnsi="Tahoma" w:cs="Tahoma"/>
                <w:b/>
                <w:bCs/>
                <w:color w:val="000080"/>
                <w:sz w:val="20"/>
                <w:szCs w:val="20"/>
                <w:rtl/>
              </w:rPr>
              <w:t>בית משפט השלום בבאר שבע</w:t>
            </w:r>
          </w:p>
        </w:tc>
      </w:tr>
      <w:tr w:rsidR="00F71B97" w:rsidRPr="00437C61" w14:paraId="2E1BB8B6" w14:textId="77777777" w:rsidTr="00BF484D">
        <w:trPr>
          <w:trHeight w:val="337"/>
          <w:jc w:val="center"/>
        </w:trPr>
        <w:tc>
          <w:tcPr>
            <w:tcW w:w="6396" w:type="dxa"/>
          </w:tcPr>
          <w:p w14:paraId="6349E067" w14:textId="77777777" w:rsidR="00F71B97" w:rsidRPr="00437C61" w:rsidRDefault="00F71B97" w:rsidP="00BF484D">
            <w:pPr>
              <w:rPr>
                <w:b/>
                <w:bCs/>
                <w:sz w:val="26"/>
                <w:szCs w:val="26"/>
                <w:rtl/>
              </w:rPr>
            </w:pPr>
            <w:r w:rsidRPr="00437C61">
              <w:rPr>
                <w:b/>
                <w:bCs/>
                <w:sz w:val="26"/>
                <w:szCs w:val="26"/>
                <w:rtl/>
              </w:rPr>
              <w:t>ת"פ</w:t>
            </w:r>
            <w:r w:rsidRPr="00437C61">
              <w:rPr>
                <w:rFonts w:hint="cs"/>
                <w:b/>
                <w:bCs/>
                <w:sz w:val="26"/>
                <w:szCs w:val="26"/>
                <w:rtl/>
              </w:rPr>
              <w:t xml:space="preserve"> </w:t>
            </w:r>
            <w:r w:rsidRPr="00437C61">
              <w:rPr>
                <w:b/>
                <w:bCs/>
                <w:sz w:val="26"/>
                <w:szCs w:val="26"/>
                <w:rtl/>
              </w:rPr>
              <w:t>26647-05-17</w:t>
            </w:r>
            <w:r w:rsidRPr="00437C61">
              <w:rPr>
                <w:rFonts w:hint="cs"/>
                <w:b/>
                <w:bCs/>
                <w:sz w:val="26"/>
                <w:szCs w:val="26"/>
                <w:rtl/>
              </w:rPr>
              <w:t xml:space="preserve"> </w:t>
            </w:r>
            <w:r w:rsidRPr="00437C61">
              <w:rPr>
                <w:b/>
                <w:bCs/>
                <w:sz w:val="26"/>
                <w:szCs w:val="26"/>
                <w:rtl/>
              </w:rPr>
              <w:t>מדינת ישראל נ' אבו רקייק(עציר)</w:t>
            </w:r>
          </w:p>
          <w:p w14:paraId="2432B4A6" w14:textId="77777777" w:rsidR="00F71B97" w:rsidRPr="00437C61" w:rsidRDefault="00F71B97" w:rsidP="00BF484D">
            <w:pPr>
              <w:rPr>
                <w:b/>
                <w:bCs/>
                <w:sz w:val="26"/>
                <w:szCs w:val="26"/>
                <w:rtl/>
              </w:rPr>
            </w:pPr>
          </w:p>
        </w:tc>
        <w:tc>
          <w:tcPr>
            <w:tcW w:w="236" w:type="dxa"/>
          </w:tcPr>
          <w:p w14:paraId="484906FE" w14:textId="77777777" w:rsidR="00F71B97" w:rsidRPr="00437C61" w:rsidRDefault="00F71B97" w:rsidP="00BF484D">
            <w:pPr>
              <w:pStyle w:val="a3"/>
              <w:jc w:val="right"/>
              <w:rPr>
                <w:b/>
                <w:bCs/>
                <w:sz w:val="26"/>
                <w:szCs w:val="26"/>
                <w:rtl/>
              </w:rPr>
            </w:pPr>
          </w:p>
        </w:tc>
        <w:tc>
          <w:tcPr>
            <w:tcW w:w="2088" w:type="dxa"/>
          </w:tcPr>
          <w:p w14:paraId="349E0B13" w14:textId="77777777" w:rsidR="00F71B97" w:rsidRPr="00437C61" w:rsidRDefault="00F71B97" w:rsidP="00BF484D">
            <w:pPr>
              <w:pStyle w:val="a3"/>
              <w:tabs>
                <w:tab w:val="clear" w:pos="4153"/>
              </w:tabs>
              <w:jc w:val="right"/>
              <w:rPr>
                <w:b/>
                <w:bCs/>
                <w:sz w:val="26"/>
                <w:szCs w:val="26"/>
                <w:rtl/>
              </w:rPr>
            </w:pPr>
            <w:r w:rsidRPr="00437C61">
              <w:rPr>
                <w:b/>
                <w:bCs/>
                <w:sz w:val="26"/>
                <w:szCs w:val="26"/>
                <w:rtl/>
              </w:rPr>
              <w:t>11 יולי 2017</w:t>
            </w:r>
          </w:p>
        </w:tc>
      </w:tr>
    </w:tbl>
    <w:p w14:paraId="7889EBAA" w14:textId="77777777" w:rsidR="00F71B97" w:rsidRPr="00437C61" w:rsidRDefault="00F71B97" w:rsidP="00F71B97">
      <w:pPr>
        <w:pStyle w:val="a3"/>
        <w:jc w:val="center"/>
        <w:rPr>
          <w:rFonts w:ascii="Tahoma" w:hAnsi="Tahoma" w:cs="Tahoma"/>
          <w:b/>
          <w:bCs/>
          <w:color w:val="000080"/>
          <w:sz w:val="20"/>
          <w:szCs w:val="20"/>
          <w:rtl/>
        </w:rPr>
      </w:pPr>
    </w:p>
    <w:p w14:paraId="5E22D8E2" w14:textId="77777777" w:rsidR="00F71B97" w:rsidRPr="00437C61" w:rsidRDefault="00F71B97" w:rsidP="00F71B97">
      <w:pPr>
        <w:suppressLineNumbers/>
        <w:spacing w:line="360" w:lineRule="auto"/>
        <w:jc w:val="both"/>
        <w:rPr>
          <w:rtl/>
        </w:rPr>
      </w:pPr>
      <w:r w:rsidRPr="00437C61">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BF484D" w:rsidRPr="00437C61" w14:paraId="38A7D9E0" w14:textId="77777777" w:rsidTr="00F71B97">
        <w:trPr>
          <w:gridAfter w:val="1"/>
          <w:wAfter w:w="56" w:type="dxa"/>
        </w:trPr>
        <w:tc>
          <w:tcPr>
            <w:tcW w:w="8718" w:type="dxa"/>
            <w:gridSpan w:val="2"/>
            <w:shd w:val="clear" w:color="auto" w:fill="auto"/>
          </w:tcPr>
          <w:p w14:paraId="79E74751" w14:textId="77777777" w:rsidR="00F71B97" w:rsidRPr="00437C61" w:rsidRDefault="00F71B97" w:rsidP="00BF484D">
            <w:pPr>
              <w:rPr>
                <w:b/>
                <w:bCs/>
                <w:sz w:val="26"/>
                <w:szCs w:val="26"/>
                <w:rtl/>
              </w:rPr>
            </w:pPr>
            <w:r w:rsidRPr="00437C61">
              <w:rPr>
                <w:rFonts w:hint="cs"/>
                <w:b/>
                <w:bCs/>
                <w:sz w:val="26"/>
                <w:szCs w:val="26"/>
                <w:rtl/>
              </w:rPr>
              <w:t>לפני כבוד ה</w:t>
            </w:r>
            <w:r w:rsidRPr="00437C61">
              <w:rPr>
                <w:b/>
                <w:bCs/>
                <w:sz w:val="26"/>
                <w:szCs w:val="26"/>
                <w:rtl/>
              </w:rPr>
              <w:t>שופט דניאל בן טולילה</w:t>
            </w:r>
            <w:r w:rsidRPr="00437C61">
              <w:rPr>
                <w:rStyle w:val="TimesNewRomanTimesNewRoman"/>
                <w:rtl/>
              </w:rPr>
              <w:t xml:space="preserve"> </w:t>
            </w:r>
          </w:p>
        </w:tc>
      </w:tr>
      <w:tr w:rsidR="00BF484D" w:rsidRPr="00437C61" w14:paraId="4F19C0FF" w14:textId="77777777" w:rsidTr="00F71B97">
        <w:trPr>
          <w:cantSplit/>
          <w:trHeight w:val="724"/>
        </w:trPr>
        <w:tc>
          <w:tcPr>
            <w:tcW w:w="2880" w:type="dxa"/>
            <w:shd w:val="clear" w:color="auto" w:fill="auto"/>
          </w:tcPr>
          <w:p w14:paraId="1A5E2C23" w14:textId="77777777" w:rsidR="00F71B97" w:rsidRPr="00437C61" w:rsidRDefault="00F71B97" w:rsidP="00F71B97">
            <w:pPr>
              <w:ind w:left="26"/>
              <w:rPr>
                <w:b/>
                <w:bCs/>
                <w:sz w:val="26"/>
                <w:szCs w:val="26"/>
                <w:rtl/>
              </w:rPr>
            </w:pPr>
            <w:bookmarkStart w:id="1" w:name="FirstAppellant"/>
            <w:bookmarkStart w:id="2" w:name="FirstLawyer"/>
          </w:p>
          <w:p w14:paraId="29CFF250" w14:textId="77777777" w:rsidR="00F71B97" w:rsidRPr="00437C61" w:rsidRDefault="00F71B97" w:rsidP="00F71B97">
            <w:pPr>
              <w:ind w:left="26"/>
              <w:rPr>
                <w:b/>
                <w:bCs/>
                <w:sz w:val="26"/>
                <w:szCs w:val="26"/>
                <w:rtl/>
              </w:rPr>
            </w:pPr>
            <w:r w:rsidRPr="00437C61">
              <w:rPr>
                <w:rFonts w:hint="cs"/>
                <w:b/>
                <w:bCs/>
                <w:sz w:val="26"/>
                <w:szCs w:val="26"/>
                <w:rtl/>
              </w:rPr>
              <w:t>ה</w:t>
            </w:r>
            <w:r w:rsidRPr="00437C61">
              <w:rPr>
                <w:b/>
                <w:bCs/>
                <w:sz w:val="26"/>
                <w:szCs w:val="26"/>
                <w:rtl/>
              </w:rPr>
              <w:t>מאשימה</w:t>
            </w:r>
          </w:p>
        </w:tc>
        <w:tc>
          <w:tcPr>
            <w:tcW w:w="5922" w:type="dxa"/>
            <w:gridSpan w:val="2"/>
            <w:shd w:val="clear" w:color="auto" w:fill="auto"/>
          </w:tcPr>
          <w:p w14:paraId="298FB85D" w14:textId="77777777" w:rsidR="00F71B97" w:rsidRPr="00437C61" w:rsidRDefault="00F71B97" w:rsidP="00BF484D">
            <w:pPr>
              <w:rPr>
                <w:rtl/>
              </w:rPr>
            </w:pPr>
          </w:p>
          <w:p w14:paraId="09A07E56" w14:textId="77777777" w:rsidR="00F71B97" w:rsidRPr="00437C61" w:rsidRDefault="00F71B97" w:rsidP="00BF484D">
            <w:pPr>
              <w:rPr>
                <w:b/>
                <w:bCs/>
                <w:sz w:val="26"/>
                <w:szCs w:val="26"/>
                <w:rtl/>
              </w:rPr>
            </w:pPr>
            <w:r w:rsidRPr="00437C61">
              <w:rPr>
                <w:rFonts w:hint="cs"/>
                <w:rtl/>
              </w:rPr>
              <w:t xml:space="preserve"> </w:t>
            </w:r>
            <w:r w:rsidRPr="00437C61">
              <w:rPr>
                <w:b/>
                <w:bCs/>
                <w:sz w:val="26"/>
                <w:szCs w:val="26"/>
                <w:rtl/>
              </w:rPr>
              <w:t>מדינת ישראל</w:t>
            </w:r>
          </w:p>
          <w:p w14:paraId="6D1B65B5" w14:textId="77777777" w:rsidR="00F71B97" w:rsidRPr="00437C61" w:rsidRDefault="00F71B97" w:rsidP="00BF484D">
            <w:pPr>
              <w:rPr>
                <w:b/>
                <w:bCs/>
                <w:sz w:val="26"/>
                <w:szCs w:val="26"/>
                <w:rtl/>
              </w:rPr>
            </w:pPr>
            <w:r w:rsidRPr="00437C61">
              <w:rPr>
                <w:rFonts w:hint="cs"/>
                <w:b/>
                <w:bCs/>
                <w:sz w:val="26"/>
                <w:szCs w:val="26"/>
                <w:rtl/>
              </w:rPr>
              <w:t>ע"י ב"כ עו"ד כרמית כהן</w:t>
            </w:r>
          </w:p>
        </w:tc>
      </w:tr>
      <w:bookmarkEnd w:id="1"/>
      <w:bookmarkEnd w:id="2"/>
      <w:tr w:rsidR="00BF484D" w:rsidRPr="00437C61" w14:paraId="2B5FE89A" w14:textId="77777777" w:rsidTr="00F71B97">
        <w:tc>
          <w:tcPr>
            <w:tcW w:w="8802" w:type="dxa"/>
            <w:gridSpan w:val="3"/>
            <w:shd w:val="clear" w:color="auto" w:fill="auto"/>
            <w:vAlign w:val="center"/>
          </w:tcPr>
          <w:p w14:paraId="2A0DD460" w14:textId="77777777" w:rsidR="00F71B97" w:rsidRPr="00437C61" w:rsidRDefault="00F71B97" w:rsidP="00F71B97">
            <w:pPr>
              <w:jc w:val="center"/>
              <w:rPr>
                <w:rFonts w:ascii="Arial" w:hAnsi="Arial"/>
                <w:b/>
                <w:bCs/>
                <w:sz w:val="26"/>
                <w:szCs w:val="26"/>
                <w:rtl/>
              </w:rPr>
            </w:pPr>
          </w:p>
          <w:p w14:paraId="6F992344" w14:textId="77777777" w:rsidR="00F71B97" w:rsidRPr="00437C61" w:rsidRDefault="00F71B97" w:rsidP="00F71B97">
            <w:pPr>
              <w:jc w:val="center"/>
              <w:rPr>
                <w:rFonts w:ascii="Arial" w:hAnsi="Arial"/>
                <w:b/>
                <w:bCs/>
                <w:sz w:val="26"/>
                <w:szCs w:val="26"/>
                <w:rtl/>
              </w:rPr>
            </w:pPr>
            <w:r w:rsidRPr="00437C61">
              <w:rPr>
                <w:rFonts w:ascii="Arial" w:hAnsi="Arial"/>
                <w:b/>
                <w:bCs/>
                <w:sz w:val="26"/>
                <w:szCs w:val="26"/>
                <w:rtl/>
              </w:rPr>
              <w:t>נגד</w:t>
            </w:r>
          </w:p>
          <w:p w14:paraId="60EAD0FA" w14:textId="77777777" w:rsidR="00F71B97" w:rsidRPr="00437C61" w:rsidRDefault="00F71B97" w:rsidP="00BF484D">
            <w:pPr>
              <w:rPr>
                <w:rFonts w:ascii="Arial" w:hAnsi="Arial"/>
                <w:b/>
                <w:bCs/>
                <w:sz w:val="26"/>
                <w:szCs w:val="26"/>
              </w:rPr>
            </w:pPr>
          </w:p>
        </w:tc>
      </w:tr>
      <w:tr w:rsidR="00BF484D" w:rsidRPr="00437C61" w14:paraId="0450C18C" w14:textId="77777777" w:rsidTr="00F71B97">
        <w:tc>
          <w:tcPr>
            <w:tcW w:w="2880" w:type="dxa"/>
            <w:shd w:val="clear" w:color="auto" w:fill="auto"/>
          </w:tcPr>
          <w:p w14:paraId="196B375C" w14:textId="77777777" w:rsidR="00F71B97" w:rsidRPr="00437C61" w:rsidRDefault="00F71B97" w:rsidP="00F71B97">
            <w:pPr>
              <w:ind w:left="26"/>
              <w:rPr>
                <w:b/>
                <w:bCs/>
                <w:sz w:val="26"/>
                <w:szCs w:val="26"/>
                <w:rtl/>
              </w:rPr>
            </w:pPr>
            <w:r w:rsidRPr="00437C61">
              <w:rPr>
                <w:rFonts w:hint="cs"/>
                <w:b/>
                <w:bCs/>
                <w:sz w:val="26"/>
                <w:szCs w:val="26"/>
                <w:rtl/>
              </w:rPr>
              <w:t>ה</w:t>
            </w:r>
            <w:r w:rsidRPr="00437C61">
              <w:rPr>
                <w:b/>
                <w:bCs/>
                <w:sz w:val="26"/>
                <w:szCs w:val="26"/>
                <w:rtl/>
              </w:rPr>
              <w:t>נאש</w:t>
            </w:r>
            <w:r w:rsidRPr="00437C61">
              <w:rPr>
                <w:rFonts w:hint="cs"/>
                <w:b/>
                <w:bCs/>
                <w:sz w:val="26"/>
                <w:szCs w:val="26"/>
                <w:rtl/>
              </w:rPr>
              <w:t>ם</w:t>
            </w:r>
          </w:p>
        </w:tc>
        <w:tc>
          <w:tcPr>
            <w:tcW w:w="5922" w:type="dxa"/>
            <w:gridSpan w:val="2"/>
            <w:shd w:val="clear" w:color="auto" w:fill="auto"/>
          </w:tcPr>
          <w:p w14:paraId="41378EFA" w14:textId="77777777" w:rsidR="00F71B97" w:rsidRPr="00437C61" w:rsidRDefault="00F71B97" w:rsidP="007249C9">
            <w:pPr>
              <w:rPr>
                <w:b/>
                <w:bCs/>
                <w:sz w:val="26"/>
                <w:szCs w:val="26"/>
                <w:rtl/>
              </w:rPr>
            </w:pPr>
            <w:r w:rsidRPr="00437C61">
              <w:rPr>
                <w:rFonts w:hint="cs"/>
                <w:rtl/>
              </w:rPr>
              <w:t xml:space="preserve"> </w:t>
            </w:r>
            <w:r w:rsidRPr="00437C61">
              <w:rPr>
                <w:b/>
                <w:bCs/>
                <w:sz w:val="26"/>
                <w:szCs w:val="26"/>
                <w:rtl/>
              </w:rPr>
              <w:t>נדאל אבו רקייק (עציר)</w:t>
            </w:r>
            <w:r w:rsidRPr="00437C61">
              <w:rPr>
                <w:rFonts w:hint="cs"/>
                <w:rtl/>
              </w:rPr>
              <w:t xml:space="preserve"> </w:t>
            </w:r>
            <w:r w:rsidRPr="00437C61">
              <w:rPr>
                <w:rFonts w:hint="cs"/>
                <w:b/>
                <w:bCs/>
                <w:sz w:val="26"/>
                <w:szCs w:val="26"/>
                <w:rtl/>
              </w:rPr>
              <w:t>בעצמו</w:t>
            </w:r>
          </w:p>
          <w:p w14:paraId="0B74DC66" w14:textId="77777777" w:rsidR="00F71B97" w:rsidRPr="00437C61" w:rsidRDefault="00F71B97" w:rsidP="00BF484D">
            <w:pPr>
              <w:rPr>
                <w:b/>
                <w:bCs/>
                <w:sz w:val="26"/>
                <w:szCs w:val="26"/>
                <w:rtl/>
              </w:rPr>
            </w:pPr>
            <w:r w:rsidRPr="00437C61">
              <w:rPr>
                <w:rFonts w:hint="cs"/>
                <w:b/>
                <w:bCs/>
                <w:sz w:val="26"/>
                <w:szCs w:val="26"/>
                <w:rtl/>
              </w:rPr>
              <w:t>ע"י ב"כ עו"ד ברגר</w:t>
            </w:r>
          </w:p>
          <w:p w14:paraId="1D37E4C9" w14:textId="77777777" w:rsidR="00F71B97" w:rsidRPr="00437C61" w:rsidRDefault="00F71B97" w:rsidP="00BF484D">
            <w:pPr>
              <w:rPr>
                <w:b/>
                <w:bCs/>
                <w:sz w:val="26"/>
                <w:szCs w:val="26"/>
                <w:rtl/>
              </w:rPr>
            </w:pPr>
          </w:p>
        </w:tc>
      </w:tr>
    </w:tbl>
    <w:p w14:paraId="291DD920" w14:textId="77777777" w:rsidR="007249C9" w:rsidRPr="007249C9" w:rsidRDefault="007249C9" w:rsidP="007249C9">
      <w:pPr>
        <w:spacing w:after="120" w:line="240" w:lineRule="exact"/>
        <w:ind w:left="283" w:hanging="283"/>
        <w:jc w:val="both"/>
        <w:rPr>
          <w:rFonts w:ascii="FrankRuehl" w:hAnsi="FrankRuehl" w:cs="FrankRuehl"/>
          <w:rtl/>
        </w:rPr>
      </w:pPr>
      <w:bookmarkStart w:id="3" w:name="LawTable"/>
      <w:bookmarkEnd w:id="3"/>
    </w:p>
    <w:p w14:paraId="791F5C1D" w14:textId="77777777" w:rsidR="007249C9" w:rsidRPr="007249C9" w:rsidRDefault="007249C9" w:rsidP="007249C9">
      <w:pPr>
        <w:spacing w:after="120" w:line="240" w:lineRule="exact"/>
        <w:ind w:left="283" w:hanging="283"/>
        <w:jc w:val="both"/>
        <w:rPr>
          <w:rFonts w:ascii="FrankRuehl" w:hAnsi="FrankRuehl" w:cs="FrankRuehl"/>
          <w:rtl/>
        </w:rPr>
      </w:pPr>
      <w:r w:rsidRPr="007249C9">
        <w:rPr>
          <w:rFonts w:ascii="FrankRuehl" w:hAnsi="FrankRuehl" w:cs="FrankRuehl"/>
          <w:rtl/>
        </w:rPr>
        <w:t xml:space="preserve">חקיקה שאוזכרה: </w:t>
      </w:r>
    </w:p>
    <w:p w14:paraId="431DCD48" w14:textId="77777777" w:rsidR="007249C9" w:rsidRPr="007249C9" w:rsidRDefault="007249C9" w:rsidP="007249C9">
      <w:pPr>
        <w:spacing w:after="120" w:line="240" w:lineRule="exact"/>
        <w:ind w:left="283" w:hanging="283"/>
        <w:jc w:val="both"/>
        <w:rPr>
          <w:rFonts w:ascii="FrankRuehl" w:hAnsi="FrankRuehl" w:cs="FrankRuehl"/>
          <w:rtl/>
        </w:rPr>
      </w:pPr>
      <w:hyperlink r:id="rId6" w:history="1">
        <w:r w:rsidRPr="007249C9">
          <w:rPr>
            <w:rFonts w:ascii="FrankRuehl" w:hAnsi="FrankRuehl" w:cs="FrankRuehl"/>
            <w:color w:val="0000FF"/>
            <w:u w:val="single"/>
            <w:rtl/>
          </w:rPr>
          <w:t>חוק העונשין, תשל"ז-1977</w:t>
        </w:r>
      </w:hyperlink>
      <w:r w:rsidRPr="007249C9">
        <w:rPr>
          <w:rFonts w:ascii="FrankRuehl" w:hAnsi="FrankRuehl" w:cs="FrankRuehl"/>
          <w:rtl/>
        </w:rPr>
        <w:t xml:space="preserve">: סע'  </w:t>
      </w:r>
      <w:hyperlink r:id="rId7" w:history="1">
        <w:r w:rsidRPr="007249C9">
          <w:rPr>
            <w:rFonts w:ascii="FrankRuehl" w:hAnsi="FrankRuehl" w:cs="FrankRuehl"/>
            <w:color w:val="0000FF"/>
            <w:u w:val="single"/>
            <w:rtl/>
          </w:rPr>
          <w:t>40ג(א)</w:t>
        </w:r>
      </w:hyperlink>
    </w:p>
    <w:p w14:paraId="695909A9" w14:textId="77777777" w:rsidR="007249C9" w:rsidRPr="007249C9" w:rsidRDefault="007249C9" w:rsidP="007249C9">
      <w:pPr>
        <w:spacing w:after="120" w:line="240" w:lineRule="exact"/>
        <w:ind w:left="283" w:hanging="283"/>
        <w:jc w:val="both"/>
        <w:rPr>
          <w:rFonts w:ascii="FrankRuehl" w:hAnsi="FrankRuehl" w:cs="FrankRuehl"/>
          <w:rtl/>
        </w:rPr>
      </w:pPr>
      <w:hyperlink r:id="rId8" w:history="1">
        <w:r w:rsidRPr="007249C9">
          <w:rPr>
            <w:rFonts w:ascii="FrankRuehl" w:hAnsi="FrankRuehl" w:cs="FrankRuehl"/>
            <w:color w:val="0000FF"/>
            <w:u w:val="single"/>
            <w:rtl/>
          </w:rPr>
          <w:t>פקודת הסמים המסוכנים [נוסח חדש], תשל"ג-1973</w:t>
        </w:r>
      </w:hyperlink>
    </w:p>
    <w:p w14:paraId="17D495AD" w14:textId="77777777" w:rsidR="007249C9" w:rsidRPr="007249C9" w:rsidRDefault="007249C9" w:rsidP="007249C9">
      <w:pPr>
        <w:spacing w:after="120" w:line="240" w:lineRule="exact"/>
        <w:ind w:left="283" w:hanging="283"/>
        <w:jc w:val="both"/>
        <w:rPr>
          <w:rFonts w:ascii="FrankRuehl" w:hAnsi="FrankRuehl" w:cs="FrankRuehl"/>
          <w:rtl/>
        </w:rPr>
      </w:pPr>
    </w:p>
    <w:p w14:paraId="517EDC4C" w14:textId="77777777" w:rsidR="00437C61" w:rsidRPr="00437C61" w:rsidRDefault="00437C61" w:rsidP="00437C61">
      <w:pPr>
        <w:spacing w:after="120" w:line="240" w:lineRule="exact"/>
        <w:ind w:left="283" w:hanging="283"/>
        <w:jc w:val="both"/>
        <w:rPr>
          <w:rFonts w:ascii="FrankRuehl" w:hAnsi="FrankRuehl" w:cs="FrankRuehl"/>
          <w:rtl/>
        </w:rPr>
      </w:pPr>
      <w:bookmarkStart w:id="4" w:name="LawTable_End"/>
      <w:bookmarkEnd w:id="4"/>
    </w:p>
    <w:p w14:paraId="0AD63045" w14:textId="77777777" w:rsidR="00437C61" w:rsidRPr="00437C61" w:rsidRDefault="00437C61" w:rsidP="00F71B97">
      <w:pPr>
        <w:spacing w:line="360" w:lineRule="auto"/>
        <w:jc w:val="center"/>
        <w:rPr>
          <w:rFonts w:ascii="Arial" w:hAnsi="Arial"/>
          <w:sz w:val="28"/>
          <w:szCs w:val="28"/>
          <w:rtl/>
        </w:rPr>
      </w:pPr>
    </w:p>
    <w:p w14:paraId="560686AE" w14:textId="77777777" w:rsidR="00437C61" w:rsidRPr="00437C61" w:rsidRDefault="00437C61" w:rsidP="00437C61">
      <w:pPr>
        <w:jc w:val="center"/>
        <w:rPr>
          <w:rFonts w:ascii="Arial" w:hAnsi="Arial"/>
          <w:b/>
          <w:bCs/>
          <w:sz w:val="28"/>
          <w:szCs w:val="28"/>
          <w:u w:val="single"/>
          <w:rtl/>
        </w:rPr>
      </w:pPr>
      <w:bookmarkStart w:id="5" w:name="PsakDin"/>
      <w:bookmarkEnd w:id="0"/>
      <w:r w:rsidRPr="00437C61">
        <w:rPr>
          <w:rFonts w:ascii="Arial" w:hAnsi="Arial"/>
          <w:b/>
          <w:bCs/>
          <w:sz w:val="28"/>
          <w:szCs w:val="28"/>
          <w:u w:val="single"/>
          <w:rtl/>
        </w:rPr>
        <w:t>גזר דין</w:t>
      </w:r>
    </w:p>
    <w:bookmarkEnd w:id="5"/>
    <w:p w14:paraId="5369A337" w14:textId="77777777" w:rsidR="00F71B97" w:rsidRDefault="00F71B97" w:rsidP="00F71B97">
      <w:pPr>
        <w:rPr>
          <w:rFonts w:ascii="Arial" w:hAnsi="Arial" w:cs="FrankRuehl"/>
          <w:noProof/>
          <w:sz w:val="28"/>
          <w:szCs w:val="28"/>
          <w:rtl/>
        </w:rPr>
      </w:pPr>
    </w:p>
    <w:p w14:paraId="16A7654D" w14:textId="77777777" w:rsidR="00F71B97" w:rsidRDefault="00F71B97" w:rsidP="00F71B97">
      <w:pPr>
        <w:rPr>
          <w:rFonts w:ascii="Arial" w:hAnsi="Arial" w:cs="FrankRuehl"/>
          <w:sz w:val="28"/>
          <w:szCs w:val="28"/>
          <w:rtl/>
        </w:rPr>
      </w:pPr>
    </w:p>
    <w:p w14:paraId="2EE5F92A" w14:textId="77777777" w:rsidR="00F71B97" w:rsidRDefault="00F71B97" w:rsidP="00F71B97">
      <w:pPr>
        <w:spacing w:line="360" w:lineRule="auto"/>
        <w:jc w:val="both"/>
        <w:rPr>
          <w:rFonts w:ascii="Times New Roman" w:hAnsi="Times New Roman"/>
          <w:rtl/>
        </w:rPr>
      </w:pPr>
      <w:bookmarkStart w:id="6" w:name="ABSTRACT_START"/>
      <w:bookmarkEnd w:id="6"/>
      <w:r>
        <w:rPr>
          <w:rFonts w:hint="cs"/>
          <w:rtl/>
        </w:rPr>
        <w:t>הנאשם הורשע על פי הודאתו בעובדות כתב אישום מתוקן בעבירה של החזקת סם שלא לצריכה עצמית ובריחה ממשמורת חוקית. על פי המתואר, בעובדות כתב האישום המתוקן ביום 3.5.17, בסמוך לשעה 12:54, ברחוב האצל בבאר שבע, החזיק הנאשם ברכבו סם מסוכן מסוג חשיש במשקל של 20 גרם נטו וסם מסוג הרואין במשקל 4.8 גרם נטו, שלא לצריכתו העצמית.</w:t>
      </w:r>
    </w:p>
    <w:p w14:paraId="479490F5" w14:textId="77777777" w:rsidR="00F71B97" w:rsidRDefault="00F71B97" w:rsidP="00F71B97">
      <w:pPr>
        <w:spacing w:line="360" w:lineRule="auto"/>
        <w:jc w:val="both"/>
        <w:rPr>
          <w:rtl/>
        </w:rPr>
      </w:pPr>
      <w:bookmarkStart w:id="7" w:name="ABSTRACT_END"/>
      <w:bookmarkEnd w:id="7"/>
    </w:p>
    <w:p w14:paraId="2989D289" w14:textId="77777777" w:rsidR="00F71B97" w:rsidRDefault="00F71B97" w:rsidP="00F71B97">
      <w:pPr>
        <w:spacing w:line="360" w:lineRule="auto"/>
        <w:jc w:val="both"/>
        <w:rPr>
          <w:rtl/>
        </w:rPr>
      </w:pPr>
      <w:r>
        <w:rPr>
          <w:rFonts w:hint="cs"/>
          <w:rtl/>
        </w:rPr>
        <w:t xml:space="preserve">עוד מתואר, כי במעמד האמור לעיל, כשהבחין הנאשם בשוטרים מוצאים את הסם במהלך החיפוש שערכו ברכב, זה נמלט מהמקום ובכך ברח ממשמורת חוקית. </w:t>
      </w:r>
    </w:p>
    <w:p w14:paraId="275E88D8" w14:textId="77777777" w:rsidR="00F71B97" w:rsidRDefault="00F71B97" w:rsidP="00F71B97">
      <w:pPr>
        <w:spacing w:line="360" w:lineRule="auto"/>
        <w:jc w:val="both"/>
        <w:rPr>
          <w:rtl/>
        </w:rPr>
      </w:pPr>
    </w:p>
    <w:p w14:paraId="70B48D59" w14:textId="77777777" w:rsidR="00F71B97" w:rsidRDefault="00F71B97" w:rsidP="00F71B97">
      <w:pPr>
        <w:spacing w:line="360" w:lineRule="auto"/>
        <w:jc w:val="both"/>
        <w:rPr>
          <w:rtl/>
        </w:rPr>
      </w:pPr>
      <w:r>
        <w:rPr>
          <w:rFonts w:hint="cs"/>
          <w:rtl/>
        </w:rPr>
        <w:t xml:space="preserve">במסגרת ההסדר, בין הצדדים לא הייתה הסגכמה לעניין העונש וכל צד היה חופשי בטיעוניו וזאת למעט רכיב קנס מוסכם בסך 7,500 ₪ והשבת הרכב בו נתפסו הסמים לידי בעליו. </w:t>
      </w:r>
    </w:p>
    <w:p w14:paraId="599F8917" w14:textId="77777777" w:rsidR="00F71B97" w:rsidRDefault="00F71B97" w:rsidP="00F71B97">
      <w:pPr>
        <w:spacing w:line="360" w:lineRule="auto"/>
        <w:jc w:val="both"/>
        <w:rPr>
          <w:rtl/>
        </w:rPr>
      </w:pPr>
    </w:p>
    <w:p w14:paraId="585B17A3" w14:textId="77777777" w:rsidR="00F71B97" w:rsidRDefault="00F71B97" w:rsidP="00F71B97">
      <w:pPr>
        <w:spacing w:line="360" w:lineRule="auto"/>
        <w:jc w:val="both"/>
        <w:rPr>
          <w:rtl/>
        </w:rPr>
      </w:pPr>
      <w:r>
        <w:rPr>
          <w:rFonts w:hint="cs"/>
          <w:rtl/>
        </w:rPr>
        <w:t xml:space="preserve">ב"כ המאשימה במסגרת טיעוניה הכתובים הפנתה לערכים המוגנים בהם פגע הנאשם, בראשם בריאות הציבור, הסדר הציבורי וכיבוד צווים שיפוטיים. זו הפנתה לחומרא הגלומה במעשיו, בדגש על החזקת שני סוגי סמים, כמותם ופוטנציאל הנזק הגלום בהם בפרט, כאשר נמצאו ברכבו של הנאשם, בדרכם לצרכנים השונים. זו עתרה למתחם עונש כולל הנע בין 8 ל-18 חודשים מאסר </w:t>
      </w:r>
      <w:r>
        <w:rPr>
          <w:rFonts w:hint="cs"/>
          <w:rtl/>
        </w:rPr>
        <w:lastRenderedPageBreak/>
        <w:t xml:space="preserve">בפועל, בגדרו ביקשה לתת משקל לעברו הפלילי, הכולל הרשעה קודמת שעניינה תקיפת שוטר והפרעה לשוטר, דבר המחזק את העדר מורא של הנאשם מן החוק וגורמי אכיפת החוק. </w:t>
      </w:r>
    </w:p>
    <w:p w14:paraId="39A6B1B7" w14:textId="77777777" w:rsidR="00F71B97" w:rsidRDefault="00F71B97" w:rsidP="00F71B97">
      <w:pPr>
        <w:spacing w:line="360" w:lineRule="auto"/>
        <w:jc w:val="both"/>
        <w:rPr>
          <w:rtl/>
        </w:rPr>
      </w:pPr>
    </w:p>
    <w:p w14:paraId="4AFC89BA" w14:textId="77777777" w:rsidR="00F71B97" w:rsidRDefault="00F71B97" w:rsidP="00F71B97">
      <w:pPr>
        <w:spacing w:line="360" w:lineRule="auto"/>
        <w:jc w:val="both"/>
        <w:rPr>
          <w:rtl/>
        </w:rPr>
      </w:pPr>
      <w:r>
        <w:rPr>
          <w:rFonts w:hint="cs"/>
          <w:rtl/>
        </w:rPr>
        <w:t xml:space="preserve">ב"כ הנאשם, ביקש לתת משקל להודאתו של זה ולחיסכון בזמן שיפוטי יקר. הודאתו של הנאשם במקרה זה אליבא הגנה, מקבלת משנה תוקף נוכח טענות משפטיות כבדות משקל שהיו בפיו של הנאשם ונוגעות לחוקיות החיפוש. התיקון שנעשה בכתב האישום לא בוצע לפנים משורת הדין, אלא הולם את המצב הראייתי בתיק, בשים לב להימצאותו של סם בחזקתו של אחר שהיה ברכב. אין המדובר בהחזקת סמים בנסיבות מחמירות כאשר ביחס לכך צויין, שהסם לא היה מחולק למנות, לא נתפסו יחד עמם משקל אלקטרוני וכספים. מדובר בנאשם צעיר שזהו לו מאסרו הראשון בחייו ועל כן יש לצמצם למינימום את היחשפותו לעולם העברייני.  הנאשם מצדו, הביע צער על מעשיו, ציין כי פעל בשל כך שהיה בדיכאון, בכוונתו לאחר שישתחרר לחזור לעבודה, ולהקים משפחה. </w:t>
      </w:r>
    </w:p>
    <w:p w14:paraId="553C9303" w14:textId="77777777" w:rsidR="00F71B97" w:rsidRDefault="00F71B97" w:rsidP="00F71B97">
      <w:pPr>
        <w:spacing w:line="360" w:lineRule="auto"/>
        <w:jc w:val="both"/>
        <w:rPr>
          <w:rtl/>
        </w:rPr>
      </w:pPr>
      <w:r>
        <w:rPr>
          <w:rFonts w:hint="cs"/>
          <w:rtl/>
        </w:rPr>
        <w:t xml:space="preserve">כל צד הציג פסיקה התומכת בעמדתו העונשית. </w:t>
      </w:r>
    </w:p>
    <w:p w14:paraId="0FE0D041" w14:textId="77777777" w:rsidR="00F71B97" w:rsidRDefault="00F71B97" w:rsidP="00F71B97">
      <w:pPr>
        <w:spacing w:line="360" w:lineRule="auto"/>
        <w:rPr>
          <w:rtl/>
        </w:rPr>
      </w:pPr>
    </w:p>
    <w:p w14:paraId="3EA2123F" w14:textId="77777777" w:rsidR="00F71B97" w:rsidRDefault="00F71B97" w:rsidP="00F71B97">
      <w:pPr>
        <w:spacing w:line="360" w:lineRule="auto"/>
        <w:jc w:val="both"/>
        <w:rPr>
          <w:rFonts w:ascii="Arial" w:hAnsi="Arial"/>
          <w:b/>
          <w:bCs/>
          <w:u w:val="single"/>
          <w:rtl/>
        </w:rPr>
      </w:pPr>
      <w:r>
        <w:rPr>
          <w:rFonts w:ascii="Arial" w:hAnsi="Arial" w:hint="cs"/>
          <w:b/>
          <w:bCs/>
          <w:u w:val="single"/>
          <w:rtl/>
        </w:rPr>
        <w:t>דיון והכרעה</w:t>
      </w:r>
    </w:p>
    <w:p w14:paraId="6AA2E369" w14:textId="77777777" w:rsidR="00F71B97" w:rsidRDefault="00F71B97" w:rsidP="00F71B97">
      <w:pPr>
        <w:spacing w:line="360" w:lineRule="auto"/>
        <w:jc w:val="both"/>
        <w:rPr>
          <w:rFonts w:ascii="Arial" w:hAnsi="Arial"/>
        </w:rPr>
      </w:pPr>
      <w:r>
        <w:rPr>
          <w:rFonts w:ascii="Arial" w:hAnsi="Arial" w:hint="cs"/>
          <w:rtl/>
        </w:rPr>
        <w:t xml:space="preserve">על-פי </w:t>
      </w:r>
      <w:hyperlink r:id="rId9" w:history="1">
        <w:r w:rsidR="007249C9" w:rsidRPr="007249C9">
          <w:rPr>
            <w:rFonts w:ascii="Arial" w:hAnsi="Arial"/>
            <w:color w:val="0000FF"/>
            <w:u w:val="single"/>
            <w:rtl/>
          </w:rPr>
          <w:t>סעיף 40ג(א)</w:t>
        </w:r>
      </w:hyperlink>
      <w:r>
        <w:rPr>
          <w:rFonts w:ascii="Arial" w:hAnsi="Arial" w:hint="cs"/>
          <w:rtl/>
        </w:rPr>
        <w:t xml:space="preserve"> ל</w:t>
      </w:r>
      <w:hyperlink r:id="rId10" w:history="1">
        <w:r w:rsidR="00437C61" w:rsidRPr="00437C61">
          <w:rPr>
            <w:rFonts w:ascii="Arial" w:hAnsi="Arial"/>
            <w:color w:val="0000FF"/>
            <w:u w:val="single"/>
            <w:rtl/>
          </w:rPr>
          <w:t>חוק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05FB1BE6" w14:textId="77777777" w:rsidR="00F71B97" w:rsidRDefault="00F71B97" w:rsidP="00F71B97">
      <w:pPr>
        <w:spacing w:line="360" w:lineRule="auto"/>
        <w:jc w:val="both"/>
        <w:rPr>
          <w:rFonts w:ascii="Arial" w:hAnsi="Arial"/>
          <w:rtl/>
        </w:rPr>
      </w:pPr>
      <w:r>
        <w:rPr>
          <w:rFonts w:ascii="Arial" w:hAnsi="Arial" w:hint="cs"/>
          <w:rtl/>
        </w:rPr>
        <w:t xml:space="preserve">  </w:t>
      </w:r>
    </w:p>
    <w:p w14:paraId="0D69F77C" w14:textId="77777777" w:rsidR="00F71B97" w:rsidRDefault="00F71B97" w:rsidP="00F71B97">
      <w:pPr>
        <w:spacing w:line="360" w:lineRule="auto"/>
        <w:jc w:val="both"/>
        <w:rPr>
          <w:rFonts w:ascii="Arial" w:hAnsi="Arial"/>
        </w:rPr>
      </w:pPr>
      <w:r>
        <w:rPr>
          <w:rFonts w:ascii="Arial" w:hAnsi="Arial" w:hint="cs"/>
          <w:rtl/>
        </w:rPr>
        <w:t>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אפנה לדבריו של כב' השופט א' שהם ב</w:t>
      </w:r>
      <w:hyperlink r:id="rId11" w:history="1">
        <w:r w:rsidR="00437C61" w:rsidRPr="00437C61">
          <w:rPr>
            <w:rFonts w:ascii="Arial" w:hAnsi="Arial"/>
            <w:color w:val="0000FF"/>
            <w:u w:val="single"/>
            <w:rtl/>
          </w:rPr>
          <w:t>ע"פ 3117/12</w:t>
        </w:r>
      </w:hyperlink>
      <w:r>
        <w:rPr>
          <w:rFonts w:ascii="Arial" w:hAnsi="Arial" w:hint="cs"/>
          <w:rtl/>
        </w:rPr>
        <w:t xml:space="preserve"> </w:t>
      </w:r>
      <w:r>
        <w:rPr>
          <w:rFonts w:ascii="Arial" w:hAnsi="Arial" w:hint="cs"/>
          <w:b/>
          <w:bCs/>
          <w:rtl/>
        </w:rPr>
        <w:t>ארביב נ' מדינת ישראל</w:t>
      </w:r>
      <w:r>
        <w:rPr>
          <w:rFonts w:ascii="Arial" w:hAnsi="Arial" w:hint="cs"/>
          <w:rtl/>
        </w:rPr>
        <w:t xml:space="preserve"> (6.9.12) לעניין הנזקים שנגרמים בעקבות עבירות הסמים: "</w:t>
      </w:r>
      <w:r>
        <w:rPr>
          <w:rFonts w:ascii="Arial"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hAnsi="Arial" w:hint="cs"/>
          <w:rtl/>
        </w:rPr>
        <w:t>".</w:t>
      </w:r>
    </w:p>
    <w:p w14:paraId="35481AFA" w14:textId="77777777" w:rsidR="00F71B97" w:rsidRDefault="00F71B97" w:rsidP="00F71B97">
      <w:pPr>
        <w:spacing w:line="360" w:lineRule="auto"/>
        <w:jc w:val="both"/>
        <w:rPr>
          <w:rFonts w:ascii="Arial" w:hAnsi="Arial"/>
          <w:rtl/>
        </w:rPr>
      </w:pPr>
      <w:r>
        <w:rPr>
          <w:rFonts w:ascii="Arial" w:hAnsi="Arial" w:hint="cs"/>
          <w:rtl/>
        </w:rPr>
        <w:t xml:space="preserve"> </w:t>
      </w:r>
    </w:p>
    <w:p w14:paraId="2A3FB4E0" w14:textId="77777777" w:rsidR="00F71B97" w:rsidRDefault="00F71B97" w:rsidP="00F71B97">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12" w:history="1">
        <w:r w:rsidR="00437C61" w:rsidRPr="00437C61">
          <w:rPr>
            <w:rFonts w:ascii="Arial" w:hAnsi="Arial"/>
            <w:color w:val="0000FF"/>
            <w:u w:val="single"/>
            <w:rtl/>
          </w:rPr>
          <w:t>ע"פ 211/09</w:t>
        </w:r>
      </w:hyperlink>
      <w:r>
        <w:rPr>
          <w:rFonts w:ascii="Arial" w:hAnsi="Arial" w:hint="cs"/>
          <w:rtl/>
        </w:rPr>
        <w:t xml:space="preserve"> </w:t>
      </w:r>
      <w:r>
        <w:rPr>
          <w:rFonts w:ascii="Arial" w:hAnsi="Arial" w:hint="cs"/>
          <w:b/>
          <w:bCs/>
          <w:u w:val="single"/>
          <w:rtl/>
        </w:rPr>
        <w:t>שמעון אזולאי</w:t>
      </w:r>
      <w:r>
        <w:rPr>
          <w:rFonts w:ascii="Arial" w:hAnsi="Arial" w:hint="cs"/>
          <w:rtl/>
        </w:rPr>
        <w:t xml:space="preserve"> </w:t>
      </w:r>
      <w:r>
        <w:rPr>
          <w:rFonts w:ascii="Arial" w:hAnsi="Arial" w:hint="cs"/>
          <w:b/>
          <w:bCs/>
          <w:u w:val="single"/>
          <w:rtl/>
        </w:rPr>
        <w:t>נ' מדינת ישראל</w:t>
      </w:r>
      <w:r>
        <w:rPr>
          <w:rFonts w:ascii="Arial" w:hAnsi="Arial" w:hint="cs"/>
          <w:rtl/>
        </w:rPr>
        <w:t xml:space="preserve"> (22.6.2010):</w:t>
      </w:r>
    </w:p>
    <w:p w14:paraId="690AB6DC" w14:textId="77777777" w:rsidR="00F71B97" w:rsidRDefault="00F71B97" w:rsidP="00F71B97">
      <w:pPr>
        <w:ind w:left="708" w:right="426"/>
        <w:jc w:val="both"/>
        <w:rPr>
          <w:rFonts w:ascii="Arial" w:hAnsi="Arial"/>
          <w:rtl/>
        </w:rPr>
      </w:pPr>
      <w:r>
        <w:rPr>
          <w:rFonts w:ascii="Arial" w:hAnsi="Arial" w:hint="cs"/>
          <w:rtl/>
        </w:rPr>
        <w:t>"</w:t>
      </w:r>
      <w:r>
        <w:rPr>
          <w:rFonts w:ascii="Arial" w:hAnsi="Arial"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5B160CAF" w14:textId="77777777" w:rsidR="00F71B97" w:rsidRDefault="00F71B97" w:rsidP="00F71B97">
      <w:pPr>
        <w:spacing w:line="360" w:lineRule="auto"/>
        <w:jc w:val="both"/>
        <w:rPr>
          <w:rFonts w:ascii="Arial" w:hAnsi="Arial"/>
          <w:rtl/>
        </w:rPr>
      </w:pPr>
    </w:p>
    <w:p w14:paraId="77F16B97" w14:textId="77777777" w:rsidR="00F71B97" w:rsidRDefault="00F71B97" w:rsidP="00F71B97">
      <w:pPr>
        <w:spacing w:line="360" w:lineRule="auto"/>
        <w:jc w:val="both"/>
        <w:rPr>
          <w:rFonts w:ascii="Arial" w:hAnsi="Arial"/>
          <w:rtl/>
        </w:rPr>
      </w:pPr>
      <w:r>
        <w:rPr>
          <w:rFonts w:ascii="Arial" w:hAnsi="Arial" w:hint="cs"/>
          <w:rtl/>
        </w:rPr>
        <w:t>לנאשם שבפניי מיוחסת עבירה של החזקת סם שלא לצרכיה עצמית. ב</w:t>
      </w:r>
      <w:hyperlink r:id="rId13" w:history="1">
        <w:r w:rsidR="00437C61" w:rsidRPr="00437C61">
          <w:rPr>
            <w:rFonts w:ascii="Arial" w:hAnsi="Arial"/>
            <w:color w:val="0000FF"/>
            <w:u w:val="single"/>
            <w:rtl/>
          </w:rPr>
          <w:t>בש"פ 10638/08</w:t>
        </w:r>
      </w:hyperlink>
      <w:r>
        <w:rPr>
          <w:rFonts w:ascii="Arial" w:hAnsi="Arial" w:hint="cs"/>
          <w:rtl/>
        </w:rPr>
        <w:t xml:space="preserve"> </w:t>
      </w:r>
      <w:r>
        <w:rPr>
          <w:rFonts w:ascii="Arial" w:hAnsi="Arial" w:hint="cs"/>
          <w:b/>
          <w:bCs/>
          <w:rtl/>
        </w:rPr>
        <w:t>יפתח ויצמן נ' מ"י</w:t>
      </w:r>
      <w:r>
        <w:rPr>
          <w:rFonts w:ascii="Arial" w:hAnsi="Arial" w:hint="cs"/>
          <w:rtl/>
        </w:rPr>
        <w:t xml:space="preserve"> התייחס בית המשפט העליון לעבירה זו בציינו:</w:t>
      </w:r>
    </w:p>
    <w:p w14:paraId="03B96DC7" w14:textId="77777777" w:rsidR="00F71B97" w:rsidRDefault="00F71B97" w:rsidP="00F71B97">
      <w:pPr>
        <w:ind w:left="708" w:right="426"/>
        <w:jc w:val="both"/>
        <w:rPr>
          <w:rFonts w:ascii="Arial" w:hAnsi="Arial"/>
          <w:rtl/>
        </w:rPr>
      </w:pPr>
      <w:r>
        <w:rPr>
          <w:rFonts w:ascii="Arial" w:hAnsi="Arial" w:hint="cs"/>
          <w:rtl/>
        </w:rPr>
        <w:lastRenderedPageBreak/>
        <w:t>"</w:t>
      </w:r>
      <w:r>
        <w:rPr>
          <w:rFonts w:ascii="Arial" w:hAnsi="Arial" w:hint="cs"/>
          <w:b/>
          <w:bCs/>
          <w:rtl/>
        </w:rPr>
        <w:t>העבירה של אחזקת סמים שלא לצריכה עצמית היא אחותה של עבירת הסחר בסמים, והעונש המירבי לגביהן שווה – עד עשרים שנות מאסר או קנס פי עשרים וחמישה מן הקנס האמור בסעיף 16(א)(4)ל</w:t>
      </w:r>
      <w:hyperlink r:id="rId14" w:history="1">
        <w:r w:rsidR="00437C61" w:rsidRPr="00437C61">
          <w:rPr>
            <w:rFonts w:ascii="Arial" w:hAnsi="Arial"/>
            <w:b/>
            <w:bCs/>
            <w:color w:val="0000FF"/>
            <w:u w:val="single"/>
            <w:rtl/>
          </w:rPr>
          <w:t>חוק העונשין</w:t>
        </w:r>
      </w:hyperlink>
      <w:r>
        <w:rPr>
          <w:rFonts w:ascii="Arial" w:hAnsi="Arial" w:hint="cs"/>
          <w:b/>
          <w:bCs/>
          <w:rtl/>
        </w:rPr>
        <w:t xml:space="preserve">,תשל"ז-1977 (סעיף 7(ג)לפקודת הסמים לעניין החזקת סמים שלא לצריכה עצמית, וסעיף 19א לעניין יבוא וסחר). ראו גם קדמי, על </w:t>
      </w:r>
      <w:hyperlink r:id="rId15" w:history="1">
        <w:r w:rsidR="00437C61" w:rsidRPr="00437C61">
          <w:rPr>
            <w:rFonts w:ascii="Arial" w:hAnsi="Arial"/>
            <w:b/>
            <w:bCs/>
            <w:color w:val="0000FF"/>
            <w:u w:val="single"/>
            <w:rtl/>
          </w:rPr>
          <w:t>פקודת הסמים המסוכנים</w:t>
        </w:r>
      </w:hyperlink>
      <w:r>
        <w:rPr>
          <w:rFonts w:ascii="Arial" w:hAnsi="Arial" w:hint="cs"/>
          <w:b/>
          <w:bCs/>
          <w:rtl/>
        </w:rPr>
        <w:t>, הדין בראי הפסיקה, מהדורת תשס"ז – עמ' 86, 185, 198.הצד השווה בין שתי העבירות הוא הזיקה להפצת הסמים לזולת, בפוטנציאל או בפועל, בין בתמורה (סחר) ובין אם אחרת</w:t>
      </w:r>
      <w:r>
        <w:rPr>
          <w:rFonts w:ascii="Arial" w:hAnsi="Arial" w:hint="cs"/>
          <w:rtl/>
        </w:rPr>
        <w:t>".</w:t>
      </w:r>
    </w:p>
    <w:p w14:paraId="7BB530C0" w14:textId="77777777" w:rsidR="00F71B97" w:rsidRDefault="00F71B97" w:rsidP="00F71B97">
      <w:pPr>
        <w:spacing w:line="360" w:lineRule="auto"/>
        <w:jc w:val="both"/>
        <w:rPr>
          <w:rFonts w:ascii="Arial" w:hAnsi="Arial"/>
          <w:rtl/>
        </w:rPr>
      </w:pPr>
      <w:r>
        <w:rPr>
          <w:rFonts w:ascii="Arial" w:hAnsi="Arial" w:hint="cs"/>
          <w:rtl/>
        </w:rPr>
        <w:t xml:space="preserve"> </w:t>
      </w:r>
    </w:p>
    <w:p w14:paraId="711C1E33" w14:textId="77777777" w:rsidR="00F71B97" w:rsidRDefault="00F71B97" w:rsidP="00F71B97">
      <w:pPr>
        <w:spacing w:line="360" w:lineRule="auto"/>
        <w:jc w:val="both"/>
        <w:rPr>
          <w:rFonts w:ascii="Arial" w:hAnsi="Arial"/>
          <w:rtl/>
        </w:rPr>
      </w:pPr>
      <w:r>
        <w:rPr>
          <w:rFonts w:ascii="Arial" w:hAnsi="Arial" w:hint="cs"/>
          <w:rtl/>
        </w:rPr>
        <w:t xml:space="preserve">אשר למדיניות הענישה הנהוגה בעבירת החזקת סמים שלא לצריכה עצמית, הרי בדומה לעבירות רבות בקודקס הפלילי, ניתן למצוא מגוון רחב של עונשים החל מעונשים צופי פני עתיד ועד לעונשים המגיעים לכדי שנה וחצי מאסר בפועל ולמעלה מכך. בצד האמור לעיל, ניתן להבחין כי על דרך הכלל, ה"שדרה המרכזית" של הענישה בגין העבירות של החזקת סמים קשים במשקלים של מספר גרמים שלא לצריכה עצמית, נע בין עונש מאסר בפועל בן מספר חודשים ועד שנה וחצי מאסר בפועל. </w:t>
      </w:r>
    </w:p>
    <w:p w14:paraId="5EBF6C75" w14:textId="77777777" w:rsidR="00F71B97" w:rsidRDefault="00F71B97" w:rsidP="00F71B97">
      <w:pPr>
        <w:spacing w:line="360" w:lineRule="auto"/>
        <w:jc w:val="both"/>
        <w:rPr>
          <w:rFonts w:ascii="Arial" w:hAnsi="Arial"/>
          <w:rtl/>
        </w:rPr>
      </w:pPr>
    </w:p>
    <w:p w14:paraId="70B0ADED" w14:textId="77777777" w:rsidR="00F71B97" w:rsidRDefault="00F71B97" w:rsidP="00F71B97">
      <w:pPr>
        <w:spacing w:line="360" w:lineRule="auto"/>
        <w:jc w:val="both"/>
        <w:rPr>
          <w:rFonts w:ascii="Arial" w:hAnsi="Arial"/>
          <w:rtl/>
        </w:rPr>
      </w:pPr>
      <w:r>
        <w:rPr>
          <w:rFonts w:ascii="Arial" w:hAnsi="Arial" w:hint="cs"/>
          <w:rtl/>
        </w:rPr>
        <w:t>ב</w:t>
      </w:r>
      <w:hyperlink r:id="rId16" w:history="1">
        <w:r w:rsidR="00437C61" w:rsidRPr="00437C61">
          <w:rPr>
            <w:rFonts w:ascii="Arial" w:hAnsi="Arial"/>
            <w:b/>
            <w:bCs/>
            <w:color w:val="0000FF"/>
            <w:u w:val="single"/>
            <w:rtl/>
          </w:rPr>
          <w:t>רע"פ 747/14</w:t>
        </w:r>
      </w:hyperlink>
      <w:r>
        <w:rPr>
          <w:rFonts w:ascii="Arial" w:hAnsi="Arial" w:hint="cs"/>
          <w:b/>
          <w:bCs/>
          <w:rtl/>
        </w:rPr>
        <w:t xml:space="preserve"> לוי נ' מ"י</w:t>
      </w:r>
      <w:r>
        <w:rPr>
          <w:rFonts w:ascii="Arial" w:hAnsi="Arial" w:hint="cs"/>
          <w:rtl/>
        </w:rPr>
        <w:t xml:space="preserve"> (בית המשפט העליון, מיום 11/2/14) נדחתה בקשת רשות ערעור של נאשם שהורשע לאחר הוכחות בעבירות של החזקת סמים שלא לצריכה עצמית ונידון ל-8 חודשי מאסר בפועל לצד רכיבי ענישה נוספים. דובר בנאשם שהחזיק הירואין במשקל 5 גרם מחולק ל-6 אריזות וקוקאין בתחתוניו. כב' הש' מלצר מציין כי המתחם אותו קבע בית משפט שלום הנע בין 8-18 חודשי מאסר הינו הולם הנסיבות וכי שיקולי השיקום הובילו לכך שעונש המאסר לא היה לתקופה ממושכת במיוחד.</w:t>
      </w:r>
    </w:p>
    <w:p w14:paraId="450D4CBE" w14:textId="77777777" w:rsidR="00F71B97" w:rsidRDefault="00F71B97" w:rsidP="00F71B97">
      <w:pPr>
        <w:spacing w:line="360" w:lineRule="auto"/>
        <w:jc w:val="both"/>
        <w:rPr>
          <w:rFonts w:ascii="Arial" w:hAnsi="Arial"/>
          <w:rtl/>
        </w:rPr>
      </w:pPr>
    </w:p>
    <w:p w14:paraId="2A45E161" w14:textId="77777777" w:rsidR="00F71B97" w:rsidRDefault="00F71B97" w:rsidP="00F71B97">
      <w:pPr>
        <w:spacing w:line="360" w:lineRule="auto"/>
        <w:jc w:val="both"/>
        <w:rPr>
          <w:rFonts w:ascii="Arial" w:hAnsi="Arial"/>
          <w:rtl/>
        </w:rPr>
      </w:pPr>
      <w:r>
        <w:rPr>
          <w:rFonts w:ascii="Arial" w:hAnsi="Arial" w:hint="cs"/>
          <w:rtl/>
        </w:rPr>
        <w:t>ב</w:t>
      </w:r>
      <w:hyperlink r:id="rId17" w:history="1">
        <w:r w:rsidR="00437C61" w:rsidRPr="00437C61">
          <w:rPr>
            <w:rFonts w:ascii="Arial" w:hAnsi="Arial"/>
            <w:b/>
            <w:bCs/>
            <w:color w:val="0000FF"/>
            <w:u w:val="single"/>
            <w:rtl/>
          </w:rPr>
          <w:t>ע"פ 114/12</w:t>
        </w:r>
      </w:hyperlink>
      <w:r>
        <w:rPr>
          <w:rFonts w:ascii="Arial" w:hAnsi="Arial" w:hint="cs"/>
          <w:b/>
          <w:bCs/>
          <w:rtl/>
        </w:rPr>
        <w:t xml:space="preserve"> זיתון ואח' נ' מ"י</w:t>
      </w:r>
      <w:r>
        <w:rPr>
          <w:rFonts w:ascii="Arial" w:hAnsi="Arial" w:hint="cs"/>
          <w:rtl/>
        </w:rPr>
        <w:t xml:space="preserve"> (בימ"ש מחוזי מרכז, מיום 31/10/12) נדחה ערעור נאשמים שהורשעו בעבירות של החזקת סמים שלא לצריכה עצמית ושנידונו ל-36 חודשי מאסר ו-14 חודשי מאסר (כאשר בעניינו של אחד הופעל עונש מותנה כך שהושתו עליו בסה"כ 28 חודשי מאסר בפועל).</w:t>
      </w:r>
    </w:p>
    <w:p w14:paraId="55E3FD3C" w14:textId="77777777" w:rsidR="00F71B97" w:rsidRDefault="00F71B97" w:rsidP="00F71B97">
      <w:pPr>
        <w:spacing w:line="360" w:lineRule="auto"/>
        <w:jc w:val="both"/>
        <w:rPr>
          <w:rFonts w:ascii="Arial" w:hAnsi="Arial"/>
          <w:rtl/>
        </w:rPr>
      </w:pPr>
    </w:p>
    <w:p w14:paraId="2676CD13" w14:textId="77777777" w:rsidR="00F71B97" w:rsidRDefault="00F71B97" w:rsidP="00F71B97">
      <w:pPr>
        <w:spacing w:line="360" w:lineRule="auto"/>
        <w:jc w:val="both"/>
        <w:rPr>
          <w:rFonts w:ascii="Arial" w:hAnsi="Arial"/>
        </w:rPr>
      </w:pPr>
      <w:r>
        <w:rPr>
          <w:rFonts w:ascii="Arial" w:hAnsi="Arial" w:hint="cs"/>
          <w:rtl/>
        </w:rPr>
        <w:t>ב</w:t>
      </w:r>
      <w:r>
        <w:rPr>
          <w:rFonts w:ascii="Arial" w:hAnsi="Arial" w:hint="cs"/>
          <w:b/>
          <w:bCs/>
          <w:rtl/>
        </w:rPr>
        <w:t>רע"פ כליבאת נ' מ"י</w:t>
      </w:r>
      <w:r>
        <w:rPr>
          <w:rFonts w:ascii="Arial" w:hAnsi="Arial" w:hint="cs"/>
          <w:rtl/>
        </w:rPr>
        <w:t xml:space="preserve"> (בית המשפט העליון מיום 3/7/07) נדחתה בקשת ערעור של נאשם שהורשע בעבירה של החזקת סמים שלא לצריכה עצמית (2 אריזות ניילון, באחת קוקאין במשקל 0.7120 גרם ובשנייה 7 שקיות קטנות של קוקאין, משקלן המצטבר של שתי שקיות הסמים 5.55 גרם) ונידון למאסר מותנה בבית משפט השלום ועונשו הוחמר ל-8 חודשי מאסר בפועל. כב' השופט ג'ובראן מציין כי בעבירת החזקת סמים מסוג קוקאין ברגיל הענישה ההולמת הינה מאסר בפועל מאחורי סורג ובריח.</w:t>
      </w:r>
    </w:p>
    <w:p w14:paraId="36A6296B" w14:textId="77777777" w:rsidR="00F71B97" w:rsidRDefault="00F71B97" w:rsidP="00F71B97">
      <w:pPr>
        <w:spacing w:line="360" w:lineRule="auto"/>
        <w:jc w:val="both"/>
        <w:rPr>
          <w:rFonts w:ascii="Arial" w:hAnsi="Arial"/>
          <w:rtl/>
        </w:rPr>
      </w:pPr>
    </w:p>
    <w:p w14:paraId="1F8FCDB5" w14:textId="77777777" w:rsidR="00F71B97" w:rsidRDefault="00F71B97" w:rsidP="00F71B97">
      <w:pPr>
        <w:spacing w:line="360" w:lineRule="auto"/>
        <w:jc w:val="both"/>
        <w:rPr>
          <w:rFonts w:ascii="Arial" w:hAnsi="Arial"/>
          <w:rtl/>
        </w:rPr>
      </w:pPr>
      <w:r>
        <w:rPr>
          <w:rFonts w:ascii="Arial" w:hAnsi="Arial" w:hint="cs"/>
          <w:b/>
          <w:bCs/>
          <w:rtl/>
        </w:rPr>
        <w:t>ב</w:t>
      </w:r>
      <w:hyperlink r:id="rId18" w:history="1">
        <w:r w:rsidR="00437C61" w:rsidRPr="00437C61">
          <w:rPr>
            <w:rFonts w:ascii="Arial" w:hAnsi="Arial"/>
            <w:b/>
            <w:bCs/>
            <w:color w:val="0000FF"/>
            <w:u w:val="single"/>
            <w:rtl/>
          </w:rPr>
          <w:t>רע"פ 9440/08</w:t>
        </w:r>
      </w:hyperlink>
      <w:r>
        <w:rPr>
          <w:rFonts w:ascii="Arial" w:hAnsi="Arial" w:hint="cs"/>
          <w:b/>
          <w:bCs/>
          <w:rtl/>
        </w:rPr>
        <w:t xml:space="preserve"> אבו סגייר נ' מ"י</w:t>
      </w:r>
      <w:r>
        <w:rPr>
          <w:rFonts w:ascii="Arial" w:hAnsi="Arial" w:hint="cs"/>
          <w:rtl/>
        </w:rPr>
        <w:t xml:space="preserve"> (בית המשפט העליון, מיום 12/11/08) נדחתה בקשת ערעור (כב' השופט לוי) של נאשם שהורשע בעבירה של החזקת סמים שלא לצריכה עצמית ונדון למאסר בפועל בן 7 חודשים.</w:t>
      </w:r>
    </w:p>
    <w:p w14:paraId="6AD35871" w14:textId="77777777" w:rsidR="00F71B97" w:rsidRDefault="00F71B97" w:rsidP="00F71B97">
      <w:pPr>
        <w:spacing w:line="360" w:lineRule="auto"/>
        <w:jc w:val="both"/>
        <w:rPr>
          <w:rFonts w:ascii="Arial" w:hAnsi="Arial"/>
          <w:rtl/>
        </w:rPr>
      </w:pPr>
    </w:p>
    <w:p w14:paraId="48F4D006" w14:textId="77777777" w:rsidR="00F71B97" w:rsidRDefault="00F71B97" w:rsidP="00F71B97">
      <w:pPr>
        <w:spacing w:line="360" w:lineRule="auto"/>
        <w:jc w:val="both"/>
        <w:rPr>
          <w:rFonts w:ascii="Arial" w:hAnsi="Arial"/>
        </w:rPr>
      </w:pPr>
      <w:r>
        <w:rPr>
          <w:rFonts w:ascii="Arial" w:hAnsi="Arial" w:hint="cs"/>
          <w:b/>
          <w:bCs/>
          <w:rtl/>
        </w:rPr>
        <w:t>ב</w:t>
      </w:r>
      <w:hyperlink r:id="rId19" w:history="1">
        <w:r w:rsidR="00437C61" w:rsidRPr="00437C61">
          <w:rPr>
            <w:rFonts w:ascii="Arial" w:hAnsi="Arial"/>
            <w:b/>
            <w:bCs/>
            <w:color w:val="0000FF"/>
            <w:u w:val="single"/>
            <w:rtl/>
          </w:rPr>
          <w:t>ת"פ 3307/03</w:t>
        </w:r>
      </w:hyperlink>
      <w:r>
        <w:rPr>
          <w:rFonts w:ascii="Arial" w:hAnsi="Arial" w:hint="cs"/>
          <w:b/>
          <w:bCs/>
          <w:rtl/>
        </w:rPr>
        <w:t xml:space="preserve"> מ"י נ' עבאס</w:t>
      </w:r>
      <w:r>
        <w:rPr>
          <w:rFonts w:ascii="Arial" w:hAnsi="Arial" w:hint="cs"/>
          <w:rtl/>
        </w:rPr>
        <w:t xml:space="preserve"> (בימ"ש שלום רמלה מיום 19/12/06) – הורשע נאשם בעבירה של החזקת סם שלא לצריכה עצמית ונידון למאסר מותנה לצד רכיבי ענישה נוספים. בעניין זה יש להדגיש כי מדובר בגזר דין שניתן בטרם התיקון לחוק וכי דובר בנסיבות מיוחדות של חלוף זמן ובנאשם שהיטיב דרכיו.</w:t>
      </w:r>
    </w:p>
    <w:p w14:paraId="72DD6273" w14:textId="77777777" w:rsidR="00F71B97" w:rsidRDefault="00F71B97" w:rsidP="00F71B97">
      <w:pPr>
        <w:spacing w:line="360" w:lineRule="auto"/>
        <w:jc w:val="both"/>
        <w:rPr>
          <w:rFonts w:ascii="Arial" w:hAnsi="Arial"/>
          <w:rtl/>
        </w:rPr>
      </w:pPr>
    </w:p>
    <w:p w14:paraId="3216C1AD" w14:textId="77777777" w:rsidR="00F71B97" w:rsidRDefault="00F71B97" w:rsidP="00F71B97">
      <w:pPr>
        <w:spacing w:line="360" w:lineRule="auto"/>
        <w:jc w:val="both"/>
        <w:rPr>
          <w:rFonts w:ascii="Arial" w:hAnsi="Arial"/>
        </w:rPr>
      </w:pPr>
      <w:r>
        <w:rPr>
          <w:rFonts w:ascii="Arial" w:hAnsi="Arial" w:hint="cs"/>
          <w:rtl/>
        </w:rPr>
        <w:t>ב</w:t>
      </w:r>
      <w:hyperlink r:id="rId20" w:history="1">
        <w:r w:rsidR="00437C61" w:rsidRPr="00437C61">
          <w:rPr>
            <w:rFonts w:ascii="Arial" w:hAnsi="Arial"/>
            <w:color w:val="0000FF"/>
            <w:u w:val="single"/>
            <w:rtl/>
          </w:rPr>
          <w:t>ת"פ 56331-01-15</w:t>
        </w:r>
      </w:hyperlink>
      <w:r>
        <w:rPr>
          <w:rFonts w:ascii="Arial" w:hAnsi="Arial" w:hint="cs"/>
          <w:rtl/>
        </w:rPr>
        <w:t xml:space="preserve"> </w:t>
      </w:r>
      <w:r>
        <w:rPr>
          <w:rFonts w:ascii="Arial" w:hAnsi="Arial" w:hint="cs"/>
          <w:b/>
          <w:bCs/>
          <w:rtl/>
        </w:rPr>
        <w:t>מדינת ישראל נ' יינון חיים</w:t>
      </w:r>
      <w:r>
        <w:rPr>
          <w:rFonts w:ascii="Arial" w:hAnsi="Arial" w:hint="cs"/>
          <w:rtl/>
        </w:rPr>
        <w:t xml:space="preserve"> (שניתן ע"י מותב זה) נגזר על הנאשם 11 חודשי מאסר בפועל והופעל מאסר מותנה, בן 3 חודשים חלקו בחופף, בגין החזקת סמים שלא לצריכה עצמית. בתיק זה דובר על נאשם אשר החזיק שם ב-20 מנות של סם מסוכן מסוג הרואין במשקל של 4.6774 גר' נטו שלא לצריכתו העצמית.  </w:t>
      </w:r>
    </w:p>
    <w:p w14:paraId="2E10D2E7" w14:textId="77777777" w:rsidR="00F71B97" w:rsidRDefault="00F71B97" w:rsidP="00F71B97">
      <w:pPr>
        <w:spacing w:line="360" w:lineRule="auto"/>
        <w:jc w:val="both"/>
        <w:rPr>
          <w:rFonts w:ascii="Arial" w:hAnsi="Arial"/>
          <w:rtl/>
        </w:rPr>
      </w:pPr>
    </w:p>
    <w:p w14:paraId="5677C594" w14:textId="77777777" w:rsidR="00F71B97" w:rsidRDefault="00F71B97" w:rsidP="00F71B97">
      <w:pPr>
        <w:spacing w:line="360" w:lineRule="auto"/>
        <w:jc w:val="both"/>
        <w:rPr>
          <w:rFonts w:ascii="Arial" w:hAnsi="Arial"/>
          <w:rtl/>
        </w:rPr>
      </w:pPr>
      <w:r>
        <w:rPr>
          <w:rFonts w:ascii="Arial" w:hAnsi="Arial" w:hint="cs"/>
          <w:rtl/>
        </w:rPr>
        <w:t>ב</w:t>
      </w:r>
      <w:hyperlink r:id="rId21" w:history="1">
        <w:r w:rsidR="00437C61" w:rsidRPr="00437C61">
          <w:rPr>
            <w:rFonts w:ascii="Arial" w:hAnsi="Arial"/>
            <w:color w:val="0000FF"/>
            <w:u w:val="single"/>
            <w:rtl/>
          </w:rPr>
          <w:t>ת"פ 52161-05-15</w:t>
        </w:r>
      </w:hyperlink>
      <w:r>
        <w:rPr>
          <w:rFonts w:ascii="Arial" w:hAnsi="Arial" w:hint="cs"/>
          <w:rtl/>
        </w:rPr>
        <w:t xml:space="preserve"> </w:t>
      </w:r>
      <w:r>
        <w:rPr>
          <w:rFonts w:ascii="Arial" w:hAnsi="Arial" w:hint="cs"/>
          <w:b/>
          <w:bCs/>
          <w:rtl/>
        </w:rPr>
        <w:t>מדינת ישראל נ' אזולאי</w:t>
      </w:r>
      <w:r>
        <w:rPr>
          <w:rFonts w:ascii="Arial" w:hAnsi="Arial" w:hint="cs"/>
          <w:rtl/>
        </w:rPr>
        <w:t xml:space="preserve"> (שניתן על-ידי מותב זה) נגזרו על הנאשם 16 חודשי מאסר בפועל, והופעל מאסר מותנה בן 12 חודשים, חלקו בחופף, בגין החזקת סמים שלא לצריכה עצמית. בתיק זה דובר על נאשם אשר החזיק שם ב-15 מנות של סם מסוכן מסוג הרואין במשקל של כ-6 גרם נטו שלא לצריכתו העצמית.  </w:t>
      </w:r>
    </w:p>
    <w:p w14:paraId="4BE39A8D" w14:textId="77777777" w:rsidR="00F71B97" w:rsidRDefault="00F71B97" w:rsidP="00F71B97">
      <w:pPr>
        <w:spacing w:line="360" w:lineRule="auto"/>
        <w:jc w:val="both"/>
        <w:rPr>
          <w:rFonts w:ascii="Arial" w:hAnsi="Arial"/>
          <w:rtl/>
        </w:rPr>
      </w:pPr>
    </w:p>
    <w:p w14:paraId="75AD009D" w14:textId="77777777" w:rsidR="00F71B97" w:rsidRDefault="00F71B97" w:rsidP="00F71B97">
      <w:pPr>
        <w:spacing w:line="360" w:lineRule="auto"/>
        <w:jc w:val="both"/>
        <w:rPr>
          <w:rFonts w:ascii="Arial" w:hAnsi="Arial"/>
          <w:b/>
          <w:bCs/>
          <w:rtl/>
        </w:rPr>
      </w:pPr>
      <w:r>
        <w:rPr>
          <w:rFonts w:ascii="Arial" w:hAnsi="Arial" w:hint="cs"/>
          <w:rtl/>
        </w:rPr>
        <w:t xml:space="preserve">אכן, הסניגור הציג פסיקה ארוכה של תיקים בהם נגזרו עונשים נמוכים מאלו שפורטו לעיל. כפי שצוין לעיל גם בעבירות בהן הורשע הנאשם, ניתן למצוא קשת רחבה ביותר של עונשים יש מחמירים יותר ויש מחמירים פחות, וכל מקרה נדון לגופם של דברים. בית המשפט לא יסתפק באמור לעיל, ויצוין כי בחלק ניכר מאותם גזרי דין, הייתה חריגה מטה ממתחם העונש ההולם (לאחר תיקון 113), או ניתנה בכורה לשיקולי שיקום: </w:t>
      </w:r>
      <w:hyperlink r:id="rId22" w:history="1">
        <w:r w:rsidR="00437C61" w:rsidRPr="00437C61">
          <w:rPr>
            <w:rFonts w:ascii="Arial" w:hAnsi="Arial"/>
            <w:b/>
            <w:bCs/>
            <w:color w:val="0000FF"/>
            <w:u w:val="single"/>
            <w:rtl/>
          </w:rPr>
          <w:t>ת"פ 9369-01-13</w:t>
        </w:r>
      </w:hyperlink>
      <w:r>
        <w:rPr>
          <w:rFonts w:ascii="Arial" w:hAnsi="Arial" w:hint="cs"/>
          <w:b/>
          <w:bCs/>
          <w:rtl/>
        </w:rPr>
        <w:t xml:space="preserve">, </w:t>
      </w:r>
      <w:hyperlink r:id="rId23" w:history="1">
        <w:r w:rsidR="00437C61" w:rsidRPr="00437C61">
          <w:rPr>
            <w:rFonts w:ascii="Arial" w:hAnsi="Arial"/>
            <w:b/>
            <w:bCs/>
            <w:color w:val="0000FF"/>
            <w:u w:val="single"/>
            <w:rtl/>
          </w:rPr>
          <w:t>ת"פ 33848-05-14</w:t>
        </w:r>
      </w:hyperlink>
      <w:r>
        <w:rPr>
          <w:rFonts w:ascii="Arial" w:hAnsi="Arial" w:hint="cs"/>
          <w:b/>
          <w:bCs/>
          <w:rtl/>
        </w:rPr>
        <w:t>,</w:t>
      </w:r>
      <w:r>
        <w:rPr>
          <w:rFonts w:ascii="Arial" w:hAnsi="Arial" w:hint="cs"/>
          <w:rtl/>
        </w:rPr>
        <w:t xml:space="preserve"> </w:t>
      </w:r>
      <w:r>
        <w:rPr>
          <w:rFonts w:ascii="Arial" w:hAnsi="Arial" w:hint="cs"/>
          <w:b/>
          <w:bCs/>
          <w:rtl/>
        </w:rPr>
        <w:t xml:space="preserve">עפ"ג 63309-12-15, </w:t>
      </w:r>
      <w:hyperlink r:id="rId24" w:history="1">
        <w:r w:rsidR="00437C61" w:rsidRPr="00437C61">
          <w:rPr>
            <w:rFonts w:ascii="Arial" w:hAnsi="Arial"/>
            <w:b/>
            <w:bCs/>
            <w:color w:val="0000FF"/>
            <w:u w:val="single"/>
            <w:rtl/>
          </w:rPr>
          <w:t>ת"פ 37255-05-14</w:t>
        </w:r>
      </w:hyperlink>
      <w:r>
        <w:rPr>
          <w:rFonts w:ascii="Arial" w:hAnsi="Arial" w:hint="cs"/>
          <w:b/>
          <w:bCs/>
          <w:rtl/>
        </w:rPr>
        <w:t xml:space="preserve">, ת"פ 3046/07 מחוזי ירושלים, ת"פ 5039/08, ת"פ 124/03, ת"פ 1398/08, </w:t>
      </w:r>
      <w:hyperlink r:id="rId25" w:history="1">
        <w:r w:rsidR="00437C61" w:rsidRPr="00437C61">
          <w:rPr>
            <w:rFonts w:ascii="Arial" w:hAnsi="Arial"/>
            <w:b/>
            <w:bCs/>
            <w:color w:val="0000FF"/>
            <w:u w:val="single"/>
            <w:rtl/>
          </w:rPr>
          <w:t>ת"פ 22858-10-09</w:t>
        </w:r>
      </w:hyperlink>
      <w:r>
        <w:rPr>
          <w:rFonts w:ascii="Arial" w:hAnsi="Arial" w:hint="cs"/>
          <w:b/>
          <w:bCs/>
          <w:rtl/>
        </w:rPr>
        <w:t xml:space="preserve">, </w:t>
      </w:r>
      <w:hyperlink r:id="rId26" w:history="1">
        <w:r w:rsidR="00437C61" w:rsidRPr="00437C61">
          <w:rPr>
            <w:rFonts w:ascii="Arial" w:hAnsi="Arial"/>
            <w:b/>
            <w:bCs/>
            <w:color w:val="0000FF"/>
            <w:u w:val="single"/>
            <w:rtl/>
          </w:rPr>
          <w:t>ת"פ 7159/08</w:t>
        </w:r>
      </w:hyperlink>
      <w:r>
        <w:rPr>
          <w:rFonts w:ascii="Arial" w:hAnsi="Arial" w:hint="cs"/>
          <w:b/>
          <w:bCs/>
          <w:rtl/>
        </w:rPr>
        <w:t xml:space="preserve">, </w:t>
      </w:r>
      <w:hyperlink r:id="rId27" w:history="1">
        <w:r w:rsidR="00437C61" w:rsidRPr="00437C61">
          <w:rPr>
            <w:rFonts w:ascii="Arial" w:hAnsi="Arial"/>
            <w:b/>
            <w:bCs/>
            <w:color w:val="0000FF"/>
            <w:u w:val="single"/>
            <w:rtl/>
          </w:rPr>
          <w:t>ע"פ (באר-שבע) 7214/05</w:t>
        </w:r>
      </w:hyperlink>
      <w:r>
        <w:rPr>
          <w:rFonts w:ascii="Arial" w:hAnsi="Arial" w:hint="cs"/>
          <w:b/>
          <w:bCs/>
          <w:rtl/>
        </w:rPr>
        <w:t xml:space="preserve">, </w:t>
      </w:r>
      <w:hyperlink r:id="rId28" w:history="1">
        <w:r w:rsidR="00437C61" w:rsidRPr="00437C61">
          <w:rPr>
            <w:rFonts w:ascii="Arial" w:hAnsi="Arial"/>
            <w:b/>
            <w:bCs/>
            <w:color w:val="0000FF"/>
            <w:u w:val="single"/>
            <w:rtl/>
          </w:rPr>
          <w:t>ת"פ 29/03</w:t>
        </w:r>
      </w:hyperlink>
      <w:r>
        <w:rPr>
          <w:rFonts w:ascii="Arial" w:hAnsi="Arial" w:hint="cs"/>
          <w:b/>
          <w:bCs/>
          <w:rtl/>
        </w:rPr>
        <w:t xml:space="preserve">, </w:t>
      </w:r>
      <w:hyperlink r:id="rId29" w:history="1">
        <w:r w:rsidR="00437C61" w:rsidRPr="00437C61">
          <w:rPr>
            <w:rFonts w:ascii="Arial" w:hAnsi="Arial"/>
            <w:b/>
            <w:bCs/>
            <w:color w:val="0000FF"/>
            <w:u w:val="single"/>
            <w:rtl/>
          </w:rPr>
          <w:t>ת"פ 4158/05</w:t>
        </w:r>
      </w:hyperlink>
      <w:r>
        <w:rPr>
          <w:rFonts w:ascii="Arial" w:hAnsi="Arial" w:hint="cs"/>
          <w:b/>
          <w:bCs/>
          <w:rtl/>
        </w:rPr>
        <w:t xml:space="preserve">, </w:t>
      </w:r>
      <w:hyperlink r:id="rId30" w:history="1">
        <w:r w:rsidR="00437C61" w:rsidRPr="00437C61">
          <w:rPr>
            <w:rFonts w:ascii="Arial" w:hAnsi="Arial"/>
            <w:b/>
            <w:bCs/>
            <w:color w:val="0000FF"/>
            <w:u w:val="single"/>
            <w:rtl/>
          </w:rPr>
          <w:t>ת"פ 8123/03</w:t>
        </w:r>
      </w:hyperlink>
      <w:r>
        <w:rPr>
          <w:rFonts w:ascii="Arial" w:hAnsi="Arial" w:hint="cs"/>
          <w:b/>
          <w:bCs/>
          <w:rtl/>
        </w:rPr>
        <w:t xml:space="preserve">, </w:t>
      </w:r>
      <w:hyperlink r:id="rId31" w:history="1">
        <w:r w:rsidR="00437C61" w:rsidRPr="00437C61">
          <w:rPr>
            <w:rFonts w:ascii="Arial" w:hAnsi="Arial"/>
            <w:b/>
            <w:bCs/>
            <w:color w:val="0000FF"/>
            <w:u w:val="single"/>
            <w:rtl/>
          </w:rPr>
          <w:t>ת"פ 8059/01</w:t>
        </w:r>
      </w:hyperlink>
      <w:r>
        <w:rPr>
          <w:rFonts w:ascii="Arial" w:hAnsi="Arial" w:hint="cs"/>
          <w:b/>
          <w:bCs/>
          <w:rtl/>
        </w:rPr>
        <w:t xml:space="preserve">. </w:t>
      </w:r>
    </w:p>
    <w:p w14:paraId="08FD8EBC" w14:textId="77777777" w:rsidR="00F71B97" w:rsidRDefault="00F71B97" w:rsidP="00F71B97">
      <w:pPr>
        <w:spacing w:line="360" w:lineRule="auto"/>
        <w:jc w:val="both"/>
        <w:rPr>
          <w:rFonts w:ascii="Arial" w:hAnsi="Arial"/>
          <w:b/>
          <w:bCs/>
          <w:rtl/>
        </w:rPr>
      </w:pPr>
    </w:p>
    <w:p w14:paraId="025973FA" w14:textId="77777777" w:rsidR="00F71B97" w:rsidRDefault="00F71B97" w:rsidP="00F71B97">
      <w:pPr>
        <w:spacing w:line="360" w:lineRule="auto"/>
        <w:jc w:val="both"/>
        <w:rPr>
          <w:rFonts w:ascii="Arial" w:hAnsi="Arial"/>
          <w:b/>
          <w:bCs/>
          <w:rtl/>
        </w:rPr>
      </w:pPr>
      <w:r>
        <w:rPr>
          <w:rFonts w:ascii="Arial" w:hAnsi="Arial" w:hint="cs"/>
          <w:rtl/>
        </w:rPr>
        <w:t>כך גם בחלק אחר מאותם פסקי דין דובר על עונשים סגורים במסגרת הסדר טיעון לעונש, דהיינו סיטואציה שבה בית המשפט אינו קובע בהכרח את העונש הראוי, אלא קובע האם מדובר בהסדר סביר, אם לאו, כאשר יש ולעיתים לא כל הנתונים פרוסים בפני בית המשפט, בכלל זאת קשיים ראייתיים ונתונים אחרים הצריכים לעניין. כך ר' בין היתר</w:t>
      </w:r>
      <w:r>
        <w:rPr>
          <w:rFonts w:ascii="Arial" w:hAnsi="Arial" w:hint="cs"/>
          <w:b/>
          <w:bCs/>
          <w:rtl/>
        </w:rPr>
        <w:t xml:space="preserve">: </w:t>
      </w:r>
      <w:hyperlink r:id="rId32" w:history="1">
        <w:r w:rsidR="00437C61" w:rsidRPr="00437C61">
          <w:rPr>
            <w:rFonts w:ascii="Arial" w:hAnsi="Arial"/>
            <w:b/>
            <w:bCs/>
            <w:color w:val="0000FF"/>
            <w:u w:val="single"/>
            <w:rtl/>
          </w:rPr>
          <w:t>ת"פ 32548-02-16</w:t>
        </w:r>
      </w:hyperlink>
      <w:r>
        <w:rPr>
          <w:rFonts w:ascii="Arial" w:hAnsi="Arial" w:hint="cs"/>
          <w:b/>
          <w:bCs/>
          <w:rtl/>
        </w:rPr>
        <w:t xml:space="preserve">, </w:t>
      </w:r>
      <w:hyperlink r:id="rId33" w:history="1">
        <w:r w:rsidR="00437C61" w:rsidRPr="00437C61">
          <w:rPr>
            <w:rFonts w:ascii="Arial" w:hAnsi="Arial"/>
            <w:b/>
            <w:bCs/>
            <w:color w:val="0000FF"/>
            <w:u w:val="single"/>
            <w:rtl/>
          </w:rPr>
          <w:t>ת"פ 38276-07-10</w:t>
        </w:r>
      </w:hyperlink>
      <w:r>
        <w:rPr>
          <w:rFonts w:ascii="Arial" w:hAnsi="Arial" w:hint="cs"/>
          <w:b/>
          <w:bCs/>
          <w:rtl/>
        </w:rPr>
        <w:t xml:space="preserve">, </w:t>
      </w:r>
      <w:hyperlink r:id="rId34" w:history="1">
        <w:r w:rsidR="00437C61" w:rsidRPr="00437C61">
          <w:rPr>
            <w:rFonts w:ascii="Arial" w:hAnsi="Arial"/>
            <w:b/>
            <w:bCs/>
            <w:color w:val="0000FF"/>
            <w:u w:val="single"/>
            <w:rtl/>
          </w:rPr>
          <w:t>ת"פ 53761-07-11</w:t>
        </w:r>
      </w:hyperlink>
      <w:r>
        <w:rPr>
          <w:rFonts w:ascii="Arial" w:hAnsi="Arial" w:hint="cs"/>
          <w:b/>
          <w:bCs/>
          <w:rtl/>
        </w:rPr>
        <w:t>, ת"פ 4157/09.</w:t>
      </w:r>
    </w:p>
    <w:p w14:paraId="3CC301B5" w14:textId="77777777" w:rsidR="00F71B97" w:rsidRDefault="00F71B97" w:rsidP="00F71B97">
      <w:pPr>
        <w:spacing w:line="360" w:lineRule="auto"/>
        <w:jc w:val="both"/>
        <w:rPr>
          <w:rFonts w:ascii="Arial" w:hAnsi="Arial"/>
          <w:rtl/>
        </w:rPr>
      </w:pPr>
      <w:r>
        <w:rPr>
          <w:rFonts w:ascii="Arial" w:hAnsi="Arial" w:hint="cs"/>
          <w:rtl/>
        </w:rPr>
        <w:t>בתיק זה מידת הפגיעה בערכים המוגנים המפורטים לעיל אינה מבוטלת כלל ועיקר. המדובר במי  אשר נמצא בחזקתו סם מסוג הרואין הנמנה עם הסמים הקטלניים במשקל של 4.8 גרם נטו. גם אם כמו זו אינה גבוהה במיוחד, עדיין עניין לנו בכמות סם שהינה פי 16 מהכמות שהוגדרה בפקודת הסמים ככזו אשר ממנה תיחשב ההחזקה שלא לצריכה עצמית. ודוק, החזקה של 0.3 גר' אינה משקפת את גודלה של מנת סם אחת, אלא כמות המספיקה למספר מנות שנועדו לצריכה עצמית. נמצא כי מהכמות אותה החזיק הנאשם ניתן להפיק מספר רב של מנות סם.</w:t>
      </w:r>
    </w:p>
    <w:p w14:paraId="202545F7" w14:textId="77777777" w:rsidR="00F71B97" w:rsidRDefault="00F71B97" w:rsidP="00F71B97">
      <w:pPr>
        <w:spacing w:line="360" w:lineRule="auto"/>
        <w:jc w:val="both"/>
        <w:rPr>
          <w:rFonts w:ascii="Arial" w:hAnsi="Arial"/>
          <w:rtl/>
        </w:rPr>
      </w:pPr>
    </w:p>
    <w:p w14:paraId="50F9CA9A" w14:textId="77777777" w:rsidR="00F71B97" w:rsidRDefault="00F71B97" w:rsidP="00F71B97">
      <w:pPr>
        <w:spacing w:line="360" w:lineRule="auto"/>
        <w:jc w:val="both"/>
        <w:rPr>
          <w:rFonts w:ascii="Arial" w:hAnsi="Arial"/>
          <w:rtl/>
        </w:rPr>
      </w:pPr>
      <w:r>
        <w:rPr>
          <w:rFonts w:ascii="Arial" w:hAnsi="Arial" w:hint="cs"/>
          <w:rtl/>
        </w:rPr>
        <w:t xml:space="preserve">יחד עם הסם מסוג הרואין, נתפס סם מסוכן מסוג חשיש במשקל 20 גרם. החומרא היתרה הגלומה במעשיו של הנאשם אינה נעוצה במשקל הסם אשר אינו גבוה במיוחד, (ואף קרוב לחזקה שנקבעה לצריכה עצמית), אלא בשילוב של הימצאות שני סוגי הסם ברשות הנאשם. גם סם זה לא נועד לצריכתו העצמית של הנאשם ומשכך, יש באמור לעיל כדי ללמד על זמינות של מספר סוגי סם ומעורבות גדולה יותר בעולם הסמים. </w:t>
      </w:r>
    </w:p>
    <w:p w14:paraId="19DE66CA" w14:textId="77777777" w:rsidR="00F71B97" w:rsidRDefault="00F71B97" w:rsidP="00F71B97">
      <w:pPr>
        <w:spacing w:line="360" w:lineRule="auto"/>
        <w:jc w:val="both"/>
        <w:rPr>
          <w:rFonts w:ascii="Arial" w:hAnsi="Arial"/>
          <w:rtl/>
        </w:rPr>
      </w:pPr>
    </w:p>
    <w:p w14:paraId="041A1BFE" w14:textId="77777777" w:rsidR="00F71B97" w:rsidRDefault="00F71B97" w:rsidP="00F71B97">
      <w:pPr>
        <w:spacing w:line="360" w:lineRule="auto"/>
        <w:jc w:val="both"/>
        <w:rPr>
          <w:rFonts w:ascii="Arial" w:hAnsi="Arial"/>
          <w:rtl/>
        </w:rPr>
      </w:pPr>
      <w:r>
        <w:rPr>
          <w:rFonts w:ascii="Arial" w:hAnsi="Arial" w:hint="cs"/>
          <w:rtl/>
        </w:rPr>
        <w:t>למותר להוסיף כי בעבירות סם שלא לצריכה עצמית, ובעבירות סמים בכלל, ישנה קורלציה בין משקל הסם לעונש שנגזר על הנאשם. יחד עם זאת, בבואו של בית המשפט לקבוע את הענישה הראויה אין לערוך חישוב אריתמטי מדויק של גרמים אל מול חודשי מאסר, וכך גם אין לדבר על יחס ליניארי ישיר בין כמות הסם לבין העונש, וכל מקרה לגופו.</w:t>
      </w:r>
    </w:p>
    <w:p w14:paraId="78B0931F" w14:textId="77777777" w:rsidR="00F71B97" w:rsidRDefault="00F71B97" w:rsidP="00F71B97">
      <w:pPr>
        <w:spacing w:line="360" w:lineRule="auto"/>
        <w:jc w:val="both"/>
        <w:rPr>
          <w:rFonts w:ascii="Arial" w:hAnsi="Arial"/>
          <w:rtl/>
        </w:rPr>
      </w:pPr>
    </w:p>
    <w:p w14:paraId="290900C7" w14:textId="77777777" w:rsidR="00F71B97" w:rsidRDefault="00F71B97" w:rsidP="00F71B97">
      <w:pPr>
        <w:spacing w:line="360" w:lineRule="auto"/>
        <w:jc w:val="both"/>
        <w:rPr>
          <w:rFonts w:ascii="Arial" w:hAnsi="Arial"/>
          <w:rtl/>
        </w:rPr>
      </w:pPr>
      <w:r>
        <w:rPr>
          <w:rFonts w:ascii="Arial" w:hAnsi="Arial" w:hint="cs"/>
          <w:rtl/>
        </w:rPr>
        <w:t xml:space="preserve">הנאשם מחזיק את הסם מחוץ לדלת אמות ביתו בצהרי היום, בטבורה של עיר, בתוך רכב, דבר המלמד כי זה אמור היה למצוא את דרכו ממקום פלוני למקום אלמוני כחלק משרשרת הפצת הסם. </w:t>
      </w:r>
    </w:p>
    <w:p w14:paraId="596F9727" w14:textId="77777777" w:rsidR="00F71B97" w:rsidRDefault="00F71B97" w:rsidP="00F71B97">
      <w:pPr>
        <w:spacing w:line="360" w:lineRule="auto"/>
        <w:jc w:val="both"/>
        <w:rPr>
          <w:rFonts w:ascii="Arial" w:hAnsi="Arial"/>
          <w:rtl/>
        </w:rPr>
      </w:pPr>
    </w:p>
    <w:p w14:paraId="29068A3D" w14:textId="77777777" w:rsidR="00F71B97" w:rsidRDefault="00F71B97" w:rsidP="00F71B97">
      <w:pPr>
        <w:spacing w:line="360" w:lineRule="auto"/>
        <w:jc w:val="both"/>
        <w:rPr>
          <w:rFonts w:ascii="Arial" w:hAnsi="Arial"/>
          <w:rtl/>
        </w:rPr>
      </w:pPr>
      <w:r>
        <w:rPr>
          <w:rFonts w:ascii="Arial" w:hAnsi="Arial" w:hint="cs"/>
          <w:rtl/>
        </w:rPr>
        <w:t xml:space="preserve">הנאשם טוען כי החזיק את הסמים מאחר והיה בדיכאון. לא ברור מדברים אלו שנאמרו לעניין העונש האם בכך מאשר הנאשם כי השתמש בסמים לצריכתו העצמית, אולם גם אם כך הם פני הדברים, אין באמור לעיל כדי לחתור תחת הוראות החיקוק שיוחסו לנאשם וליתר דיוק בעובדה כי הסם לא נועד רק לשימוש עצמי. </w:t>
      </w:r>
    </w:p>
    <w:p w14:paraId="7AF1FC2E" w14:textId="77777777" w:rsidR="00F71B97" w:rsidRDefault="00F71B97" w:rsidP="00F71B97">
      <w:pPr>
        <w:spacing w:line="360" w:lineRule="auto"/>
        <w:rPr>
          <w:rFonts w:ascii="Times New Roman" w:eastAsia="Times New Roman" w:hAnsi="Times New Roman"/>
          <w:noProof/>
          <w:rtl/>
        </w:rPr>
      </w:pPr>
    </w:p>
    <w:p w14:paraId="30646F7E" w14:textId="77777777" w:rsidR="00F71B97" w:rsidRDefault="00F71B97" w:rsidP="00F71B97">
      <w:pPr>
        <w:spacing w:line="360" w:lineRule="auto"/>
        <w:jc w:val="both"/>
        <w:rPr>
          <w:rFonts w:ascii="Arial" w:hAnsi="Arial"/>
          <w:rtl/>
        </w:rPr>
      </w:pPr>
      <w:r>
        <w:rPr>
          <w:rFonts w:ascii="Arial" w:hAnsi="Arial" w:hint="cs"/>
          <w:rtl/>
        </w:rPr>
        <w:t>בתיק דנן הסמים נתפסו, ומכאן שאין לדבר על נזק ישיר שנגרם לבריאות הציבור. מנגד, יש ליתן הדעת לנזק הפוטנציאלי ולסכנה הטמונה בסם. בתיקי סמים אמנם אין נוכחות קורבן במובן "הקלאסי" של אדם אשר בא ומטיח בנאשם כי פגע בו. ודוק, מדי יום מגיעים לפתחו של בית המשפט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שעה שגונבים מהם כספים לעיתים תוך נקיטת אלימות לצורך מימון הסמים. בבואו של בית המשפט לבחון את הסיכון הנשקף ממעשיו של הנאשם, עליו לשוות לנגד עיניו את כל אותם צרכני סמים וכל אותן תופעות נלוות להתמכרות זו.</w:t>
      </w:r>
    </w:p>
    <w:p w14:paraId="1815F524" w14:textId="77777777" w:rsidR="00F71B97" w:rsidRDefault="00F71B97" w:rsidP="00F71B97">
      <w:pPr>
        <w:spacing w:line="360" w:lineRule="auto"/>
        <w:rPr>
          <w:rFonts w:ascii="Times New Roman" w:eastAsia="Times New Roman" w:hAnsi="Times New Roman"/>
          <w:noProof/>
        </w:rPr>
      </w:pPr>
    </w:p>
    <w:p w14:paraId="1D6A1AAE" w14:textId="77777777" w:rsidR="00F71B97" w:rsidRDefault="00F71B97" w:rsidP="00F71B97">
      <w:pPr>
        <w:spacing w:line="360" w:lineRule="auto"/>
        <w:jc w:val="both"/>
        <w:rPr>
          <w:rtl/>
        </w:rPr>
      </w:pPr>
      <w:r>
        <w:rPr>
          <w:rFonts w:hint="cs"/>
          <w:rtl/>
        </w:rPr>
        <w:t xml:space="preserve">להחזקת הסם נלוותה עבירה של בריחה ממשמורת חוקית, שכן בעת שהבחין הנאשם במציאת הסמים ברכבו, זה ברח ונמלט מהמקום. בטרם בית המשפט ידרש לנסיבות ביצוע העבירה, יוער כי גם אם המאשימה בוחרת מטעמים כאלה ואחרים לתקן את הוראת החיקוק, (כפי הנראה להימנע מהפעלתו של מאסר מותנה שתלוי ועומד כנגד הנאשם) עדיין שומה שתהיה קורלציה בין עובדות כתב האישום לבין הוראת החיקוק. ייחוס הוראה של בריחה ממשמורת חוקית מחייבת תיקון נוסף בכתב האישום, בגדרו יצוין באיזה משמורת היה נתון הנאשם ומכוח איזה הוראה. אפילו תמצא לומר כי, זה היה במשמורת השוטרים לאחר שהורו לו על מעצרו (דבר אשר אינו נקי מקשיים משפטיים) הייתה חובה על המאשימה לציין זאת בכתב האישום, כחלק מעובדות העבירה. אין זו הפעם הראשונה בה מותב זה נתקל בתופעה ומעיר לגביה ויש לקוות שמכאן ולהבא תיקונים שכאלה לא יישנו. </w:t>
      </w:r>
    </w:p>
    <w:p w14:paraId="0A8E4C52" w14:textId="77777777" w:rsidR="00F71B97" w:rsidRDefault="00F71B97" w:rsidP="00F71B97">
      <w:pPr>
        <w:spacing w:line="360" w:lineRule="auto"/>
        <w:rPr>
          <w:rtl/>
        </w:rPr>
      </w:pPr>
    </w:p>
    <w:p w14:paraId="1012A7BB" w14:textId="77777777" w:rsidR="00F71B97" w:rsidRDefault="00F71B97" w:rsidP="00F71B97">
      <w:pPr>
        <w:spacing w:line="360" w:lineRule="auto"/>
        <w:jc w:val="both"/>
        <w:rPr>
          <w:rtl/>
        </w:rPr>
      </w:pPr>
      <w:r>
        <w:rPr>
          <w:rFonts w:hint="cs"/>
          <w:rtl/>
        </w:rPr>
        <w:t xml:space="preserve">לגופם של דברים, המדובר בהתנהלות אשר באופן הינהרנטי נועדה להכשיל את השוטרים ואת החקירה. מחד, אין המדובר בבריחה מתוחכמת, אגב התגברות על חומות, גדרות טיל ומכשולים כאלה ואחרים, מאידך, המדובר בהתנהלות אשר מלמדת על תעוזה לא מעטה שכן הנאשם נמצא בסמיכות השוטרים וחרף כך מרהיב עוז ונמלט מהמקום. התנהלות זו מאפשרת הצצה נוספת למאפיניו של הנאשם. יוער כי, המדובר בעבירה שהעונש שנקצב בצדה הינו 7 שנות מאסר וזאת מתוך הבנת החשיבות בדבר הסדר הציבורי והצורך בציות לגורמי אכיפת החוק, גם אם מדובר במשמורת שהינה פרי הודעה על עיכוב או מעצר בשטח. </w:t>
      </w:r>
    </w:p>
    <w:p w14:paraId="36B95E6A" w14:textId="77777777" w:rsidR="00F71B97" w:rsidRDefault="00F71B97" w:rsidP="00F71B97">
      <w:pPr>
        <w:spacing w:line="360" w:lineRule="auto"/>
        <w:rPr>
          <w:rtl/>
        </w:rPr>
      </w:pPr>
    </w:p>
    <w:p w14:paraId="0067EC2B" w14:textId="77777777" w:rsidR="00F71B97" w:rsidRDefault="00F71B97" w:rsidP="00F71B97">
      <w:pPr>
        <w:spacing w:line="360" w:lineRule="auto"/>
        <w:jc w:val="both"/>
        <w:rPr>
          <w:rtl/>
        </w:rPr>
      </w:pPr>
      <w:r>
        <w:rPr>
          <w:rFonts w:hint="cs"/>
          <w:rtl/>
        </w:rPr>
        <w:t xml:space="preserve">טרם סיום, אציין כי מטבעם של דברים בית המשפט לא נחשף לחומר הראיות בתיק, ומשכך גם הקושי להתייחס לטענות ראייתיות כאלה ואחרות, כפי שהועלו על ידי ההגנה. באופן קונקרטי, גם אם נתפס סם על אחר, הרי שמקום בו על פי טענת המאשימה (ולא נסתר על ידי הסניגור) הנאשם הוא זה שבאופן פוזיטיבי טען בחקירתו כי האחר הינו טרמפיסט ולא קשור לסמים, או/אז זה אינו יכול להיבנות כעת בשלבים הטיעונים לעונש, מהימצאות אותו סם על האחר. לא בלי קשר, כתב האישום כאמור תוקן ותיקון זה נעשה בין היתר על סמך טענות אותן העלה הסניגור במסגרת הגישור. לשון אחר, התיקון משקלל כבר את אותו קושי ראייתי (אין בכך כדי לשלול את המשקל שינתן להודאת הנאשם בגדרי המתחם). </w:t>
      </w:r>
    </w:p>
    <w:p w14:paraId="2DDBD110" w14:textId="77777777" w:rsidR="00F71B97" w:rsidRDefault="00F71B97" w:rsidP="00F71B97">
      <w:pPr>
        <w:spacing w:line="360" w:lineRule="auto"/>
        <w:rPr>
          <w:rtl/>
        </w:rPr>
      </w:pPr>
    </w:p>
    <w:p w14:paraId="64F0296E" w14:textId="77777777" w:rsidR="00F71B97" w:rsidRDefault="00F71B97" w:rsidP="00F71B97">
      <w:pPr>
        <w:spacing w:line="360" w:lineRule="auto"/>
        <w:rPr>
          <w:rtl/>
        </w:rPr>
      </w:pPr>
      <w:r>
        <w:rPr>
          <w:rFonts w:hint="cs"/>
          <w:rtl/>
        </w:rPr>
        <w:t xml:space="preserve">מכל המקובץ לעיל, הנני לקבוע כי מתחם העונש ההולם נע בין 8 ל-18 חודשים מאסר בפועל. </w:t>
      </w:r>
    </w:p>
    <w:p w14:paraId="6C724849" w14:textId="77777777" w:rsidR="00F71B97" w:rsidRDefault="00F71B97" w:rsidP="00F71B97">
      <w:pPr>
        <w:spacing w:line="360" w:lineRule="auto"/>
        <w:jc w:val="both"/>
        <w:rPr>
          <w:rtl/>
        </w:rPr>
      </w:pPr>
      <w:r>
        <w:rPr>
          <w:rFonts w:hint="cs"/>
          <w:rtl/>
        </w:rPr>
        <w:t xml:space="preserve">בקביעת עונשו של הנאשם בגדרי המתחם ולקולא, תילקח בחשבון הודאתו, הודאה זו כאמור מקבלת משנה תוקף נוכח רשימת עדי התביעה וכן נוכח טענות משפטיות הנוגעות לחוקיות החיפוש, עליהן ויתר. הנאשם, צעיר יחסית בגיל והינו בן 23, רווק אשר עתיד להתחתן לאחר שחרורו. </w:t>
      </w:r>
    </w:p>
    <w:p w14:paraId="774C04DD" w14:textId="77777777" w:rsidR="00F71B97" w:rsidRDefault="00F71B97" w:rsidP="00F71B97">
      <w:pPr>
        <w:spacing w:line="360" w:lineRule="auto"/>
        <w:jc w:val="both"/>
        <w:rPr>
          <w:rtl/>
        </w:rPr>
      </w:pPr>
    </w:p>
    <w:p w14:paraId="3A63854D" w14:textId="77777777" w:rsidR="00F71B97" w:rsidRDefault="00F71B97" w:rsidP="00F71B97">
      <w:pPr>
        <w:spacing w:line="360" w:lineRule="auto"/>
        <w:jc w:val="both"/>
        <w:rPr>
          <w:rtl/>
        </w:rPr>
      </w:pPr>
      <w:r>
        <w:rPr>
          <w:rFonts w:hint="cs"/>
          <w:rtl/>
        </w:rPr>
        <w:t xml:space="preserve">מחד, עברו הפלילי של הנאשם אינו מכביד וכולל הרשעה אחת קודמת משנת 2015, שבגינה נגזר עליו מאסר מותנה בן 6 חודשים, מאידך, לא ניתן להתעלם מהעובדה שעיון בגזר הדין מלמד כי באותו מקרה הנאשם תקף שוטר ובהמשך נמלט מהמקום וזאת בדומה למקרה שבפנינו. עבר פלילי זה יקבל משקל, אם כי זה יהיה במשורה. </w:t>
      </w:r>
    </w:p>
    <w:p w14:paraId="16FDADEC" w14:textId="77777777" w:rsidR="00F71B97" w:rsidRDefault="00F71B97" w:rsidP="00F71B97">
      <w:pPr>
        <w:spacing w:line="360" w:lineRule="auto"/>
        <w:jc w:val="both"/>
        <w:rPr>
          <w:rtl/>
        </w:rPr>
      </w:pPr>
    </w:p>
    <w:p w14:paraId="1D05ED23" w14:textId="77777777" w:rsidR="00F71B97" w:rsidRDefault="00F71B97" w:rsidP="00F71B97">
      <w:pPr>
        <w:spacing w:line="360" w:lineRule="auto"/>
        <w:jc w:val="both"/>
        <w:rPr>
          <w:rtl/>
        </w:rPr>
      </w:pPr>
      <w:r>
        <w:rPr>
          <w:rFonts w:hint="cs"/>
          <w:rtl/>
        </w:rPr>
        <w:t xml:space="preserve">בתיק זה לא התבקש תסקיר ומשכך לא נפרסו מלוא הנתונים הצריכים לעניין, בדגש על מידת הזדקקותו של הנאשם להליך טיפולו ויכולתו להירתם להליך שכזה. הדברים אמורים, בפרט, בנוגע למידת השימוש שעושה הנאשם אם לאו בחומרים משני תודעה. בין כך ובין כך,  אין לדבר על הליכי שיקום בגינם יש לחרוג מטה ממתחם העונש ההולם. </w:t>
      </w:r>
    </w:p>
    <w:p w14:paraId="07670640" w14:textId="77777777" w:rsidR="00F71B97" w:rsidRDefault="00F71B97" w:rsidP="00F71B97">
      <w:pPr>
        <w:spacing w:line="360" w:lineRule="auto"/>
        <w:jc w:val="both"/>
        <w:rPr>
          <w:rtl/>
        </w:rPr>
      </w:pPr>
    </w:p>
    <w:p w14:paraId="16677103" w14:textId="77777777" w:rsidR="00F71B97" w:rsidRDefault="00F71B97" w:rsidP="00F71B97">
      <w:pPr>
        <w:spacing w:line="360" w:lineRule="auto"/>
        <w:jc w:val="both"/>
        <w:rPr>
          <w:rtl/>
        </w:rPr>
      </w:pPr>
      <w:r>
        <w:rPr>
          <w:rFonts w:hint="cs"/>
          <w:rtl/>
        </w:rPr>
        <w:t xml:space="preserve">עבירות סמים מבוצעות על רקע בצע כסף ומשכך גם הצורך בהשתת עיצומים כספיים מרתיעים  שיהא בהם כדי ללמד בדבר חוסר הכדאיות בביצוע עבירות סמים על חשבון בריאות הזולת. בעניינו של הנאשם שלפני ולו לפנים משורת הדין, עיצומים אלו יהיהו במשורה זאת על מנת להקל על השתלבותו במעגל העבודה ובשיקום חייו לאחר שישתחרר ממאסרו. </w:t>
      </w:r>
    </w:p>
    <w:p w14:paraId="19673691" w14:textId="77777777" w:rsidR="00F71B97" w:rsidRDefault="00F71B97" w:rsidP="00F71B97">
      <w:pPr>
        <w:spacing w:line="360" w:lineRule="auto"/>
        <w:jc w:val="both"/>
        <w:rPr>
          <w:rtl/>
        </w:rPr>
      </w:pPr>
    </w:p>
    <w:p w14:paraId="27A50E2D" w14:textId="77777777" w:rsidR="00F71B97" w:rsidRDefault="00F71B97" w:rsidP="00F71B97">
      <w:pPr>
        <w:spacing w:line="360" w:lineRule="auto"/>
        <w:jc w:val="both"/>
        <w:rPr>
          <w:b/>
          <w:bCs/>
          <w:rtl/>
        </w:rPr>
      </w:pPr>
      <w:r>
        <w:rPr>
          <w:rFonts w:hint="cs"/>
          <w:b/>
          <w:bCs/>
          <w:rtl/>
        </w:rPr>
        <w:t>סוף דבר, מכל המקובץ לעיל, הנני לגזור על הנאשם את העונשים הבאים:</w:t>
      </w:r>
    </w:p>
    <w:p w14:paraId="021DA25A" w14:textId="77777777" w:rsidR="00F71B97" w:rsidRDefault="00F71B97" w:rsidP="00F71B97">
      <w:pPr>
        <w:spacing w:line="360" w:lineRule="auto"/>
        <w:jc w:val="both"/>
        <w:rPr>
          <w:rtl/>
        </w:rPr>
      </w:pPr>
      <w:r>
        <w:rPr>
          <w:rFonts w:hint="cs"/>
          <w:rtl/>
        </w:rPr>
        <w:t>א.</w:t>
      </w:r>
      <w:r>
        <w:rPr>
          <w:rFonts w:hint="cs"/>
          <w:rtl/>
        </w:rPr>
        <w:tab/>
        <w:t>9 חודשים מאסר בפועל שיימנו מיום מעצרו 8.5.17</w:t>
      </w:r>
    </w:p>
    <w:p w14:paraId="45EA0D8B" w14:textId="77777777" w:rsidR="00F71B97" w:rsidRDefault="00F71B97" w:rsidP="00F71B97">
      <w:pPr>
        <w:spacing w:line="360" w:lineRule="auto"/>
        <w:jc w:val="both"/>
        <w:rPr>
          <w:rtl/>
        </w:rPr>
      </w:pPr>
      <w:r>
        <w:rPr>
          <w:rFonts w:hint="cs"/>
          <w:rtl/>
        </w:rPr>
        <w:t>ב.</w:t>
      </w:r>
      <w:r>
        <w:rPr>
          <w:rFonts w:hint="cs"/>
          <w:rtl/>
        </w:rPr>
        <w:tab/>
        <w:t>5 חודשים מאסר על תנאי למשך 3 שנים מיום שחרורו שלא יעבור עבירות סמים מסוג עוון;</w:t>
      </w:r>
    </w:p>
    <w:p w14:paraId="3F1665D7" w14:textId="77777777" w:rsidR="00F71B97" w:rsidRDefault="00F71B97" w:rsidP="00F71B97">
      <w:pPr>
        <w:spacing w:line="360" w:lineRule="auto"/>
        <w:jc w:val="both"/>
        <w:rPr>
          <w:rtl/>
        </w:rPr>
      </w:pPr>
      <w:r>
        <w:rPr>
          <w:rFonts w:hint="cs"/>
          <w:rtl/>
        </w:rPr>
        <w:t>ג.</w:t>
      </w:r>
      <w:r>
        <w:rPr>
          <w:rFonts w:hint="cs"/>
          <w:rtl/>
        </w:rPr>
        <w:tab/>
        <w:t>10 חודשים מאסר על תנאי למשך 3 שנים מיום שחרורו שלא יעבור עבירות סמים מסוג פשע;</w:t>
      </w:r>
    </w:p>
    <w:p w14:paraId="594DB981" w14:textId="77777777" w:rsidR="00F71B97" w:rsidRDefault="00F71B97" w:rsidP="00F71B97">
      <w:pPr>
        <w:spacing w:line="360" w:lineRule="auto"/>
        <w:jc w:val="both"/>
        <w:rPr>
          <w:rtl/>
        </w:rPr>
      </w:pPr>
      <w:r>
        <w:rPr>
          <w:rFonts w:hint="cs"/>
          <w:rtl/>
        </w:rPr>
        <w:t>ד.</w:t>
      </w:r>
      <w:r>
        <w:rPr>
          <w:rFonts w:hint="cs"/>
          <w:rtl/>
        </w:rPr>
        <w:tab/>
        <w:t xml:space="preserve">2,500 ₪ קנס או 10 ימי מאסר תמורתו. הקנס ישולם עד ליום 1.2.2018. </w:t>
      </w:r>
    </w:p>
    <w:p w14:paraId="15D25FE2" w14:textId="77777777" w:rsidR="00F71B97" w:rsidRDefault="00F71B97" w:rsidP="00F71B97">
      <w:pPr>
        <w:spacing w:line="360" w:lineRule="auto"/>
        <w:jc w:val="both"/>
        <w:rPr>
          <w:rtl/>
        </w:rPr>
      </w:pPr>
    </w:p>
    <w:p w14:paraId="42B528A9" w14:textId="77777777" w:rsidR="00F71B97" w:rsidRPr="00E641F3" w:rsidRDefault="00F71B97" w:rsidP="00F71B97">
      <w:pPr>
        <w:spacing w:line="360" w:lineRule="auto"/>
        <w:jc w:val="both"/>
        <w:rPr>
          <w:b/>
          <w:bCs/>
          <w:rtl/>
        </w:rPr>
      </w:pPr>
      <w:r w:rsidRPr="00E641F3">
        <w:rPr>
          <w:rFonts w:hint="cs"/>
          <w:b/>
          <w:bCs/>
          <w:rtl/>
        </w:rPr>
        <w:t xml:space="preserve">זכות ערעור תוך 45 יום לבית משפט מחוזי. </w:t>
      </w:r>
    </w:p>
    <w:p w14:paraId="3AE5A0C7" w14:textId="77777777" w:rsidR="00F71B97" w:rsidRDefault="00F71B97" w:rsidP="00F71B97">
      <w:pPr>
        <w:spacing w:line="360" w:lineRule="auto"/>
        <w:rPr>
          <w:rtl/>
        </w:rPr>
      </w:pPr>
    </w:p>
    <w:p w14:paraId="1655D3C7" w14:textId="77777777" w:rsidR="00F71B97" w:rsidRDefault="00F71B97" w:rsidP="00F71B97">
      <w:pPr>
        <w:spacing w:line="360" w:lineRule="auto"/>
        <w:rPr>
          <w:rtl/>
        </w:rPr>
      </w:pPr>
      <w:r>
        <w:rPr>
          <w:rFonts w:hint="cs"/>
          <w:rtl/>
        </w:rPr>
        <w:t>מורה על השבת רכב מסוג טויוטה מספר רישוי 41-73864 וכן שלושה טלפונים של הנאשם שנתפסו כמוצג לידי אביו, מר אלפזראת אבו רקייק.</w:t>
      </w:r>
    </w:p>
    <w:p w14:paraId="75AA38D4" w14:textId="77777777" w:rsidR="00F71B97" w:rsidRDefault="00F71B97" w:rsidP="00F71B97">
      <w:pPr>
        <w:rPr>
          <w:rFonts w:cs="FrankRuehl"/>
          <w:sz w:val="28"/>
          <w:szCs w:val="28"/>
          <w:rtl/>
        </w:rPr>
      </w:pPr>
    </w:p>
    <w:p w14:paraId="1E531E6B" w14:textId="77777777" w:rsidR="00F71B97" w:rsidRDefault="00F71B97" w:rsidP="00F71B97">
      <w:pPr>
        <w:rPr>
          <w:rFonts w:cs="FrankRuehl"/>
          <w:sz w:val="28"/>
          <w:szCs w:val="28"/>
          <w:rtl/>
        </w:rPr>
      </w:pPr>
    </w:p>
    <w:p w14:paraId="75C2BD05" w14:textId="77777777" w:rsidR="00F71B97" w:rsidRDefault="00F71B97" w:rsidP="00F71B97">
      <w:pPr>
        <w:spacing w:line="360" w:lineRule="auto"/>
        <w:jc w:val="both"/>
        <w:rPr>
          <w:rtl/>
        </w:rPr>
      </w:pPr>
      <w:r>
        <w:rPr>
          <w:rFonts w:hint="cs"/>
          <w:rtl/>
        </w:rPr>
        <w:t>ניתן צו למוצג סמים: להשמיד.</w:t>
      </w:r>
    </w:p>
    <w:p w14:paraId="4ADA53F7" w14:textId="77777777" w:rsidR="00F71B97" w:rsidRDefault="00F71B97" w:rsidP="00F71B97">
      <w:pPr>
        <w:spacing w:line="360" w:lineRule="auto"/>
        <w:jc w:val="both"/>
        <w:rPr>
          <w:sz w:val="6"/>
          <w:szCs w:val="6"/>
          <w:rtl/>
        </w:rPr>
      </w:pPr>
      <w:r>
        <w:rPr>
          <w:sz w:val="6"/>
          <w:szCs w:val="6"/>
          <w:rtl/>
        </w:rPr>
        <w:t>&lt;#7#&gt;</w:t>
      </w:r>
    </w:p>
    <w:p w14:paraId="34D3FAFB" w14:textId="77777777" w:rsidR="00F71B97" w:rsidRDefault="00F71B97" w:rsidP="00F71B97">
      <w:pPr>
        <w:jc w:val="right"/>
        <w:rPr>
          <w:rtl/>
        </w:rPr>
      </w:pPr>
    </w:p>
    <w:p w14:paraId="43503744" w14:textId="77777777" w:rsidR="00F71B97" w:rsidRDefault="00437C61" w:rsidP="00F71B97">
      <w:pPr>
        <w:jc w:val="center"/>
        <w:rPr>
          <w:rtl/>
        </w:rPr>
      </w:pPr>
      <w:r w:rsidRPr="00437C61">
        <w:rPr>
          <w:b/>
          <w:bCs/>
          <w:color w:val="FFFFFF"/>
          <w:sz w:val="2"/>
          <w:szCs w:val="2"/>
          <w:rtl/>
        </w:rPr>
        <w:t>5129371</w:t>
      </w:r>
      <w:r>
        <w:rPr>
          <w:b/>
          <w:bCs/>
          <w:rtl/>
        </w:rPr>
        <w:t xml:space="preserve">ניתנה והודעה היום י"ז תמוז תשע"ז, 11/07/2017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F484D" w14:paraId="4A1718A9" w14:textId="77777777" w:rsidTr="00F71B97">
        <w:trPr>
          <w:trHeight w:val="316"/>
          <w:jc w:val="right"/>
        </w:trPr>
        <w:tc>
          <w:tcPr>
            <w:tcW w:w="3936" w:type="dxa"/>
            <w:shd w:val="clear" w:color="auto" w:fill="auto"/>
          </w:tcPr>
          <w:p w14:paraId="7764FB80" w14:textId="77777777" w:rsidR="00F71B97" w:rsidRPr="00437C61" w:rsidRDefault="00437C61" w:rsidP="00F71B97">
            <w:pPr>
              <w:jc w:val="center"/>
              <w:rPr>
                <w:color w:val="FFFFFF"/>
                <w:sz w:val="2"/>
                <w:szCs w:val="2"/>
              </w:rPr>
            </w:pPr>
            <w:r w:rsidRPr="00437C61">
              <w:rPr>
                <w:color w:val="FFFFFF"/>
                <w:sz w:val="2"/>
                <w:szCs w:val="2"/>
                <w:rtl/>
              </w:rPr>
              <w:t>54678313</w:t>
            </w:r>
            <w:r w:rsidR="00F71B97" w:rsidRPr="00437C61">
              <w:rPr>
                <w:color w:val="FFFFFF"/>
                <w:sz w:val="2"/>
                <w:szCs w:val="2"/>
                <w:rtl/>
              </w:rPr>
              <w:t xml:space="preserve">     </w:t>
            </w:r>
          </w:p>
          <w:p w14:paraId="7811487F" w14:textId="77777777" w:rsidR="00F71B97" w:rsidRDefault="00F71B97" w:rsidP="00F71B97">
            <w:pPr>
              <w:jc w:val="center"/>
              <w:rPr>
                <w:rtl/>
              </w:rPr>
            </w:pPr>
          </w:p>
        </w:tc>
      </w:tr>
      <w:tr w:rsidR="00BF484D" w14:paraId="45BAE69B" w14:textId="77777777" w:rsidTr="00F71B97">
        <w:trPr>
          <w:trHeight w:val="361"/>
          <w:jc w:val="right"/>
        </w:trPr>
        <w:tc>
          <w:tcPr>
            <w:tcW w:w="3936" w:type="dxa"/>
            <w:shd w:val="clear" w:color="auto" w:fill="auto"/>
          </w:tcPr>
          <w:p w14:paraId="7319F437" w14:textId="77777777" w:rsidR="00F71B97" w:rsidRPr="00F71B97" w:rsidRDefault="00F71B97" w:rsidP="00F71B97">
            <w:pPr>
              <w:jc w:val="center"/>
              <w:rPr>
                <w:b/>
                <w:bCs/>
                <w:rtl/>
              </w:rPr>
            </w:pPr>
            <w:r w:rsidRPr="00F71B97">
              <w:rPr>
                <w:b/>
                <w:bCs/>
                <w:rtl/>
              </w:rPr>
              <w:t>דניאל</w:t>
            </w:r>
            <w:r w:rsidRPr="00F71B97">
              <w:rPr>
                <w:rFonts w:hint="cs"/>
                <w:b/>
                <w:bCs/>
                <w:rtl/>
              </w:rPr>
              <w:t xml:space="preserve"> </w:t>
            </w:r>
            <w:r w:rsidRPr="00F71B97">
              <w:rPr>
                <w:b/>
                <w:bCs/>
                <w:rtl/>
              </w:rPr>
              <w:t xml:space="preserve">בן טולילה </w:t>
            </w:r>
            <w:r w:rsidRPr="00F71B97">
              <w:rPr>
                <w:rFonts w:hint="cs"/>
                <w:b/>
                <w:bCs/>
                <w:rtl/>
              </w:rPr>
              <w:t xml:space="preserve">, </w:t>
            </w:r>
            <w:r w:rsidRPr="00F71B97">
              <w:rPr>
                <w:b/>
                <w:bCs/>
                <w:rtl/>
              </w:rPr>
              <w:t xml:space="preserve">שופט </w:t>
            </w:r>
          </w:p>
        </w:tc>
      </w:tr>
    </w:tbl>
    <w:p w14:paraId="2E2D8F44" w14:textId="77777777" w:rsidR="00F71B97" w:rsidRDefault="00F71B97" w:rsidP="00F71B97">
      <w:pPr>
        <w:jc w:val="right"/>
        <w:rPr>
          <w:rtl/>
        </w:rPr>
      </w:pPr>
    </w:p>
    <w:p w14:paraId="24DDFE12" w14:textId="77777777" w:rsidR="00F71B97" w:rsidRDefault="00F71B97" w:rsidP="00F71B97">
      <w:pPr>
        <w:jc w:val="both"/>
        <w:rPr>
          <w:rtl/>
        </w:rPr>
      </w:pPr>
    </w:p>
    <w:p w14:paraId="7368AE43" w14:textId="77777777" w:rsidR="001E39F7" w:rsidRPr="007249C9" w:rsidRDefault="007249C9" w:rsidP="00437C61">
      <w:pPr>
        <w:keepNext/>
        <w:rPr>
          <w:color w:val="FFFFFF"/>
          <w:sz w:val="2"/>
          <w:szCs w:val="2"/>
          <w:rtl/>
        </w:rPr>
      </w:pPr>
      <w:r w:rsidRPr="007249C9">
        <w:rPr>
          <w:color w:val="FFFFFF"/>
          <w:sz w:val="2"/>
          <w:szCs w:val="2"/>
          <w:rtl/>
        </w:rPr>
        <w:t>54678313</w:t>
      </w:r>
    </w:p>
    <w:p w14:paraId="11F22340" w14:textId="77777777" w:rsidR="00437C61" w:rsidRPr="00437C61" w:rsidRDefault="00437C61" w:rsidP="00437C61">
      <w:pPr>
        <w:keepNext/>
        <w:rPr>
          <w:color w:val="000000"/>
          <w:sz w:val="22"/>
          <w:szCs w:val="22"/>
          <w:rtl/>
        </w:rPr>
      </w:pPr>
      <w:r w:rsidRPr="00437C61">
        <w:rPr>
          <w:color w:val="000000"/>
          <w:sz w:val="22"/>
          <w:szCs w:val="22"/>
          <w:rtl/>
        </w:rPr>
        <w:t>דניאל בן טולילה 54678313</w:t>
      </w:r>
    </w:p>
    <w:p w14:paraId="113EF8BD" w14:textId="77777777" w:rsidR="00437C61" w:rsidRDefault="00437C61" w:rsidP="00437C61">
      <w:r w:rsidRPr="00437C61">
        <w:rPr>
          <w:color w:val="000000"/>
          <w:rtl/>
        </w:rPr>
        <w:t>נוסח מסמך זה כפוף לשינויי ניסוח ועריכה</w:t>
      </w:r>
    </w:p>
    <w:p w14:paraId="37D91DC3" w14:textId="77777777" w:rsidR="00437C61" w:rsidRDefault="00437C61" w:rsidP="00437C61">
      <w:pPr>
        <w:rPr>
          <w:rtl/>
        </w:rPr>
      </w:pPr>
    </w:p>
    <w:p w14:paraId="1F579709" w14:textId="77777777" w:rsidR="00437C61" w:rsidRDefault="00437C61" w:rsidP="00437C6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E49FBE6" w14:textId="77777777" w:rsidR="007249C9" w:rsidRPr="007249C9" w:rsidRDefault="007249C9" w:rsidP="007249C9">
      <w:pPr>
        <w:keepNext/>
        <w:rPr>
          <w:color w:val="000000"/>
          <w:sz w:val="22"/>
          <w:szCs w:val="22"/>
          <w:rtl/>
        </w:rPr>
      </w:pPr>
    </w:p>
    <w:sectPr w:rsidR="007249C9" w:rsidRPr="007249C9" w:rsidSect="007249C9">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1AAC4" w14:textId="77777777" w:rsidR="00834F3C" w:rsidRDefault="00834F3C" w:rsidP="00AE5714">
      <w:r>
        <w:separator/>
      </w:r>
    </w:p>
  </w:endnote>
  <w:endnote w:type="continuationSeparator" w:id="0">
    <w:p w14:paraId="4C26C6A1" w14:textId="77777777" w:rsidR="00834F3C" w:rsidRDefault="00834F3C" w:rsidP="00AE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DF55D" w14:textId="77777777" w:rsidR="00834F3C" w:rsidRDefault="00834F3C" w:rsidP="007249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1AE05C" w14:textId="77777777" w:rsidR="00834F3C" w:rsidRPr="007249C9" w:rsidRDefault="00834F3C" w:rsidP="007249C9">
    <w:pPr>
      <w:pStyle w:val="a5"/>
      <w:pBdr>
        <w:top w:val="single" w:sz="4" w:space="1" w:color="auto"/>
        <w:between w:val="single" w:sz="4" w:space="0" w:color="auto"/>
      </w:pBdr>
      <w:spacing w:after="60"/>
      <w:jc w:val="center"/>
      <w:rPr>
        <w:rFonts w:ascii="FrankRuehl" w:hAnsi="FrankRuehl" w:cs="FrankRuehl"/>
        <w:color w:val="000000"/>
      </w:rPr>
    </w:pPr>
    <w:r w:rsidRPr="007249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C3117" w14:textId="77777777" w:rsidR="00834F3C" w:rsidRDefault="00834F3C" w:rsidP="007249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3A42">
      <w:rPr>
        <w:rFonts w:ascii="FrankRuehl" w:hAnsi="FrankRuehl" w:cs="FrankRuehl"/>
        <w:noProof/>
        <w:rtl/>
      </w:rPr>
      <w:t>1</w:t>
    </w:r>
    <w:r>
      <w:rPr>
        <w:rFonts w:ascii="FrankRuehl" w:hAnsi="FrankRuehl" w:cs="FrankRuehl"/>
        <w:rtl/>
      </w:rPr>
      <w:fldChar w:fldCharType="end"/>
    </w:r>
  </w:p>
  <w:p w14:paraId="16C407F7" w14:textId="77777777" w:rsidR="00834F3C" w:rsidRPr="007249C9" w:rsidRDefault="00834F3C" w:rsidP="007249C9">
    <w:pPr>
      <w:pStyle w:val="a5"/>
      <w:pBdr>
        <w:top w:val="single" w:sz="4" w:space="1" w:color="auto"/>
        <w:between w:val="single" w:sz="4" w:space="0" w:color="auto"/>
      </w:pBdr>
      <w:spacing w:after="60"/>
      <w:jc w:val="center"/>
      <w:rPr>
        <w:rFonts w:ascii="FrankRuehl" w:hAnsi="FrankRuehl" w:cs="FrankRuehl"/>
        <w:color w:val="000000"/>
      </w:rPr>
    </w:pPr>
    <w:r w:rsidRPr="007249C9">
      <w:rPr>
        <w:rFonts w:ascii="FrankRuehl" w:hAnsi="FrankRuehl" w:cs="FrankRuehl"/>
        <w:color w:val="000000"/>
      </w:rPr>
      <w:pict w14:anchorId="2156B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1C981" w14:textId="77777777" w:rsidR="00834F3C" w:rsidRDefault="00834F3C" w:rsidP="00AE5714">
      <w:r>
        <w:separator/>
      </w:r>
    </w:p>
  </w:footnote>
  <w:footnote w:type="continuationSeparator" w:id="0">
    <w:p w14:paraId="1B93F2A8" w14:textId="77777777" w:rsidR="00834F3C" w:rsidRDefault="00834F3C" w:rsidP="00AE5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3445D" w14:textId="77777777" w:rsidR="00834F3C" w:rsidRPr="007249C9" w:rsidRDefault="00834F3C" w:rsidP="007249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26647-05-17</w:t>
    </w:r>
    <w:r>
      <w:rPr>
        <w:color w:val="000000"/>
        <w:sz w:val="22"/>
        <w:szCs w:val="22"/>
        <w:rtl/>
      </w:rPr>
      <w:tab/>
      <w:t xml:space="preserve"> מדינת ישראל נ' נדאל אבו רקייק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4859D" w14:textId="77777777" w:rsidR="00834F3C" w:rsidRPr="007249C9" w:rsidRDefault="00834F3C" w:rsidP="007249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26647-05-17</w:t>
    </w:r>
    <w:r>
      <w:rPr>
        <w:color w:val="000000"/>
        <w:sz w:val="22"/>
        <w:szCs w:val="22"/>
        <w:rtl/>
      </w:rPr>
      <w:tab/>
      <w:t xml:space="preserve"> מדינת ישראל נ' נדאל אבו רקייק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1B97"/>
    <w:rsid w:val="001E39F7"/>
    <w:rsid w:val="00437C61"/>
    <w:rsid w:val="00570F9E"/>
    <w:rsid w:val="007249C9"/>
    <w:rsid w:val="007455E0"/>
    <w:rsid w:val="00834F3C"/>
    <w:rsid w:val="00967BB3"/>
    <w:rsid w:val="00AA3A42"/>
    <w:rsid w:val="00AE5714"/>
    <w:rsid w:val="00B91D1C"/>
    <w:rsid w:val="00BF484D"/>
    <w:rsid w:val="00F7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CA4DB4"/>
  <w15:chartTrackingRefBased/>
  <w15:docId w15:val="{A77A62BA-C495-42B2-A2DC-B125EE64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1B97"/>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B97"/>
    <w:pPr>
      <w:tabs>
        <w:tab w:val="center" w:pos="4153"/>
        <w:tab w:val="right" w:pos="8306"/>
      </w:tabs>
    </w:pPr>
  </w:style>
  <w:style w:type="character" w:customStyle="1" w:styleId="a4">
    <w:name w:val="כותרת עליונה תו"/>
    <w:link w:val="a3"/>
    <w:rsid w:val="00F71B97"/>
    <w:rPr>
      <w:rFonts w:ascii="David" w:eastAsia="David" w:hAnsi="David" w:cs="David"/>
      <w:sz w:val="24"/>
      <w:szCs w:val="24"/>
    </w:rPr>
  </w:style>
  <w:style w:type="paragraph" w:styleId="a5">
    <w:name w:val="footer"/>
    <w:basedOn w:val="a"/>
    <w:link w:val="a6"/>
    <w:rsid w:val="00F71B97"/>
    <w:pPr>
      <w:tabs>
        <w:tab w:val="center" w:pos="4153"/>
        <w:tab w:val="right" w:pos="8306"/>
      </w:tabs>
    </w:pPr>
  </w:style>
  <w:style w:type="character" w:customStyle="1" w:styleId="a6">
    <w:name w:val="כותרת תחתונה תו"/>
    <w:link w:val="a5"/>
    <w:rsid w:val="00F71B97"/>
    <w:rPr>
      <w:rFonts w:ascii="David" w:eastAsia="David" w:hAnsi="David" w:cs="David"/>
      <w:sz w:val="24"/>
      <w:szCs w:val="24"/>
    </w:rPr>
  </w:style>
  <w:style w:type="table" w:styleId="a7">
    <w:name w:val="Table Grid"/>
    <w:basedOn w:val="a1"/>
    <w:rsid w:val="00F71B9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1B97"/>
  </w:style>
  <w:style w:type="character" w:customStyle="1" w:styleId="TimesNewRomanTimesNewRoman">
    <w:name w:val="סגנון (לטיני) Times New Roman (עברית ושפות אחרות) Times New Roman..."/>
    <w:rsid w:val="00F71B97"/>
    <w:rPr>
      <w:rFonts w:ascii="Times New Roman" w:hAnsi="Times New Roman" w:cs="David"/>
      <w:b/>
      <w:bCs/>
      <w:sz w:val="26"/>
      <w:szCs w:val="26"/>
    </w:rPr>
  </w:style>
  <w:style w:type="character" w:styleId="a9">
    <w:name w:val="line number"/>
    <w:rsid w:val="00F71B97"/>
  </w:style>
  <w:style w:type="character" w:styleId="Hyperlink">
    <w:name w:val="Hyperlink"/>
    <w:rsid w:val="00437C6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72713" TargetMode="External"/><Relationship Id="rId18" Type="http://schemas.openxmlformats.org/officeDocument/2006/relationships/hyperlink" Target="http://www.nevo.co.il/case/6152842" TargetMode="External"/><Relationship Id="rId26" Type="http://schemas.openxmlformats.org/officeDocument/2006/relationships/hyperlink" Target="http://www.nevo.co.il/case/2252018" TargetMode="External"/><Relationship Id="rId39" Type="http://schemas.openxmlformats.org/officeDocument/2006/relationships/footer" Target="footer2.xml"/><Relationship Id="rId21" Type="http://schemas.openxmlformats.org/officeDocument/2006/relationships/hyperlink" Target="http://www.nevo.co.il/case/20315348" TargetMode="External"/><Relationship Id="rId34" Type="http://schemas.openxmlformats.org/officeDocument/2006/relationships/hyperlink" Target="http://www.nevo.co.il/case/5635553" TargetMode="Externa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case/11279208" TargetMode="External"/><Relationship Id="rId20" Type="http://schemas.openxmlformats.org/officeDocument/2006/relationships/hyperlink" Target="http://www.nevo.co.il/case/18850227" TargetMode="External"/><Relationship Id="rId29" Type="http://schemas.openxmlformats.org/officeDocument/2006/relationships/hyperlink" Target="http://www.nevo.co.il/case/528256"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83030" TargetMode="External"/><Relationship Id="rId24" Type="http://schemas.openxmlformats.org/officeDocument/2006/relationships/hyperlink" Target="http://www.nevo.co.il/case/16945484" TargetMode="External"/><Relationship Id="rId32" Type="http://schemas.openxmlformats.org/officeDocument/2006/relationships/hyperlink" Target="http://www.nevo.co.il/case/2096292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6941717" TargetMode="External"/><Relationship Id="rId28" Type="http://schemas.openxmlformats.org/officeDocument/2006/relationships/hyperlink" Target="http://www.nevo.co.il/case/283223"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5887855" TargetMode="External"/><Relationship Id="rId31" Type="http://schemas.openxmlformats.org/officeDocument/2006/relationships/hyperlink" Target="http://www.nevo.co.il/case/238969"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151601" TargetMode="External"/><Relationship Id="rId27" Type="http://schemas.openxmlformats.org/officeDocument/2006/relationships/hyperlink" Target="http://www.nevo.co.il/case/448237" TargetMode="External"/><Relationship Id="rId30" Type="http://schemas.openxmlformats.org/officeDocument/2006/relationships/hyperlink" Target="http://www.nevo.co.il/case/223559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case/5698919" TargetMode="External"/><Relationship Id="rId17" Type="http://schemas.openxmlformats.org/officeDocument/2006/relationships/hyperlink" Target="http://www.nevo.co.il/case/6900494" TargetMode="External"/><Relationship Id="rId25" Type="http://schemas.openxmlformats.org/officeDocument/2006/relationships/hyperlink" Target="http://www.nevo.co.il/case/5301960" TargetMode="External"/><Relationship Id="rId33" Type="http://schemas.openxmlformats.org/officeDocument/2006/relationships/hyperlink" Target="http://www.nevo.co.il/case/5453682"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2563</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15348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3145842</vt:i4>
      </vt:variant>
      <vt:variant>
        <vt:i4>84</vt:i4>
      </vt:variant>
      <vt:variant>
        <vt:i4>0</vt:i4>
      </vt:variant>
      <vt:variant>
        <vt:i4>5</vt:i4>
      </vt:variant>
      <vt:variant>
        <vt:lpwstr>http://www.nevo.co.il/case/5635553</vt:lpwstr>
      </vt:variant>
      <vt:variant>
        <vt:lpwstr/>
      </vt:variant>
      <vt:variant>
        <vt:i4>3407995</vt:i4>
      </vt:variant>
      <vt:variant>
        <vt:i4>81</vt:i4>
      </vt:variant>
      <vt:variant>
        <vt:i4>0</vt:i4>
      </vt:variant>
      <vt:variant>
        <vt:i4>5</vt:i4>
      </vt:variant>
      <vt:variant>
        <vt:lpwstr>http://www.nevo.co.il/case/5453682</vt:lpwstr>
      </vt:variant>
      <vt:variant>
        <vt:lpwstr/>
      </vt:variant>
      <vt:variant>
        <vt:i4>3866747</vt:i4>
      </vt:variant>
      <vt:variant>
        <vt:i4>78</vt:i4>
      </vt:variant>
      <vt:variant>
        <vt:i4>0</vt:i4>
      </vt:variant>
      <vt:variant>
        <vt:i4>5</vt:i4>
      </vt:variant>
      <vt:variant>
        <vt:lpwstr>http://www.nevo.co.il/case/20962924</vt:lpwstr>
      </vt:variant>
      <vt:variant>
        <vt:lpwstr/>
      </vt:variant>
      <vt:variant>
        <vt:i4>786510</vt:i4>
      </vt:variant>
      <vt:variant>
        <vt:i4>75</vt:i4>
      </vt:variant>
      <vt:variant>
        <vt:i4>0</vt:i4>
      </vt:variant>
      <vt:variant>
        <vt:i4>5</vt:i4>
      </vt:variant>
      <vt:variant>
        <vt:lpwstr>http://www.nevo.co.il/case/238969</vt:lpwstr>
      </vt:variant>
      <vt:variant>
        <vt:lpwstr/>
      </vt:variant>
      <vt:variant>
        <vt:i4>3604602</vt:i4>
      </vt:variant>
      <vt:variant>
        <vt:i4>72</vt:i4>
      </vt:variant>
      <vt:variant>
        <vt:i4>0</vt:i4>
      </vt:variant>
      <vt:variant>
        <vt:i4>5</vt:i4>
      </vt:variant>
      <vt:variant>
        <vt:lpwstr>http://www.nevo.co.il/case/2235593</vt:lpwstr>
      </vt:variant>
      <vt:variant>
        <vt:lpwstr/>
      </vt:variant>
      <vt:variant>
        <vt:i4>524356</vt:i4>
      </vt:variant>
      <vt:variant>
        <vt:i4>69</vt:i4>
      </vt:variant>
      <vt:variant>
        <vt:i4>0</vt:i4>
      </vt:variant>
      <vt:variant>
        <vt:i4>5</vt:i4>
      </vt:variant>
      <vt:variant>
        <vt:lpwstr>http://www.nevo.co.il/case/528256</vt:lpwstr>
      </vt:variant>
      <vt:variant>
        <vt:lpwstr/>
      </vt:variant>
      <vt:variant>
        <vt:i4>196686</vt:i4>
      </vt:variant>
      <vt:variant>
        <vt:i4>66</vt:i4>
      </vt:variant>
      <vt:variant>
        <vt:i4>0</vt:i4>
      </vt:variant>
      <vt:variant>
        <vt:i4>5</vt:i4>
      </vt:variant>
      <vt:variant>
        <vt:lpwstr>http://www.nevo.co.il/case/283223</vt:lpwstr>
      </vt:variant>
      <vt:variant>
        <vt:lpwstr/>
      </vt:variant>
      <vt:variant>
        <vt:i4>983106</vt:i4>
      </vt:variant>
      <vt:variant>
        <vt:i4>63</vt:i4>
      </vt:variant>
      <vt:variant>
        <vt:i4>0</vt:i4>
      </vt:variant>
      <vt:variant>
        <vt:i4>5</vt:i4>
      </vt:variant>
      <vt:variant>
        <vt:lpwstr>http://www.nevo.co.il/case/448237</vt:lpwstr>
      </vt:variant>
      <vt:variant>
        <vt:lpwstr/>
      </vt:variant>
      <vt:variant>
        <vt:i4>4128885</vt:i4>
      </vt:variant>
      <vt:variant>
        <vt:i4>60</vt:i4>
      </vt:variant>
      <vt:variant>
        <vt:i4>0</vt:i4>
      </vt:variant>
      <vt:variant>
        <vt:i4>5</vt:i4>
      </vt:variant>
      <vt:variant>
        <vt:lpwstr>http://www.nevo.co.il/case/2252018</vt:lpwstr>
      </vt:variant>
      <vt:variant>
        <vt:lpwstr/>
      </vt:variant>
      <vt:variant>
        <vt:i4>3932272</vt:i4>
      </vt:variant>
      <vt:variant>
        <vt:i4>57</vt:i4>
      </vt:variant>
      <vt:variant>
        <vt:i4>0</vt:i4>
      </vt:variant>
      <vt:variant>
        <vt:i4>5</vt:i4>
      </vt:variant>
      <vt:variant>
        <vt:lpwstr>http://www.nevo.co.il/case/5301960</vt:lpwstr>
      </vt:variant>
      <vt:variant>
        <vt:lpwstr/>
      </vt:variant>
      <vt:variant>
        <vt:i4>3473522</vt:i4>
      </vt:variant>
      <vt:variant>
        <vt:i4>54</vt:i4>
      </vt:variant>
      <vt:variant>
        <vt:i4>0</vt:i4>
      </vt:variant>
      <vt:variant>
        <vt:i4>5</vt:i4>
      </vt:variant>
      <vt:variant>
        <vt:lpwstr>http://www.nevo.co.il/case/16945484</vt:lpwstr>
      </vt:variant>
      <vt:variant>
        <vt:lpwstr/>
      </vt:variant>
      <vt:variant>
        <vt:i4>3670129</vt:i4>
      </vt:variant>
      <vt:variant>
        <vt:i4>51</vt:i4>
      </vt:variant>
      <vt:variant>
        <vt:i4>0</vt:i4>
      </vt:variant>
      <vt:variant>
        <vt:i4>5</vt:i4>
      </vt:variant>
      <vt:variant>
        <vt:lpwstr>http://www.nevo.co.il/case/16941717</vt:lpwstr>
      </vt:variant>
      <vt:variant>
        <vt:lpwstr/>
      </vt:variant>
      <vt:variant>
        <vt:i4>3539060</vt:i4>
      </vt:variant>
      <vt:variant>
        <vt:i4>48</vt:i4>
      </vt:variant>
      <vt:variant>
        <vt:i4>0</vt:i4>
      </vt:variant>
      <vt:variant>
        <vt:i4>5</vt:i4>
      </vt:variant>
      <vt:variant>
        <vt:lpwstr>http://www.nevo.co.il/case/4151601</vt:lpwstr>
      </vt:variant>
      <vt:variant>
        <vt:lpwstr/>
      </vt:variant>
      <vt:variant>
        <vt:i4>3145846</vt:i4>
      </vt:variant>
      <vt:variant>
        <vt:i4>45</vt:i4>
      </vt:variant>
      <vt:variant>
        <vt:i4>0</vt:i4>
      </vt:variant>
      <vt:variant>
        <vt:i4>5</vt:i4>
      </vt:variant>
      <vt:variant>
        <vt:lpwstr>http://www.nevo.co.il/case/20315348</vt:lpwstr>
      </vt:variant>
      <vt:variant>
        <vt:lpwstr/>
      </vt:variant>
      <vt:variant>
        <vt:i4>3866747</vt:i4>
      </vt:variant>
      <vt:variant>
        <vt:i4>42</vt:i4>
      </vt:variant>
      <vt:variant>
        <vt:i4>0</vt:i4>
      </vt:variant>
      <vt:variant>
        <vt:i4>5</vt:i4>
      </vt:variant>
      <vt:variant>
        <vt:lpwstr>http://www.nevo.co.il/case/18850227</vt:lpwstr>
      </vt:variant>
      <vt:variant>
        <vt:lpwstr/>
      </vt:variant>
      <vt:variant>
        <vt:i4>3145854</vt:i4>
      </vt:variant>
      <vt:variant>
        <vt:i4>39</vt:i4>
      </vt:variant>
      <vt:variant>
        <vt:i4>0</vt:i4>
      </vt:variant>
      <vt:variant>
        <vt:i4>5</vt:i4>
      </vt:variant>
      <vt:variant>
        <vt:lpwstr>http://www.nevo.co.il/case/5887855</vt:lpwstr>
      </vt:variant>
      <vt:variant>
        <vt:lpwstr/>
      </vt:variant>
      <vt:variant>
        <vt:i4>3735667</vt:i4>
      </vt:variant>
      <vt:variant>
        <vt:i4>36</vt:i4>
      </vt:variant>
      <vt:variant>
        <vt:i4>0</vt:i4>
      </vt:variant>
      <vt:variant>
        <vt:i4>5</vt:i4>
      </vt:variant>
      <vt:variant>
        <vt:lpwstr>http://www.nevo.co.il/case/6152842</vt:lpwstr>
      </vt:variant>
      <vt:variant>
        <vt:lpwstr/>
      </vt:variant>
      <vt:variant>
        <vt:i4>3539060</vt:i4>
      </vt:variant>
      <vt:variant>
        <vt:i4>33</vt:i4>
      </vt:variant>
      <vt:variant>
        <vt:i4>0</vt:i4>
      </vt:variant>
      <vt:variant>
        <vt:i4>5</vt:i4>
      </vt:variant>
      <vt:variant>
        <vt:lpwstr>http://www.nevo.co.il/case/6900494</vt:lpwstr>
      </vt:variant>
      <vt:variant>
        <vt:lpwstr/>
      </vt:variant>
      <vt:variant>
        <vt:i4>3801200</vt:i4>
      </vt:variant>
      <vt:variant>
        <vt:i4>30</vt:i4>
      </vt:variant>
      <vt:variant>
        <vt:i4>0</vt:i4>
      </vt:variant>
      <vt:variant>
        <vt:i4>5</vt:i4>
      </vt:variant>
      <vt:variant>
        <vt:lpwstr>http://www.nevo.co.il/case/11279208</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3473526</vt:i4>
      </vt:variant>
      <vt:variant>
        <vt:i4>21</vt:i4>
      </vt:variant>
      <vt:variant>
        <vt:i4>0</vt:i4>
      </vt:variant>
      <vt:variant>
        <vt:i4>5</vt:i4>
      </vt:variant>
      <vt:variant>
        <vt:lpwstr>http://www.nevo.co.il/case/6172713</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3997809</vt:i4>
      </vt:variant>
      <vt:variant>
        <vt:i4>15</vt:i4>
      </vt:variant>
      <vt:variant>
        <vt:i4>0</vt:i4>
      </vt:variant>
      <vt:variant>
        <vt:i4>5</vt:i4>
      </vt:variant>
      <vt:variant>
        <vt:lpwstr>http://www.nevo.co.il/case/5583030</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26647</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נדאל אבו רקייק  </vt:lpwstr>
  </property>
  <property fmtid="{D5CDD505-2E9C-101B-9397-08002B2CF9AE}" pid="10" name="LAWYER">
    <vt:lpwstr>כרמית כהן;ברגר</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20170711</vt:lpwstr>
  </property>
  <property fmtid="{D5CDD505-2E9C-101B-9397-08002B2CF9AE}" pid="14" name="TYPE_N_DATE">
    <vt:lpwstr>38020170711</vt:lpwstr>
  </property>
  <property fmtid="{D5CDD505-2E9C-101B-9397-08002B2CF9AE}" pid="15" name="CASESLISTTMP1">
    <vt:lpwstr>5583030;5698919;6172713;11279208;6900494;6152842;5887855;18850227;20315348;4151601;16941717;16945484;5301960;2252018;448237;283223;528256;2235593;238969;20962924;5453682;5635553</vt:lpwstr>
  </property>
  <property fmtid="{D5CDD505-2E9C-101B-9397-08002B2CF9AE}" pid="16" name="CASENOTES1">
    <vt:lpwstr>ProcID=135&amp;PartA=63309&amp;PartB=12&amp;PartC=15</vt:lpwstr>
  </property>
  <property fmtid="{D5CDD505-2E9C-101B-9397-08002B2CF9AE}" pid="17" name="CASENOTES2">
    <vt:lpwstr>ProcID=209&amp;PartA=3046&amp;PartC=07</vt:lpwstr>
  </property>
  <property fmtid="{D5CDD505-2E9C-101B-9397-08002B2CF9AE}" pid="18" name="CASENOTES3">
    <vt:lpwstr>ProcID=209&amp;PartA=5039&amp;PartC=08</vt:lpwstr>
  </property>
  <property fmtid="{D5CDD505-2E9C-101B-9397-08002B2CF9AE}" pid="19" name="CASENOTES4">
    <vt:lpwstr>ProcID=209&amp;PartA=124&amp;PartC=03</vt:lpwstr>
  </property>
  <property fmtid="{D5CDD505-2E9C-101B-9397-08002B2CF9AE}" pid="20" name="CASENOTES5">
    <vt:lpwstr>ProcID=209&amp;PartA=1398&amp;PartC=08</vt:lpwstr>
  </property>
  <property fmtid="{D5CDD505-2E9C-101B-9397-08002B2CF9AE}" pid="21" name="CASENOTES6">
    <vt:lpwstr>ProcID=209&amp;PartA=4157&amp;PartC=09</vt:lpwstr>
  </property>
  <property fmtid="{D5CDD505-2E9C-101B-9397-08002B2CF9AE}" pid="22" name="WORDNUMPAGES">
    <vt:lpwstr>7</vt:lpwstr>
  </property>
  <property fmtid="{D5CDD505-2E9C-101B-9397-08002B2CF9AE}" pid="23" name="TYPE_ABS_DATE">
    <vt:lpwstr>380020170711</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ISABSTRACT">
    <vt:lpwstr>Y</vt:lpwstr>
  </property>
  <property fmtid="{D5CDD505-2E9C-101B-9397-08002B2CF9AE}" pid="42" name="LAWLISTTMP1">
    <vt:lpwstr>70301/040c.a</vt:lpwstr>
  </property>
  <property fmtid="{D5CDD505-2E9C-101B-9397-08002B2CF9AE}" pid="43" name="LAWLISTTMP2">
    <vt:lpwstr>4216</vt:lpwstr>
  </property>
</Properties>
</file>