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3B89F" w14:textId="77777777" w:rsidR="00471A9B" w:rsidRPr="00471A9B" w:rsidRDefault="00471A9B" w:rsidP="00471A9B">
      <w:pPr>
        <w:pStyle w:val="a3"/>
        <w:rPr>
          <w:rtl/>
        </w:rPr>
      </w:pPr>
      <w:bookmarkStart w:id="0" w:name="LastJudge"/>
    </w:p>
    <w:tbl>
      <w:tblPr>
        <w:bidiVisual/>
        <w:tblW w:w="0" w:type="auto"/>
        <w:jc w:val="center"/>
        <w:tblLook w:val="0000" w:firstRow="0" w:lastRow="0" w:firstColumn="0" w:lastColumn="0" w:noHBand="0" w:noVBand="0"/>
      </w:tblPr>
      <w:tblGrid>
        <w:gridCol w:w="5055"/>
        <w:gridCol w:w="3666"/>
      </w:tblGrid>
      <w:tr w:rsidR="00C76072" w:rsidRPr="00471A9B" w14:paraId="147E7D25" w14:textId="77777777" w:rsidTr="007F6625">
        <w:trPr>
          <w:trHeight w:hRule="exact" w:val="418"/>
          <w:jc w:val="center"/>
        </w:trPr>
        <w:tc>
          <w:tcPr>
            <w:tcW w:w="8721" w:type="dxa"/>
            <w:gridSpan w:val="2"/>
          </w:tcPr>
          <w:p w14:paraId="10AE945D" w14:textId="77777777" w:rsidR="00C76072" w:rsidRPr="00471A9B" w:rsidRDefault="00C76072" w:rsidP="00391FA1">
            <w:pPr>
              <w:pStyle w:val="a3"/>
              <w:jc w:val="center"/>
              <w:rPr>
                <w:rFonts w:ascii="Tahoma" w:hAnsi="Tahoma" w:cs="FrankRuehl"/>
                <w:b/>
                <w:bCs/>
                <w:color w:val="000080"/>
                <w:sz w:val="28"/>
                <w:szCs w:val="28"/>
                <w:rtl/>
              </w:rPr>
            </w:pPr>
            <w:r w:rsidRPr="00471A9B">
              <w:rPr>
                <w:rFonts w:ascii="Tahoma" w:hAnsi="Tahoma" w:cs="FrankRuehl"/>
                <w:b/>
                <w:bCs/>
                <w:color w:val="000080"/>
                <w:sz w:val="28"/>
                <w:szCs w:val="28"/>
                <w:rtl/>
              </w:rPr>
              <w:t>בית משפט השלום בירושלים</w:t>
            </w:r>
          </w:p>
        </w:tc>
      </w:tr>
      <w:tr w:rsidR="00C76072" w:rsidRPr="00471A9B" w14:paraId="18683926" w14:textId="77777777" w:rsidTr="007F6625">
        <w:trPr>
          <w:trHeight w:val="337"/>
          <w:jc w:val="center"/>
        </w:trPr>
        <w:tc>
          <w:tcPr>
            <w:tcW w:w="5055" w:type="dxa"/>
          </w:tcPr>
          <w:p w14:paraId="5393A13F" w14:textId="77777777" w:rsidR="00C76072" w:rsidRPr="00471A9B" w:rsidRDefault="00CA6A81" w:rsidP="00391FA1">
            <w:pPr>
              <w:rPr>
                <w:rFonts w:cs="FrankRuehl"/>
                <w:b/>
                <w:bCs/>
                <w:sz w:val="28"/>
                <w:szCs w:val="28"/>
                <w:rtl/>
              </w:rPr>
            </w:pPr>
            <w:hyperlink r:id="rId6" w:history="1">
              <w:r w:rsidRPr="00CA6A81">
                <w:rPr>
                  <w:rFonts w:cs="FrankRuehl"/>
                  <w:b/>
                  <w:bCs/>
                  <w:color w:val="0000FF"/>
                  <w:sz w:val="28"/>
                  <w:szCs w:val="28"/>
                  <w:u w:val="single"/>
                  <w:rtl/>
                </w:rPr>
                <w:t xml:space="preserve">ת"פ 2908-05-17 </w:t>
              </w:r>
            </w:hyperlink>
            <w:r w:rsidR="00C76072" w:rsidRPr="00471A9B">
              <w:rPr>
                <w:rFonts w:cs="FrankRuehl" w:hint="cs"/>
                <w:b/>
                <w:bCs/>
                <w:sz w:val="28"/>
                <w:szCs w:val="28"/>
                <w:rtl/>
              </w:rPr>
              <w:t xml:space="preserve"> </w:t>
            </w:r>
            <w:r w:rsidR="00C76072" w:rsidRPr="00471A9B">
              <w:rPr>
                <w:rFonts w:cs="FrankRuehl"/>
                <w:b/>
                <w:bCs/>
                <w:sz w:val="28"/>
                <w:szCs w:val="28"/>
                <w:rtl/>
              </w:rPr>
              <w:t>מדינת ישראל נ' גולדברך</w:t>
            </w:r>
          </w:p>
          <w:p w14:paraId="619DDF8D" w14:textId="77777777" w:rsidR="00C76072" w:rsidRPr="00471A9B" w:rsidRDefault="00C76072" w:rsidP="00391FA1">
            <w:pPr>
              <w:pStyle w:val="a3"/>
              <w:rPr>
                <w:rFonts w:cs="FrankRuehl"/>
                <w:b/>
                <w:bCs/>
                <w:sz w:val="28"/>
                <w:szCs w:val="28"/>
                <w:rtl/>
              </w:rPr>
            </w:pPr>
          </w:p>
        </w:tc>
        <w:tc>
          <w:tcPr>
            <w:tcW w:w="3666" w:type="dxa"/>
          </w:tcPr>
          <w:p w14:paraId="0096131F" w14:textId="77777777" w:rsidR="00C76072" w:rsidRPr="00471A9B" w:rsidRDefault="00C76072" w:rsidP="00391FA1">
            <w:pPr>
              <w:pStyle w:val="a3"/>
              <w:jc w:val="right"/>
              <w:rPr>
                <w:rFonts w:cs="FrankRuehl"/>
                <w:sz w:val="28"/>
                <w:szCs w:val="28"/>
                <w:rtl/>
              </w:rPr>
            </w:pPr>
          </w:p>
        </w:tc>
      </w:tr>
    </w:tbl>
    <w:p w14:paraId="716512B6" w14:textId="77777777" w:rsidR="00C76072" w:rsidRPr="00471A9B" w:rsidRDefault="00C76072" w:rsidP="00C76072">
      <w:pPr>
        <w:pStyle w:val="a3"/>
        <w:rPr>
          <w:rtl/>
        </w:rPr>
      </w:pPr>
      <w:r w:rsidRPr="00471A9B">
        <w:rPr>
          <w:rFonts w:hint="cs"/>
          <w:rtl/>
        </w:rPr>
        <w:t xml:space="preserve"> </w:t>
      </w:r>
    </w:p>
    <w:p w14:paraId="4D8BC664" w14:textId="77777777" w:rsidR="00C76072" w:rsidRPr="00471A9B" w:rsidRDefault="00C76072" w:rsidP="00C76072">
      <w:pPr>
        <w:rPr>
          <w:rtl/>
        </w:rPr>
      </w:pPr>
    </w:p>
    <w:p w14:paraId="0646CCB6" w14:textId="77777777" w:rsidR="00C76072" w:rsidRPr="00471A9B" w:rsidRDefault="00C76072" w:rsidP="00C7607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76072" w:rsidRPr="00471A9B" w14:paraId="22B2F026" w14:textId="77777777" w:rsidTr="00C76072">
        <w:trPr>
          <w:trHeight w:val="295"/>
          <w:jc w:val="center"/>
        </w:trPr>
        <w:tc>
          <w:tcPr>
            <w:tcW w:w="923" w:type="dxa"/>
            <w:tcBorders>
              <w:top w:val="nil"/>
              <w:left w:val="nil"/>
              <w:bottom w:val="nil"/>
              <w:right w:val="nil"/>
            </w:tcBorders>
            <w:shd w:val="clear" w:color="auto" w:fill="auto"/>
          </w:tcPr>
          <w:p w14:paraId="6528288C" w14:textId="77777777" w:rsidR="00C76072" w:rsidRPr="00471A9B" w:rsidRDefault="00C76072" w:rsidP="00C76072">
            <w:pPr>
              <w:jc w:val="both"/>
              <w:rPr>
                <w:rFonts w:ascii="Arial" w:hAnsi="Arial" w:cs="FrankRuehl"/>
                <w:b/>
                <w:bCs/>
                <w:sz w:val="28"/>
                <w:szCs w:val="28"/>
              </w:rPr>
            </w:pPr>
            <w:r w:rsidRPr="00471A9B">
              <w:rPr>
                <w:rFonts w:ascii="Arial" w:hAnsi="Arial" w:cs="FrankRuehl" w:hint="cs"/>
                <w:b/>
                <w:bCs/>
                <w:sz w:val="28"/>
                <w:szCs w:val="28"/>
                <w:rtl/>
              </w:rPr>
              <w:t>ב</w:t>
            </w:r>
            <w:r w:rsidRPr="00471A9B">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50A8792C" w14:textId="77777777" w:rsidR="00C76072" w:rsidRPr="00471A9B" w:rsidRDefault="00C76072" w:rsidP="00391FA1">
            <w:pPr>
              <w:rPr>
                <w:rFonts w:ascii="Arial" w:hAnsi="Arial" w:cs="FrankRuehl"/>
                <w:b/>
                <w:bCs/>
                <w:sz w:val="28"/>
                <w:szCs w:val="28"/>
                <w:rtl/>
              </w:rPr>
            </w:pPr>
            <w:r w:rsidRPr="00471A9B">
              <w:rPr>
                <w:rFonts w:ascii="Arial" w:hAnsi="Arial" w:cs="FrankRuehl" w:hint="cs"/>
                <w:b/>
                <w:bCs/>
                <w:sz w:val="28"/>
                <w:szCs w:val="28"/>
                <w:rtl/>
              </w:rPr>
              <w:t>כבוד ה</w:t>
            </w:r>
            <w:r w:rsidRPr="00471A9B">
              <w:rPr>
                <w:rFonts w:ascii="Arial" w:hAnsi="Arial" w:cs="FrankRuehl"/>
                <w:b/>
                <w:bCs/>
                <w:sz w:val="28"/>
                <w:szCs w:val="28"/>
                <w:rtl/>
              </w:rPr>
              <w:t>שופט</w:t>
            </w:r>
            <w:r w:rsidRPr="00471A9B">
              <w:rPr>
                <w:rFonts w:ascii="Arial" w:hAnsi="Arial" w:cs="FrankRuehl" w:hint="cs"/>
                <w:b/>
                <w:bCs/>
                <w:sz w:val="28"/>
                <w:szCs w:val="28"/>
                <w:rtl/>
              </w:rPr>
              <w:t xml:space="preserve">  </w:t>
            </w:r>
            <w:r w:rsidRPr="00471A9B">
              <w:rPr>
                <w:rFonts w:ascii="Arial" w:hAnsi="Arial" w:cs="FrankRuehl"/>
                <w:b/>
                <w:bCs/>
                <w:sz w:val="28"/>
                <w:szCs w:val="28"/>
                <w:rtl/>
              </w:rPr>
              <w:t>דוד שאול גבאי ריכטר</w:t>
            </w:r>
          </w:p>
          <w:p w14:paraId="6A3D5F8E" w14:textId="77777777" w:rsidR="00C76072" w:rsidRPr="00471A9B" w:rsidRDefault="00C76072" w:rsidP="00391FA1">
            <w:pPr>
              <w:rPr>
                <w:rFonts w:cs="FrankRuehl"/>
                <w:b/>
                <w:bCs/>
                <w:sz w:val="28"/>
                <w:szCs w:val="28"/>
                <w:rtl/>
              </w:rPr>
            </w:pPr>
          </w:p>
          <w:p w14:paraId="4F87AADE" w14:textId="77777777" w:rsidR="00C76072" w:rsidRPr="00471A9B" w:rsidRDefault="00C76072" w:rsidP="00C76072">
            <w:pPr>
              <w:jc w:val="both"/>
              <w:rPr>
                <w:rFonts w:ascii="Arial" w:hAnsi="Arial" w:cs="FrankRuehl"/>
                <w:b/>
                <w:bCs/>
                <w:sz w:val="28"/>
                <w:szCs w:val="28"/>
              </w:rPr>
            </w:pPr>
          </w:p>
        </w:tc>
      </w:tr>
      <w:tr w:rsidR="00C76072" w:rsidRPr="00471A9B" w14:paraId="5C1FB3DE" w14:textId="77777777" w:rsidTr="00C76072">
        <w:trPr>
          <w:trHeight w:val="355"/>
          <w:jc w:val="center"/>
        </w:trPr>
        <w:tc>
          <w:tcPr>
            <w:tcW w:w="923" w:type="dxa"/>
            <w:tcBorders>
              <w:top w:val="nil"/>
              <w:left w:val="nil"/>
              <w:bottom w:val="nil"/>
              <w:right w:val="nil"/>
            </w:tcBorders>
            <w:shd w:val="clear" w:color="auto" w:fill="auto"/>
          </w:tcPr>
          <w:p w14:paraId="45B3B20E" w14:textId="77777777" w:rsidR="00C76072" w:rsidRPr="00471A9B" w:rsidRDefault="00C76072" w:rsidP="00C76072">
            <w:pPr>
              <w:jc w:val="both"/>
              <w:rPr>
                <w:rFonts w:ascii="Arial" w:hAnsi="Arial" w:cs="FrankRuehl"/>
                <w:b/>
                <w:bCs/>
                <w:sz w:val="28"/>
                <w:szCs w:val="28"/>
              </w:rPr>
            </w:pPr>
            <w:bookmarkStart w:id="1" w:name="FirstAppellant"/>
            <w:r w:rsidRPr="00471A9B">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19C28B2B" w14:textId="77777777" w:rsidR="00C76072" w:rsidRPr="00471A9B" w:rsidRDefault="00C76072" w:rsidP="00391FA1">
            <w:pPr>
              <w:rPr>
                <w:rFonts w:cs="FrankRuehl"/>
                <w:b/>
                <w:bCs/>
                <w:sz w:val="28"/>
                <w:szCs w:val="28"/>
              </w:rPr>
            </w:pPr>
            <w:r w:rsidRPr="00471A9B">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5761C06B" w14:textId="77777777" w:rsidR="00C76072" w:rsidRPr="00471A9B" w:rsidRDefault="00C76072" w:rsidP="00C76072">
            <w:pPr>
              <w:jc w:val="both"/>
              <w:rPr>
                <w:rFonts w:ascii="Arial" w:hAnsi="Arial" w:cs="FrankRuehl"/>
                <w:b/>
                <w:bCs/>
                <w:sz w:val="28"/>
                <w:szCs w:val="28"/>
              </w:rPr>
            </w:pPr>
          </w:p>
        </w:tc>
      </w:tr>
      <w:bookmarkEnd w:id="1"/>
      <w:tr w:rsidR="00C76072" w:rsidRPr="00471A9B" w14:paraId="404006C9" w14:textId="77777777" w:rsidTr="00C76072">
        <w:trPr>
          <w:trHeight w:val="355"/>
          <w:jc w:val="center"/>
        </w:trPr>
        <w:tc>
          <w:tcPr>
            <w:tcW w:w="923" w:type="dxa"/>
            <w:tcBorders>
              <w:top w:val="nil"/>
              <w:left w:val="nil"/>
              <w:bottom w:val="nil"/>
              <w:right w:val="nil"/>
            </w:tcBorders>
            <w:shd w:val="clear" w:color="auto" w:fill="auto"/>
          </w:tcPr>
          <w:p w14:paraId="4744342C" w14:textId="77777777" w:rsidR="00C76072" w:rsidRPr="00471A9B" w:rsidRDefault="00C76072" w:rsidP="00C76072">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1E9264BD" w14:textId="77777777" w:rsidR="00C76072" w:rsidRPr="00471A9B" w:rsidRDefault="00C76072" w:rsidP="00C76072">
            <w:pPr>
              <w:jc w:val="both"/>
              <w:rPr>
                <w:rFonts w:cs="FrankRuehl"/>
                <w:b/>
                <w:bCs/>
                <w:sz w:val="28"/>
                <w:szCs w:val="28"/>
                <w:rtl/>
              </w:rPr>
            </w:pPr>
            <w:r w:rsidRPr="00471A9B">
              <w:rPr>
                <w:rFonts w:cs="FrankRuehl" w:hint="cs"/>
                <w:b/>
                <w:bCs/>
                <w:sz w:val="28"/>
                <w:szCs w:val="28"/>
                <w:rtl/>
              </w:rPr>
              <w:t>ע"י תביעות ירושלים</w:t>
            </w:r>
          </w:p>
        </w:tc>
        <w:tc>
          <w:tcPr>
            <w:tcW w:w="3771" w:type="dxa"/>
            <w:tcBorders>
              <w:top w:val="nil"/>
              <w:left w:val="nil"/>
              <w:bottom w:val="nil"/>
              <w:right w:val="nil"/>
            </w:tcBorders>
            <w:shd w:val="clear" w:color="auto" w:fill="auto"/>
          </w:tcPr>
          <w:p w14:paraId="712F5796" w14:textId="77777777" w:rsidR="00C76072" w:rsidRPr="00471A9B" w:rsidRDefault="00C76072" w:rsidP="00C76072">
            <w:pPr>
              <w:jc w:val="right"/>
              <w:rPr>
                <w:rFonts w:ascii="Arial" w:hAnsi="Arial" w:cs="FrankRuehl"/>
                <w:b/>
                <w:bCs/>
                <w:sz w:val="28"/>
                <w:szCs w:val="28"/>
                <w:rtl/>
              </w:rPr>
            </w:pPr>
            <w:r w:rsidRPr="00471A9B">
              <w:rPr>
                <w:rFonts w:ascii="Arial" w:hAnsi="Arial" w:cs="FrankRuehl" w:hint="cs"/>
                <w:b/>
                <w:bCs/>
                <w:sz w:val="28"/>
                <w:szCs w:val="28"/>
                <w:rtl/>
              </w:rPr>
              <w:t>ה</w:t>
            </w:r>
            <w:r w:rsidRPr="00471A9B">
              <w:rPr>
                <w:rFonts w:ascii="Arial" w:hAnsi="Arial" w:cs="FrankRuehl"/>
                <w:b/>
                <w:bCs/>
                <w:sz w:val="28"/>
                <w:szCs w:val="28"/>
                <w:rtl/>
              </w:rPr>
              <w:t>מאשימה</w:t>
            </w:r>
          </w:p>
        </w:tc>
      </w:tr>
      <w:tr w:rsidR="00C76072" w:rsidRPr="00471A9B" w14:paraId="6EA99431" w14:textId="77777777" w:rsidTr="00C76072">
        <w:trPr>
          <w:trHeight w:val="355"/>
          <w:jc w:val="center"/>
        </w:trPr>
        <w:tc>
          <w:tcPr>
            <w:tcW w:w="923" w:type="dxa"/>
            <w:tcBorders>
              <w:top w:val="nil"/>
              <w:left w:val="nil"/>
              <w:bottom w:val="nil"/>
              <w:right w:val="nil"/>
            </w:tcBorders>
            <w:shd w:val="clear" w:color="auto" w:fill="auto"/>
          </w:tcPr>
          <w:p w14:paraId="73511912" w14:textId="77777777" w:rsidR="00C76072" w:rsidRPr="00471A9B" w:rsidRDefault="00C76072" w:rsidP="00C76072">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093BAF65" w14:textId="77777777" w:rsidR="00C76072" w:rsidRPr="00471A9B" w:rsidRDefault="00C76072" w:rsidP="00C76072">
            <w:pPr>
              <w:jc w:val="center"/>
              <w:rPr>
                <w:rFonts w:ascii="Arial" w:hAnsi="Arial" w:cs="FrankRuehl"/>
                <w:b/>
                <w:bCs/>
                <w:sz w:val="28"/>
                <w:szCs w:val="28"/>
                <w:rtl/>
              </w:rPr>
            </w:pPr>
          </w:p>
          <w:p w14:paraId="51C45FE0" w14:textId="77777777" w:rsidR="00C76072" w:rsidRPr="00471A9B" w:rsidRDefault="00C76072" w:rsidP="00C76072">
            <w:pPr>
              <w:jc w:val="center"/>
              <w:rPr>
                <w:rFonts w:ascii="Arial" w:hAnsi="Arial" w:cs="FrankRuehl"/>
                <w:b/>
                <w:bCs/>
                <w:sz w:val="28"/>
                <w:szCs w:val="28"/>
                <w:rtl/>
              </w:rPr>
            </w:pPr>
            <w:r w:rsidRPr="00471A9B">
              <w:rPr>
                <w:rFonts w:ascii="Arial" w:hAnsi="Arial" w:cs="FrankRuehl"/>
                <w:b/>
                <w:bCs/>
                <w:sz w:val="28"/>
                <w:szCs w:val="28"/>
                <w:rtl/>
              </w:rPr>
              <w:t>נגד</w:t>
            </w:r>
          </w:p>
          <w:p w14:paraId="759EF854" w14:textId="77777777" w:rsidR="00C76072" w:rsidRPr="00471A9B" w:rsidRDefault="00C76072" w:rsidP="00C76072">
            <w:pPr>
              <w:jc w:val="both"/>
              <w:rPr>
                <w:rFonts w:ascii="Arial" w:hAnsi="Arial" w:cs="FrankRuehl"/>
                <w:b/>
                <w:bCs/>
                <w:sz w:val="28"/>
                <w:szCs w:val="28"/>
              </w:rPr>
            </w:pPr>
          </w:p>
        </w:tc>
      </w:tr>
      <w:tr w:rsidR="00C76072" w:rsidRPr="00471A9B" w14:paraId="7853C454" w14:textId="77777777" w:rsidTr="00C76072">
        <w:trPr>
          <w:trHeight w:val="355"/>
          <w:jc w:val="center"/>
        </w:trPr>
        <w:tc>
          <w:tcPr>
            <w:tcW w:w="923" w:type="dxa"/>
            <w:tcBorders>
              <w:top w:val="nil"/>
              <w:left w:val="nil"/>
              <w:bottom w:val="nil"/>
              <w:right w:val="nil"/>
            </w:tcBorders>
            <w:shd w:val="clear" w:color="auto" w:fill="auto"/>
          </w:tcPr>
          <w:p w14:paraId="7AA7085E" w14:textId="77777777" w:rsidR="00C76072" w:rsidRPr="00471A9B" w:rsidRDefault="00C76072" w:rsidP="00391FA1">
            <w:pPr>
              <w:rPr>
                <w:rFonts w:ascii="Arial" w:hAnsi="Arial" w:cs="FrankRuehl"/>
                <w:b/>
                <w:bCs/>
                <w:sz w:val="28"/>
                <w:szCs w:val="28"/>
                <w:rtl/>
              </w:rPr>
            </w:pPr>
          </w:p>
        </w:tc>
        <w:tc>
          <w:tcPr>
            <w:tcW w:w="4126" w:type="dxa"/>
            <w:tcBorders>
              <w:top w:val="nil"/>
              <w:left w:val="nil"/>
              <w:bottom w:val="nil"/>
              <w:right w:val="nil"/>
            </w:tcBorders>
            <w:shd w:val="clear" w:color="auto" w:fill="auto"/>
          </w:tcPr>
          <w:p w14:paraId="74F905FE" w14:textId="77777777" w:rsidR="00C76072" w:rsidRPr="00471A9B" w:rsidRDefault="00C76072" w:rsidP="00391FA1">
            <w:pPr>
              <w:rPr>
                <w:rFonts w:cs="FrankRuehl"/>
                <w:b/>
                <w:bCs/>
                <w:sz w:val="28"/>
                <w:szCs w:val="28"/>
                <w:rtl/>
              </w:rPr>
            </w:pPr>
            <w:r w:rsidRPr="00471A9B">
              <w:rPr>
                <w:rFonts w:ascii="Arial" w:hAnsi="Arial" w:cs="FrankRuehl"/>
                <w:b/>
                <w:bCs/>
                <w:sz w:val="28"/>
                <w:szCs w:val="28"/>
                <w:rtl/>
              </w:rPr>
              <w:t>ידידאל גולדברך</w:t>
            </w:r>
          </w:p>
        </w:tc>
        <w:tc>
          <w:tcPr>
            <w:tcW w:w="3771" w:type="dxa"/>
            <w:tcBorders>
              <w:top w:val="nil"/>
              <w:left w:val="nil"/>
              <w:bottom w:val="nil"/>
              <w:right w:val="nil"/>
            </w:tcBorders>
            <w:shd w:val="clear" w:color="auto" w:fill="auto"/>
          </w:tcPr>
          <w:p w14:paraId="1067C741" w14:textId="77777777" w:rsidR="00C76072" w:rsidRPr="00471A9B" w:rsidRDefault="00C76072" w:rsidP="00C76072">
            <w:pPr>
              <w:jc w:val="right"/>
              <w:rPr>
                <w:rFonts w:ascii="Arial" w:hAnsi="Arial" w:cs="FrankRuehl"/>
                <w:b/>
                <w:bCs/>
                <w:sz w:val="28"/>
                <w:szCs w:val="28"/>
              </w:rPr>
            </w:pPr>
          </w:p>
        </w:tc>
      </w:tr>
      <w:tr w:rsidR="00C76072" w:rsidRPr="00471A9B" w14:paraId="1CDAA911" w14:textId="77777777" w:rsidTr="00C76072">
        <w:trPr>
          <w:trHeight w:val="355"/>
          <w:jc w:val="center"/>
        </w:trPr>
        <w:tc>
          <w:tcPr>
            <w:tcW w:w="923" w:type="dxa"/>
            <w:tcBorders>
              <w:top w:val="nil"/>
              <w:left w:val="nil"/>
              <w:bottom w:val="nil"/>
              <w:right w:val="nil"/>
            </w:tcBorders>
            <w:shd w:val="clear" w:color="auto" w:fill="auto"/>
          </w:tcPr>
          <w:p w14:paraId="409FC1CD" w14:textId="77777777" w:rsidR="00C76072" w:rsidRPr="00471A9B" w:rsidRDefault="00C76072" w:rsidP="00C76072">
            <w:pPr>
              <w:jc w:val="both"/>
              <w:rPr>
                <w:rFonts w:ascii="Arial" w:hAnsi="Arial" w:cs="FrankRuehl"/>
                <w:b/>
                <w:bCs/>
                <w:sz w:val="28"/>
                <w:szCs w:val="28"/>
                <w:rtl/>
              </w:rPr>
            </w:pPr>
            <w:bookmarkStart w:id="2" w:name="FirstLawyer"/>
          </w:p>
        </w:tc>
        <w:tc>
          <w:tcPr>
            <w:tcW w:w="4126" w:type="dxa"/>
            <w:tcBorders>
              <w:top w:val="nil"/>
              <w:left w:val="nil"/>
              <w:bottom w:val="nil"/>
              <w:right w:val="nil"/>
            </w:tcBorders>
            <w:shd w:val="clear" w:color="auto" w:fill="auto"/>
          </w:tcPr>
          <w:p w14:paraId="4BDAB5E8" w14:textId="77777777" w:rsidR="00C76072" w:rsidRPr="00471A9B" w:rsidRDefault="00C76072" w:rsidP="00C76072">
            <w:pPr>
              <w:jc w:val="both"/>
              <w:rPr>
                <w:rFonts w:cs="FrankRuehl"/>
                <w:b/>
                <w:bCs/>
                <w:sz w:val="28"/>
                <w:szCs w:val="28"/>
                <w:rtl/>
              </w:rPr>
            </w:pPr>
            <w:r w:rsidRPr="00471A9B">
              <w:rPr>
                <w:rFonts w:cs="FrankRuehl" w:hint="cs"/>
                <w:b/>
                <w:bCs/>
                <w:sz w:val="28"/>
                <w:szCs w:val="28"/>
                <w:rtl/>
              </w:rPr>
              <w:t>ע"י ב"כ עו"ד אמיר נבון</w:t>
            </w:r>
          </w:p>
        </w:tc>
        <w:tc>
          <w:tcPr>
            <w:tcW w:w="3771" w:type="dxa"/>
            <w:tcBorders>
              <w:top w:val="nil"/>
              <w:left w:val="nil"/>
              <w:bottom w:val="nil"/>
              <w:right w:val="nil"/>
            </w:tcBorders>
            <w:shd w:val="clear" w:color="auto" w:fill="auto"/>
          </w:tcPr>
          <w:p w14:paraId="2081565B" w14:textId="77777777" w:rsidR="00C76072" w:rsidRPr="00471A9B" w:rsidRDefault="00C76072" w:rsidP="00C76072">
            <w:pPr>
              <w:jc w:val="right"/>
              <w:rPr>
                <w:rFonts w:ascii="Arial" w:hAnsi="Arial" w:cs="FrankRuehl"/>
                <w:b/>
                <w:bCs/>
                <w:sz w:val="28"/>
                <w:szCs w:val="28"/>
              </w:rPr>
            </w:pPr>
            <w:r w:rsidRPr="00471A9B">
              <w:rPr>
                <w:rFonts w:ascii="Arial" w:hAnsi="Arial" w:cs="FrankRuehl" w:hint="cs"/>
                <w:b/>
                <w:bCs/>
                <w:sz w:val="28"/>
                <w:szCs w:val="28"/>
                <w:rtl/>
              </w:rPr>
              <w:t>הנאשם</w:t>
            </w:r>
          </w:p>
        </w:tc>
      </w:tr>
      <w:bookmarkEnd w:id="2"/>
    </w:tbl>
    <w:p w14:paraId="0B94BA02" w14:textId="77777777" w:rsidR="00C76072" w:rsidRPr="00471A9B" w:rsidRDefault="00C76072" w:rsidP="00C76072">
      <w:pPr>
        <w:rPr>
          <w:rtl/>
        </w:rPr>
      </w:pPr>
    </w:p>
    <w:p w14:paraId="63B0A77B" w14:textId="77777777" w:rsidR="00CA6A81" w:rsidRPr="00CA6A81" w:rsidRDefault="00CA6A81" w:rsidP="00CA6A81">
      <w:pPr>
        <w:spacing w:before="120" w:after="120" w:line="240" w:lineRule="exact"/>
        <w:ind w:left="283" w:hanging="283"/>
        <w:jc w:val="both"/>
        <w:rPr>
          <w:rFonts w:ascii="FrankRuehl" w:hAnsi="FrankRuehl" w:cs="FrankRuehl"/>
          <w:rtl/>
        </w:rPr>
      </w:pPr>
    </w:p>
    <w:p w14:paraId="0B1601D6" w14:textId="77777777" w:rsidR="00AC2BBF" w:rsidRDefault="00AC2BBF" w:rsidP="00AC2BBF">
      <w:pPr>
        <w:rPr>
          <w:rtl/>
        </w:rPr>
      </w:pPr>
      <w:bookmarkStart w:id="3" w:name="LawTable"/>
      <w:bookmarkEnd w:id="3"/>
    </w:p>
    <w:p w14:paraId="665134A6" w14:textId="77777777" w:rsidR="00AC2BBF" w:rsidRPr="00AC2BBF" w:rsidRDefault="00AC2BBF" w:rsidP="00AC2BBF">
      <w:pPr>
        <w:spacing w:before="120" w:after="120" w:line="240" w:lineRule="exact"/>
        <w:ind w:left="283" w:hanging="283"/>
        <w:jc w:val="both"/>
        <w:rPr>
          <w:rFonts w:ascii="FrankRuehl" w:hAnsi="FrankRuehl" w:cs="FrankRuehl"/>
          <w:rtl/>
        </w:rPr>
      </w:pPr>
    </w:p>
    <w:p w14:paraId="545DB033" w14:textId="77777777" w:rsidR="00AC2BBF" w:rsidRPr="00AC2BBF" w:rsidRDefault="00AC2BBF" w:rsidP="00AC2BBF">
      <w:pPr>
        <w:spacing w:before="120" w:after="120" w:line="240" w:lineRule="exact"/>
        <w:ind w:left="283" w:hanging="283"/>
        <w:jc w:val="both"/>
        <w:rPr>
          <w:rFonts w:ascii="FrankRuehl" w:hAnsi="FrankRuehl" w:cs="FrankRuehl"/>
          <w:rtl/>
        </w:rPr>
      </w:pPr>
    </w:p>
    <w:p w14:paraId="293D83F3" w14:textId="77777777" w:rsidR="00AC2BBF" w:rsidRPr="00AC2BBF" w:rsidRDefault="00AC2BBF" w:rsidP="00AC2BBF">
      <w:pPr>
        <w:spacing w:before="120" w:after="120" w:line="240" w:lineRule="exact"/>
        <w:ind w:left="283" w:hanging="283"/>
        <w:jc w:val="both"/>
        <w:rPr>
          <w:rFonts w:ascii="FrankRuehl" w:hAnsi="FrankRuehl" w:cs="FrankRuehl"/>
          <w:rtl/>
        </w:rPr>
      </w:pPr>
      <w:r w:rsidRPr="00AC2BBF">
        <w:rPr>
          <w:rFonts w:ascii="FrankRuehl" w:hAnsi="FrankRuehl" w:cs="FrankRuehl"/>
          <w:rtl/>
        </w:rPr>
        <w:t xml:space="preserve">חקיקה שאוזכרה: </w:t>
      </w:r>
    </w:p>
    <w:p w14:paraId="37FBB893" w14:textId="77777777" w:rsidR="00AC2BBF" w:rsidRPr="00AC2BBF" w:rsidRDefault="00AC2BBF" w:rsidP="00AC2BBF">
      <w:pPr>
        <w:spacing w:before="120" w:after="120" w:line="240" w:lineRule="exact"/>
        <w:ind w:left="283" w:hanging="283"/>
        <w:jc w:val="both"/>
        <w:rPr>
          <w:rFonts w:ascii="FrankRuehl" w:hAnsi="FrankRuehl" w:cs="FrankRuehl"/>
          <w:rtl/>
        </w:rPr>
      </w:pPr>
      <w:hyperlink r:id="rId7" w:history="1">
        <w:r w:rsidRPr="00AC2BBF">
          <w:rPr>
            <w:rFonts w:ascii="FrankRuehl" w:hAnsi="FrankRuehl" w:cs="FrankRuehl"/>
            <w:color w:val="0000FF"/>
            <w:rtl/>
          </w:rPr>
          <w:t>פקודת הסמים המסוכנים [נוסח חדש], תשל"ג-1973</w:t>
        </w:r>
      </w:hyperlink>
      <w:r w:rsidRPr="00AC2BBF">
        <w:rPr>
          <w:rFonts w:ascii="FrankRuehl" w:hAnsi="FrankRuehl" w:cs="FrankRuehl"/>
          <w:rtl/>
        </w:rPr>
        <w:t xml:space="preserve">: סע'  </w:t>
      </w:r>
      <w:hyperlink r:id="rId8" w:history="1">
        <w:r w:rsidRPr="00AC2BBF">
          <w:rPr>
            <w:rFonts w:ascii="FrankRuehl" w:hAnsi="FrankRuehl" w:cs="FrankRuehl"/>
            <w:color w:val="0000FF"/>
            <w:rtl/>
          </w:rPr>
          <w:t>7(א)</w:t>
        </w:r>
      </w:hyperlink>
      <w:r w:rsidRPr="00AC2BBF">
        <w:rPr>
          <w:rFonts w:ascii="FrankRuehl" w:hAnsi="FrankRuehl" w:cs="FrankRuehl"/>
          <w:rtl/>
        </w:rPr>
        <w:t xml:space="preserve">, </w:t>
      </w:r>
      <w:hyperlink r:id="rId9" w:history="1">
        <w:r w:rsidRPr="00AC2BBF">
          <w:rPr>
            <w:rFonts w:ascii="FrankRuehl" w:hAnsi="FrankRuehl" w:cs="FrankRuehl"/>
            <w:color w:val="0000FF"/>
            <w:rtl/>
          </w:rPr>
          <w:t>(ג)</w:t>
        </w:r>
      </w:hyperlink>
      <w:r w:rsidRPr="00AC2BBF">
        <w:rPr>
          <w:rFonts w:ascii="FrankRuehl" w:hAnsi="FrankRuehl" w:cs="FrankRuehl"/>
          <w:rtl/>
        </w:rPr>
        <w:t xml:space="preserve">, </w:t>
      </w:r>
      <w:hyperlink r:id="rId10" w:history="1">
        <w:r w:rsidRPr="00AC2BBF">
          <w:rPr>
            <w:rFonts w:ascii="FrankRuehl" w:hAnsi="FrankRuehl" w:cs="FrankRuehl"/>
            <w:color w:val="0000FF"/>
            <w:rtl/>
          </w:rPr>
          <w:t>13</w:t>
        </w:r>
      </w:hyperlink>
      <w:r w:rsidRPr="00AC2BBF">
        <w:rPr>
          <w:rFonts w:ascii="FrankRuehl" w:hAnsi="FrankRuehl" w:cs="FrankRuehl"/>
          <w:rtl/>
        </w:rPr>
        <w:t xml:space="preserve">, </w:t>
      </w:r>
      <w:hyperlink r:id="rId11" w:history="1">
        <w:r w:rsidRPr="00AC2BBF">
          <w:rPr>
            <w:rFonts w:ascii="FrankRuehl" w:hAnsi="FrankRuehl" w:cs="FrankRuehl"/>
            <w:color w:val="0000FF"/>
            <w:rtl/>
          </w:rPr>
          <w:t>19א</w:t>
        </w:r>
      </w:hyperlink>
    </w:p>
    <w:p w14:paraId="4EE4BB30" w14:textId="77777777" w:rsidR="00AC2BBF" w:rsidRPr="00AC2BBF" w:rsidRDefault="00AC2BBF" w:rsidP="00AC2BBF">
      <w:pPr>
        <w:spacing w:before="120" w:after="120" w:line="240" w:lineRule="exact"/>
        <w:ind w:left="283" w:hanging="283"/>
        <w:jc w:val="both"/>
        <w:rPr>
          <w:rFonts w:ascii="FrankRuehl" w:hAnsi="FrankRuehl" w:cs="FrankRuehl"/>
          <w:rtl/>
        </w:rPr>
      </w:pPr>
      <w:hyperlink r:id="rId12" w:history="1">
        <w:r w:rsidRPr="00AC2BBF">
          <w:rPr>
            <w:rFonts w:ascii="FrankRuehl" w:hAnsi="FrankRuehl" w:cs="FrankRuehl"/>
            <w:color w:val="0000FF"/>
            <w:rtl/>
          </w:rPr>
          <w:t>חוק העונשין, תשל"ז-1977</w:t>
        </w:r>
      </w:hyperlink>
      <w:r w:rsidRPr="00AC2BBF">
        <w:rPr>
          <w:rFonts w:ascii="FrankRuehl" w:hAnsi="FrankRuehl" w:cs="FrankRuehl"/>
          <w:rtl/>
        </w:rPr>
        <w:t xml:space="preserve">: סע'  </w:t>
      </w:r>
      <w:hyperlink r:id="rId13" w:history="1">
        <w:r w:rsidRPr="00AC2BBF">
          <w:rPr>
            <w:rFonts w:ascii="FrankRuehl" w:hAnsi="FrankRuehl" w:cs="FrankRuehl"/>
            <w:color w:val="0000FF"/>
            <w:rtl/>
          </w:rPr>
          <w:t>25</w:t>
        </w:r>
      </w:hyperlink>
    </w:p>
    <w:p w14:paraId="37EE0DD5" w14:textId="77777777" w:rsidR="00AC2BBF" w:rsidRPr="00AC2BBF" w:rsidRDefault="00AC2BBF" w:rsidP="00AC2BBF">
      <w:pPr>
        <w:rPr>
          <w:rtl/>
        </w:rPr>
      </w:pPr>
      <w:bookmarkStart w:id="4" w:name="LawTable_End"/>
      <w:bookmarkEnd w:id="4"/>
    </w:p>
    <w:p w14:paraId="429585B6" w14:textId="77777777" w:rsidR="00C76072" w:rsidRPr="00CA6A81" w:rsidRDefault="00C76072" w:rsidP="00CA6A8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76072" w:rsidRPr="006A1F12" w14:paraId="5FABC70B" w14:textId="77777777" w:rsidTr="00C76072">
        <w:trPr>
          <w:trHeight w:val="355"/>
          <w:jc w:val="center"/>
        </w:trPr>
        <w:tc>
          <w:tcPr>
            <w:tcW w:w="8820" w:type="dxa"/>
            <w:tcBorders>
              <w:top w:val="nil"/>
              <w:left w:val="nil"/>
              <w:bottom w:val="nil"/>
              <w:right w:val="nil"/>
            </w:tcBorders>
            <w:shd w:val="clear" w:color="auto" w:fill="auto"/>
          </w:tcPr>
          <w:p w14:paraId="7D376F14" w14:textId="77777777" w:rsidR="00471A9B" w:rsidRPr="00471A9B" w:rsidRDefault="00471A9B" w:rsidP="00471A9B">
            <w:pPr>
              <w:jc w:val="center"/>
              <w:rPr>
                <w:rFonts w:ascii="Arial" w:hAnsi="Arial" w:cs="FrankRuehl"/>
                <w:b/>
                <w:bCs/>
                <w:sz w:val="32"/>
                <w:szCs w:val="32"/>
                <w:u w:val="single"/>
                <w:rtl/>
              </w:rPr>
            </w:pPr>
            <w:bookmarkStart w:id="5" w:name="PsakDin" w:colFirst="0" w:colLast="0"/>
            <w:bookmarkEnd w:id="0"/>
            <w:r w:rsidRPr="00471A9B">
              <w:rPr>
                <w:rFonts w:ascii="Arial" w:hAnsi="Arial" w:cs="FrankRuehl"/>
                <w:b/>
                <w:bCs/>
                <w:sz w:val="32"/>
                <w:szCs w:val="32"/>
                <w:u w:val="single"/>
                <w:rtl/>
              </w:rPr>
              <w:t>גזר דין   תוך ביטול הרשעה</w:t>
            </w:r>
          </w:p>
          <w:p w14:paraId="52AD5BE8" w14:textId="77777777" w:rsidR="00C76072" w:rsidRPr="00471A9B" w:rsidRDefault="00C76072" w:rsidP="00471A9B">
            <w:pPr>
              <w:jc w:val="center"/>
              <w:rPr>
                <w:rFonts w:ascii="Arial" w:hAnsi="Arial" w:cs="FrankRuehl"/>
                <w:b/>
                <w:bCs/>
                <w:sz w:val="32"/>
                <w:szCs w:val="32"/>
                <w:u w:val="single"/>
                <w:rtl/>
              </w:rPr>
            </w:pPr>
          </w:p>
        </w:tc>
      </w:tr>
      <w:bookmarkEnd w:id="5"/>
    </w:tbl>
    <w:p w14:paraId="5BFFE32F" w14:textId="77777777" w:rsidR="00C76072" w:rsidRPr="006A1F12" w:rsidRDefault="00C76072" w:rsidP="00C76072">
      <w:pPr>
        <w:rPr>
          <w:rFonts w:ascii="Arial" w:hAnsi="Arial"/>
          <w:b/>
          <w:bCs/>
          <w:rtl/>
        </w:rPr>
      </w:pPr>
    </w:p>
    <w:p w14:paraId="02BB7B63" w14:textId="77777777" w:rsidR="00C76072" w:rsidRDefault="00C76072" w:rsidP="00C76072">
      <w:pPr>
        <w:rPr>
          <w:rFonts w:ascii="Arial" w:hAnsi="Arial"/>
          <w:rtl/>
        </w:rPr>
      </w:pPr>
    </w:p>
    <w:p w14:paraId="6D793B5C" w14:textId="77777777" w:rsidR="00C76072" w:rsidRPr="00D064BF" w:rsidRDefault="00C76072" w:rsidP="00C76072">
      <w:pPr>
        <w:spacing w:line="360" w:lineRule="auto"/>
        <w:jc w:val="both"/>
        <w:rPr>
          <w:rFonts w:ascii="Arial" w:hAnsi="Arial" w:cs="FrankRuehl"/>
          <w:b/>
          <w:bCs/>
          <w:sz w:val="28"/>
          <w:szCs w:val="28"/>
          <w:u w:val="single"/>
          <w:rtl/>
        </w:rPr>
      </w:pPr>
      <w:r w:rsidRPr="00D064BF">
        <w:rPr>
          <w:rFonts w:ascii="Arial" w:hAnsi="Arial" w:cs="FrankRuehl" w:hint="cs"/>
          <w:b/>
          <w:bCs/>
          <w:sz w:val="28"/>
          <w:szCs w:val="28"/>
          <w:u w:val="single"/>
          <w:rtl/>
        </w:rPr>
        <w:t>כתב האישום המתוקן</w:t>
      </w:r>
    </w:p>
    <w:p w14:paraId="5EE733AE" w14:textId="77777777" w:rsidR="00C76072" w:rsidRDefault="00C76072" w:rsidP="00C76072">
      <w:pPr>
        <w:spacing w:line="360" w:lineRule="auto"/>
        <w:jc w:val="both"/>
        <w:rPr>
          <w:rFonts w:ascii="Arial" w:hAnsi="Arial" w:cs="FrankRuehl"/>
          <w:sz w:val="28"/>
          <w:szCs w:val="28"/>
          <w:rtl/>
        </w:rPr>
      </w:pPr>
      <w:bookmarkStart w:id="6" w:name="ABSTRACT_START"/>
      <w:bookmarkEnd w:id="6"/>
      <w:r w:rsidRPr="00D064BF">
        <w:rPr>
          <w:rFonts w:ascii="Arial" w:hAnsi="Arial" w:cs="FrankRuehl" w:hint="cs"/>
          <w:sz w:val="28"/>
          <w:szCs w:val="28"/>
          <w:rtl/>
        </w:rPr>
        <w:t>נגד  הנאשם הוגש כתב אישום אשר תוקן במסגרת הסדר  טיעון דיוני, ללא הסכמה עונשית.</w:t>
      </w:r>
    </w:p>
    <w:p w14:paraId="66B68355" w14:textId="77777777" w:rsidR="00C76072" w:rsidRDefault="00C76072" w:rsidP="00C76072">
      <w:pPr>
        <w:spacing w:line="360" w:lineRule="auto"/>
        <w:jc w:val="both"/>
        <w:rPr>
          <w:rFonts w:ascii="Arial" w:hAnsi="Arial" w:cs="FrankRuehl"/>
          <w:sz w:val="28"/>
          <w:szCs w:val="28"/>
          <w:rtl/>
        </w:rPr>
      </w:pPr>
    </w:p>
    <w:p w14:paraId="02D94E04" w14:textId="77777777" w:rsidR="00C76072" w:rsidRDefault="00C76072" w:rsidP="00C76072">
      <w:pPr>
        <w:spacing w:line="360" w:lineRule="auto"/>
        <w:jc w:val="both"/>
        <w:rPr>
          <w:rFonts w:ascii="Arial" w:hAnsi="Arial" w:cs="FrankRuehl"/>
          <w:sz w:val="28"/>
          <w:szCs w:val="28"/>
          <w:rtl/>
        </w:rPr>
      </w:pPr>
      <w:r>
        <w:rPr>
          <w:rFonts w:ascii="Arial" w:hAnsi="Arial" w:cs="FrankRuehl" w:hint="cs"/>
          <w:sz w:val="28"/>
          <w:szCs w:val="28"/>
          <w:rtl/>
        </w:rPr>
        <w:t xml:space="preserve">מעובדותיו עולה, כי ביום 21.7.2016 ניסה הנאשם לייבא סם מסוג </w:t>
      </w:r>
      <w:r>
        <w:rPr>
          <w:rFonts w:ascii="Arial" w:hAnsi="Arial" w:cs="FrankRuehl" w:hint="cs"/>
          <w:sz w:val="28"/>
          <w:szCs w:val="28"/>
        </w:rPr>
        <w:t>MDMA</w:t>
      </w:r>
      <w:r>
        <w:rPr>
          <w:rFonts w:ascii="Arial" w:hAnsi="Arial" w:cs="FrankRuehl" w:hint="cs"/>
          <w:sz w:val="28"/>
          <w:szCs w:val="28"/>
          <w:rtl/>
        </w:rPr>
        <w:t xml:space="preserve"> במשקל 9.69 גרם נטו, אותו הזמין באינטרנט ונשלח אליו באמצעות הדואר. החבילה נתפסה בנמל התעופה "בן גוריון". בנוסף, ביום 17.8.2016 נתפסו בביתו של הנאשם </w:t>
      </w:r>
      <w:r>
        <w:rPr>
          <w:rFonts w:ascii="Arial" w:hAnsi="Arial" w:cs="FrankRuehl" w:hint="cs"/>
          <w:sz w:val="28"/>
          <w:szCs w:val="28"/>
        </w:rPr>
        <w:t>MDM</w:t>
      </w:r>
      <w:r>
        <w:rPr>
          <w:rFonts w:ascii="Arial" w:hAnsi="Arial" w:cs="FrankRuehl"/>
          <w:sz w:val="28"/>
          <w:szCs w:val="28"/>
        </w:rPr>
        <w:t>A</w:t>
      </w:r>
      <w:r>
        <w:rPr>
          <w:rFonts w:ascii="Arial" w:hAnsi="Arial" w:cs="FrankRuehl" w:hint="cs"/>
          <w:sz w:val="28"/>
          <w:szCs w:val="28"/>
          <w:rtl/>
        </w:rPr>
        <w:t xml:space="preserve"> במשקל 12.31 גרם נטו ו-12 יחידות של סם מסוג </w:t>
      </w:r>
      <w:r>
        <w:rPr>
          <w:rFonts w:ascii="Arial" w:hAnsi="Arial" w:cs="FrankRuehl" w:hint="cs"/>
          <w:sz w:val="28"/>
          <w:szCs w:val="28"/>
        </w:rPr>
        <w:t>LSD</w:t>
      </w:r>
      <w:r>
        <w:rPr>
          <w:rFonts w:ascii="Arial" w:hAnsi="Arial" w:cs="FrankRuehl" w:hint="cs"/>
          <w:sz w:val="28"/>
          <w:szCs w:val="28"/>
          <w:rtl/>
        </w:rPr>
        <w:t xml:space="preserve"> וכן קנביס במשקל 0.88 גרם. הסמים הוחזקו בחלקים שונים של הבית </w:t>
      </w:r>
      <w:r>
        <w:rPr>
          <w:rFonts w:ascii="Arial" w:hAnsi="Arial" w:cs="FrankRuehl" w:hint="cs"/>
          <w:sz w:val="28"/>
          <w:szCs w:val="28"/>
          <w:rtl/>
        </w:rPr>
        <w:lastRenderedPageBreak/>
        <w:t xml:space="preserve">ובחפצים שונים. בגין כל אלה, הודה הנאשם והורשע בביצוע עבירות של ניסיון ייבוא סם, לפי </w:t>
      </w:r>
      <w:hyperlink r:id="rId14" w:history="1">
        <w:r w:rsidR="007F6625" w:rsidRPr="007F6625">
          <w:rPr>
            <w:rStyle w:val="Hyperlink"/>
            <w:rFonts w:ascii="Arial" w:hAnsi="Arial" w:cs="FrankRuehl" w:hint="eastAsia"/>
            <w:sz w:val="28"/>
            <w:szCs w:val="28"/>
            <w:rtl/>
          </w:rPr>
          <w:t>סעיפים</w:t>
        </w:r>
        <w:r w:rsidR="007F6625" w:rsidRPr="007F6625">
          <w:rPr>
            <w:rStyle w:val="Hyperlink"/>
            <w:rFonts w:ascii="Arial" w:hAnsi="Arial" w:cs="FrankRuehl"/>
            <w:sz w:val="28"/>
            <w:szCs w:val="28"/>
            <w:rtl/>
          </w:rPr>
          <w:t xml:space="preserve"> 13</w:t>
        </w:r>
      </w:hyperlink>
      <w:r>
        <w:rPr>
          <w:rFonts w:ascii="Arial" w:hAnsi="Arial" w:cs="FrankRuehl" w:hint="cs"/>
          <w:sz w:val="28"/>
          <w:szCs w:val="28"/>
          <w:rtl/>
        </w:rPr>
        <w:t xml:space="preserve"> ו-</w:t>
      </w:r>
      <w:hyperlink r:id="rId15" w:history="1">
        <w:r w:rsidR="007F6625" w:rsidRPr="007F6625">
          <w:rPr>
            <w:rStyle w:val="Hyperlink"/>
            <w:rFonts w:ascii="Arial" w:hAnsi="Arial" w:cs="FrankRuehl"/>
            <w:sz w:val="28"/>
            <w:szCs w:val="28"/>
            <w:rtl/>
          </w:rPr>
          <w:t>19א</w:t>
        </w:r>
      </w:hyperlink>
      <w:r>
        <w:rPr>
          <w:rFonts w:ascii="Arial" w:hAnsi="Arial" w:cs="FrankRuehl" w:hint="cs"/>
          <w:sz w:val="28"/>
          <w:szCs w:val="28"/>
          <w:rtl/>
        </w:rPr>
        <w:t xml:space="preserve"> ל</w:t>
      </w:r>
      <w:hyperlink r:id="rId16" w:history="1">
        <w:r w:rsidR="00471A9B" w:rsidRPr="00471A9B">
          <w:rPr>
            <w:rFonts w:ascii="Arial" w:hAnsi="Arial" w:cs="FrankRuehl"/>
            <w:color w:val="0000FF"/>
            <w:sz w:val="28"/>
            <w:szCs w:val="28"/>
            <w:u w:val="single"/>
            <w:rtl/>
          </w:rPr>
          <w:t>פקודת הסמים המסוכנים</w:t>
        </w:r>
      </w:hyperlink>
      <w:r>
        <w:rPr>
          <w:rFonts w:ascii="Arial" w:hAnsi="Arial" w:cs="FrankRuehl" w:hint="cs"/>
          <w:sz w:val="28"/>
          <w:szCs w:val="28"/>
          <w:rtl/>
        </w:rPr>
        <w:t xml:space="preserve"> בצירוף סעיף </w:t>
      </w:r>
      <w:hyperlink r:id="rId17" w:history="1">
        <w:r w:rsidR="007F6625" w:rsidRPr="007F6625">
          <w:rPr>
            <w:rStyle w:val="Hyperlink"/>
            <w:rFonts w:ascii="Arial" w:hAnsi="Arial" w:cs="FrankRuehl"/>
            <w:sz w:val="28"/>
            <w:szCs w:val="28"/>
            <w:rtl/>
          </w:rPr>
          <w:t>25</w:t>
        </w:r>
      </w:hyperlink>
      <w:r>
        <w:rPr>
          <w:rFonts w:ascii="Arial" w:hAnsi="Arial" w:cs="FrankRuehl" w:hint="cs"/>
          <w:sz w:val="28"/>
          <w:szCs w:val="28"/>
          <w:rtl/>
        </w:rPr>
        <w:t xml:space="preserve"> ל</w:t>
      </w:r>
      <w:hyperlink r:id="rId18" w:history="1">
        <w:r w:rsidR="00471A9B" w:rsidRPr="00471A9B">
          <w:rPr>
            <w:rFonts w:ascii="Arial" w:hAnsi="Arial" w:cs="FrankRuehl"/>
            <w:color w:val="0000FF"/>
            <w:sz w:val="28"/>
            <w:szCs w:val="28"/>
            <w:u w:val="single"/>
            <w:rtl/>
          </w:rPr>
          <w:t>חוק העונשין</w:t>
        </w:r>
      </w:hyperlink>
      <w:r>
        <w:rPr>
          <w:rFonts w:ascii="Arial" w:hAnsi="Arial" w:cs="FrankRuehl" w:hint="cs"/>
          <w:sz w:val="28"/>
          <w:szCs w:val="28"/>
          <w:rtl/>
        </w:rPr>
        <w:t>, התשל"ז-1977;</w:t>
      </w:r>
      <w:bookmarkStart w:id="7" w:name="ABSTRACT_END"/>
      <w:bookmarkEnd w:id="7"/>
      <w:r>
        <w:rPr>
          <w:rFonts w:ascii="Arial" w:hAnsi="Arial" w:cs="FrankRuehl" w:hint="cs"/>
          <w:sz w:val="28"/>
          <w:szCs w:val="28"/>
          <w:rtl/>
        </w:rPr>
        <w:t xml:space="preserve"> החזקת סם שלא לצריכה עצמית, לפי </w:t>
      </w:r>
      <w:hyperlink r:id="rId19" w:history="1">
        <w:r w:rsidR="007F6625" w:rsidRPr="007F6625">
          <w:rPr>
            <w:rStyle w:val="Hyperlink"/>
            <w:rFonts w:ascii="Arial" w:hAnsi="Arial" w:cs="FrankRuehl" w:hint="eastAsia"/>
            <w:sz w:val="28"/>
            <w:szCs w:val="28"/>
            <w:rtl/>
          </w:rPr>
          <w:t>סעיפים</w:t>
        </w:r>
        <w:r w:rsidR="007F6625" w:rsidRPr="007F6625">
          <w:rPr>
            <w:rStyle w:val="Hyperlink"/>
            <w:rFonts w:ascii="Arial" w:hAnsi="Arial" w:cs="FrankRuehl"/>
            <w:sz w:val="28"/>
            <w:szCs w:val="28"/>
            <w:rtl/>
          </w:rPr>
          <w:t xml:space="preserve"> 7(א)</w:t>
        </w:r>
      </w:hyperlink>
      <w:r>
        <w:rPr>
          <w:rFonts w:ascii="Arial" w:hAnsi="Arial" w:cs="FrankRuehl" w:hint="cs"/>
          <w:sz w:val="28"/>
          <w:szCs w:val="28"/>
          <w:rtl/>
        </w:rPr>
        <w:t xml:space="preserve"> ו-</w:t>
      </w:r>
      <w:hyperlink r:id="rId20" w:history="1">
        <w:r w:rsidR="007F6625" w:rsidRPr="007F6625">
          <w:rPr>
            <w:rStyle w:val="Hyperlink"/>
            <w:rFonts w:ascii="Arial" w:hAnsi="Arial" w:cs="FrankRuehl"/>
            <w:sz w:val="28"/>
            <w:szCs w:val="28"/>
            <w:rtl/>
          </w:rPr>
          <w:t>(ג)</w:t>
        </w:r>
      </w:hyperlink>
      <w:r>
        <w:rPr>
          <w:rFonts w:ascii="Arial" w:hAnsi="Arial" w:cs="FrankRuehl" w:hint="cs"/>
          <w:sz w:val="28"/>
          <w:szCs w:val="28"/>
          <w:rtl/>
        </w:rPr>
        <w:t xml:space="preserve"> רישא לפקודת הסמים, והחזקת סם לצריכה עצמית, לפי </w:t>
      </w:r>
      <w:hyperlink r:id="rId21" w:history="1">
        <w:r w:rsidR="007F6625" w:rsidRPr="007F6625">
          <w:rPr>
            <w:rStyle w:val="Hyperlink"/>
            <w:rFonts w:ascii="Arial" w:hAnsi="Arial" w:cs="FrankRuehl" w:hint="eastAsia"/>
            <w:sz w:val="28"/>
            <w:szCs w:val="28"/>
            <w:rtl/>
          </w:rPr>
          <w:t>סעיפים</w:t>
        </w:r>
        <w:r w:rsidR="007F6625" w:rsidRPr="007F6625">
          <w:rPr>
            <w:rStyle w:val="Hyperlink"/>
            <w:rFonts w:ascii="Arial" w:hAnsi="Arial" w:cs="FrankRuehl"/>
            <w:sz w:val="28"/>
            <w:szCs w:val="28"/>
            <w:rtl/>
          </w:rPr>
          <w:t xml:space="preserve"> 7(א)</w:t>
        </w:r>
      </w:hyperlink>
      <w:r>
        <w:rPr>
          <w:rFonts w:ascii="Arial" w:hAnsi="Arial" w:cs="FrankRuehl" w:hint="cs"/>
          <w:sz w:val="28"/>
          <w:szCs w:val="28"/>
          <w:rtl/>
        </w:rPr>
        <w:t xml:space="preserve"> ו-</w:t>
      </w:r>
      <w:hyperlink r:id="rId22" w:history="1">
        <w:r w:rsidR="007F6625" w:rsidRPr="007F6625">
          <w:rPr>
            <w:rStyle w:val="Hyperlink"/>
            <w:rFonts w:ascii="Arial" w:hAnsi="Arial" w:cs="FrankRuehl"/>
            <w:sz w:val="28"/>
            <w:szCs w:val="28"/>
            <w:rtl/>
          </w:rPr>
          <w:t>(ג)</w:t>
        </w:r>
      </w:hyperlink>
      <w:r>
        <w:rPr>
          <w:rFonts w:ascii="Arial" w:hAnsi="Arial" w:cs="FrankRuehl" w:hint="cs"/>
          <w:sz w:val="28"/>
          <w:szCs w:val="28"/>
          <w:rtl/>
        </w:rPr>
        <w:t xml:space="preserve"> סיפא לפקודת הסמים.</w:t>
      </w:r>
    </w:p>
    <w:p w14:paraId="6592A5C6" w14:textId="77777777" w:rsidR="00C76072" w:rsidRDefault="00C76072" w:rsidP="00C76072">
      <w:pPr>
        <w:spacing w:line="360" w:lineRule="auto"/>
        <w:jc w:val="both"/>
        <w:rPr>
          <w:rFonts w:ascii="Arial" w:hAnsi="Arial" w:cs="FrankRuehl"/>
          <w:sz w:val="28"/>
          <w:szCs w:val="28"/>
          <w:rtl/>
        </w:rPr>
      </w:pPr>
    </w:p>
    <w:p w14:paraId="45EE9138" w14:textId="77777777" w:rsidR="00C76072" w:rsidRPr="00D064BF" w:rsidRDefault="00C76072" w:rsidP="00C76072">
      <w:pPr>
        <w:spacing w:line="360" w:lineRule="auto"/>
        <w:jc w:val="both"/>
        <w:rPr>
          <w:rFonts w:ascii="Arial" w:hAnsi="Arial" w:cs="FrankRuehl"/>
          <w:b/>
          <w:bCs/>
          <w:sz w:val="28"/>
          <w:szCs w:val="28"/>
          <w:u w:val="single"/>
          <w:rtl/>
        </w:rPr>
      </w:pPr>
      <w:r w:rsidRPr="00D064BF">
        <w:rPr>
          <w:rFonts w:ascii="Arial" w:hAnsi="Arial" w:cs="FrankRuehl" w:hint="cs"/>
          <w:b/>
          <w:bCs/>
          <w:sz w:val="28"/>
          <w:szCs w:val="28"/>
          <w:u w:val="single"/>
          <w:rtl/>
        </w:rPr>
        <w:t>מהלך הדיון</w:t>
      </w:r>
    </w:p>
    <w:p w14:paraId="6C45FE96" w14:textId="77777777" w:rsidR="00C76072" w:rsidRDefault="00C76072" w:rsidP="00C76072">
      <w:pPr>
        <w:spacing w:line="360" w:lineRule="auto"/>
        <w:jc w:val="both"/>
        <w:rPr>
          <w:rFonts w:ascii="Arial" w:hAnsi="Arial" w:cs="FrankRuehl"/>
          <w:sz w:val="28"/>
          <w:szCs w:val="28"/>
          <w:rtl/>
        </w:rPr>
      </w:pPr>
      <w:r>
        <w:rPr>
          <w:rFonts w:ascii="Arial" w:hAnsi="Arial" w:cs="FrankRuehl" w:hint="cs"/>
          <w:sz w:val="28"/>
          <w:szCs w:val="28"/>
          <w:rtl/>
        </w:rPr>
        <w:t>במסגרת ההסדר הדיוני אליו הגיעו הצדדים, נשלח הנאשם לשירות המבחן לקבלת תסקיר.</w:t>
      </w:r>
    </w:p>
    <w:p w14:paraId="5444BA40" w14:textId="77777777" w:rsidR="00C76072" w:rsidRDefault="00C76072" w:rsidP="00C76072">
      <w:pPr>
        <w:spacing w:line="360" w:lineRule="auto"/>
        <w:jc w:val="both"/>
        <w:rPr>
          <w:rFonts w:ascii="Arial" w:hAnsi="Arial" w:cs="FrankRuehl"/>
          <w:sz w:val="28"/>
          <w:szCs w:val="28"/>
          <w:rtl/>
        </w:rPr>
      </w:pPr>
    </w:p>
    <w:p w14:paraId="6BAA0988" w14:textId="77777777" w:rsidR="00C76072" w:rsidRPr="002B345C" w:rsidRDefault="00C76072" w:rsidP="00C76072">
      <w:pPr>
        <w:spacing w:line="360" w:lineRule="auto"/>
        <w:jc w:val="both"/>
        <w:rPr>
          <w:rFonts w:ascii="Arial" w:hAnsi="Arial" w:cs="FrankRuehl"/>
          <w:b/>
          <w:bCs/>
          <w:sz w:val="28"/>
          <w:szCs w:val="28"/>
          <w:u w:val="single"/>
          <w:rtl/>
        </w:rPr>
      </w:pPr>
      <w:r w:rsidRPr="002B345C">
        <w:rPr>
          <w:rFonts w:ascii="Arial" w:hAnsi="Arial" w:cs="FrankRuehl" w:hint="cs"/>
          <w:b/>
          <w:bCs/>
          <w:sz w:val="28"/>
          <w:szCs w:val="28"/>
          <w:u w:val="single"/>
          <w:rtl/>
        </w:rPr>
        <w:t>תסקירי שירות המבחן</w:t>
      </w:r>
    </w:p>
    <w:p w14:paraId="753C8FE7" w14:textId="77777777" w:rsidR="00C76072" w:rsidRDefault="00C76072" w:rsidP="00C76072">
      <w:pPr>
        <w:spacing w:line="360" w:lineRule="auto"/>
        <w:jc w:val="both"/>
        <w:rPr>
          <w:rFonts w:ascii="Arial" w:hAnsi="Arial" w:cs="FrankRuehl"/>
          <w:sz w:val="28"/>
          <w:szCs w:val="28"/>
          <w:rtl/>
        </w:rPr>
      </w:pPr>
      <w:r>
        <w:rPr>
          <w:rFonts w:ascii="Arial" w:hAnsi="Arial" w:cs="FrankRuehl" w:hint="cs"/>
          <w:sz w:val="28"/>
          <w:szCs w:val="28"/>
          <w:rtl/>
        </w:rPr>
        <w:t>בעניינו של הנאשם הוגשו מספר תסקירים.</w:t>
      </w:r>
    </w:p>
    <w:p w14:paraId="2F698788" w14:textId="77777777" w:rsidR="00C76072" w:rsidRDefault="00C76072" w:rsidP="00C76072">
      <w:pPr>
        <w:spacing w:line="360" w:lineRule="auto"/>
        <w:jc w:val="both"/>
        <w:rPr>
          <w:rFonts w:ascii="Arial" w:hAnsi="Arial" w:cs="FrankRuehl"/>
          <w:sz w:val="28"/>
          <w:szCs w:val="28"/>
          <w:rtl/>
        </w:rPr>
      </w:pPr>
      <w:r>
        <w:rPr>
          <w:rFonts w:ascii="Arial" w:hAnsi="Arial" w:cs="FrankRuehl" w:hint="cs"/>
          <w:sz w:val="28"/>
          <w:szCs w:val="28"/>
          <w:rtl/>
        </w:rPr>
        <w:t>מהתסקיר שהוגש בחודש יוני 2019 עולה, כי מדובר ברווק כבן 33 המתעתד לגור עם בת זוגו. הוא עובד בגני ילדים. סיים 12 שנות לימוד עם תעודת בגרות מלאה. הוא שירת שירות צבאי חלקי משום שזה נקטע בשל פציעה שעבר. לאחר מכן למד לימודי תואר ראשון במדעי ההתנהגות והחל בלימודי הסבה לחינוך לגיל הרך, אותם טרם השלים. בעקבות ההליך המשפט בוטלו אירוסיו, דבר שהביאו לכדי משבר. שירות המבחן גולל את קורות משפחתו הגרעינית של הנאשם. לנאשם אין הרשעות קודמות או תיקים פתוחים. הנאשם נטל אחריות מלאה למעשים. הוא תיאר, כי בשנות העשרה המאוחרות החל לעשות שימוש בסמים, דבר שגרם לו לתחושות חיוביות וחיזק את ביטחונו העצמי. הוא רכש את הסמים מחו"ל על מנת לחסוך בעלויות. לאחר תפיסתו הפסיק להשתמש בסמים, והחל לשתות אלכוהול ולעשן. הוא הביע רצון לעבור טיפול בתחום זה. הוא מסר בדיקות שתן שנמצאו נקיות מסמים. נוכח הערכת שירות המבחן, כי מדובר באדם נורמטיבי המגלה מוטיבציה טיפולית, המליץ השירות על דחיית הדיון בשלושה חודשים לצורך מיצוי האפיק הטיפולי.</w:t>
      </w:r>
    </w:p>
    <w:p w14:paraId="7E81348F" w14:textId="77777777" w:rsidR="00C76072" w:rsidRDefault="00C76072" w:rsidP="00C76072">
      <w:pPr>
        <w:spacing w:line="360" w:lineRule="auto"/>
        <w:jc w:val="both"/>
        <w:rPr>
          <w:rFonts w:ascii="Arial" w:hAnsi="Arial" w:cs="FrankRuehl"/>
          <w:sz w:val="28"/>
          <w:szCs w:val="28"/>
          <w:rtl/>
        </w:rPr>
      </w:pPr>
    </w:p>
    <w:p w14:paraId="3DCA4F14" w14:textId="77777777" w:rsidR="00C76072" w:rsidRDefault="00C76072" w:rsidP="00C76072">
      <w:pPr>
        <w:spacing w:line="360" w:lineRule="auto"/>
        <w:jc w:val="both"/>
        <w:rPr>
          <w:rFonts w:ascii="Arial" w:hAnsi="Arial" w:cs="FrankRuehl"/>
          <w:sz w:val="28"/>
          <w:szCs w:val="28"/>
          <w:rtl/>
        </w:rPr>
      </w:pPr>
      <w:r>
        <w:rPr>
          <w:rFonts w:ascii="Arial" w:hAnsi="Arial" w:cs="FrankRuehl" w:hint="cs"/>
          <w:sz w:val="28"/>
          <w:szCs w:val="28"/>
          <w:rtl/>
        </w:rPr>
        <w:t xml:space="preserve">תסקיר נוסף הוגש בחודש אוקטובר 2019. מהתסקיר עולה, כי הנאשם נרתם לתוכנית טיפולית במסגרת מרכז היום, ולכן שירות המבחן ביקש דחיה כדי לבחון אפשרות זו. </w:t>
      </w:r>
    </w:p>
    <w:p w14:paraId="1548994C" w14:textId="77777777" w:rsidR="00C76072" w:rsidRDefault="00C76072" w:rsidP="00C76072">
      <w:pPr>
        <w:spacing w:line="360" w:lineRule="auto"/>
        <w:jc w:val="both"/>
        <w:rPr>
          <w:rFonts w:ascii="Arial" w:hAnsi="Arial" w:cs="FrankRuehl"/>
          <w:sz w:val="28"/>
          <w:szCs w:val="28"/>
          <w:rtl/>
        </w:rPr>
      </w:pPr>
    </w:p>
    <w:p w14:paraId="1D2DA2B9" w14:textId="77777777" w:rsidR="00C76072" w:rsidRDefault="00C76072" w:rsidP="00C76072">
      <w:pPr>
        <w:spacing w:line="360" w:lineRule="auto"/>
        <w:jc w:val="both"/>
        <w:rPr>
          <w:rFonts w:ascii="Arial" w:hAnsi="Arial" w:cs="FrankRuehl"/>
          <w:sz w:val="28"/>
          <w:szCs w:val="28"/>
          <w:rtl/>
        </w:rPr>
      </w:pPr>
      <w:r>
        <w:rPr>
          <w:rFonts w:ascii="Arial" w:hAnsi="Arial" w:cs="FrankRuehl" w:hint="cs"/>
          <w:sz w:val="28"/>
          <w:szCs w:val="28"/>
          <w:rtl/>
        </w:rPr>
        <w:t>בחודש פברואר 2020 הוגש תסקיר שלישי. השירות תיאר את השתלבותו של הנאשם במרכז היום "בית חוסן" במקביל לחידוש עבודתו עם ילדים. השירות ביקש דחיה נוספת.</w:t>
      </w:r>
    </w:p>
    <w:p w14:paraId="7AC849D4" w14:textId="77777777" w:rsidR="00C76072" w:rsidRDefault="00C76072" w:rsidP="00C76072">
      <w:pPr>
        <w:spacing w:line="360" w:lineRule="auto"/>
        <w:jc w:val="both"/>
        <w:rPr>
          <w:rFonts w:ascii="Arial" w:hAnsi="Arial" w:cs="FrankRuehl"/>
          <w:sz w:val="28"/>
          <w:szCs w:val="28"/>
          <w:rtl/>
        </w:rPr>
      </w:pPr>
    </w:p>
    <w:p w14:paraId="70C533D0" w14:textId="77777777" w:rsidR="00C76072" w:rsidRDefault="00C76072" w:rsidP="00C76072">
      <w:pPr>
        <w:spacing w:line="360" w:lineRule="auto"/>
        <w:jc w:val="both"/>
        <w:rPr>
          <w:rFonts w:ascii="Arial" w:hAnsi="Arial" w:cs="FrankRuehl"/>
          <w:sz w:val="28"/>
          <w:szCs w:val="28"/>
          <w:rtl/>
        </w:rPr>
      </w:pPr>
      <w:r>
        <w:rPr>
          <w:rFonts w:ascii="Arial" w:hAnsi="Arial" w:cs="FrankRuehl" w:hint="cs"/>
          <w:sz w:val="28"/>
          <w:szCs w:val="28"/>
          <w:rtl/>
        </w:rPr>
        <w:lastRenderedPageBreak/>
        <w:t>התסקיר האחרון מחודש יולי 2020 מגלה, כי הטיפול במרכז היום "בית חוסן" היה חיובי עבור הנאשם, שהתמיד בו למרות קשיים ואינטנסיביות הטיפול. גם בעת משבר "קורונה" התמיד הנאשם בטיפול, והוא צפוי לסיים את השלב הנוכחי בחודש אוגוסט. לאחר מכן צפוי הנאשם להמשיך את הטיפול במסגרת קבוצת בוגרים במקביל לטיפול פרטני. שירות המבחן סבר, כי הגיעה העת לגזור את דינו של הנאשם. השירות מעריך, כי הנאשם מחויב לתהליך הטיפולי הממושך, תוך שהוא נמנע משימוש בחומרים אסורים ונמנע ממעורבות בחברה שולית. לכן המליץ שירות המבחן על הטלת צו מבחן כדי להבטיח את המשך הפיקוח על הנאשם במסגרת הטיפולית, וזאת לצד עונש מוחשי בדמות של"ץ בהיקף 200 שעות. שירות המבחן סבר, כי יש מקום לבטל את ההרשעה נוכח חששותיו הכנים של הנאשם מהשלכות ההרשעה על עתידו, וכן לנוכח הדרך השיקומית הארוכה והחיובית שעשה.</w:t>
      </w:r>
    </w:p>
    <w:p w14:paraId="58619EAF" w14:textId="77777777" w:rsidR="00C76072" w:rsidRDefault="00C76072" w:rsidP="00C76072">
      <w:pPr>
        <w:spacing w:line="360" w:lineRule="auto"/>
        <w:jc w:val="both"/>
        <w:rPr>
          <w:rFonts w:ascii="Arial" w:hAnsi="Arial" w:cs="FrankRuehl"/>
          <w:sz w:val="28"/>
          <w:szCs w:val="28"/>
          <w:rtl/>
        </w:rPr>
      </w:pPr>
    </w:p>
    <w:p w14:paraId="34117D9C" w14:textId="77777777" w:rsidR="00C76072" w:rsidRPr="006A1F12" w:rsidRDefault="00C76072" w:rsidP="00C76072">
      <w:pPr>
        <w:spacing w:line="360" w:lineRule="auto"/>
        <w:jc w:val="both"/>
        <w:rPr>
          <w:rFonts w:ascii="Arial" w:hAnsi="Arial" w:cs="FrankRuehl"/>
          <w:b/>
          <w:bCs/>
          <w:sz w:val="28"/>
          <w:szCs w:val="28"/>
          <w:u w:val="single"/>
          <w:rtl/>
        </w:rPr>
      </w:pPr>
      <w:r w:rsidRPr="006A1F12">
        <w:rPr>
          <w:rFonts w:ascii="Arial" w:hAnsi="Arial" w:cs="FrankRuehl" w:hint="cs"/>
          <w:b/>
          <w:bCs/>
          <w:sz w:val="28"/>
          <w:szCs w:val="28"/>
          <w:u w:val="single"/>
          <w:rtl/>
        </w:rPr>
        <w:t>טיעונים לעונש</w:t>
      </w:r>
    </w:p>
    <w:p w14:paraId="1E0CA1F1" w14:textId="77777777" w:rsidR="00C76072" w:rsidRDefault="00C76072" w:rsidP="00C76072">
      <w:pPr>
        <w:spacing w:line="360" w:lineRule="auto"/>
        <w:jc w:val="both"/>
        <w:rPr>
          <w:rFonts w:ascii="Arial" w:hAnsi="Arial" w:cs="FrankRuehl"/>
          <w:sz w:val="28"/>
          <w:szCs w:val="28"/>
          <w:rtl/>
        </w:rPr>
      </w:pPr>
      <w:r>
        <w:rPr>
          <w:rFonts w:ascii="Arial" w:hAnsi="Arial" w:cs="FrankRuehl" w:hint="cs"/>
          <w:sz w:val="28"/>
          <w:szCs w:val="28"/>
          <w:rtl/>
        </w:rPr>
        <w:t>המאשימה לקחה בחשבון את חומרת העבירות מחד ואת נסיבותיו של הנאשם ושיקומו מאידך, ועתרה לענישה שיכולה להיות מרוצה בעבודות שירות.</w:t>
      </w:r>
    </w:p>
    <w:p w14:paraId="65AD4CFA" w14:textId="77777777" w:rsidR="00C76072" w:rsidRDefault="00C76072" w:rsidP="00C76072">
      <w:pPr>
        <w:spacing w:line="360" w:lineRule="auto"/>
        <w:jc w:val="both"/>
        <w:rPr>
          <w:rFonts w:ascii="Arial" w:hAnsi="Arial" w:cs="FrankRuehl"/>
          <w:sz w:val="28"/>
          <w:szCs w:val="28"/>
          <w:rtl/>
        </w:rPr>
      </w:pPr>
      <w:r>
        <w:rPr>
          <w:rFonts w:ascii="Arial" w:hAnsi="Arial" w:cs="FrankRuehl" w:hint="cs"/>
          <w:sz w:val="28"/>
          <w:szCs w:val="28"/>
          <w:rtl/>
        </w:rPr>
        <w:t>הסניגור ביקש להיעתר להמלצת שירות המבחן מהטעמים שציין השירות.</w:t>
      </w:r>
    </w:p>
    <w:p w14:paraId="446EF607" w14:textId="77777777" w:rsidR="00C76072" w:rsidRDefault="00C76072" w:rsidP="00C76072">
      <w:pPr>
        <w:spacing w:line="360" w:lineRule="auto"/>
        <w:jc w:val="both"/>
        <w:rPr>
          <w:rFonts w:ascii="Arial" w:hAnsi="Arial" w:cs="FrankRuehl"/>
          <w:sz w:val="28"/>
          <w:szCs w:val="28"/>
          <w:rtl/>
        </w:rPr>
      </w:pPr>
      <w:r>
        <w:rPr>
          <w:rFonts w:ascii="Arial" w:hAnsi="Arial" w:cs="FrankRuehl" w:hint="cs"/>
          <w:sz w:val="28"/>
          <w:szCs w:val="28"/>
          <w:rtl/>
        </w:rPr>
        <w:t xml:space="preserve">הנאשם עצמו, דיבר בהרחבה על התהליך שעבר, וכן הוגשו אסמכתאות לגבי השכלתו ומכתבי המלצה הקשורים בעבודתו כגנן. </w:t>
      </w:r>
    </w:p>
    <w:p w14:paraId="6FE130E6" w14:textId="77777777" w:rsidR="00C76072" w:rsidRDefault="00C76072" w:rsidP="00C76072">
      <w:pPr>
        <w:spacing w:line="360" w:lineRule="auto"/>
        <w:jc w:val="both"/>
        <w:rPr>
          <w:rFonts w:ascii="Arial" w:hAnsi="Arial" w:cs="FrankRuehl"/>
          <w:sz w:val="28"/>
          <w:szCs w:val="28"/>
          <w:rtl/>
        </w:rPr>
      </w:pPr>
    </w:p>
    <w:p w14:paraId="2D1DD6E6" w14:textId="77777777" w:rsidR="00C76072" w:rsidRDefault="00C76072" w:rsidP="00C76072">
      <w:pPr>
        <w:spacing w:line="360" w:lineRule="auto"/>
        <w:jc w:val="both"/>
        <w:rPr>
          <w:rFonts w:ascii="Arial" w:hAnsi="Arial" w:cs="FrankRuehl"/>
          <w:sz w:val="28"/>
          <w:szCs w:val="28"/>
          <w:rtl/>
        </w:rPr>
      </w:pPr>
      <w:r w:rsidRPr="00C95B02">
        <w:rPr>
          <w:rFonts w:ascii="Arial" w:hAnsi="Arial" w:cs="FrankRuehl" w:hint="cs"/>
          <w:b/>
          <w:bCs/>
          <w:sz w:val="28"/>
          <w:szCs w:val="28"/>
          <w:u w:val="single"/>
          <w:rtl/>
        </w:rPr>
        <w:t>אשר לערך המוגן</w:t>
      </w:r>
      <w:r>
        <w:rPr>
          <w:rFonts w:ascii="Arial" w:hAnsi="Arial" w:cs="FrankRuehl" w:hint="cs"/>
          <w:sz w:val="28"/>
          <w:szCs w:val="28"/>
          <w:rtl/>
        </w:rPr>
        <w:t xml:space="preserve"> </w:t>
      </w:r>
      <w:r>
        <w:rPr>
          <w:rFonts w:ascii="Arial" w:hAnsi="Arial" w:cs="FrankRuehl"/>
          <w:sz w:val="28"/>
          <w:szCs w:val="28"/>
          <w:rtl/>
        </w:rPr>
        <w:t>–</w:t>
      </w:r>
      <w:r>
        <w:rPr>
          <w:rFonts w:ascii="Arial" w:hAnsi="Arial" w:cs="FrankRuehl" w:hint="cs"/>
          <w:sz w:val="28"/>
          <w:szCs w:val="28"/>
          <w:rtl/>
        </w:rPr>
        <w:t xml:space="preserve"> עבירות סמים פוגעות בכלל הציבור </w:t>
      </w:r>
      <w:r>
        <w:rPr>
          <w:rFonts w:ascii="Arial" w:hAnsi="Arial" w:cs="FrankRuehl"/>
          <w:sz w:val="28"/>
          <w:szCs w:val="28"/>
          <w:rtl/>
        </w:rPr>
        <w:t>–</w:t>
      </w:r>
      <w:r>
        <w:rPr>
          <w:rFonts w:ascii="Arial" w:hAnsi="Arial" w:cs="FrankRuehl" w:hint="cs"/>
          <w:sz w:val="28"/>
          <w:szCs w:val="28"/>
          <w:rtl/>
        </w:rPr>
        <w:t xml:space="preserve"> הן במשתמשים והן בכלל האוכלוסייה </w:t>
      </w:r>
      <w:r>
        <w:rPr>
          <w:rFonts w:ascii="Arial" w:hAnsi="Arial" w:cs="FrankRuehl"/>
          <w:sz w:val="28"/>
          <w:szCs w:val="28"/>
          <w:rtl/>
        </w:rPr>
        <w:t>–</w:t>
      </w:r>
      <w:r>
        <w:rPr>
          <w:rFonts w:ascii="Arial" w:hAnsi="Arial" w:cs="FrankRuehl" w:hint="cs"/>
          <w:sz w:val="28"/>
          <w:szCs w:val="28"/>
          <w:rtl/>
        </w:rPr>
        <w:t xml:space="preserve"> הן בבריאות והן בביטחון הציבור. בעניינו, נוכח סוג הסמים וכמותם, מידת הפגיעה בערך המוגן בינונית נמוכה.</w:t>
      </w:r>
    </w:p>
    <w:p w14:paraId="6CCA0C65" w14:textId="77777777" w:rsidR="00C76072" w:rsidRDefault="00C76072" w:rsidP="00C76072">
      <w:pPr>
        <w:spacing w:line="360" w:lineRule="auto"/>
        <w:jc w:val="both"/>
        <w:rPr>
          <w:rFonts w:ascii="Arial" w:hAnsi="Arial" w:cs="FrankRuehl"/>
          <w:sz w:val="28"/>
          <w:szCs w:val="28"/>
          <w:rtl/>
        </w:rPr>
      </w:pPr>
    </w:p>
    <w:p w14:paraId="1E4A6C8A" w14:textId="77777777" w:rsidR="00C76072" w:rsidRDefault="00C76072" w:rsidP="00C76072">
      <w:pPr>
        <w:spacing w:line="360" w:lineRule="auto"/>
        <w:jc w:val="both"/>
        <w:rPr>
          <w:rFonts w:ascii="Arial" w:hAnsi="Arial" w:cs="FrankRuehl"/>
          <w:sz w:val="28"/>
          <w:szCs w:val="28"/>
          <w:rtl/>
        </w:rPr>
      </w:pPr>
      <w:r w:rsidRPr="00C95B02">
        <w:rPr>
          <w:rFonts w:ascii="Arial" w:hAnsi="Arial" w:cs="FrankRuehl" w:hint="cs"/>
          <w:b/>
          <w:bCs/>
          <w:sz w:val="28"/>
          <w:szCs w:val="28"/>
          <w:u w:val="single"/>
          <w:rtl/>
        </w:rPr>
        <w:t>אשר לנסיבות הקשורות בביצוע העבירות</w:t>
      </w:r>
      <w:r>
        <w:rPr>
          <w:rFonts w:ascii="Arial" w:hAnsi="Arial" w:cs="FrankRuehl" w:hint="cs"/>
          <w:sz w:val="28"/>
          <w:szCs w:val="28"/>
          <w:rtl/>
        </w:rPr>
        <w:t xml:space="preserve"> </w:t>
      </w:r>
      <w:r>
        <w:rPr>
          <w:rFonts w:ascii="Arial" w:hAnsi="Arial" w:cs="FrankRuehl"/>
          <w:sz w:val="28"/>
          <w:szCs w:val="28"/>
          <w:rtl/>
        </w:rPr>
        <w:t>–</w:t>
      </w:r>
      <w:r>
        <w:rPr>
          <w:rFonts w:ascii="Arial" w:hAnsi="Arial" w:cs="FrankRuehl" w:hint="cs"/>
          <w:sz w:val="28"/>
          <w:szCs w:val="28"/>
          <w:rtl/>
        </w:rPr>
        <w:t xml:space="preserve"> מדובר בעבירות מתוכננות גם אם לא מתוחכמות. יש חומרה בעצם הניסיון לייבא סם לשטחי המדינה. הנסיבות מלמדות על שימוש עצמי הגם שהכמויות חורגות מכך. טיב הסמים אינו ברף חומרה גבוה. הנזק הוא בעיקר לנאשם והנזק הפוטנציאלי משימוש בסמים מסוג זה, אם הם נופלים לידיים הלא נכונות, עלול להיות רב.</w:t>
      </w:r>
    </w:p>
    <w:p w14:paraId="2832A8B3" w14:textId="77777777" w:rsidR="00C76072" w:rsidRDefault="00C76072" w:rsidP="00C76072">
      <w:pPr>
        <w:spacing w:line="360" w:lineRule="auto"/>
        <w:jc w:val="both"/>
        <w:rPr>
          <w:rFonts w:ascii="Arial" w:hAnsi="Arial" w:cs="FrankRuehl"/>
          <w:sz w:val="28"/>
          <w:szCs w:val="28"/>
          <w:rtl/>
        </w:rPr>
      </w:pPr>
    </w:p>
    <w:p w14:paraId="3A7EA834" w14:textId="77777777" w:rsidR="00C76072" w:rsidRDefault="00C76072" w:rsidP="00C76072">
      <w:pPr>
        <w:spacing w:line="360" w:lineRule="auto"/>
        <w:jc w:val="both"/>
        <w:rPr>
          <w:rFonts w:ascii="Arial" w:hAnsi="Arial" w:cs="FrankRuehl"/>
          <w:sz w:val="28"/>
          <w:szCs w:val="28"/>
          <w:rtl/>
        </w:rPr>
      </w:pPr>
      <w:r w:rsidRPr="00C95B02">
        <w:rPr>
          <w:rFonts w:ascii="Arial" w:hAnsi="Arial" w:cs="FrankRuehl" w:hint="cs"/>
          <w:b/>
          <w:bCs/>
          <w:sz w:val="28"/>
          <w:szCs w:val="28"/>
          <w:u w:val="single"/>
          <w:rtl/>
        </w:rPr>
        <w:t>אשר למדיניות הענישה הנוהגת</w:t>
      </w:r>
      <w:r>
        <w:rPr>
          <w:rFonts w:ascii="Arial" w:hAnsi="Arial" w:cs="FrankRuehl" w:hint="cs"/>
          <w:sz w:val="28"/>
          <w:szCs w:val="28"/>
          <w:rtl/>
        </w:rPr>
        <w:t xml:space="preserve"> </w:t>
      </w:r>
      <w:r>
        <w:rPr>
          <w:rFonts w:ascii="Arial" w:hAnsi="Arial" w:cs="FrankRuehl"/>
          <w:sz w:val="28"/>
          <w:szCs w:val="28"/>
          <w:rtl/>
        </w:rPr>
        <w:t>–</w:t>
      </w:r>
      <w:r>
        <w:rPr>
          <w:rFonts w:ascii="Arial" w:hAnsi="Arial" w:cs="FrankRuehl" w:hint="cs"/>
          <w:sz w:val="28"/>
          <w:szCs w:val="28"/>
          <w:rtl/>
        </w:rPr>
        <w:t xml:space="preserve"> הכלל בעבירות יבוא סם והחזקה שלא לצריכה עצמית הוא מאסר. כך למשל, </w:t>
      </w:r>
      <w:hyperlink r:id="rId23" w:history="1">
        <w:r w:rsidR="00CA6A81" w:rsidRPr="00CA6A81">
          <w:rPr>
            <w:rFonts w:ascii="Arial" w:hAnsi="Arial" w:cs="FrankRuehl"/>
            <w:color w:val="0000FF"/>
            <w:sz w:val="28"/>
            <w:szCs w:val="28"/>
            <w:u w:val="single"/>
            <w:rtl/>
          </w:rPr>
          <w:t xml:space="preserve">ברע"פ 7675/1 </w:t>
        </w:r>
      </w:hyperlink>
      <w:r>
        <w:rPr>
          <w:rFonts w:ascii="Arial" w:hAnsi="Arial" w:cs="FrankRuehl" w:hint="cs"/>
          <w:sz w:val="28"/>
          <w:szCs w:val="28"/>
          <w:rtl/>
        </w:rPr>
        <w:t xml:space="preserve"> </w:t>
      </w:r>
      <w:r w:rsidRPr="00C95B02">
        <w:rPr>
          <w:rFonts w:ascii="Arial" w:hAnsi="Arial" w:cs="FrankRuehl" w:hint="cs"/>
          <w:b/>
          <w:bCs/>
          <w:sz w:val="28"/>
          <w:szCs w:val="28"/>
          <w:u w:val="single"/>
          <w:rtl/>
        </w:rPr>
        <w:t>סעאפין</w:t>
      </w:r>
      <w:r>
        <w:rPr>
          <w:rFonts w:ascii="Arial" w:hAnsi="Arial" w:cs="FrankRuehl" w:hint="cs"/>
          <w:sz w:val="28"/>
          <w:szCs w:val="28"/>
          <w:rtl/>
        </w:rPr>
        <w:t xml:space="preserve"> נ' </w:t>
      </w:r>
      <w:r w:rsidRPr="00C95B02">
        <w:rPr>
          <w:rFonts w:ascii="Arial" w:hAnsi="Arial" w:cs="FrankRuehl" w:hint="cs"/>
          <w:b/>
          <w:bCs/>
          <w:sz w:val="28"/>
          <w:szCs w:val="28"/>
          <w:u w:val="single"/>
          <w:rtl/>
        </w:rPr>
        <w:t>מ"י</w:t>
      </w:r>
      <w:r>
        <w:rPr>
          <w:rFonts w:ascii="Arial" w:hAnsi="Arial" w:cs="FrankRuehl" w:hint="cs"/>
          <w:sz w:val="28"/>
          <w:szCs w:val="28"/>
          <w:rtl/>
        </w:rPr>
        <w:t xml:space="preserve"> (מיום 26.1.2014) נקבע מתחם שבין 8 ל-24 חודשי מאסר ונאשם נדון ל-11 חודשי מאסר. עם זאת שם דובר בנסיבות חמורות הרבה יותר ובכמויות גדולות יותר של קנביס והחזקת כדורי </w:t>
      </w:r>
      <w:r>
        <w:rPr>
          <w:rFonts w:ascii="Arial" w:hAnsi="Arial" w:cs="FrankRuehl" w:hint="cs"/>
          <w:sz w:val="28"/>
          <w:szCs w:val="28"/>
        </w:rPr>
        <w:t>MDMA</w:t>
      </w:r>
      <w:r>
        <w:rPr>
          <w:rFonts w:ascii="Arial" w:hAnsi="Arial" w:cs="FrankRuehl" w:hint="cs"/>
          <w:sz w:val="28"/>
          <w:szCs w:val="28"/>
          <w:rtl/>
        </w:rPr>
        <w:t>. לצד זאת ניתן להפנות למקרים שהסתיימו אצלי במאסר מותנה ושל"ץ בהיקפים שונים בנסיבות חמורות יותר. מפנה ל</w:t>
      </w:r>
      <w:hyperlink r:id="rId24" w:history="1">
        <w:r w:rsidR="00CA6A81" w:rsidRPr="00CA6A81">
          <w:rPr>
            <w:rStyle w:val="Hyperlink"/>
            <w:rFonts w:ascii="Arial" w:hAnsi="Arial" w:cs="FrankRuehl" w:hint="eastAsia"/>
            <w:sz w:val="28"/>
            <w:szCs w:val="28"/>
            <w:rtl/>
          </w:rPr>
          <w:t>ת</w:t>
        </w:r>
        <w:r w:rsidR="00CA6A81" w:rsidRPr="00CA6A81">
          <w:rPr>
            <w:rStyle w:val="Hyperlink"/>
            <w:rFonts w:ascii="Arial" w:hAnsi="Arial" w:cs="FrankRuehl"/>
            <w:sz w:val="28"/>
            <w:szCs w:val="28"/>
            <w:rtl/>
          </w:rPr>
          <w:t xml:space="preserve">"פ 1393-07-18 </w:t>
        </w:r>
      </w:hyperlink>
      <w:r>
        <w:rPr>
          <w:rFonts w:ascii="Arial" w:hAnsi="Arial" w:cs="FrankRuehl" w:hint="cs"/>
          <w:sz w:val="28"/>
          <w:szCs w:val="28"/>
          <w:rtl/>
        </w:rPr>
        <w:t xml:space="preserve"> </w:t>
      </w:r>
      <w:r w:rsidRPr="00C95B02">
        <w:rPr>
          <w:rFonts w:ascii="Arial" w:hAnsi="Arial" w:cs="FrankRuehl" w:hint="cs"/>
          <w:b/>
          <w:bCs/>
          <w:sz w:val="28"/>
          <w:szCs w:val="28"/>
          <w:u w:val="single"/>
          <w:rtl/>
        </w:rPr>
        <w:t>מ"י</w:t>
      </w:r>
      <w:r>
        <w:rPr>
          <w:rFonts w:ascii="Arial" w:hAnsi="Arial" w:cs="FrankRuehl" w:hint="cs"/>
          <w:sz w:val="28"/>
          <w:szCs w:val="28"/>
          <w:rtl/>
        </w:rPr>
        <w:t xml:space="preserve"> נ' </w:t>
      </w:r>
      <w:r w:rsidRPr="00C95B02">
        <w:rPr>
          <w:rFonts w:ascii="Arial" w:hAnsi="Arial" w:cs="FrankRuehl" w:hint="cs"/>
          <w:b/>
          <w:bCs/>
          <w:sz w:val="28"/>
          <w:szCs w:val="28"/>
          <w:u w:val="single"/>
          <w:rtl/>
        </w:rPr>
        <w:t>פורת</w:t>
      </w:r>
      <w:r>
        <w:rPr>
          <w:rFonts w:ascii="Arial" w:hAnsi="Arial" w:cs="FrankRuehl" w:hint="cs"/>
          <w:sz w:val="28"/>
          <w:szCs w:val="28"/>
          <w:rtl/>
        </w:rPr>
        <w:t xml:space="preserve"> (מיום 27.10.2019) וכן ל</w:t>
      </w:r>
      <w:hyperlink r:id="rId25" w:history="1">
        <w:r w:rsidR="00471A9B" w:rsidRPr="00471A9B">
          <w:rPr>
            <w:rFonts w:ascii="Arial" w:hAnsi="Arial" w:cs="FrankRuehl"/>
            <w:color w:val="0000FF"/>
            <w:sz w:val="28"/>
            <w:szCs w:val="28"/>
            <w:u w:val="single"/>
            <w:rtl/>
          </w:rPr>
          <w:t>ת"פ 15744-01-19</w:t>
        </w:r>
      </w:hyperlink>
      <w:r>
        <w:rPr>
          <w:rFonts w:ascii="Arial" w:hAnsi="Arial" w:cs="FrankRuehl" w:hint="cs"/>
          <w:sz w:val="28"/>
          <w:szCs w:val="28"/>
          <w:rtl/>
        </w:rPr>
        <w:t xml:space="preserve"> </w:t>
      </w:r>
      <w:r w:rsidRPr="00C95B02">
        <w:rPr>
          <w:rFonts w:ascii="Arial" w:hAnsi="Arial" w:cs="FrankRuehl" w:hint="cs"/>
          <w:b/>
          <w:bCs/>
          <w:sz w:val="28"/>
          <w:szCs w:val="28"/>
          <w:u w:val="single"/>
          <w:rtl/>
        </w:rPr>
        <w:t>מ"י</w:t>
      </w:r>
      <w:r>
        <w:rPr>
          <w:rFonts w:ascii="Arial" w:hAnsi="Arial" w:cs="FrankRuehl" w:hint="cs"/>
          <w:sz w:val="28"/>
          <w:szCs w:val="28"/>
          <w:rtl/>
        </w:rPr>
        <w:t xml:space="preserve"> נ' </w:t>
      </w:r>
      <w:r w:rsidRPr="00C95B02">
        <w:rPr>
          <w:rFonts w:ascii="Arial" w:hAnsi="Arial" w:cs="FrankRuehl" w:hint="cs"/>
          <w:b/>
          <w:bCs/>
          <w:sz w:val="28"/>
          <w:szCs w:val="28"/>
          <w:u w:val="single"/>
          <w:rtl/>
        </w:rPr>
        <w:t>עואודה</w:t>
      </w:r>
      <w:r>
        <w:rPr>
          <w:rFonts w:ascii="Arial" w:hAnsi="Arial" w:cs="FrankRuehl" w:hint="cs"/>
          <w:sz w:val="28"/>
          <w:szCs w:val="28"/>
          <w:rtl/>
        </w:rPr>
        <w:t xml:space="preserve"> (מיום 18.11.2019).</w:t>
      </w:r>
    </w:p>
    <w:p w14:paraId="2807B02E" w14:textId="77777777" w:rsidR="00C76072" w:rsidRDefault="00C76072" w:rsidP="00C76072">
      <w:pPr>
        <w:spacing w:line="360" w:lineRule="auto"/>
        <w:jc w:val="both"/>
        <w:rPr>
          <w:rFonts w:cs="FrankRuehl"/>
          <w:sz w:val="28"/>
          <w:szCs w:val="28"/>
          <w:rtl/>
        </w:rPr>
      </w:pPr>
    </w:p>
    <w:p w14:paraId="49FE8DA8" w14:textId="77777777" w:rsidR="00C76072" w:rsidRPr="00D064BF" w:rsidRDefault="00C76072" w:rsidP="00C76072">
      <w:pPr>
        <w:spacing w:line="360" w:lineRule="auto"/>
        <w:jc w:val="both"/>
        <w:rPr>
          <w:rFonts w:cs="FrankRuehl"/>
          <w:sz w:val="28"/>
          <w:szCs w:val="28"/>
          <w:rtl/>
        </w:rPr>
      </w:pPr>
      <w:r w:rsidRPr="00C95B02">
        <w:rPr>
          <w:rFonts w:cs="FrankRuehl" w:hint="cs"/>
          <w:b/>
          <w:bCs/>
          <w:sz w:val="28"/>
          <w:szCs w:val="28"/>
          <w:u w:val="single"/>
          <w:rtl/>
        </w:rPr>
        <w:t>מתחם הענישה</w:t>
      </w:r>
      <w:r>
        <w:rPr>
          <w:rFonts w:cs="FrankRuehl" w:hint="cs"/>
          <w:sz w:val="28"/>
          <w:szCs w:val="28"/>
          <w:rtl/>
        </w:rPr>
        <w:t xml:space="preserve"> </w:t>
      </w:r>
      <w:r>
        <w:rPr>
          <w:rFonts w:cs="FrankRuehl"/>
          <w:sz w:val="28"/>
          <w:szCs w:val="28"/>
          <w:rtl/>
        </w:rPr>
        <w:t>–</w:t>
      </w:r>
      <w:r>
        <w:rPr>
          <w:rFonts w:cs="FrankRuehl" w:hint="cs"/>
          <w:sz w:val="28"/>
          <w:szCs w:val="28"/>
          <w:rtl/>
        </w:rPr>
        <w:t xml:space="preserve"> לכן מתחם הענישה צריך לנוע בין מאסר על-תנאי ושל"ץ נרחב ועד ל-8 חודשי מאסר בפועל. אך מובן, כי מדובר ב"אירוע אחד" שכן מדובר באותה מסכת עובדתית. </w:t>
      </w:r>
    </w:p>
    <w:p w14:paraId="458D41AB" w14:textId="77777777" w:rsidR="00C76072" w:rsidRDefault="00C76072" w:rsidP="00C76072">
      <w:pPr>
        <w:spacing w:line="360" w:lineRule="auto"/>
        <w:jc w:val="both"/>
        <w:rPr>
          <w:rFonts w:cs="FrankRuehl"/>
          <w:sz w:val="28"/>
          <w:szCs w:val="28"/>
          <w:rtl/>
        </w:rPr>
      </w:pPr>
    </w:p>
    <w:p w14:paraId="571D1C94" w14:textId="77777777" w:rsidR="00C76072" w:rsidRDefault="00C76072" w:rsidP="00C76072">
      <w:pPr>
        <w:spacing w:line="360" w:lineRule="auto"/>
        <w:jc w:val="both"/>
        <w:rPr>
          <w:rFonts w:cs="FrankRuehl"/>
          <w:sz w:val="28"/>
          <w:szCs w:val="28"/>
          <w:rtl/>
        </w:rPr>
      </w:pPr>
      <w:r w:rsidRPr="00C95B02">
        <w:rPr>
          <w:rFonts w:cs="FrankRuehl" w:hint="cs"/>
          <w:b/>
          <w:bCs/>
          <w:sz w:val="28"/>
          <w:szCs w:val="28"/>
          <w:u w:val="single"/>
          <w:rtl/>
        </w:rPr>
        <w:t>אשר לנסיבות שאינן קשורות בביצוע העבירה</w:t>
      </w:r>
      <w:r>
        <w:rPr>
          <w:rFonts w:cs="FrankRuehl" w:hint="cs"/>
          <w:sz w:val="28"/>
          <w:szCs w:val="28"/>
          <w:rtl/>
        </w:rPr>
        <w:t xml:space="preserve"> </w:t>
      </w:r>
      <w:r>
        <w:rPr>
          <w:rFonts w:cs="FrankRuehl"/>
          <w:sz w:val="28"/>
          <w:szCs w:val="28"/>
          <w:rtl/>
        </w:rPr>
        <w:t>–</w:t>
      </w:r>
      <w:r>
        <w:rPr>
          <w:rFonts w:cs="FrankRuehl" w:hint="cs"/>
          <w:sz w:val="28"/>
          <w:szCs w:val="28"/>
          <w:rtl/>
        </w:rPr>
        <w:t xml:space="preserve"> מדובר בנאשם שהוא איש חינוך, ללא עבר פלילי. הנאשם עבר תהליך טיפולי ושיקומי מרשים מאוד, וגם מדבריו לפניי, יכולתי להתרשם מעומק נטילת האחריות, מעומק ההכאה על חטא, אך גם מעומק ההשלמה עם טעויות שביצע ועם הדרכים הנכונות לתקנן לעתיד לבוא. נדמה, כי לפניי ניצב איש חדש, שהגם שספג מכה וחווה משבר עמוק, ידע להתייחס לאירועים אלו כאל אתגר שיש לצלוח אותו, וכך עשה וממשיך לעשות, ויש לקוות שימשיך לעשות כן בהצלחה. הרושם המתקבל הוא שמדובר באדם שהחינוך והרצון לתת לזולת מושרש בתוכו ושופע ממנו, ויש לכך משמעות רבה בעיניי. בחירתו של הנאשם בתחום החינוך והעשייה מכל הלב שלו בתחום, היא נכס שאסור לזלזל בו ואין לפגוע בו. רבות נכתב במכתבים שהוגשו לי במסגרת הראיות לעונש, על "החיוך" של הנאשם. ואכן יש לנאשם חיוך כובש שנובע מהאור הפנימי שלו, שמקרין גם על הילדים שעל חינוכם הוא עמל בהצלחה. זוהי מתת שאין לחסר מהנאשם ומהציבור בכללותו. המלצת שירות המבחן הולמת את מכלול הנסיבות ונראה ששליחתו של הנאשם לעונש מלבד של"ץ יגדע את התהליך שהנאשם מהלך בו בהצלחה. לקחתי בחשבון גם את חלוף הזמן.</w:t>
      </w:r>
    </w:p>
    <w:p w14:paraId="12DE4358" w14:textId="77777777" w:rsidR="00C76072" w:rsidRDefault="00C76072" w:rsidP="00C76072">
      <w:pPr>
        <w:spacing w:line="360" w:lineRule="auto"/>
        <w:jc w:val="both"/>
        <w:rPr>
          <w:rFonts w:cs="FrankRuehl"/>
          <w:sz w:val="28"/>
          <w:szCs w:val="28"/>
          <w:rtl/>
        </w:rPr>
      </w:pPr>
    </w:p>
    <w:p w14:paraId="73CA37D2" w14:textId="77777777" w:rsidR="00C76072" w:rsidRDefault="00C76072" w:rsidP="00C76072">
      <w:pPr>
        <w:spacing w:line="360" w:lineRule="auto"/>
        <w:jc w:val="both"/>
        <w:rPr>
          <w:rFonts w:cs="FrankRuehl"/>
          <w:sz w:val="28"/>
          <w:szCs w:val="28"/>
          <w:rtl/>
        </w:rPr>
      </w:pPr>
      <w:r w:rsidRPr="00C95B02">
        <w:rPr>
          <w:rFonts w:cs="FrankRuehl" w:hint="cs"/>
          <w:b/>
          <w:bCs/>
          <w:sz w:val="28"/>
          <w:szCs w:val="28"/>
          <w:u w:val="single"/>
          <w:rtl/>
        </w:rPr>
        <w:t>אשר לשאלת ביטול ההרשעה</w:t>
      </w:r>
      <w:r>
        <w:rPr>
          <w:rFonts w:cs="FrankRuehl" w:hint="cs"/>
          <w:sz w:val="28"/>
          <w:szCs w:val="28"/>
          <w:rtl/>
        </w:rPr>
        <w:t xml:space="preserve"> </w:t>
      </w:r>
      <w:r>
        <w:rPr>
          <w:rFonts w:cs="FrankRuehl"/>
          <w:sz w:val="28"/>
          <w:szCs w:val="28"/>
          <w:rtl/>
        </w:rPr>
        <w:t>–</w:t>
      </w:r>
      <w:r>
        <w:rPr>
          <w:rFonts w:cs="FrankRuehl" w:hint="cs"/>
          <w:sz w:val="28"/>
          <w:szCs w:val="28"/>
          <w:rtl/>
        </w:rPr>
        <w:t xml:space="preserve"> לרוב, עבירות של סחר בסמים מחייבות הרשעה, ואכן אלו הם הדברים העולים מ</w:t>
      </w:r>
      <w:hyperlink r:id="rId26" w:history="1">
        <w:r w:rsidR="00471A9B" w:rsidRPr="00471A9B">
          <w:rPr>
            <w:rFonts w:cs="FrankRuehl"/>
            <w:color w:val="0000FF"/>
            <w:sz w:val="28"/>
            <w:szCs w:val="28"/>
            <w:u w:val="single"/>
            <w:rtl/>
          </w:rPr>
          <w:t>רע"פ 1183/18</w:t>
        </w:r>
      </w:hyperlink>
      <w:r>
        <w:rPr>
          <w:rFonts w:cs="FrankRuehl" w:hint="cs"/>
          <w:sz w:val="28"/>
          <w:szCs w:val="28"/>
          <w:rtl/>
        </w:rPr>
        <w:t xml:space="preserve"> </w:t>
      </w:r>
      <w:r w:rsidRPr="005C0710">
        <w:rPr>
          <w:rFonts w:cs="FrankRuehl" w:hint="cs"/>
          <w:b/>
          <w:bCs/>
          <w:sz w:val="28"/>
          <w:szCs w:val="28"/>
          <w:u w:val="single"/>
          <w:rtl/>
        </w:rPr>
        <w:t>דולב ששון</w:t>
      </w:r>
      <w:r>
        <w:rPr>
          <w:rFonts w:cs="FrankRuehl" w:hint="cs"/>
          <w:sz w:val="28"/>
          <w:szCs w:val="28"/>
          <w:rtl/>
        </w:rPr>
        <w:t xml:space="preserve"> נ' </w:t>
      </w:r>
      <w:r w:rsidRPr="005C0710">
        <w:rPr>
          <w:rFonts w:cs="FrankRuehl" w:hint="cs"/>
          <w:b/>
          <w:bCs/>
          <w:sz w:val="28"/>
          <w:szCs w:val="28"/>
          <w:u w:val="single"/>
          <w:rtl/>
        </w:rPr>
        <w:t>מ"י</w:t>
      </w:r>
      <w:r>
        <w:rPr>
          <w:rFonts w:cs="FrankRuehl" w:hint="cs"/>
          <w:sz w:val="28"/>
          <w:szCs w:val="28"/>
          <w:rtl/>
        </w:rPr>
        <w:t xml:space="preserve"> (מיום 21.3.2018).  אלא שמכלול הנסיבות מצביע כאן על ניסיון ייבוא סם לצריכה עצמית וגם על החזקת סם להחזקה עצמית. נכון הוא, שעצם הייבוא הוא בעייתי מבחינת חומרת המעשה. ואולם, כיום עבירות רבות שבעבר היו קשות לביצוע הפכו פשוטות ואף נחשבות "טריוויאליות" בשל נגישותן במרחב הוירטואלי. אין בכך למעט מחומרתן, אך יש בכך להסביר את זמינותן ותפוצתן. כאמור, בעת שבית המשפט שוקל ביטול הרשעה עליו להביא בחשבון את טיב העבירה ואת הנזק שייגרם מעצם ההרשעה. בעניינו, טיב העבירה בנסיבותיה מאפשר את ביטול ההרשעה. אשר לתנאי השני </w:t>
      </w:r>
      <w:r>
        <w:rPr>
          <w:rFonts w:cs="FrankRuehl"/>
          <w:sz w:val="28"/>
          <w:szCs w:val="28"/>
          <w:rtl/>
        </w:rPr>
        <w:t>–</w:t>
      </w:r>
      <w:r>
        <w:rPr>
          <w:rFonts w:cs="FrankRuehl" w:hint="cs"/>
          <w:sz w:val="28"/>
          <w:szCs w:val="28"/>
          <w:rtl/>
        </w:rPr>
        <w:t xml:space="preserve"> הצטברות הנתונים יחדיו מלמד, שאדם העוסק בחינוך וכל יהבו הוא לשמש מחנך, ייפגע באופן קרוב לוודאי מהותרת הרשעתו על כנה. לדעתי, נדבך משמעותי בשיקומו של הנאשם, כפי שהוא עצמו ציין, וכפי שגם עמד על כך שירות המבחן, הוא יכולתו להמשיך ולעסוק בתחום החינוך. זהו רכיב המהווה חלק מזהותו העצמית של הנאשם.  הנאשם הוכיח כי השתקם והוכיח הבנה עמוקה לפסול שבמעשים, ולדעתי, אם תיוותר ההרשעה על כנה, הדבר עלול במידת ודאות גבוהה, לסכל את המשך עיסוקו בתחום זה של הוראה וחינוך.  לכן מצאתי לבטל ההרשעה. </w:t>
      </w:r>
    </w:p>
    <w:p w14:paraId="2FCC5D9D" w14:textId="77777777" w:rsidR="00C76072" w:rsidRDefault="00C76072" w:rsidP="00C76072">
      <w:pPr>
        <w:spacing w:line="360" w:lineRule="auto"/>
        <w:jc w:val="both"/>
        <w:rPr>
          <w:rFonts w:cs="FrankRuehl"/>
          <w:sz w:val="28"/>
          <w:szCs w:val="28"/>
          <w:rtl/>
        </w:rPr>
      </w:pPr>
    </w:p>
    <w:p w14:paraId="4E302048" w14:textId="77777777" w:rsidR="00C76072" w:rsidRPr="005C0710" w:rsidRDefault="00C76072" w:rsidP="00C76072">
      <w:pPr>
        <w:spacing w:line="360" w:lineRule="auto"/>
        <w:jc w:val="both"/>
        <w:rPr>
          <w:rFonts w:cs="FrankRuehl"/>
          <w:b/>
          <w:bCs/>
          <w:sz w:val="28"/>
          <w:szCs w:val="28"/>
          <w:u w:val="single"/>
          <w:rtl/>
        </w:rPr>
      </w:pPr>
      <w:r w:rsidRPr="005C0710">
        <w:rPr>
          <w:rFonts w:cs="FrankRuehl" w:hint="cs"/>
          <w:b/>
          <w:bCs/>
          <w:sz w:val="28"/>
          <w:szCs w:val="28"/>
          <w:u w:val="single"/>
          <w:rtl/>
        </w:rPr>
        <w:t>גזירת הדין</w:t>
      </w:r>
    </w:p>
    <w:p w14:paraId="2753589A" w14:textId="77777777" w:rsidR="00C76072" w:rsidRDefault="00C76072" w:rsidP="00C76072">
      <w:pPr>
        <w:spacing w:line="360" w:lineRule="auto"/>
        <w:jc w:val="both"/>
        <w:rPr>
          <w:rFonts w:cs="FrankRuehl"/>
          <w:sz w:val="28"/>
          <w:szCs w:val="28"/>
          <w:rtl/>
        </w:rPr>
      </w:pPr>
      <w:r>
        <w:rPr>
          <w:rFonts w:cs="FrankRuehl" w:hint="cs"/>
          <w:sz w:val="28"/>
          <w:szCs w:val="28"/>
          <w:rtl/>
        </w:rPr>
        <w:t>מכל הטעמים שמניתי יש למקם את הנאשם בחלק התחתון של המתחם, אך להלום זאת ברכיבה ענישה נוספים ומשמעותיים יותר. לכן, אני מטיל על הנאשם את העונשים הבאים:</w:t>
      </w:r>
    </w:p>
    <w:p w14:paraId="437ADBBE" w14:textId="77777777" w:rsidR="00C76072" w:rsidRDefault="00C76072" w:rsidP="00C76072">
      <w:pPr>
        <w:spacing w:line="360" w:lineRule="auto"/>
        <w:jc w:val="both"/>
        <w:rPr>
          <w:rFonts w:cs="FrankRuehl"/>
          <w:sz w:val="28"/>
          <w:szCs w:val="28"/>
          <w:rtl/>
        </w:rPr>
      </w:pPr>
    </w:p>
    <w:p w14:paraId="5B4CF305" w14:textId="77777777" w:rsidR="00C76072" w:rsidRDefault="00C76072" w:rsidP="00C76072">
      <w:pPr>
        <w:spacing w:line="360" w:lineRule="auto"/>
        <w:jc w:val="both"/>
        <w:rPr>
          <w:rFonts w:cs="FrankRuehl"/>
          <w:sz w:val="28"/>
          <w:szCs w:val="28"/>
          <w:rtl/>
        </w:rPr>
      </w:pPr>
    </w:p>
    <w:p w14:paraId="3213EF58" w14:textId="77777777" w:rsidR="00C76072" w:rsidRDefault="00C76072" w:rsidP="00C76072">
      <w:pPr>
        <w:spacing w:line="360" w:lineRule="auto"/>
        <w:ind w:left="720" w:hanging="720"/>
        <w:jc w:val="both"/>
        <w:rPr>
          <w:rFonts w:cs="FrankRuehl"/>
          <w:sz w:val="28"/>
          <w:szCs w:val="28"/>
          <w:rtl/>
        </w:rPr>
      </w:pPr>
      <w:r>
        <w:rPr>
          <w:rFonts w:cs="FrankRuehl" w:hint="cs"/>
          <w:sz w:val="28"/>
          <w:szCs w:val="28"/>
          <w:rtl/>
        </w:rPr>
        <w:t>א.</w:t>
      </w:r>
      <w:r>
        <w:rPr>
          <w:rFonts w:cs="FrankRuehl" w:hint="cs"/>
          <w:sz w:val="28"/>
          <w:szCs w:val="28"/>
          <w:rtl/>
        </w:rPr>
        <w:tab/>
        <w:t>של"ץ בהיקף 450 שעות לפי תוכנית שיכין שירות המבחן ויגישה לבית המשפט בתוך 30 יום מהיום. ריצוי השל"ץ לא יחל לפני יום 10.9.2020.</w:t>
      </w:r>
    </w:p>
    <w:p w14:paraId="41D1C55B" w14:textId="77777777" w:rsidR="00C76072" w:rsidRDefault="00C76072" w:rsidP="00C76072">
      <w:pPr>
        <w:spacing w:line="360" w:lineRule="auto"/>
        <w:ind w:left="720" w:hanging="720"/>
        <w:jc w:val="both"/>
        <w:rPr>
          <w:rFonts w:cs="FrankRuehl"/>
          <w:sz w:val="28"/>
          <w:szCs w:val="28"/>
          <w:rtl/>
        </w:rPr>
      </w:pPr>
      <w:r>
        <w:rPr>
          <w:rFonts w:cs="FrankRuehl" w:hint="cs"/>
          <w:sz w:val="28"/>
          <w:szCs w:val="28"/>
          <w:rtl/>
        </w:rPr>
        <w:t>ב.</w:t>
      </w:r>
      <w:r>
        <w:rPr>
          <w:rFonts w:cs="FrankRuehl" w:hint="cs"/>
          <w:sz w:val="28"/>
          <w:szCs w:val="28"/>
          <w:rtl/>
        </w:rPr>
        <w:tab/>
        <w:t xml:space="preserve">צו מבחן למשך 18 חודשים מהיום. </w:t>
      </w:r>
    </w:p>
    <w:p w14:paraId="278D0B5A" w14:textId="77777777" w:rsidR="00C76072" w:rsidRDefault="00C76072" w:rsidP="00C76072">
      <w:pPr>
        <w:spacing w:line="360" w:lineRule="auto"/>
        <w:jc w:val="both"/>
        <w:rPr>
          <w:rFonts w:cs="FrankRuehl"/>
          <w:sz w:val="28"/>
          <w:szCs w:val="28"/>
          <w:rtl/>
        </w:rPr>
      </w:pPr>
      <w:r>
        <w:rPr>
          <w:rFonts w:cs="FrankRuehl" w:hint="cs"/>
          <w:sz w:val="28"/>
          <w:szCs w:val="28"/>
          <w:rtl/>
        </w:rPr>
        <w:t>הובהר לנאשם כי עליו לבצע את צו השל"ץ במלואו וע"פ דרישות שירות המבחן, ולעמוד בכל דרישות השירות במסגרת צו המבחן, שאחרת ניתן יהיה לפתוח מחדש את שאלת ביטול ההרשעה ואף לשקול הטלת מאסר בפועל. הנאשם הבין והתחייב.</w:t>
      </w:r>
    </w:p>
    <w:p w14:paraId="68F9469F" w14:textId="77777777" w:rsidR="00C76072" w:rsidRDefault="00C76072" w:rsidP="00C76072">
      <w:pPr>
        <w:spacing w:line="360" w:lineRule="auto"/>
        <w:ind w:left="720" w:hanging="720"/>
        <w:jc w:val="both"/>
        <w:rPr>
          <w:rFonts w:cs="FrankRuehl"/>
          <w:sz w:val="28"/>
          <w:szCs w:val="28"/>
          <w:rtl/>
        </w:rPr>
      </w:pPr>
      <w:r>
        <w:rPr>
          <w:rFonts w:cs="FrankRuehl" w:hint="cs"/>
          <w:sz w:val="28"/>
          <w:szCs w:val="28"/>
          <w:rtl/>
        </w:rPr>
        <w:t>ג.</w:t>
      </w:r>
      <w:r>
        <w:rPr>
          <w:rFonts w:cs="FrankRuehl" w:hint="cs"/>
          <w:sz w:val="28"/>
          <w:szCs w:val="28"/>
          <w:rtl/>
        </w:rPr>
        <w:tab/>
        <w:t>פיצוי בסך 4,000 ₪ לעמותת אל-סם. הפיצוי ישולם עד ליום 1.1.2021 ואם לא ישולם במועד, יהא נתון להליכי אכיפה וגבייה.</w:t>
      </w:r>
    </w:p>
    <w:p w14:paraId="3E17342D" w14:textId="77777777" w:rsidR="00C76072" w:rsidRDefault="00C76072" w:rsidP="00C76072">
      <w:pPr>
        <w:spacing w:line="360" w:lineRule="auto"/>
        <w:jc w:val="both"/>
        <w:rPr>
          <w:rFonts w:cs="FrankRuehl"/>
          <w:sz w:val="28"/>
          <w:szCs w:val="28"/>
          <w:rtl/>
        </w:rPr>
      </w:pPr>
      <w:r>
        <w:rPr>
          <w:rFonts w:cs="FrankRuehl" w:hint="cs"/>
          <w:sz w:val="28"/>
          <w:szCs w:val="28"/>
          <w:rtl/>
        </w:rPr>
        <w:t>ד.</w:t>
      </w:r>
      <w:r>
        <w:rPr>
          <w:rFonts w:cs="FrankRuehl" w:hint="cs"/>
          <w:sz w:val="28"/>
          <w:szCs w:val="28"/>
          <w:rtl/>
        </w:rPr>
        <w:tab/>
        <w:t xml:space="preserve">התחייבות בסך 10,000 ₪ שלא לעבור כל עבירה לפי פקודת הסמים במשך שנתיים מהיום. </w:t>
      </w:r>
    </w:p>
    <w:p w14:paraId="1B398A33" w14:textId="77777777" w:rsidR="00C76072" w:rsidRPr="00D064BF" w:rsidRDefault="00C76072" w:rsidP="00C76072">
      <w:pPr>
        <w:spacing w:line="360" w:lineRule="auto"/>
        <w:jc w:val="both"/>
        <w:rPr>
          <w:rFonts w:cs="FrankRuehl"/>
          <w:sz w:val="28"/>
          <w:szCs w:val="28"/>
          <w:rtl/>
        </w:rPr>
      </w:pPr>
    </w:p>
    <w:p w14:paraId="097796EE" w14:textId="77777777" w:rsidR="00C76072" w:rsidRDefault="00C76072" w:rsidP="00C76072">
      <w:pPr>
        <w:spacing w:line="360" w:lineRule="auto"/>
        <w:jc w:val="both"/>
        <w:rPr>
          <w:rFonts w:cs="FrankRuehl"/>
          <w:sz w:val="28"/>
          <w:szCs w:val="28"/>
          <w:rtl/>
        </w:rPr>
      </w:pPr>
      <w:r w:rsidRPr="005C0710">
        <w:rPr>
          <w:rFonts w:cs="FrankRuehl" w:hint="cs"/>
          <w:sz w:val="28"/>
          <w:szCs w:val="28"/>
          <w:rtl/>
        </w:rPr>
        <w:t>יש להשמיד הסמים</w:t>
      </w:r>
      <w:r>
        <w:rPr>
          <w:rFonts w:cs="FrankRuehl" w:hint="cs"/>
          <w:sz w:val="28"/>
          <w:szCs w:val="28"/>
          <w:rtl/>
        </w:rPr>
        <w:t xml:space="preserve"> והטלפון</w:t>
      </w:r>
      <w:r w:rsidRPr="005C0710">
        <w:rPr>
          <w:rFonts w:cs="FrankRuehl" w:hint="cs"/>
          <w:sz w:val="28"/>
          <w:szCs w:val="28"/>
          <w:rtl/>
        </w:rPr>
        <w:t xml:space="preserve">. </w:t>
      </w:r>
    </w:p>
    <w:p w14:paraId="4BE5D81D" w14:textId="77777777" w:rsidR="00C76072" w:rsidRPr="005C0710" w:rsidRDefault="00C76072" w:rsidP="00C76072">
      <w:pPr>
        <w:spacing w:line="360" w:lineRule="auto"/>
        <w:jc w:val="both"/>
        <w:rPr>
          <w:rFonts w:cs="FrankRuehl"/>
          <w:sz w:val="28"/>
          <w:szCs w:val="28"/>
          <w:rtl/>
        </w:rPr>
      </w:pPr>
    </w:p>
    <w:p w14:paraId="4BA0BE74" w14:textId="77777777" w:rsidR="00C76072" w:rsidRPr="005C0710" w:rsidRDefault="00C76072" w:rsidP="00C76072">
      <w:pPr>
        <w:rPr>
          <w:rFonts w:cs="FrankRuehl"/>
          <w:sz w:val="28"/>
          <w:szCs w:val="28"/>
          <w:rtl/>
        </w:rPr>
      </w:pPr>
      <w:r w:rsidRPr="005C0710">
        <w:rPr>
          <w:rFonts w:cs="FrankRuehl" w:hint="cs"/>
          <w:sz w:val="28"/>
          <w:szCs w:val="28"/>
          <w:rtl/>
        </w:rPr>
        <w:t>יש לשלוח לשירות המבחן.</w:t>
      </w:r>
    </w:p>
    <w:p w14:paraId="70B753E3" w14:textId="77777777" w:rsidR="00C76072" w:rsidRPr="005C0710" w:rsidRDefault="00C76072" w:rsidP="00C76072">
      <w:pPr>
        <w:rPr>
          <w:rFonts w:cs="FrankRuehl"/>
          <w:sz w:val="28"/>
          <w:szCs w:val="28"/>
          <w:rtl/>
        </w:rPr>
      </w:pPr>
    </w:p>
    <w:p w14:paraId="441A0CF2" w14:textId="77777777" w:rsidR="00C76072" w:rsidRPr="005C0710" w:rsidRDefault="00C76072" w:rsidP="00C76072">
      <w:pPr>
        <w:rPr>
          <w:rFonts w:cs="FrankRuehl"/>
          <w:sz w:val="28"/>
          <w:szCs w:val="28"/>
          <w:rtl/>
        </w:rPr>
      </w:pPr>
      <w:r w:rsidRPr="005C0710">
        <w:rPr>
          <w:rFonts w:cs="FrankRuehl" w:hint="cs"/>
          <w:sz w:val="28"/>
          <w:szCs w:val="28"/>
          <w:rtl/>
        </w:rPr>
        <w:t>זכות ערעור כחוק.</w:t>
      </w:r>
    </w:p>
    <w:p w14:paraId="366F85E4" w14:textId="77777777" w:rsidR="00C76072" w:rsidRPr="00471A9B" w:rsidRDefault="00471A9B" w:rsidP="00C76072">
      <w:pPr>
        <w:rPr>
          <w:color w:val="FFFFFF"/>
          <w:sz w:val="2"/>
          <w:szCs w:val="2"/>
          <w:rtl/>
        </w:rPr>
      </w:pPr>
      <w:r w:rsidRPr="00471A9B">
        <w:rPr>
          <w:color w:val="FFFFFF"/>
          <w:sz w:val="2"/>
          <w:szCs w:val="2"/>
          <w:rtl/>
        </w:rPr>
        <w:t>5129371</w:t>
      </w:r>
    </w:p>
    <w:p w14:paraId="6F705DD5" w14:textId="77777777" w:rsidR="00C76072" w:rsidRPr="006A1F12" w:rsidRDefault="00471A9B" w:rsidP="00C76072">
      <w:pPr>
        <w:rPr>
          <w:rFonts w:cs="FrankRuehl"/>
          <w:sz w:val="28"/>
          <w:szCs w:val="28"/>
          <w:rtl/>
        </w:rPr>
      </w:pPr>
      <w:bookmarkStart w:id="8" w:name="Nitan"/>
      <w:r w:rsidRPr="00471A9B">
        <w:rPr>
          <w:rFonts w:ascii="Arial" w:hAnsi="Arial"/>
          <w:color w:val="FFFFFF"/>
          <w:sz w:val="2"/>
          <w:szCs w:val="2"/>
          <w:rtl/>
        </w:rPr>
        <w:t>54678313</w:t>
      </w:r>
      <w:r>
        <w:rPr>
          <w:rFonts w:ascii="Arial" w:hAnsi="Arial"/>
          <w:rtl/>
        </w:rPr>
        <w:t xml:space="preserve">ניתן היום,  י"ד תמוז תש"פ, 06 יולי 2020, במעמד הצדדים. </w:t>
      </w:r>
      <w:bookmarkEnd w:id="8"/>
    </w:p>
    <w:p w14:paraId="44CCA4B2" w14:textId="77777777" w:rsidR="00C76072" w:rsidRDefault="00C76072" w:rsidP="00471A9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9D7254A" w14:textId="77777777" w:rsidR="00C76072" w:rsidRDefault="00C76072" w:rsidP="00C76072">
      <w:pPr>
        <w:jc w:val="center"/>
        <w:rPr>
          <w:rFonts w:ascii="Arial" w:hAnsi="Arial" w:cs="FrankRuehl"/>
          <w:sz w:val="28"/>
          <w:szCs w:val="28"/>
          <w:rtl/>
        </w:rPr>
      </w:pPr>
    </w:p>
    <w:p w14:paraId="4DBE85E9" w14:textId="77777777" w:rsidR="00C76072" w:rsidRDefault="00C76072" w:rsidP="00C76072">
      <w:pPr>
        <w:rPr>
          <w:rFonts w:cs="FrankRuehl"/>
          <w:sz w:val="28"/>
          <w:szCs w:val="28"/>
          <w:rtl/>
        </w:rPr>
      </w:pPr>
    </w:p>
    <w:p w14:paraId="21242991" w14:textId="77777777" w:rsidR="00C76072" w:rsidRDefault="00C76072" w:rsidP="00C76072">
      <w:pPr>
        <w:pStyle w:val="a3"/>
        <w:jc w:val="center"/>
        <w:rPr>
          <w:rtl/>
        </w:rPr>
      </w:pPr>
    </w:p>
    <w:p w14:paraId="035B6510" w14:textId="77777777" w:rsidR="0027580B" w:rsidRPr="00471A9B" w:rsidRDefault="0027580B" w:rsidP="00471A9B">
      <w:pPr>
        <w:keepNext/>
        <w:rPr>
          <w:rFonts w:ascii="David" w:hAnsi="David"/>
          <w:color w:val="000000"/>
          <w:sz w:val="22"/>
          <w:szCs w:val="22"/>
          <w:rtl/>
        </w:rPr>
      </w:pPr>
    </w:p>
    <w:p w14:paraId="6440D1EE" w14:textId="77777777" w:rsidR="00471A9B" w:rsidRPr="00471A9B" w:rsidRDefault="00471A9B" w:rsidP="00471A9B">
      <w:pPr>
        <w:keepNext/>
        <w:rPr>
          <w:rFonts w:ascii="David" w:hAnsi="David"/>
          <w:color w:val="000000"/>
          <w:sz w:val="22"/>
          <w:szCs w:val="22"/>
          <w:rtl/>
        </w:rPr>
      </w:pPr>
      <w:r w:rsidRPr="00471A9B">
        <w:rPr>
          <w:rFonts w:ascii="David" w:hAnsi="David"/>
          <w:color w:val="000000"/>
          <w:sz w:val="22"/>
          <w:szCs w:val="22"/>
          <w:rtl/>
        </w:rPr>
        <w:t>דוד שאול גבאי ריכטר 54678313</w:t>
      </w:r>
    </w:p>
    <w:p w14:paraId="25C27D5E" w14:textId="77777777" w:rsidR="00471A9B" w:rsidRDefault="00471A9B" w:rsidP="00471A9B">
      <w:r w:rsidRPr="00471A9B">
        <w:rPr>
          <w:color w:val="000000"/>
          <w:rtl/>
        </w:rPr>
        <w:t>נוסח מסמך זה כפוף לשינויי ניסוח ועריכה</w:t>
      </w:r>
    </w:p>
    <w:p w14:paraId="315033D3" w14:textId="77777777" w:rsidR="00471A9B" w:rsidRDefault="00471A9B" w:rsidP="00471A9B">
      <w:pPr>
        <w:rPr>
          <w:rtl/>
        </w:rPr>
      </w:pPr>
    </w:p>
    <w:p w14:paraId="6CE0F3BA" w14:textId="77777777" w:rsidR="00471A9B" w:rsidRDefault="00471A9B" w:rsidP="00471A9B">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0CF30AC1" w14:textId="77777777" w:rsidR="00471A9B" w:rsidRPr="00471A9B" w:rsidRDefault="00471A9B" w:rsidP="00471A9B">
      <w:pPr>
        <w:jc w:val="center"/>
        <w:rPr>
          <w:color w:val="0000FF"/>
          <w:u w:val="single"/>
        </w:rPr>
      </w:pPr>
    </w:p>
    <w:sectPr w:rsidR="00471A9B" w:rsidRPr="00471A9B" w:rsidSect="00471A9B">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63AB8" w14:textId="77777777" w:rsidR="00212B04" w:rsidRDefault="00212B04" w:rsidP="00BD73DA">
      <w:r>
        <w:separator/>
      </w:r>
    </w:p>
  </w:endnote>
  <w:endnote w:type="continuationSeparator" w:id="0">
    <w:p w14:paraId="63DB2B7B" w14:textId="77777777" w:rsidR="00212B04" w:rsidRDefault="00212B04" w:rsidP="00BD7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6D04E" w14:textId="77777777" w:rsidR="00471A9B" w:rsidRDefault="00471A9B" w:rsidP="00471A9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9723572" w14:textId="77777777" w:rsidR="00391FA1" w:rsidRPr="00471A9B" w:rsidRDefault="00471A9B" w:rsidP="00471A9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FE369" w14:textId="77777777" w:rsidR="00471A9B" w:rsidRDefault="00471A9B" w:rsidP="00471A9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61063">
      <w:rPr>
        <w:rFonts w:ascii="FrankRuehl" w:hAnsi="FrankRuehl" w:cs="FrankRuehl"/>
        <w:noProof/>
        <w:rtl/>
      </w:rPr>
      <w:t>1</w:t>
    </w:r>
    <w:r>
      <w:rPr>
        <w:rFonts w:ascii="FrankRuehl" w:hAnsi="FrankRuehl" w:cs="FrankRuehl"/>
        <w:rtl/>
      </w:rPr>
      <w:fldChar w:fldCharType="end"/>
    </w:r>
  </w:p>
  <w:p w14:paraId="6973F049" w14:textId="77777777" w:rsidR="00391FA1" w:rsidRPr="00471A9B" w:rsidRDefault="00471A9B" w:rsidP="00471A9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41E5E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3C5919" w14:textId="77777777" w:rsidR="00212B04" w:rsidRDefault="00212B04" w:rsidP="00BD73DA">
      <w:r>
        <w:separator/>
      </w:r>
    </w:p>
  </w:footnote>
  <w:footnote w:type="continuationSeparator" w:id="0">
    <w:p w14:paraId="27824C8C" w14:textId="77777777" w:rsidR="00212B04" w:rsidRDefault="00212B04" w:rsidP="00BD7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3E839" w14:textId="77777777" w:rsidR="00471A9B" w:rsidRPr="00471A9B" w:rsidRDefault="00471A9B" w:rsidP="00471A9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2908-05-17</w:t>
    </w:r>
    <w:r>
      <w:rPr>
        <w:rFonts w:ascii="David" w:hAnsi="David"/>
        <w:color w:val="000000"/>
        <w:sz w:val="22"/>
        <w:szCs w:val="22"/>
        <w:rtl/>
      </w:rPr>
      <w:tab/>
      <w:t xml:space="preserve"> מדינת ישראל נ' ידידאל גולדברך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B11B3" w14:textId="77777777" w:rsidR="00471A9B" w:rsidRPr="00471A9B" w:rsidRDefault="00471A9B" w:rsidP="00471A9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2908-05-17</w:t>
    </w:r>
    <w:r>
      <w:rPr>
        <w:rFonts w:ascii="David" w:hAnsi="David"/>
        <w:color w:val="000000"/>
        <w:sz w:val="22"/>
        <w:szCs w:val="22"/>
        <w:rtl/>
      </w:rPr>
      <w:tab/>
      <w:t xml:space="preserve"> מדינת ישראל נ' ידידאל גולדברך</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76072"/>
    <w:rsid w:val="000337AF"/>
    <w:rsid w:val="00212B04"/>
    <w:rsid w:val="0027580B"/>
    <w:rsid w:val="0030563E"/>
    <w:rsid w:val="00391FA1"/>
    <w:rsid w:val="00471A9B"/>
    <w:rsid w:val="00761063"/>
    <w:rsid w:val="007F6625"/>
    <w:rsid w:val="00AC2BBF"/>
    <w:rsid w:val="00AE5A4E"/>
    <w:rsid w:val="00BD73DA"/>
    <w:rsid w:val="00C501AB"/>
    <w:rsid w:val="00C76072"/>
    <w:rsid w:val="00CA6A81"/>
    <w:rsid w:val="00D525F6"/>
    <w:rsid w:val="00D801E5"/>
    <w:rsid w:val="00E423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A1D102"/>
  <w15:chartTrackingRefBased/>
  <w15:docId w15:val="{82155707-6BC4-4884-9767-03F140D99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7607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76072"/>
    <w:pPr>
      <w:tabs>
        <w:tab w:val="center" w:pos="4153"/>
        <w:tab w:val="right" w:pos="8306"/>
      </w:tabs>
    </w:pPr>
  </w:style>
  <w:style w:type="character" w:customStyle="1" w:styleId="a4">
    <w:name w:val="כותרת עליונה תו"/>
    <w:link w:val="a3"/>
    <w:rsid w:val="00C76072"/>
    <w:rPr>
      <w:rFonts w:ascii="Times New Roman" w:eastAsia="Times New Roman" w:hAnsi="Times New Roman" w:cs="David"/>
      <w:sz w:val="24"/>
      <w:szCs w:val="24"/>
    </w:rPr>
  </w:style>
  <w:style w:type="paragraph" w:styleId="a5">
    <w:name w:val="footer"/>
    <w:basedOn w:val="a"/>
    <w:link w:val="a6"/>
    <w:rsid w:val="00C76072"/>
    <w:pPr>
      <w:tabs>
        <w:tab w:val="center" w:pos="4153"/>
        <w:tab w:val="right" w:pos="8306"/>
      </w:tabs>
    </w:pPr>
  </w:style>
  <w:style w:type="character" w:customStyle="1" w:styleId="a6">
    <w:name w:val="כותרת תחתונה תו"/>
    <w:link w:val="a5"/>
    <w:rsid w:val="00C76072"/>
    <w:rPr>
      <w:rFonts w:ascii="Times New Roman" w:eastAsia="Times New Roman" w:hAnsi="Times New Roman" w:cs="David"/>
      <w:sz w:val="24"/>
      <w:szCs w:val="24"/>
    </w:rPr>
  </w:style>
  <w:style w:type="table" w:styleId="a7">
    <w:name w:val="Table Grid"/>
    <w:basedOn w:val="a1"/>
    <w:rsid w:val="00C7607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76072"/>
  </w:style>
  <w:style w:type="character" w:styleId="Hyperlink">
    <w:name w:val="Hyperlink"/>
    <w:rsid w:val="00471A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5"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3748897" TargetMode="External"/><Relationship Id="rId3" Type="http://schemas.openxmlformats.org/officeDocument/2006/relationships/webSettings" Target="webSettings.xml"/><Relationship Id="rId21" Type="http://schemas.openxmlformats.org/officeDocument/2006/relationships/hyperlink" Target="http://www.nevo.co.il/law/4216/7.a"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25" TargetMode="External"/><Relationship Id="rId25" Type="http://schemas.openxmlformats.org/officeDocument/2006/relationships/hyperlink" Target="http://www.nevo.co.il/case/25297221"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law/4216/7.c"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case/22582473%09"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24347809%09"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4216/19a" TargetMode="External"/><Relationship Id="rId23" Type="http://schemas.openxmlformats.org/officeDocument/2006/relationships/hyperlink" Target="http://www.nevo.co.il/case/10459111" TargetMode="External"/><Relationship Id="rId28" Type="http://schemas.openxmlformats.org/officeDocument/2006/relationships/header" Target="header1.xml"/><Relationship Id="rId10" Type="http://schemas.openxmlformats.org/officeDocument/2006/relationships/hyperlink" Target="http://www.nevo.co.il/law/4216/13" TargetMode="External"/><Relationship Id="rId19" Type="http://schemas.openxmlformats.org/officeDocument/2006/relationships/hyperlink" Target="http://www.nevo.co.il/law/4216/7.a"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4216/7.c"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1484</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8887</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3407995</vt:i4>
      </vt:variant>
      <vt:variant>
        <vt:i4>60</vt:i4>
      </vt:variant>
      <vt:variant>
        <vt:i4>0</vt:i4>
      </vt:variant>
      <vt:variant>
        <vt:i4>5</vt:i4>
      </vt:variant>
      <vt:variant>
        <vt:lpwstr>http://www.nevo.co.il/case/23748897</vt:lpwstr>
      </vt:variant>
      <vt:variant>
        <vt:lpwstr/>
      </vt:variant>
      <vt:variant>
        <vt:i4>3473530</vt:i4>
      </vt:variant>
      <vt:variant>
        <vt:i4>57</vt:i4>
      </vt:variant>
      <vt:variant>
        <vt:i4>0</vt:i4>
      </vt:variant>
      <vt:variant>
        <vt:i4>5</vt:i4>
      </vt:variant>
      <vt:variant>
        <vt:lpwstr>http://www.nevo.co.il/case/25297221</vt:lpwstr>
      </vt:variant>
      <vt:variant>
        <vt:lpwstr/>
      </vt:variant>
      <vt:variant>
        <vt:i4>3539068</vt:i4>
      </vt:variant>
      <vt:variant>
        <vt:i4>54</vt:i4>
      </vt:variant>
      <vt:variant>
        <vt:i4>0</vt:i4>
      </vt:variant>
      <vt:variant>
        <vt:i4>5</vt:i4>
      </vt:variant>
      <vt:variant>
        <vt:lpwstr>http://www.nevo.co.il/case/24347809</vt:lpwstr>
      </vt:variant>
      <vt:variant>
        <vt:lpwstr/>
      </vt:variant>
      <vt:variant>
        <vt:i4>3997808</vt:i4>
      </vt:variant>
      <vt:variant>
        <vt:i4>51</vt:i4>
      </vt:variant>
      <vt:variant>
        <vt:i4>0</vt:i4>
      </vt:variant>
      <vt:variant>
        <vt:i4>5</vt:i4>
      </vt:variant>
      <vt:variant>
        <vt:lpwstr>http://www.nevo.co.il/case/10459111</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6291559</vt:i4>
      </vt:variant>
      <vt:variant>
        <vt:i4>33</vt:i4>
      </vt:variant>
      <vt:variant>
        <vt:i4>0</vt:i4>
      </vt:variant>
      <vt:variant>
        <vt:i4>5</vt:i4>
      </vt:variant>
      <vt:variant>
        <vt:lpwstr>http://www.nevo.co.il/law/70301/25</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6291559</vt:i4>
      </vt:variant>
      <vt:variant>
        <vt:i4>21</vt:i4>
      </vt:variant>
      <vt:variant>
        <vt:i4>0</vt:i4>
      </vt:variant>
      <vt:variant>
        <vt:i4>5</vt:i4>
      </vt:variant>
      <vt:variant>
        <vt:lpwstr>http://www.nevo.co.il/law/70301/25</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3276922</vt:i4>
      </vt:variant>
      <vt:variant>
        <vt:i4>0</vt:i4>
      </vt:variant>
      <vt:variant>
        <vt:i4>0</vt:i4>
      </vt:variant>
      <vt:variant>
        <vt:i4>5</vt:i4>
      </vt:variant>
      <vt:variant>
        <vt:lpwstr>http://www.nevo.co.il/case/22582473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2025-04-22T23:25:00Z</dcterms:created>
  <dcterms:modified xsi:type="dcterms:W3CDTF">2025-04-22T23:25:00Z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2908</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ידידאל גולדברך</vt:lpwstr>
  </property>
  <property fmtid="{D5CDD505-2E9C-101B-9397-08002B2CF9AE}" pid="10" name="LAWYER">
    <vt:lpwstr>אמיר נבון</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20200706</vt:lpwstr>
  </property>
  <property fmtid="{D5CDD505-2E9C-101B-9397-08002B2CF9AE}" pid="14" name="TYPE_N_DATE">
    <vt:lpwstr>38020200706</vt:lpwstr>
  </property>
  <property fmtid="{D5CDD505-2E9C-101B-9397-08002B2CF9AE}" pid="15" name="WORDNUMPAGES">
    <vt:lpwstr>6</vt:lpwstr>
  </property>
  <property fmtid="{D5CDD505-2E9C-101B-9397-08002B2CF9AE}" pid="16" name="TYPE_ABS_DATE">
    <vt:lpwstr>380020200706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22582473;10459111;24347809;25297221;23748897</vt:lpwstr>
  </property>
  <property fmtid="{D5CDD505-2E9C-101B-9397-08002B2CF9AE}" pid="36" name="LAWLISTTMP1">
    <vt:lpwstr>4216/013;019a;007.a:2;007.c:2</vt:lpwstr>
  </property>
  <property fmtid="{D5CDD505-2E9C-101B-9397-08002B2CF9AE}" pid="37" name="LAWLISTTMP2">
    <vt:lpwstr>70301/025</vt:lpwstr>
  </property>
</Properties>
</file>