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80095" w:rsidRPr="00162943" w14:paraId="3C71EE1A" w14:textId="77777777" w:rsidTr="00162943">
        <w:trPr>
          <w:trHeight w:hRule="exact" w:val="418"/>
          <w:jc w:val="center"/>
        </w:trPr>
        <w:tc>
          <w:tcPr>
            <w:tcW w:w="8720" w:type="dxa"/>
            <w:gridSpan w:val="3"/>
          </w:tcPr>
          <w:p w14:paraId="555BC3C3" w14:textId="77777777" w:rsidR="00C80095" w:rsidRPr="00162943" w:rsidRDefault="00C80095" w:rsidP="00162943">
            <w:pPr>
              <w:pStyle w:val="a3"/>
              <w:tabs>
                <w:tab w:val="clear" w:pos="8306"/>
              </w:tabs>
              <w:jc w:val="center"/>
              <w:rPr>
                <w:rFonts w:ascii="Tahoma" w:hAnsi="Tahoma" w:cs="Tahoma"/>
                <w:b/>
                <w:bCs/>
                <w:color w:val="000080"/>
                <w:sz w:val="20"/>
                <w:szCs w:val="20"/>
                <w:rtl/>
              </w:rPr>
            </w:pPr>
            <w:bookmarkStart w:id="0" w:name="LastJudge"/>
            <w:r w:rsidRPr="00162943">
              <w:rPr>
                <w:rFonts w:ascii="Tahoma" w:hAnsi="Tahoma" w:cs="Tahoma"/>
                <w:b/>
                <w:bCs/>
                <w:color w:val="000080"/>
                <w:sz w:val="20"/>
                <w:szCs w:val="20"/>
                <w:rtl/>
              </w:rPr>
              <w:t>בית משפט השלום בראשון לציון</w:t>
            </w:r>
          </w:p>
        </w:tc>
      </w:tr>
      <w:tr w:rsidR="00C80095" w:rsidRPr="00162943" w14:paraId="2C427E92" w14:textId="77777777" w:rsidTr="00162943">
        <w:trPr>
          <w:trHeight w:val="337"/>
          <w:jc w:val="center"/>
        </w:trPr>
        <w:tc>
          <w:tcPr>
            <w:tcW w:w="3973" w:type="dxa"/>
          </w:tcPr>
          <w:p w14:paraId="79C82240" w14:textId="77777777" w:rsidR="00C80095" w:rsidRPr="00162943" w:rsidRDefault="00C80095" w:rsidP="00162943">
            <w:pPr>
              <w:rPr>
                <w:b/>
                <w:bCs/>
                <w:sz w:val="26"/>
                <w:szCs w:val="26"/>
                <w:rtl/>
              </w:rPr>
            </w:pPr>
            <w:r w:rsidRPr="00162943">
              <w:rPr>
                <w:b/>
                <w:bCs/>
                <w:sz w:val="26"/>
                <w:szCs w:val="26"/>
                <w:rtl/>
              </w:rPr>
              <w:t>ת"פ</w:t>
            </w:r>
            <w:r w:rsidRPr="00162943">
              <w:rPr>
                <w:rFonts w:hint="cs"/>
                <w:b/>
                <w:bCs/>
                <w:sz w:val="26"/>
                <w:szCs w:val="26"/>
                <w:rtl/>
              </w:rPr>
              <w:t xml:space="preserve"> </w:t>
            </w:r>
            <w:r w:rsidRPr="00162943">
              <w:rPr>
                <w:b/>
                <w:bCs/>
                <w:sz w:val="26"/>
                <w:szCs w:val="26"/>
                <w:rtl/>
              </w:rPr>
              <w:t>62803-05-17</w:t>
            </w:r>
            <w:r w:rsidRPr="00162943">
              <w:rPr>
                <w:rFonts w:hint="cs"/>
                <w:b/>
                <w:bCs/>
                <w:sz w:val="26"/>
                <w:szCs w:val="26"/>
                <w:rtl/>
              </w:rPr>
              <w:t xml:space="preserve"> </w:t>
            </w:r>
            <w:r w:rsidRPr="00162943">
              <w:rPr>
                <w:b/>
                <w:bCs/>
                <w:sz w:val="26"/>
                <w:szCs w:val="26"/>
                <w:rtl/>
              </w:rPr>
              <w:t>מדינת ישראל נ' כרמלי(עציר)</w:t>
            </w:r>
          </w:p>
          <w:p w14:paraId="0DD6E40B" w14:textId="77777777" w:rsidR="00C80095" w:rsidRPr="00162943" w:rsidRDefault="00C80095" w:rsidP="00162943">
            <w:pPr>
              <w:rPr>
                <w:b/>
                <w:bCs/>
                <w:sz w:val="26"/>
                <w:szCs w:val="26"/>
                <w:rtl/>
              </w:rPr>
            </w:pPr>
          </w:p>
        </w:tc>
        <w:tc>
          <w:tcPr>
            <w:tcW w:w="1068" w:type="dxa"/>
          </w:tcPr>
          <w:p w14:paraId="07F737F7" w14:textId="77777777" w:rsidR="00C80095" w:rsidRPr="00162943" w:rsidRDefault="00C80095" w:rsidP="00162943">
            <w:pPr>
              <w:pStyle w:val="a3"/>
              <w:jc w:val="right"/>
              <w:rPr>
                <w:b/>
                <w:bCs/>
                <w:sz w:val="26"/>
                <w:szCs w:val="26"/>
                <w:rtl/>
              </w:rPr>
            </w:pPr>
          </w:p>
        </w:tc>
        <w:tc>
          <w:tcPr>
            <w:tcW w:w="3679" w:type="dxa"/>
          </w:tcPr>
          <w:p w14:paraId="322ABA86" w14:textId="77777777" w:rsidR="00C80095" w:rsidRPr="00162943" w:rsidRDefault="00C80095" w:rsidP="00162943">
            <w:pPr>
              <w:pStyle w:val="a3"/>
              <w:tabs>
                <w:tab w:val="clear" w:pos="4153"/>
              </w:tabs>
              <w:jc w:val="right"/>
              <w:rPr>
                <w:b/>
                <w:bCs/>
                <w:sz w:val="26"/>
                <w:szCs w:val="26"/>
                <w:rtl/>
              </w:rPr>
            </w:pPr>
            <w:r w:rsidRPr="00162943">
              <w:rPr>
                <w:b/>
                <w:bCs/>
                <w:sz w:val="26"/>
                <w:szCs w:val="26"/>
                <w:rtl/>
              </w:rPr>
              <w:t>22 אוקטובר 2017</w:t>
            </w:r>
          </w:p>
        </w:tc>
      </w:tr>
    </w:tbl>
    <w:p w14:paraId="0DFE835B" w14:textId="77777777" w:rsidR="00C80095" w:rsidRPr="00162943" w:rsidRDefault="00C80095" w:rsidP="00C80095">
      <w:pPr>
        <w:pStyle w:val="a3"/>
        <w:jc w:val="center"/>
        <w:rPr>
          <w:rFonts w:ascii="Tahoma" w:hAnsi="Tahoma" w:cs="Tahoma"/>
          <w:b/>
          <w:bCs/>
          <w:color w:val="000080"/>
          <w:sz w:val="20"/>
          <w:szCs w:val="20"/>
          <w:rtl/>
        </w:rPr>
      </w:pPr>
    </w:p>
    <w:p w14:paraId="7801E524" w14:textId="77777777" w:rsidR="00C80095" w:rsidRPr="00162943" w:rsidRDefault="00C80095" w:rsidP="00C80095">
      <w:pPr>
        <w:spacing w:line="360" w:lineRule="auto"/>
        <w:jc w:val="both"/>
        <w:rPr>
          <w:rtl/>
        </w:rPr>
      </w:pPr>
    </w:p>
    <w:tbl>
      <w:tblPr>
        <w:bidiVisual/>
        <w:tblW w:w="0" w:type="auto"/>
        <w:jc w:val="center"/>
        <w:tblLook w:val="0000" w:firstRow="0" w:lastRow="0" w:firstColumn="0" w:lastColumn="0" w:noHBand="0" w:noVBand="0"/>
      </w:tblPr>
      <w:tblGrid>
        <w:gridCol w:w="864"/>
        <w:gridCol w:w="3820"/>
        <w:gridCol w:w="3820"/>
      </w:tblGrid>
      <w:tr w:rsidR="00C80095" w:rsidRPr="00162943" w14:paraId="244AD4DF" w14:textId="77777777" w:rsidTr="00162943">
        <w:trPr>
          <w:trHeight w:val="337"/>
          <w:jc w:val="center"/>
        </w:trPr>
        <w:tc>
          <w:tcPr>
            <w:tcW w:w="864" w:type="dxa"/>
          </w:tcPr>
          <w:p w14:paraId="7BC080EC" w14:textId="77777777" w:rsidR="00C80095" w:rsidRPr="00162943" w:rsidRDefault="00C80095" w:rsidP="00162943">
            <w:pPr>
              <w:pStyle w:val="a3"/>
              <w:spacing w:line="360" w:lineRule="auto"/>
              <w:jc w:val="both"/>
              <w:rPr>
                <w:b/>
                <w:bCs/>
                <w:sz w:val="26"/>
                <w:szCs w:val="26"/>
                <w:rtl/>
              </w:rPr>
            </w:pPr>
          </w:p>
        </w:tc>
        <w:tc>
          <w:tcPr>
            <w:tcW w:w="3820" w:type="dxa"/>
          </w:tcPr>
          <w:p w14:paraId="231EDED7" w14:textId="77777777" w:rsidR="00C80095" w:rsidRPr="00162943" w:rsidRDefault="00C80095" w:rsidP="00162943">
            <w:pPr>
              <w:pStyle w:val="a3"/>
              <w:jc w:val="right"/>
              <w:rPr>
                <w:b/>
                <w:bCs/>
                <w:sz w:val="26"/>
                <w:szCs w:val="26"/>
                <w:rtl/>
              </w:rPr>
            </w:pPr>
            <w:r w:rsidRPr="00162943">
              <w:rPr>
                <w:b/>
                <w:bCs/>
                <w:sz w:val="26"/>
                <w:szCs w:val="26"/>
                <w:rtl/>
              </w:rPr>
              <w:t>54337-05-17</w:t>
            </w:r>
          </w:p>
        </w:tc>
        <w:tc>
          <w:tcPr>
            <w:tcW w:w="3820" w:type="dxa"/>
          </w:tcPr>
          <w:p w14:paraId="72579061" w14:textId="77777777" w:rsidR="00C80095" w:rsidRPr="00162943" w:rsidRDefault="00C80095" w:rsidP="00162943">
            <w:pPr>
              <w:pStyle w:val="a3"/>
              <w:jc w:val="right"/>
              <w:rPr>
                <w:b/>
                <w:bCs/>
                <w:sz w:val="26"/>
                <w:szCs w:val="26"/>
                <w:rtl/>
              </w:rPr>
            </w:pPr>
            <w:r w:rsidRPr="00162943">
              <w:rPr>
                <w:b/>
                <w:bCs/>
                <w:sz w:val="26"/>
                <w:szCs w:val="26"/>
                <w:rtl/>
              </w:rPr>
              <w:t>62826-05-17</w:t>
            </w:r>
          </w:p>
        </w:tc>
      </w:tr>
    </w:tbl>
    <w:p w14:paraId="65D53DC2" w14:textId="77777777" w:rsidR="00C80095" w:rsidRPr="00162943" w:rsidRDefault="00C80095" w:rsidP="00C80095">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162943" w:rsidRPr="00162943" w14:paraId="4FD199D9" w14:textId="77777777" w:rsidTr="00C80095">
        <w:trPr>
          <w:gridAfter w:val="1"/>
          <w:wAfter w:w="55" w:type="dxa"/>
        </w:trPr>
        <w:tc>
          <w:tcPr>
            <w:tcW w:w="8719" w:type="dxa"/>
            <w:gridSpan w:val="2"/>
            <w:shd w:val="clear" w:color="auto" w:fill="auto"/>
          </w:tcPr>
          <w:p w14:paraId="40AF3802" w14:textId="77777777" w:rsidR="00C80095" w:rsidRPr="00162943" w:rsidRDefault="00C80095" w:rsidP="00162943">
            <w:pPr>
              <w:rPr>
                <w:rFonts w:ascii="Arial" w:hAnsi="Arial"/>
                <w:sz w:val="26"/>
                <w:szCs w:val="26"/>
                <w:highlight w:val="yellow"/>
              </w:rPr>
            </w:pPr>
            <w:r w:rsidRPr="00162943">
              <w:rPr>
                <w:rFonts w:hint="cs"/>
                <w:b/>
                <w:bCs/>
                <w:sz w:val="26"/>
                <w:szCs w:val="26"/>
                <w:rtl/>
              </w:rPr>
              <w:t xml:space="preserve">בפני </w:t>
            </w:r>
            <w:r w:rsidRPr="00162943">
              <w:rPr>
                <w:rFonts w:ascii="Arial" w:hAnsi="Arial" w:hint="cs"/>
                <w:b/>
                <w:bCs/>
                <w:sz w:val="26"/>
                <w:szCs w:val="26"/>
                <w:rtl/>
              </w:rPr>
              <w:t>כב' השופטת הבכירה, שירלי דקל נוה</w:t>
            </w:r>
          </w:p>
          <w:p w14:paraId="1D047A39" w14:textId="77777777" w:rsidR="00C80095" w:rsidRPr="00162943" w:rsidRDefault="00C80095" w:rsidP="00C80095">
            <w:pPr>
              <w:spacing w:line="360" w:lineRule="auto"/>
              <w:jc w:val="both"/>
              <w:rPr>
                <w:rFonts w:ascii="Arial" w:hAnsi="Arial"/>
                <w:rtl/>
              </w:rPr>
            </w:pPr>
          </w:p>
        </w:tc>
      </w:tr>
      <w:tr w:rsidR="00162943" w:rsidRPr="00162943" w14:paraId="521B2EAD" w14:textId="77777777" w:rsidTr="00C80095">
        <w:tc>
          <w:tcPr>
            <w:tcW w:w="2880" w:type="dxa"/>
            <w:shd w:val="clear" w:color="auto" w:fill="auto"/>
          </w:tcPr>
          <w:p w14:paraId="3707FC10" w14:textId="77777777" w:rsidR="00C80095" w:rsidRPr="00162943" w:rsidRDefault="00C80095" w:rsidP="00C80095">
            <w:pPr>
              <w:ind w:left="26"/>
              <w:rPr>
                <w:b/>
                <w:bCs/>
                <w:sz w:val="26"/>
                <w:szCs w:val="26"/>
                <w:rtl/>
              </w:rPr>
            </w:pPr>
            <w:bookmarkStart w:id="1" w:name="FirstAppellant"/>
            <w:r w:rsidRPr="00162943">
              <w:rPr>
                <w:rFonts w:hint="cs"/>
                <w:b/>
                <w:bCs/>
                <w:sz w:val="26"/>
                <w:szCs w:val="26"/>
                <w:rtl/>
              </w:rPr>
              <w:t>ה</w:t>
            </w:r>
            <w:r w:rsidRPr="00162943">
              <w:rPr>
                <w:b/>
                <w:bCs/>
                <w:sz w:val="26"/>
                <w:szCs w:val="26"/>
                <w:rtl/>
              </w:rPr>
              <w:t>מאשימה</w:t>
            </w:r>
          </w:p>
        </w:tc>
        <w:tc>
          <w:tcPr>
            <w:tcW w:w="5922" w:type="dxa"/>
            <w:gridSpan w:val="2"/>
            <w:shd w:val="clear" w:color="auto" w:fill="auto"/>
          </w:tcPr>
          <w:p w14:paraId="485DD0AC" w14:textId="77777777" w:rsidR="00C80095" w:rsidRPr="00162943" w:rsidRDefault="00C80095" w:rsidP="00162943">
            <w:pPr>
              <w:rPr>
                <w:b/>
                <w:bCs/>
                <w:sz w:val="26"/>
                <w:szCs w:val="26"/>
                <w:rtl/>
              </w:rPr>
            </w:pPr>
            <w:r w:rsidRPr="00162943">
              <w:rPr>
                <w:rFonts w:hint="cs"/>
                <w:b/>
                <w:bCs/>
                <w:sz w:val="26"/>
                <w:szCs w:val="26"/>
                <w:rtl/>
              </w:rPr>
              <w:t xml:space="preserve"> </w:t>
            </w:r>
            <w:r w:rsidRPr="00162943">
              <w:rPr>
                <w:b/>
                <w:bCs/>
                <w:sz w:val="26"/>
                <w:szCs w:val="26"/>
                <w:rtl/>
              </w:rPr>
              <w:t>מדינת ישראל</w:t>
            </w:r>
          </w:p>
        </w:tc>
      </w:tr>
      <w:bookmarkEnd w:id="1"/>
      <w:tr w:rsidR="00162943" w:rsidRPr="00162943" w14:paraId="03088537" w14:textId="77777777" w:rsidTr="00C80095">
        <w:tc>
          <w:tcPr>
            <w:tcW w:w="8802" w:type="dxa"/>
            <w:gridSpan w:val="3"/>
            <w:shd w:val="clear" w:color="auto" w:fill="auto"/>
          </w:tcPr>
          <w:p w14:paraId="77DA74AB" w14:textId="77777777" w:rsidR="00C80095" w:rsidRPr="00162943" w:rsidRDefault="00C80095" w:rsidP="00C80095">
            <w:pPr>
              <w:jc w:val="both"/>
              <w:rPr>
                <w:rFonts w:ascii="Arial" w:hAnsi="Arial"/>
                <w:b/>
                <w:bCs/>
                <w:sz w:val="26"/>
                <w:szCs w:val="26"/>
                <w:rtl/>
              </w:rPr>
            </w:pPr>
          </w:p>
          <w:p w14:paraId="12BAAB73" w14:textId="77777777" w:rsidR="00C80095" w:rsidRPr="00162943" w:rsidRDefault="00C80095" w:rsidP="00C80095">
            <w:pPr>
              <w:jc w:val="center"/>
              <w:rPr>
                <w:rFonts w:ascii="Arial" w:hAnsi="Arial"/>
                <w:b/>
                <w:bCs/>
                <w:sz w:val="26"/>
                <w:szCs w:val="26"/>
                <w:rtl/>
              </w:rPr>
            </w:pPr>
            <w:r w:rsidRPr="00162943">
              <w:rPr>
                <w:rFonts w:ascii="Arial" w:hAnsi="Arial"/>
                <w:b/>
                <w:bCs/>
                <w:sz w:val="26"/>
                <w:szCs w:val="26"/>
                <w:rtl/>
              </w:rPr>
              <w:t>נגד</w:t>
            </w:r>
          </w:p>
          <w:p w14:paraId="1E5020D6" w14:textId="77777777" w:rsidR="00C80095" w:rsidRPr="00162943" w:rsidRDefault="00C80095" w:rsidP="00C80095">
            <w:pPr>
              <w:jc w:val="center"/>
              <w:rPr>
                <w:rFonts w:ascii="Arial" w:hAnsi="Arial"/>
                <w:b/>
                <w:bCs/>
                <w:sz w:val="26"/>
                <w:szCs w:val="26"/>
              </w:rPr>
            </w:pPr>
          </w:p>
        </w:tc>
      </w:tr>
      <w:tr w:rsidR="00162943" w:rsidRPr="00162943" w14:paraId="01DCD35B" w14:textId="77777777" w:rsidTr="00C80095">
        <w:tc>
          <w:tcPr>
            <w:tcW w:w="2880" w:type="dxa"/>
            <w:shd w:val="clear" w:color="auto" w:fill="auto"/>
          </w:tcPr>
          <w:p w14:paraId="78EB4FCA" w14:textId="77777777" w:rsidR="00C80095" w:rsidRPr="00162943" w:rsidRDefault="00C80095" w:rsidP="00C80095">
            <w:pPr>
              <w:ind w:left="26"/>
              <w:rPr>
                <w:b/>
                <w:bCs/>
                <w:sz w:val="26"/>
                <w:szCs w:val="26"/>
                <w:rtl/>
              </w:rPr>
            </w:pPr>
            <w:r w:rsidRPr="00162943">
              <w:rPr>
                <w:rFonts w:hint="cs"/>
                <w:b/>
                <w:bCs/>
                <w:sz w:val="26"/>
                <w:szCs w:val="26"/>
                <w:rtl/>
              </w:rPr>
              <w:t>ה</w:t>
            </w:r>
            <w:r w:rsidRPr="00162943">
              <w:rPr>
                <w:b/>
                <w:bCs/>
                <w:sz w:val="26"/>
                <w:szCs w:val="26"/>
                <w:rtl/>
              </w:rPr>
              <w:t>נאשם</w:t>
            </w:r>
          </w:p>
        </w:tc>
        <w:tc>
          <w:tcPr>
            <w:tcW w:w="5922" w:type="dxa"/>
            <w:gridSpan w:val="2"/>
            <w:shd w:val="clear" w:color="auto" w:fill="auto"/>
          </w:tcPr>
          <w:p w14:paraId="7660FD28" w14:textId="77777777" w:rsidR="00C80095" w:rsidRPr="00162943" w:rsidRDefault="00C80095" w:rsidP="00162943">
            <w:pPr>
              <w:rPr>
                <w:b/>
                <w:bCs/>
                <w:sz w:val="26"/>
                <w:szCs w:val="26"/>
                <w:rtl/>
              </w:rPr>
            </w:pPr>
            <w:r w:rsidRPr="00162943">
              <w:rPr>
                <w:b/>
                <w:bCs/>
                <w:sz w:val="26"/>
                <w:szCs w:val="26"/>
                <w:rtl/>
              </w:rPr>
              <w:t xml:space="preserve">שמעון כרמלי </w:t>
            </w:r>
          </w:p>
        </w:tc>
      </w:tr>
    </w:tbl>
    <w:p w14:paraId="0FA50C39" w14:textId="77777777" w:rsidR="00C80095" w:rsidRPr="00162943" w:rsidRDefault="00C80095" w:rsidP="00C80095">
      <w:pPr>
        <w:spacing w:line="360" w:lineRule="auto"/>
        <w:jc w:val="both"/>
        <w:rPr>
          <w:rtl/>
        </w:rPr>
      </w:pPr>
    </w:p>
    <w:p w14:paraId="49D2A918" w14:textId="77777777" w:rsidR="00C80095" w:rsidRPr="00162943" w:rsidRDefault="00C80095" w:rsidP="00C80095">
      <w:pPr>
        <w:spacing w:line="360" w:lineRule="auto"/>
        <w:jc w:val="both"/>
        <w:rPr>
          <w:sz w:val="6"/>
          <w:szCs w:val="6"/>
          <w:rtl/>
        </w:rPr>
      </w:pPr>
      <w:r w:rsidRPr="00162943">
        <w:rPr>
          <w:sz w:val="6"/>
          <w:szCs w:val="6"/>
          <w:rtl/>
        </w:rPr>
        <w:t>&lt;#2#&gt;</w:t>
      </w:r>
    </w:p>
    <w:p w14:paraId="31ADEC04" w14:textId="77777777" w:rsidR="00C80095" w:rsidRPr="00162943" w:rsidRDefault="00C80095" w:rsidP="00C80095">
      <w:pPr>
        <w:pStyle w:val="12"/>
        <w:rPr>
          <w:u w:val="none"/>
          <w:rtl/>
        </w:rPr>
      </w:pPr>
      <w:r w:rsidRPr="00162943">
        <w:rPr>
          <w:rFonts w:hint="cs"/>
          <w:u w:val="none"/>
          <w:rtl/>
        </w:rPr>
        <w:t>נוכחים:</w:t>
      </w:r>
    </w:p>
    <w:p w14:paraId="78441750" w14:textId="77777777" w:rsidR="00C80095" w:rsidRPr="00162943" w:rsidRDefault="00C80095" w:rsidP="00C80095">
      <w:pPr>
        <w:pStyle w:val="12"/>
        <w:rPr>
          <w:b w:val="0"/>
          <w:bCs w:val="0"/>
          <w:u w:val="none"/>
          <w:rtl/>
        </w:rPr>
      </w:pPr>
      <w:bookmarkStart w:id="2" w:name="FirstLawyer"/>
      <w:r w:rsidRPr="00162943">
        <w:rPr>
          <w:rFonts w:hint="cs"/>
          <w:b w:val="0"/>
          <w:bCs w:val="0"/>
          <w:u w:val="none"/>
          <w:rtl/>
        </w:rPr>
        <w:t>ב"כ</w:t>
      </w:r>
      <w:bookmarkEnd w:id="2"/>
      <w:r w:rsidRPr="00162943">
        <w:rPr>
          <w:rFonts w:hint="cs"/>
          <w:b w:val="0"/>
          <w:bCs w:val="0"/>
          <w:u w:val="none"/>
          <w:rtl/>
        </w:rPr>
        <w:t xml:space="preserve"> המאשימה עו"ד שרית מרום </w:t>
      </w:r>
    </w:p>
    <w:p w14:paraId="673F4B4D" w14:textId="77777777" w:rsidR="00C80095" w:rsidRPr="00162943" w:rsidRDefault="00C80095" w:rsidP="00C80095">
      <w:pPr>
        <w:pStyle w:val="12"/>
        <w:rPr>
          <w:b w:val="0"/>
          <w:bCs w:val="0"/>
          <w:u w:val="none"/>
          <w:rtl/>
        </w:rPr>
      </w:pPr>
      <w:r w:rsidRPr="00162943">
        <w:rPr>
          <w:rFonts w:hint="cs"/>
          <w:b w:val="0"/>
          <w:bCs w:val="0"/>
          <w:u w:val="none"/>
          <w:rtl/>
        </w:rPr>
        <w:t xml:space="preserve">הנאשם בעצמו </w:t>
      </w:r>
    </w:p>
    <w:p w14:paraId="0238B0E7" w14:textId="77777777" w:rsidR="00C80095" w:rsidRPr="00162943" w:rsidRDefault="00C80095" w:rsidP="00C80095">
      <w:pPr>
        <w:pStyle w:val="12"/>
        <w:rPr>
          <w:b w:val="0"/>
          <w:bCs w:val="0"/>
          <w:u w:val="none"/>
          <w:rtl/>
        </w:rPr>
      </w:pPr>
      <w:r w:rsidRPr="00162943">
        <w:rPr>
          <w:rFonts w:hint="cs"/>
          <w:b w:val="0"/>
          <w:bCs w:val="0"/>
          <w:u w:val="none"/>
          <w:rtl/>
        </w:rPr>
        <w:t xml:space="preserve">ב"כ הנאשם עו"ד קרינה אבאל (משרד עו"ד סוחמי) </w:t>
      </w:r>
    </w:p>
    <w:p w14:paraId="53E73EEC" w14:textId="77777777" w:rsidR="00C80095" w:rsidRPr="00162943" w:rsidRDefault="00C80095" w:rsidP="00C80095">
      <w:pPr>
        <w:spacing w:line="360" w:lineRule="auto"/>
        <w:jc w:val="both"/>
        <w:rPr>
          <w:rtl/>
        </w:rPr>
      </w:pPr>
    </w:p>
    <w:p w14:paraId="6965B5A2" w14:textId="77777777" w:rsidR="004021CD" w:rsidRDefault="00C80095" w:rsidP="00C80095">
      <w:pPr>
        <w:spacing w:line="360" w:lineRule="auto"/>
        <w:jc w:val="both"/>
        <w:rPr>
          <w:sz w:val="6"/>
          <w:szCs w:val="6"/>
          <w:rtl/>
        </w:rPr>
      </w:pPr>
      <w:r w:rsidRPr="00162943">
        <w:rPr>
          <w:sz w:val="6"/>
          <w:szCs w:val="6"/>
          <w:rtl/>
        </w:rPr>
        <w:t>&lt;#3#&gt;</w:t>
      </w:r>
      <w:bookmarkStart w:id="3" w:name="LawTable"/>
      <w:bookmarkEnd w:id="3"/>
    </w:p>
    <w:p w14:paraId="7DF5E6C8" w14:textId="77777777" w:rsidR="004021CD" w:rsidRPr="004021CD" w:rsidRDefault="004021CD" w:rsidP="004021CD">
      <w:pPr>
        <w:spacing w:after="120" w:line="240" w:lineRule="exact"/>
        <w:ind w:left="283" w:hanging="283"/>
        <w:jc w:val="both"/>
        <w:rPr>
          <w:rFonts w:ascii="FrankRuehl" w:hAnsi="FrankRuehl" w:cs="FrankRuehl"/>
          <w:rtl/>
        </w:rPr>
      </w:pPr>
    </w:p>
    <w:p w14:paraId="5DA38C2D" w14:textId="77777777" w:rsidR="004021CD" w:rsidRPr="004021CD" w:rsidRDefault="004021CD" w:rsidP="004021CD">
      <w:pPr>
        <w:spacing w:after="120" w:line="240" w:lineRule="exact"/>
        <w:ind w:left="283" w:hanging="283"/>
        <w:jc w:val="both"/>
        <w:rPr>
          <w:rFonts w:ascii="FrankRuehl" w:hAnsi="FrankRuehl" w:cs="FrankRuehl"/>
          <w:rtl/>
        </w:rPr>
      </w:pPr>
      <w:r w:rsidRPr="004021CD">
        <w:rPr>
          <w:rFonts w:ascii="FrankRuehl" w:hAnsi="FrankRuehl" w:cs="FrankRuehl"/>
          <w:rtl/>
        </w:rPr>
        <w:t xml:space="preserve">חקיקה שאוזכרה: </w:t>
      </w:r>
    </w:p>
    <w:p w14:paraId="66458E8F" w14:textId="77777777" w:rsidR="004021CD" w:rsidRPr="004021CD" w:rsidRDefault="004021CD" w:rsidP="004021CD">
      <w:pPr>
        <w:spacing w:after="120" w:line="240" w:lineRule="exact"/>
        <w:ind w:left="283" w:hanging="283"/>
        <w:jc w:val="both"/>
        <w:rPr>
          <w:rFonts w:ascii="FrankRuehl" w:hAnsi="FrankRuehl" w:cs="FrankRuehl"/>
          <w:rtl/>
        </w:rPr>
      </w:pPr>
      <w:hyperlink r:id="rId6" w:history="1">
        <w:r w:rsidRPr="004021CD">
          <w:rPr>
            <w:rFonts w:ascii="FrankRuehl" w:hAnsi="FrankRuehl" w:cs="FrankRuehl"/>
            <w:color w:val="0000FF"/>
            <w:u w:val="single"/>
            <w:rtl/>
          </w:rPr>
          <w:t>פקודת הסמים המסוכנים [נוסח חדש], תשל"ג-1973</w:t>
        </w:r>
      </w:hyperlink>
      <w:r w:rsidRPr="004021CD">
        <w:rPr>
          <w:rFonts w:ascii="FrankRuehl" w:hAnsi="FrankRuehl" w:cs="FrankRuehl"/>
          <w:rtl/>
        </w:rPr>
        <w:t xml:space="preserve">: סע'  </w:t>
      </w:r>
      <w:hyperlink r:id="rId7" w:history="1">
        <w:r w:rsidRPr="004021CD">
          <w:rPr>
            <w:rFonts w:ascii="FrankRuehl" w:hAnsi="FrankRuehl" w:cs="FrankRuehl"/>
            <w:color w:val="0000FF"/>
            <w:u w:val="single"/>
            <w:rtl/>
          </w:rPr>
          <w:t>6</w:t>
        </w:r>
      </w:hyperlink>
      <w:r w:rsidRPr="004021CD">
        <w:rPr>
          <w:rFonts w:ascii="FrankRuehl" w:hAnsi="FrankRuehl" w:cs="FrankRuehl"/>
          <w:rtl/>
        </w:rPr>
        <w:t xml:space="preserve">, </w:t>
      </w:r>
      <w:hyperlink r:id="rId8" w:history="1">
        <w:r w:rsidRPr="004021CD">
          <w:rPr>
            <w:rFonts w:ascii="FrankRuehl" w:hAnsi="FrankRuehl" w:cs="FrankRuehl"/>
            <w:color w:val="0000FF"/>
            <w:u w:val="single"/>
            <w:rtl/>
          </w:rPr>
          <w:t>7.א.</w:t>
        </w:r>
      </w:hyperlink>
      <w:r w:rsidRPr="004021CD">
        <w:rPr>
          <w:rFonts w:ascii="FrankRuehl" w:hAnsi="FrankRuehl" w:cs="FrankRuehl"/>
          <w:rtl/>
        </w:rPr>
        <w:t xml:space="preserve">, </w:t>
      </w:r>
      <w:hyperlink r:id="rId9" w:history="1">
        <w:r w:rsidRPr="004021CD">
          <w:rPr>
            <w:rFonts w:ascii="FrankRuehl" w:hAnsi="FrankRuehl" w:cs="FrankRuehl"/>
            <w:color w:val="0000FF"/>
            <w:u w:val="single"/>
            <w:rtl/>
          </w:rPr>
          <w:t>7.ג</w:t>
        </w:r>
      </w:hyperlink>
      <w:r w:rsidRPr="004021CD">
        <w:rPr>
          <w:rFonts w:ascii="FrankRuehl" w:hAnsi="FrankRuehl" w:cs="FrankRuehl"/>
          <w:rtl/>
        </w:rPr>
        <w:t xml:space="preserve">, </w:t>
      </w:r>
      <w:hyperlink r:id="rId10" w:history="1">
        <w:r w:rsidRPr="004021CD">
          <w:rPr>
            <w:rFonts w:ascii="FrankRuehl" w:hAnsi="FrankRuehl" w:cs="FrankRuehl"/>
            <w:color w:val="0000FF"/>
            <w:u w:val="single"/>
            <w:rtl/>
          </w:rPr>
          <w:t>37א</w:t>
        </w:r>
      </w:hyperlink>
    </w:p>
    <w:p w14:paraId="157AF997" w14:textId="77777777" w:rsidR="004021CD" w:rsidRPr="004021CD" w:rsidRDefault="004021CD" w:rsidP="004021CD">
      <w:pPr>
        <w:spacing w:after="120" w:line="240" w:lineRule="exact"/>
        <w:ind w:left="283" w:hanging="283"/>
        <w:jc w:val="both"/>
        <w:rPr>
          <w:rFonts w:ascii="FrankRuehl" w:hAnsi="FrankRuehl" w:cs="FrankRuehl"/>
          <w:rtl/>
        </w:rPr>
      </w:pPr>
    </w:p>
    <w:p w14:paraId="29C5D014" w14:textId="77777777" w:rsidR="00C80095" w:rsidRPr="004021CD" w:rsidRDefault="00C80095" w:rsidP="00C80095">
      <w:pPr>
        <w:spacing w:line="360" w:lineRule="auto"/>
        <w:jc w:val="both"/>
        <w:rPr>
          <w:sz w:val="6"/>
          <w:szCs w:val="6"/>
          <w:rtl/>
        </w:rPr>
      </w:pPr>
      <w:bookmarkStart w:id="4" w:name="LawTable_End"/>
      <w:bookmarkEnd w:id="4"/>
    </w:p>
    <w:p w14:paraId="24CC47EA" w14:textId="77777777" w:rsidR="00162943" w:rsidRPr="00162943" w:rsidRDefault="00162943" w:rsidP="00162943">
      <w:pPr>
        <w:spacing w:line="360" w:lineRule="auto"/>
        <w:jc w:val="center"/>
        <w:rPr>
          <w:rFonts w:ascii="Arial" w:hAnsi="Arial"/>
          <w:b/>
          <w:bCs/>
          <w:sz w:val="28"/>
          <w:szCs w:val="28"/>
          <w:u w:val="single"/>
          <w:rtl/>
        </w:rPr>
      </w:pPr>
      <w:bookmarkStart w:id="5" w:name="PsakDin"/>
      <w:bookmarkEnd w:id="0"/>
      <w:r w:rsidRPr="00162943">
        <w:rPr>
          <w:rFonts w:ascii="Arial" w:hAnsi="Arial"/>
          <w:b/>
          <w:bCs/>
          <w:sz w:val="28"/>
          <w:szCs w:val="28"/>
          <w:u w:val="single"/>
          <w:rtl/>
        </w:rPr>
        <w:t>גזר דין</w:t>
      </w:r>
    </w:p>
    <w:bookmarkEnd w:id="5"/>
    <w:p w14:paraId="4BEF9BC5" w14:textId="77777777" w:rsidR="00C80095" w:rsidRDefault="00C80095" w:rsidP="00C80095">
      <w:pPr>
        <w:spacing w:line="360" w:lineRule="auto"/>
        <w:jc w:val="center"/>
        <w:rPr>
          <w:rtl/>
        </w:rPr>
      </w:pPr>
    </w:p>
    <w:p w14:paraId="4237C482" w14:textId="77777777" w:rsidR="00C80095" w:rsidRDefault="00C80095" w:rsidP="00C80095">
      <w:pPr>
        <w:pStyle w:val="a9"/>
        <w:ind w:right="0"/>
        <w:jc w:val="both"/>
        <w:rPr>
          <w:rFonts w:cs="David"/>
        </w:rPr>
      </w:pPr>
      <w:bookmarkStart w:id="6" w:name="ABSTRACT_START"/>
      <w:bookmarkEnd w:id="6"/>
      <w:r>
        <w:rPr>
          <w:rFonts w:cs="David" w:hint="cs"/>
          <w:rtl/>
        </w:rPr>
        <w:t xml:space="preserve">הנאשם הורשע, על פי הודאתו, במסגרת הסדר טיעון, בעבירה של גידול, ייצור, הכנת סמים מסוכנים לפי </w:t>
      </w:r>
      <w:hyperlink r:id="rId11" w:history="1">
        <w:r w:rsidR="004021CD" w:rsidRPr="004021CD">
          <w:rPr>
            <w:rFonts w:cs="David"/>
            <w:color w:val="0000FF"/>
            <w:u w:val="single"/>
            <w:rtl/>
          </w:rPr>
          <w:t>סעיף 6</w:t>
        </w:r>
      </w:hyperlink>
      <w:r>
        <w:rPr>
          <w:rFonts w:cs="David" w:hint="cs"/>
          <w:rtl/>
        </w:rPr>
        <w:t xml:space="preserve"> ל</w:t>
      </w:r>
      <w:hyperlink r:id="rId12" w:history="1">
        <w:r w:rsidR="00162943" w:rsidRPr="00162943">
          <w:rPr>
            <w:rStyle w:val="Hyperlink"/>
            <w:rFonts w:cs="David" w:hint="eastAsia"/>
            <w:rtl/>
          </w:rPr>
          <w:t>פקודת</w:t>
        </w:r>
        <w:r w:rsidR="00162943" w:rsidRPr="00162943">
          <w:rPr>
            <w:rStyle w:val="Hyperlink"/>
            <w:rFonts w:cs="David"/>
            <w:rtl/>
          </w:rPr>
          <w:t xml:space="preserve"> הסמים המסוכנים</w:t>
        </w:r>
      </w:hyperlink>
      <w:r>
        <w:rPr>
          <w:rFonts w:cs="David" w:hint="cs"/>
          <w:rtl/>
        </w:rPr>
        <w:t xml:space="preserve"> [נוסח חדש], התשל"ג – 1973 (להלן: "</w:t>
      </w:r>
      <w:r>
        <w:rPr>
          <w:rFonts w:cs="David" w:hint="cs"/>
          <w:b/>
          <w:bCs/>
          <w:rtl/>
        </w:rPr>
        <w:t>פקודת הסמים המסוכנים"</w:t>
      </w:r>
      <w:r>
        <w:rPr>
          <w:rFonts w:cs="David" w:hint="cs"/>
          <w:rtl/>
        </w:rPr>
        <w:t xml:space="preserve">) ובעבירה של החזקה/שימוש בסמים שלא לצריכה עצמית לפי </w:t>
      </w:r>
      <w:hyperlink r:id="rId13" w:history="1">
        <w:r w:rsidR="004021CD" w:rsidRPr="004021CD">
          <w:rPr>
            <w:rFonts w:cs="David"/>
            <w:color w:val="0000FF"/>
            <w:u w:val="single"/>
            <w:rtl/>
          </w:rPr>
          <w:t>סעיף 7 (א)+ (ג)</w:t>
        </w:r>
      </w:hyperlink>
      <w:r>
        <w:rPr>
          <w:rFonts w:cs="David" w:hint="cs"/>
          <w:rtl/>
        </w:rPr>
        <w:t xml:space="preserve"> רישא לפקודת הסמים המסוכנים.</w:t>
      </w:r>
    </w:p>
    <w:p w14:paraId="707A974D" w14:textId="77777777" w:rsidR="00C80095" w:rsidRPr="00FD5807" w:rsidRDefault="00C80095" w:rsidP="00C80095">
      <w:pPr>
        <w:spacing w:line="360" w:lineRule="auto"/>
        <w:jc w:val="both"/>
        <w:rPr>
          <w:rtl/>
        </w:rPr>
      </w:pPr>
      <w:bookmarkStart w:id="7" w:name="ABSTRACT_END"/>
      <w:bookmarkEnd w:id="7"/>
    </w:p>
    <w:p w14:paraId="2A0B4A47" w14:textId="77777777" w:rsidR="00C80095" w:rsidRDefault="00C80095" w:rsidP="00C80095">
      <w:pPr>
        <w:spacing w:line="360" w:lineRule="auto"/>
        <w:jc w:val="both"/>
        <w:rPr>
          <w:rtl/>
        </w:rPr>
      </w:pPr>
      <w:r>
        <w:rPr>
          <w:rFonts w:hint="cs"/>
          <w:rtl/>
        </w:rPr>
        <w:t>על פי עובדות כתב האישום, ביום 12.8.15 שכר הנאשם יחידת דיור בבניין בראשון לציון בשטח של 67 מ"ר (להלן: "</w:t>
      </w:r>
      <w:r>
        <w:rPr>
          <w:rFonts w:hint="cs"/>
          <w:b/>
          <w:bCs/>
          <w:rtl/>
        </w:rPr>
        <w:t>המחסן</w:t>
      </w:r>
      <w:r>
        <w:rPr>
          <w:rFonts w:hint="cs"/>
          <w:rtl/>
        </w:rPr>
        <w:t>"), והתגורר בדירה בקריית אונו (להלן: "</w:t>
      </w:r>
      <w:r>
        <w:rPr>
          <w:rFonts w:hint="cs"/>
          <w:b/>
          <w:bCs/>
          <w:rtl/>
        </w:rPr>
        <w:t>הדירה</w:t>
      </w:r>
      <w:r>
        <w:rPr>
          <w:rFonts w:hint="cs"/>
          <w:rtl/>
        </w:rPr>
        <w:t>").</w:t>
      </w:r>
    </w:p>
    <w:p w14:paraId="0E2D4F73" w14:textId="77777777" w:rsidR="00C80095" w:rsidRDefault="00C80095" w:rsidP="00C80095">
      <w:pPr>
        <w:spacing w:line="360" w:lineRule="auto"/>
        <w:jc w:val="both"/>
        <w:rPr>
          <w:rtl/>
        </w:rPr>
      </w:pPr>
      <w:r>
        <w:rPr>
          <w:rFonts w:hint="cs"/>
          <w:rtl/>
        </w:rPr>
        <w:t xml:space="preserve">ביום 24.5.17 בוצע חיפוש במחסן על פי צו שניתן על-ידי בית המשפט. בחיפוש נמצא כי הנאשם החזיק מעבדה לגידול סם מסוכן מסוג קנאבוס, שכללה 18 גופי תאורה, 17 שנאים, ונטה, גלונים של חומרי דישון, מזמרות, מכשירים לנטרול ריחות, וכן 113 שתילים במשקל כולל של 4.5 ק"ג של סם מסוכן מסוג קנאבוס. </w:t>
      </w:r>
    </w:p>
    <w:p w14:paraId="7B4DB774" w14:textId="77777777" w:rsidR="00C80095" w:rsidRDefault="00C80095" w:rsidP="00C80095">
      <w:pPr>
        <w:spacing w:line="360" w:lineRule="auto"/>
        <w:jc w:val="both"/>
        <w:rPr>
          <w:rtl/>
        </w:rPr>
      </w:pPr>
      <w:r>
        <w:rPr>
          <w:rFonts w:hint="cs"/>
          <w:rtl/>
        </w:rPr>
        <w:t>כמו כן, הנאשם החזיק בתיקו האישי סכום של 800 ₪ במזומן וכן קופסא לבנה של "אקמול" ובה סם מסוכן מסוג קנאבוס במשקל כולל של 0.94 גרם.</w:t>
      </w:r>
    </w:p>
    <w:p w14:paraId="6F83E4AF" w14:textId="77777777" w:rsidR="00C80095" w:rsidRDefault="00C80095" w:rsidP="00C80095">
      <w:pPr>
        <w:spacing w:line="360" w:lineRule="auto"/>
        <w:jc w:val="both"/>
        <w:rPr>
          <w:rtl/>
        </w:rPr>
      </w:pPr>
      <w:r>
        <w:rPr>
          <w:rFonts w:hint="cs"/>
          <w:rtl/>
        </w:rPr>
        <w:lastRenderedPageBreak/>
        <w:t xml:space="preserve">במועד האמור, החזיק הנאשם בדירה, בחצר המחסן סמוך למטבח, ארגז ובו סם מסוכן מסוג קנאבוס במשקל כולל של 92.5 גרם וכן החזיק בכספת הצמודה לרצפה בחדרו סך כולל של 8,700 ₪.  </w:t>
      </w:r>
    </w:p>
    <w:p w14:paraId="31E8FE0B" w14:textId="77777777" w:rsidR="00C80095" w:rsidRDefault="00C80095" w:rsidP="00C80095">
      <w:pPr>
        <w:spacing w:line="360" w:lineRule="auto"/>
        <w:jc w:val="both"/>
        <w:rPr>
          <w:rtl/>
        </w:rPr>
      </w:pPr>
    </w:p>
    <w:p w14:paraId="5266B833" w14:textId="77777777" w:rsidR="00C80095" w:rsidRDefault="00C80095" w:rsidP="00C80095">
      <w:pPr>
        <w:spacing w:line="360" w:lineRule="auto"/>
        <w:jc w:val="both"/>
        <w:rPr>
          <w:rtl/>
        </w:rPr>
      </w:pPr>
      <w:r>
        <w:rPr>
          <w:rFonts w:hint="cs"/>
          <w:rtl/>
        </w:rPr>
        <w:t>הצדדים עתרו במשותף להטיל על הנאשם 7 חודשי מאסר בפועל בניכוי ימי מעצרו, מאסר על תנאי, התחייבות, קנס בסך 15,000 ש"ח, פסילת רישיון נהיגה בפועל, פסילת רישיון נהיגה על תנאי, הכרזת הנאשם כסוחר סמים וחילוט של 9,500 ש"ח. הצדדים נותרו חלוקים ביניהם רק לעניין אורך תקופת פסילת רישיון הנהיגה בפועל שתושת על הנאשם.</w:t>
      </w:r>
    </w:p>
    <w:p w14:paraId="49B54BF3" w14:textId="77777777" w:rsidR="00C80095" w:rsidRDefault="00C80095" w:rsidP="00C80095">
      <w:pPr>
        <w:spacing w:line="360" w:lineRule="auto"/>
        <w:jc w:val="both"/>
        <w:rPr>
          <w:rtl/>
        </w:rPr>
      </w:pPr>
    </w:p>
    <w:p w14:paraId="4B2F97CC" w14:textId="77777777" w:rsidR="00C80095" w:rsidRDefault="00C80095" w:rsidP="00C80095">
      <w:pPr>
        <w:spacing w:line="360" w:lineRule="auto"/>
        <w:jc w:val="both"/>
        <w:rPr>
          <w:rtl/>
        </w:rPr>
      </w:pPr>
      <w:r>
        <w:rPr>
          <w:rFonts w:hint="cs"/>
          <w:rtl/>
        </w:rPr>
        <w:t>ב"כ המאשימה טענה כי במסגרת הסדר הטיעון התחשבה בעברו הפלילי של הנאשם הכולל הרשעה אחת משנת 2003 שהתיישנה בעבירה של החזקה/שימוש בסמים לצריכה עצמית ובכך שהנאשם הודה וחך זמן שיפוטי יקר.</w:t>
      </w:r>
    </w:p>
    <w:p w14:paraId="7BDF43DF" w14:textId="77777777" w:rsidR="00C80095" w:rsidRDefault="00C80095" w:rsidP="00C80095">
      <w:pPr>
        <w:spacing w:line="360" w:lineRule="auto"/>
        <w:jc w:val="both"/>
        <w:rPr>
          <w:rtl/>
        </w:rPr>
      </w:pPr>
    </w:p>
    <w:p w14:paraId="3F3BCF40" w14:textId="77777777" w:rsidR="00C80095" w:rsidRDefault="00C80095" w:rsidP="00C80095">
      <w:pPr>
        <w:spacing w:line="360" w:lineRule="auto"/>
        <w:jc w:val="both"/>
        <w:rPr>
          <w:rtl/>
        </w:rPr>
      </w:pPr>
      <w:r>
        <w:rPr>
          <w:rFonts w:hint="cs"/>
          <w:rtl/>
        </w:rPr>
        <w:t xml:space="preserve">ב"כ הנאשם הצטרף לדברי ב"כ המאשימה, וטען כי יש להתחשב גם בנוסף בעובדה שהנאשם הודה בהזדמנות הראשונה עוד בחקירתו במשטרה. ב"כ הנאשם טען כי הנאשם נפצע במהלך שירותו הצבאי בעמוד השדרה, ומאז החל להשתמש בסמים, וכן פנה למרפאה על מנת לקבל אישור להשתמש בסמים. עוד טען ב"כ הנאשם כי מאז מעצרו הפסיק הנאשם להשתמש בסמים. </w:t>
      </w:r>
    </w:p>
    <w:p w14:paraId="748AB339" w14:textId="77777777" w:rsidR="00C80095" w:rsidRDefault="00C80095" w:rsidP="00C80095">
      <w:pPr>
        <w:spacing w:line="360" w:lineRule="auto"/>
        <w:jc w:val="both"/>
        <w:rPr>
          <w:rtl/>
        </w:rPr>
      </w:pPr>
      <w:r>
        <w:rPr>
          <w:rFonts w:hint="cs"/>
          <w:rtl/>
        </w:rPr>
        <w:t xml:space="preserve">ב"כ הנאשם עתר להטיל על הנאשם פסילת רישיון בפועל לתקופה שלא תעלה על חודש ימים, מאחר שעד למעצרו של הנאשם הוא עבד כסוכן מכירות, ורישיון הנהיגה חיוני עבורו כדי להמשיך לעבוד לאחר שחרורו ממאסר. כן טען כי בעבירה של גידול סמים בתי המשפט אינם נוהגים להשית פסילת רישיון בפועל בעבירות אלו, וכי לכל היותר מוטלת פסילת רישיון לתקופה קצרה והפנה לפסיקה.  </w:t>
      </w:r>
    </w:p>
    <w:p w14:paraId="080A7DE8" w14:textId="77777777" w:rsidR="00C80095" w:rsidRDefault="00C80095" w:rsidP="00C80095">
      <w:pPr>
        <w:spacing w:line="360" w:lineRule="auto"/>
        <w:jc w:val="both"/>
      </w:pPr>
    </w:p>
    <w:p w14:paraId="158CEBD9" w14:textId="77777777" w:rsidR="00C80095" w:rsidRDefault="00C80095" w:rsidP="00C80095">
      <w:pPr>
        <w:spacing w:line="360" w:lineRule="auto"/>
        <w:jc w:val="both"/>
        <w:rPr>
          <w:rtl/>
        </w:rPr>
      </w:pPr>
      <w:r>
        <w:rPr>
          <w:rFonts w:hint="cs"/>
          <w:rtl/>
        </w:rPr>
        <w:t>לאחר ששקלתי את כל הנסיבות הצריכות לעניין ואת טיעוני הצדדים, ובהם גילו של הנאשם, נסיבות חייו, עברו הפלילי הכולל הרשעה אחת שהתיישנה, הודאתו של הנאשם שהביאה לחיסכון בזמן שיפוטי יקר, ובשים לב לעובדה שהמדובר בהסדר טיעון "סגור" אליו הגיעו הצדדים, לא ראיתי לנכון לסטות מההסדר, אף אם הוא מקל על הנאשם.</w:t>
      </w:r>
    </w:p>
    <w:p w14:paraId="5A40B102" w14:textId="77777777" w:rsidR="00C80095" w:rsidRDefault="00C80095" w:rsidP="00C80095">
      <w:pPr>
        <w:spacing w:line="360" w:lineRule="auto"/>
        <w:jc w:val="both"/>
        <w:rPr>
          <w:rtl/>
        </w:rPr>
      </w:pPr>
    </w:p>
    <w:p w14:paraId="7ED37702" w14:textId="77777777" w:rsidR="00C80095" w:rsidRDefault="00C80095" w:rsidP="00C80095">
      <w:pPr>
        <w:spacing w:line="360" w:lineRule="auto"/>
        <w:jc w:val="both"/>
        <w:rPr>
          <w:rtl/>
        </w:rPr>
      </w:pPr>
      <w:r>
        <w:rPr>
          <w:rFonts w:hint="cs"/>
          <w:rtl/>
        </w:rPr>
        <w:t xml:space="preserve">אשר לנושא פסילת הרישיון בפועל, בהתאם </w:t>
      </w:r>
      <w:hyperlink r:id="rId14" w:history="1">
        <w:r w:rsidR="004021CD" w:rsidRPr="004021CD">
          <w:rPr>
            <w:color w:val="0000FF"/>
            <w:u w:val="single"/>
            <w:rtl/>
          </w:rPr>
          <w:t>לסעיף 37א</w:t>
        </w:r>
      </w:hyperlink>
      <w:r>
        <w:rPr>
          <w:rFonts w:hint="cs"/>
          <w:rtl/>
        </w:rPr>
        <w:t xml:space="preserve"> ל</w:t>
      </w:r>
      <w:hyperlink r:id="rId15" w:history="1">
        <w:r w:rsidR="00162943" w:rsidRPr="00162943">
          <w:rPr>
            <w:rStyle w:val="Hyperlink"/>
            <w:rFonts w:hint="eastAsia"/>
            <w:rtl/>
          </w:rPr>
          <w:t>פקודת</w:t>
        </w:r>
        <w:r w:rsidR="00162943" w:rsidRPr="00162943">
          <w:rPr>
            <w:rStyle w:val="Hyperlink"/>
            <w:rtl/>
          </w:rPr>
          <w:t xml:space="preserve"> הסמים המסוכנים</w:t>
        </w:r>
      </w:hyperlink>
      <w:r>
        <w:rPr>
          <w:rFonts w:hint="cs"/>
          <w:rtl/>
        </w:rPr>
        <w:t>, בית המשפט שהרשיע אדם לפי פקודה זו, יהיה רשאי בנוסף לכל עונש אחר לפסול את רישיון הנהיגה של הנאשם לתקופה שלא תעלה על חמש שנים, ובאם סבור כי הדבר דרוש כדי להגן על הציבור, רשאי הוא לפסול את הנאשם לתקופה ארוכה יותר.</w:t>
      </w:r>
    </w:p>
    <w:p w14:paraId="11898D67" w14:textId="77777777" w:rsidR="00C80095" w:rsidRDefault="00C80095" w:rsidP="00C80095">
      <w:pPr>
        <w:spacing w:line="360" w:lineRule="auto"/>
        <w:jc w:val="both"/>
        <w:rPr>
          <w:rtl/>
        </w:rPr>
      </w:pPr>
    </w:p>
    <w:p w14:paraId="65025DB1" w14:textId="77777777" w:rsidR="00C80095" w:rsidRDefault="00C80095" w:rsidP="00C80095">
      <w:pPr>
        <w:spacing w:line="360" w:lineRule="auto"/>
        <w:jc w:val="both"/>
        <w:rPr>
          <w:rtl/>
        </w:rPr>
      </w:pPr>
      <w:r>
        <w:rPr>
          <w:rFonts w:hint="cs"/>
          <w:rtl/>
        </w:rPr>
        <w:t xml:space="preserve">במקרים מסוימים מפעיל בית המשפט את שיקול דעתו ולא מטיל פסילה בפועל, כפי שעולה מהפסיקה אליה הפנה ב"כ הנאשם: </w:t>
      </w:r>
    </w:p>
    <w:p w14:paraId="26D12EC3" w14:textId="77777777" w:rsidR="00C80095" w:rsidRDefault="00C80095" w:rsidP="00C80095">
      <w:pPr>
        <w:spacing w:line="360" w:lineRule="auto"/>
        <w:jc w:val="both"/>
        <w:rPr>
          <w:rtl/>
        </w:rPr>
      </w:pPr>
      <w:r>
        <w:rPr>
          <w:rFonts w:hint="cs"/>
          <w:rtl/>
        </w:rPr>
        <w:t xml:space="preserve">כך לדוגמא, כאשר מוטל על הנאשם מאסר לתקופה משמעותית – </w:t>
      </w:r>
      <w:hyperlink r:id="rId16" w:history="1">
        <w:r w:rsidR="00162943" w:rsidRPr="00162943">
          <w:rPr>
            <w:rStyle w:val="Hyperlink"/>
            <w:rFonts w:hint="eastAsia"/>
            <w:rtl/>
          </w:rPr>
          <w:t>ת</w:t>
        </w:r>
        <w:r w:rsidR="00162943" w:rsidRPr="00162943">
          <w:rPr>
            <w:rStyle w:val="Hyperlink"/>
            <w:rtl/>
          </w:rPr>
          <w:t>"פ (שלום-ת"א) 47452-06-16</w:t>
        </w:r>
      </w:hyperlink>
      <w:r>
        <w:rPr>
          <w:rFonts w:hint="cs"/>
          <w:rtl/>
        </w:rPr>
        <w:t xml:space="preserve"> </w:t>
      </w:r>
      <w:r>
        <w:rPr>
          <w:rFonts w:hint="cs"/>
          <w:b/>
          <w:bCs/>
          <w:rtl/>
        </w:rPr>
        <w:t xml:space="preserve">מדינת ישראל נ' ביסמוט </w:t>
      </w:r>
      <w:r>
        <w:rPr>
          <w:rFonts w:hint="cs"/>
          <w:rtl/>
        </w:rPr>
        <w:t xml:space="preserve">(11.9.17) שם הוטלו 20 חודשי מאסר, </w:t>
      </w:r>
      <w:hyperlink r:id="rId17" w:history="1">
        <w:r w:rsidR="00162943" w:rsidRPr="00162943">
          <w:rPr>
            <w:rStyle w:val="Hyperlink"/>
            <w:rFonts w:hint="eastAsia"/>
            <w:rtl/>
          </w:rPr>
          <w:t>ת</w:t>
        </w:r>
        <w:r w:rsidR="00162943" w:rsidRPr="00162943">
          <w:rPr>
            <w:rStyle w:val="Hyperlink"/>
            <w:rtl/>
          </w:rPr>
          <w:t>"פ (שלום-ת"א) 46673-04-15</w:t>
        </w:r>
      </w:hyperlink>
      <w:r>
        <w:rPr>
          <w:rFonts w:hint="cs"/>
          <w:rtl/>
        </w:rPr>
        <w:t xml:space="preserve"> </w:t>
      </w:r>
      <w:r>
        <w:rPr>
          <w:rFonts w:hint="cs"/>
          <w:b/>
          <w:bCs/>
          <w:rtl/>
        </w:rPr>
        <w:t xml:space="preserve">מדינת ישראל נ' שדה </w:t>
      </w:r>
      <w:r>
        <w:rPr>
          <w:rFonts w:hint="cs"/>
          <w:rtl/>
        </w:rPr>
        <w:t>(5.6.16) שם הוטלו 21 חודשי מאסר ו-</w:t>
      </w:r>
      <w:hyperlink r:id="rId18" w:history="1">
        <w:r w:rsidR="00162943" w:rsidRPr="00162943">
          <w:rPr>
            <w:rStyle w:val="Hyperlink"/>
            <w:rFonts w:hint="eastAsia"/>
            <w:rtl/>
          </w:rPr>
          <w:t>ת</w:t>
        </w:r>
        <w:r w:rsidR="00162943" w:rsidRPr="00162943">
          <w:rPr>
            <w:rStyle w:val="Hyperlink"/>
            <w:rtl/>
          </w:rPr>
          <w:t>"פ (מחוזי-מרכז) 46662-04-15</w:t>
        </w:r>
      </w:hyperlink>
      <w:r>
        <w:rPr>
          <w:rFonts w:hint="cs"/>
          <w:rtl/>
        </w:rPr>
        <w:t xml:space="preserve"> </w:t>
      </w:r>
      <w:r>
        <w:rPr>
          <w:rFonts w:hint="cs"/>
          <w:b/>
          <w:bCs/>
          <w:rtl/>
        </w:rPr>
        <w:t xml:space="preserve">מדינת ישראל נ' סגל </w:t>
      </w:r>
      <w:r>
        <w:rPr>
          <w:rFonts w:hint="cs"/>
          <w:rtl/>
        </w:rPr>
        <w:t xml:space="preserve">(3.2.16) שם הוטלו 30 חודשי מאסר; </w:t>
      </w:r>
    </w:p>
    <w:p w14:paraId="41FBB20D" w14:textId="77777777" w:rsidR="00C80095" w:rsidRDefault="00C80095" w:rsidP="00C80095">
      <w:pPr>
        <w:spacing w:line="360" w:lineRule="auto"/>
        <w:jc w:val="both"/>
        <w:rPr>
          <w:rtl/>
        </w:rPr>
      </w:pPr>
      <w:r>
        <w:rPr>
          <w:rFonts w:hint="cs"/>
          <w:rtl/>
        </w:rPr>
        <w:lastRenderedPageBreak/>
        <w:t xml:space="preserve">כאשר הנאשם עבר תהליך טיפולי משמעותי – </w:t>
      </w:r>
      <w:hyperlink r:id="rId19" w:history="1">
        <w:r w:rsidR="00162943" w:rsidRPr="00162943">
          <w:rPr>
            <w:rStyle w:val="Hyperlink"/>
            <w:rFonts w:hint="eastAsia"/>
            <w:rtl/>
          </w:rPr>
          <w:t>ת</w:t>
        </w:r>
        <w:r w:rsidR="00162943" w:rsidRPr="00162943">
          <w:rPr>
            <w:rStyle w:val="Hyperlink"/>
            <w:rtl/>
          </w:rPr>
          <w:t>"פ (שלום-ת"א) 44986-07-15</w:t>
        </w:r>
      </w:hyperlink>
      <w:r>
        <w:rPr>
          <w:rFonts w:hint="cs"/>
          <w:rtl/>
        </w:rPr>
        <w:t xml:space="preserve"> </w:t>
      </w:r>
      <w:r>
        <w:rPr>
          <w:rFonts w:hint="cs"/>
          <w:b/>
          <w:bCs/>
          <w:rtl/>
        </w:rPr>
        <w:t xml:space="preserve">מדינת ישראל נ' סופר </w:t>
      </w:r>
      <w:r>
        <w:rPr>
          <w:rFonts w:hint="cs"/>
          <w:rtl/>
        </w:rPr>
        <w:t xml:space="preserve">(23.4.17); </w:t>
      </w:r>
    </w:p>
    <w:p w14:paraId="6FEA73F0" w14:textId="77777777" w:rsidR="00C80095" w:rsidRDefault="00C80095" w:rsidP="00C80095">
      <w:pPr>
        <w:spacing w:line="360" w:lineRule="auto"/>
        <w:jc w:val="both"/>
        <w:rPr>
          <w:rtl/>
        </w:rPr>
      </w:pPr>
      <w:r>
        <w:rPr>
          <w:rFonts w:hint="cs"/>
          <w:rtl/>
        </w:rPr>
        <w:t xml:space="preserve">כן כאשר בית המשפט אימץ בגזר דינו הסדר טיעון "סגור" בין הצדדים שלא כלל רכיב של פסילת רישיון נהיגה – </w:t>
      </w:r>
      <w:hyperlink r:id="rId20" w:history="1">
        <w:r w:rsidR="00162943" w:rsidRPr="00162943">
          <w:rPr>
            <w:rStyle w:val="Hyperlink"/>
            <w:rFonts w:hint="eastAsia"/>
            <w:rtl/>
          </w:rPr>
          <w:t>ת</w:t>
        </w:r>
        <w:r w:rsidR="00162943" w:rsidRPr="00162943">
          <w:rPr>
            <w:rStyle w:val="Hyperlink"/>
            <w:rtl/>
          </w:rPr>
          <w:t>"פ (שלום-ת"א) 62744-12-14</w:t>
        </w:r>
      </w:hyperlink>
      <w:r>
        <w:rPr>
          <w:rFonts w:hint="cs"/>
          <w:rtl/>
        </w:rPr>
        <w:t xml:space="preserve"> </w:t>
      </w:r>
      <w:r>
        <w:rPr>
          <w:rFonts w:hint="cs"/>
          <w:b/>
          <w:bCs/>
          <w:rtl/>
        </w:rPr>
        <w:t xml:space="preserve">מדינת ישראל נ' דאדון </w:t>
      </w:r>
      <w:r>
        <w:rPr>
          <w:rFonts w:hint="cs"/>
          <w:rtl/>
        </w:rPr>
        <w:t>(10.6.15) ו-</w:t>
      </w:r>
      <w:hyperlink r:id="rId21" w:history="1">
        <w:r w:rsidR="00162943" w:rsidRPr="00162943">
          <w:rPr>
            <w:rStyle w:val="Hyperlink"/>
            <w:rFonts w:hint="eastAsia"/>
            <w:rtl/>
          </w:rPr>
          <w:t>ת</w:t>
        </w:r>
        <w:r w:rsidR="00162943" w:rsidRPr="00162943">
          <w:rPr>
            <w:rStyle w:val="Hyperlink"/>
            <w:rtl/>
          </w:rPr>
          <w:t>"פ (שלום-ת"א) 27611-02-16</w:t>
        </w:r>
      </w:hyperlink>
      <w:r>
        <w:rPr>
          <w:rFonts w:hint="cs"/>
          <w:rtl/>
        </w:rPr>
        <w:t xml:space="preserve"> </w:t>
      </w:r>
      <w:r>
        <w:rPr>
          <w:rFonts w:hint="cs"/>
          <w:b/>
          <w:bCs/>
          <w:rtl/>
        </w:rPr>
        <w:t xml:space="preserve">מדינת ישראל נ' גולדשטיין ואח' </w:t>
      </w:r>
      <w:r>
        <w:rPr>
          <w:rFonts w:hint="cs"/>
          <w:rtl/>
        </w:rPr>
        <w:t xml:space="preserve">(27.10.16). </w:t>
      </w:r>
    </w:p>
    <w:p w14:paraId="106EA884" w14:textId="77777777" w:rsidR="00C80095" w:rsidRDefault="00C80095" w:rsidP="00C80095">
      <w:pPr>
        <w:spacing w:line="360" w:lineRule="auto"/>
        <w:jc w:val="both"/>
        <w:rPr>
          <w:rtl/>
        </w:rPr>
      </w:pPr>
    </w:p>
    <w:p w14:paraId="004379D8" w14:textId="77777777" w:rsidR="00C80095" w:rsidRDefault="00C80095" w:rsidP="00C80095">
      <w:pPr>
        <w:spacing w:line="360" w:lineRule="auto"/>
        <w:jc w:val="both"/>
        <w:rPr>
          <w:rtl/>
        </w:rPr>
      </w:pPr>
      <w:r>
        <w:rPr>
          <w:rFonts w:hint="cs"/>
          <w:rtl/>
        </w:rPr>
        <w:t xml:space="preserve">המקרה דנן אינו נכלל בין מקרים אלו ואין בו היבט חריג אחר המצדיק להסתפק בפסילת רישיון לתקופה קצרה של חודש ימים בלבד, כפי שעתר ב"כ הנאשם. </w:t>
      </w:r>
    </w:p>
    <w:p w14:paraId="37A5F530" w14:textId="77777777" w:rsidR="00C80095" w:rsidRDefault="00C80095" w:rsidP="00C80095">
      <w:pPr>
        <w:spacing w:line="360" w:lineRule="auto"/>
        <w:jc w:val="both"/>
        <w:rPr>
          <w:rtl/>
        </w:rPr>
      </w:pPr>
      <w:r>
        <w:rPr>
          <w:rFonts w:hint="cs"/>
          <w:rtl/>
        </w:rPr>
        <w:t xml:space="preserve">לעניין אורך תקופת פסילת רישיון הנהיגה יש להתחשב בכך שמחד, הנאשם השתמש תקופה ממושכת בסמים ולא השתלב בהליך גמילה, ומאידך, שלילת רישיון הנהיגה שלו תפגע ביכולתו להשתלב מחדש לאחר שחרורו ממאסר באותה עבודה בה עבד טרם מעצרו בתיק זה.  </w:t>
      </w:r>
    </w:p>
    <w:p w14:paraId="74BC023C" w14:textId="77777777" w:rsidR="00C80095" w:rsidRDefault="00C80095" w:rsidP="00C80095">
      <w:pPr>
        <w:spacing w:line="360" w:lineRule="auto"/>
        <w:jc w:val="both"/>
        <w:rPr>
          <w:rtl/>
        </w:rPr>
      </w:pPr>
    </w:p>
    <w:p w14:paraId="6BAEB12E" w14:textId="77777777" w:rsidR="00C80095" w:rsidRDefault="00C80095" w:rsidP="00C80095">
      <w:pPr>
        <w:spacing w:line="360" w:lineRule="auto"/>
        <w:jc w:val="both"/>
        <w:rPr>
          <w:rtl/>
        </w:rPr>
      </w:pPr>
      <w:r>
        <w:rPr>
          <w:rFonts w:hint="cs"/>
          <w:b/>
          <w:bCs/>
          <w:u w:val="single"/>
          <w:rtl/>
        </w:rPr>
        <w:t>אשר על כן, אני גוזרת על הנאשם את העונשים הבאים</w:t>
      </w:r>
      <w:r>
        <w:rPr>
          <w:rFonts w:hint="cs"/>
          <w:rtl/>
        </w:rPr>
        <w:t>:</w:t>
      </w:r>
    </w:p>
    <w:p w14:paraId="27D01571" w14:textId="77777777" w:rsidR="00C80095" w:rsidRDefault="00C80095" w:rsidP="00C80095">
      <w:pPr>
        <w:spacing w:line="360" w:lineRule="auto"/>
        <w:jc w:val="both"/>
        <w:rPr>
          <w:sz w:val="20"/>
          <w:rtl/>
        </w:rPr>
      </w:pPr>
    </w:p>
    <w:p w14:paraId="74D360E5" w14:textId="77777777" w:rsidR="00C80095" w:rsidRDefault="00C80095" w:rsidP="00C80095">
      <w:pPr>
        <w:spacing w:line="360" w:lineRule="auto"/>
        <w:ind w:left="720" w:hanging="720"/>
        <w:jc w:val="both"/>
        <w:rPr>
          <w:rtl/>
        </w:rPr>
      </w:pPr>
      <w:r>
        <w:rPr>
          <w:rFonts w:hint="cs"/>
          <w:rtl/>
        </w:rPr>
        <w:t>א)</w:t>
      </w:r>
      <w:r>
        <w:rPr>
          <w:rFonts w:hint="cs"/>
          <w:rtl/>
        </w:rPr>
        <w:tab/>
        <w:t>7 חודשי מאסר בפועל, בניכוי ימי מעצרו מיום 24/5/17 ועד ליום 5/7/17.</w:t>
      </w:r>
    </w:p>
    <w:p w14:paraId="6C393104" w14:textId="77777777" w:rsidR="00C80095" w:rsidRDefault="00C80095" w:rsidP="00C80095">
      <w:pPr>
        <w:spacing w:line="360" w:lineRule="auto"/>
        <w:ind w:left="720" w:hanging="720"/>
        <w:jc w:val="both"/>
        <w:rPr>
          <w:rtl/>
        </w:rPr>
      </w:pPr>
    </w:p>
    <w:p w14:paraId="691A6228" w14:textId="77777777" w:rsidR="00C80095" w:rsidRDefault="00C80095" w:rsidP="00C80095">
      <w:pPr>
        <w:spacing w:line="360" w:lineRule="auto"/>
        <w:ind w:left="720" w:hanging="720"/>
        <w:jc w:val="both"/>
        <w:rPr>
          <w:rtl/>
        </w:rPr>
      </w:pPr>
      <w:r>
        <w:rPr>
          <w:rFonts w:hint="cs"/>
          <w:rtl/>
        </w:rPr>
        <w:t>ב)</w:t>
      </w:r>
      <w:r>
        <w:rPr>
          <w:rFonts w:hint="cs"/>
          <w:rtl/>
        </w:rPr>
        <w:tab/>
        <w:t xml:space="preserve">מאסר על תנאי למשך 9 חודשים, והנאשם לא יישא בעונש זה אלא אם כן יעבור בתוך שלוש שנים מיום שחרורו ממאסר כל עבירה על פי </w:t>
      </w:r>
      <w:hyperlink r:id="rId22" w:history="1">
        <w:r w:rsidR="00162943" w:rsidRPr="00162943">
          <w:rPr>
            <w:rStyle w:val="Hyperlink"/>
            <w:rFonts w:hint="eastAsia"/>
            <w:rtl/>
          </w:rPr>
          <w:t>פקודת</w:t>
        </w:r>
        <w:r w:rsidR="00162943" w:rsidRPr="00162943">
          <w:rPr>
            <w:rStyle w:val="Hyperlink"/>
            <w:rtl/>
          </w:rPr>
          <w:t xml:space="preserve"> הסמים המסוכנים</w:t>
        </w:r>
      </w:hyperlink>
      <w:r>
        <w:rPr>
          <w:rFonts w:hint="cs"/>
          <w:rtl/>
        </w:rPr>
        <w:t xml:space="preserve"> מסוג פשע. </w:t>
      </w:r>
    </w:p>
    <w:p w14:paraId="3434948A" w14:textId="77777777" w:rsidR="00C80095" w:rsidRDefault="00C80095" w:rsidP="00C80095">
      <w:pPr>
        <w:spacing w:line="360" w:lineRule="auto"/>
        <w:ind w:left="720" w:hanging="720"/>
        <w:jc w:val="both"/>
        <w:rPr>
          <w:rtl/>
        </w:rPr>
      </w:pPr>
    </w:p>
    <w:p w14:paraId="60333D36" w14:textId="77777777" w:rsidR="00C80095" w:rsidRDefault="00C80095" w:rsidP="00C80095">
      <w:pPr>
        <w:spacing w:line="360" w:lineRule="auto"/>
        <w:ind w:left="720" w:hanging="720"/>
        <w:jc w:val="both"/>
        <w:rPr>
          <w:rtl/>
        </w:rPr>
      </w:pPr>
      <w:r>
        <w:rPr>
          <w:rFonts w:hint="cs"/>
          <w:rtl/>
        </w:rPr>
        <w:t>ג)</w:t>
      </w:r>
      <w:r>
        <w:rPr>
          <w:rFonts w:hint="cs"/>
          <w:rtl/>
        </w:rPr>
        <w:tab/>
        <w:t xml:space="preserve">מאסר על תנאי למשך חודשיים, והנאשם לא יישא בעונש זה אלא אם כן יעבור בתוך שלוש שנים מיום שחרורו ממאסר כל עבירה על פי </w:t>
      </w:r>
      <w:hyperlink r:id="rId23" w:history="1">
        <w:r w:rsidR="00162943" w:rsidRPr="00162943">
          <w:rPr>
            <w:rStyle w:val="Hyperlink"/>
            <w:rFonts w:hint="eastAsia"/>
            <w:rtl/>
          </w:rPr>
          <w:t>פקודת</w:t>
        </w:r>
        <w:r w:rsidR="00162943" w:rsidRPr="00162943">
          <w:rPr>
            <w:rStyle w:val="Hyperlink"/>
            <w:rtl/>
          </w:rPr>
          <w:t xml:space="preserve"> הסמים המסוכנים</w:t>
        </w:r>
      </w:hyperlink>
      <w:r>
        <w:rPr>
          <w:rFonts w:hint="cs"/>
          <w:rtl/>
        </w:rPr>
        <w:t xml:space="preserve"> מסוג עוון. </w:t>
      </w:r>
    </w:p>
    <w:p w14:paraId="28C01A9C" w14:textId="77777777" w:rsidR="00C80095" w:rsidRDefault="00C80095" w:rsidP="00C80095">
      <w:pPr>
        <w:spacing w:line="360" w:lineRule="auto"/>
        <w:ind w:left="720" w:hanging="720"/>
        <w:jc w:val="both"/>
        <w:rPr>
          <w:rtl/>
        </w:rPr>
      </w:pPr>
    </w:p>
    <w:p w14:paraId="6CC98BEA" w14:textId="77777777" w:rsidR="00C80095" w:rsidRDefault="00C80095" w:rsidP="00C80095">
      <w:pPr>
        <w:spacing w:line="360" w:lineRule="auto"/>
        <w:ind w:left="720" w:hanging="720"/>
        <w:jc w:val="both"/>
        <w:rPr>
          <w:rtl/>
        </w:rPr>
      </w:pPr>
      <w:r>
        <w:rPr>
          <w:rFonts w:hint="cs"/>
          <w:rtl/>
        </w:rPr>
        <w:t>ד)</w:t>
      </w:r>
      <w:r>
        <w:rPr>
          <w:rFonts w:hint="cs"/>
          <w:rtl/>
        </w:rPr>
        <w:tab/>
        <w:t>קנס כספי בסך 15,000 ₪ או 90 ימי מאסר תמורתו. הקנס ישולם עד ליום 1.12.17.</w:t>
      </w:r>
    </w:p>
    <w:p w14:paraId="0B098786" w14:textId="77777777" w:rsidR="00C80095" w:rsidRDefault="00C80095" w:rsidP="00C80095">
      <w:pPr>
        <w:spacing w:line="360" w:lineRule="auto"/>
        <w:ind w:left="720" w:hanging="720"/>
        <w:jc w:val="both"/>
        <w:rPr>
          <w:rtl/>
        </w:rPr>
      </w:pPr>
      <w:r>
        <w:rPr>
          <w:rFonts w:hint="cs"/>
          <w:rtl/>
        </w:rPr>
        <w:t xml:space="preserve"> </w:t>
      </w:r>
    </w:p>
    <w:p w14:paraId="07A0C85F" w14:textId="77777777" w:rsidR="00C80095" w:rsidRDefault="00C80095" w:rsidP="00C80095">
      <w:pPr>
        <w:pStyle w:val="ab"/>
        <w:spacing w:after="0" w:line="360" w:lineRule="auto"/>
        <w:ind w:left="720" w:hanging="720"/>
        <w:jc w:val="both"/>
      </w:pPr>
      <w:r>
        <w:rPr>
          <w:rFonts w:hint="cs"/>
          <w:rtl/>
        </w:rPr>
        <w:t>ה)</w:t>
      </w:r>
      <w:r>
        <w:rPr>
          <w:rFonts w:hint="cs"/>
          <w:rtl/>
        </w:rPr>
        <w:tab/>
        <w:t xml:space="preserve">הנאשם יחתום על התחייבות בסך של 5,000 ₪ שלא יעבור בתוך שנתיים מיום שחרורו ממאסר כל עבירה על </w:t>
      </w:r>
      <w:hyperlink r:id="rId24" w:history="1">
        <w:r w:rsidR="00162943" w:rsidRPr="00162943">
          <w:rPr>
            <w:rStyle w:val="Hyperlink"/>
            <w:rFonts w:hint="eastAsia"/>
            <w:rtl/>
          </w:rPr>
          <w:t>פקודת</w:t>
        </w:r>
        <w:r w:rsidR="00162943" w:rsidRPr="00162943">
          <w:rPr>
            <w:rStyle w:val="Hyperlink"/>
            <w:rtl/>
          </w:rPr>
          <w:t xml:space="preserve"> הסמים המסוכנים</w:t>
        </w:r>
      </w:hyperlink>
      <w:r>
        <w:rPr>
          <w:rFonts w:hint="cs"/>
          <w:rtl/>
        </w:rPr>
        <w:t>. לא תחתם ההתחייבות תוך 7 ימים, ייאסר למשך 15 ימים.</w:t>
      </w:r>
    </w:p>
    <w:p w14:paraId="3E3389D4" w14:textId="77777777" w:rsidR="00C80095" w:rsidRDefault="00C80095" w:rsidP="00C80095">
      <w:pPr>
        <w:pStyle w:val="ab"/>
        <w:spacing w:after="0" w:line="360" w:lineRule="auto"/>
        <w:ind w:left="720" w:hanging="720"/>
        <w:jc w:val="both"/>
        <w:rPr>
          <w:rtl/>
        </w:rPr>
      </w:pPr>
    </w:p>
    <w:p w14:paraId="5A3B4F06" w14:textId="77777777" w:rsidR="00C80095" w:rsidRDefault="00C80095" w:rsidP="00C80095">
      <w:pPr>
        <w:spacing w:line="360" w:lineRule="auto"/>
        <w:ind w:left="720" w:hanging="720"/>
        <w:jc w:val="both"/>
        <w:rPr>
          <w:rtl/>
        </w:rPr>
      </w:pPr>
      <w:r>
        <w:rPr>
          <w:rFonts w:hint="cs"/>
          <w:rtl/>
        </w:rPr>
        <w:t>ו)</w:t>
      </w:r>
      <w:r>
        <w:rPr>
          <w:rFonts w:hint="cs"/>
          <w:rtl/>
        </w:rPr>
        <w:tab/>
        <w:t xml:space="preserve">אני פוסלת הנאשם מלקבל או מלהחזיק רישיון נהיגה למשך 12 חודשים, פסילה בפועל. הנאשם יפקיד את רישיונו במזכירות בית המשפט עד ליום 1.11.17. </w:t>
      </w:r>
    </w:p>
    <w:p w14:paraId="30537E2F" w14:textId="77777777" w:rsidR="00C80095" w:rsidRDefault="00C80095" w:rsidP="00C80095">
      <w:pPr>
        <w:spacing w:line="360" w:lineRule="auto"/>
        <w:jc w:val="both"/>
        <w:rPr>
          <w:rtl/>
        </w:rPr>
      </w:pPr>
    </w:p>
    <w:p w14:paraId="0E1CA539" w14:textId="77777777" w:rsidR="00C80095" w:rsidRDefault="00C80095" w:rsidP="00C80095">
      <w:pPr>
        <w:spacing w:line="360" w:lineRule="auto"/>
        <w:ind w:left="720" w:hanging="720"/>
        <w:jc w:val="both"/>
        <w:rPr>
          <w:rtl/>
        </w:rPr>
      </w:pPr>
      <w:r>
        <w:rPr>
          <w:rFonts w:hint="cs"/>
          <w:rtl/>
        </w:rPr>
        <w:t>ז)</w:t>
      </w:r>
      <w:r>
        <w:rPr>
          <w:rFonts w:hint="cs"/>
          <w:rtl/>
        </w:rPr>
        <w:tab/>
        <w:t xml:space="preserve">אני פוסלת הנאשם מלקבל או מלהחזיק רישיון נהיגה למשך 12 חדשים, פסילה על תנאי, והנאשם לא יישא בעונש זה אלא אם יעבור בתוך 3 שנים מיום שחרורו ממאסר כל עבירה על </w:t>
      </w:r>
      <w:hyperlink r:id="rId25" w:history="1">
        <w:r w:rsidR="00162943" w:rsidRPr="00162943">
          <w:rPr>
            <w:rStyle w:val="Hyperlink"/>
            <w:rFonts w:hint="eastAsia"/>
            <w:rtl/>
          </w:rPr>
          <w:t>פקודת</w:t>
        </w:r>
        <w:r w:rsidR="00162943" w:rsidRPr="00162943">
          <w:rPr>
            <w:rStyle w:val="Hyperlink"/>
            <w:rtl/>
          </w:rPr>
          <w:t xml:space="preserve"> הסמים המסוכנים</w:t>
        </w:r>
      </w:hyperlink>
      <w:r>
        <w:rPr>
          <w:rFonts w:hint="cs"/>
          <w:rtl/>
        </w:rPr>
        <w:t>.</w:t>
      </w:r>
    </w:p>
    <w:p w14:paraId="7BFB2E81" w14:textId="77777777" w:rsidR="00C80095" w:rsidRDefault="00C80095" w:rsidP="00C80095">
      <w:pPr>
        <w:spacing w:line="360" w:lineRule="auto"/>
        <w:ind w:left="720" w:hanging="720"/>
        <w:jc w:val="both"/>
        <w:rPr>
          <w:rtl/>
        </w:rPr>
      </w:pPr>
    </w:p>
    <w:p w14:paraId="6E3410E8" w14:textId="77777777" w:rsidR="00C80095" w:rsidRDefault="00C80095" w:rsidP="00C80095">
      <w:pPr>
        <w:spacing w:line="360" w:lineRule="auto"/>
        <w:ind w:left="720" w:hanging="720"/>
        <w:jc w:val="both"/>
        <w:rPr>
          <w:rtl/>
        </w:rPr>
      </w:pPr>
      <w:r>
        <w:rPr>
          <w:rFonts w:hint="cs"/>
          <w:rtl/>
        </w:rPr>
        <w:t xml:space="preserve"> ח)</w:t>
      </w:r>
      <w:r>
        <w:rPr>
          <w:rFonts w:hint="cs"/>
          <w:rtl/>
        </w:rPr>
        <w:tab/>
        <w:t>אני  מורה על חילוט סך של 9,500 ₪ שנתפסו על ידי המשטרה.</w:t>
      </w:r>
    </w:p>
    <w:p w14:paraId="5E7992D5" w14:textId="77777777" w:rsidR="00C80095" w:rsidRDefault="00C80095" w:rsidP="00C80095">
      <w:pPr>
        <w:pStyle w:val="ab"/>
        <w:spacing w:after="0" w:line="360" w:lineRule="auto"/>
        <w:ind w:left="714" w:hanging="765"/>
        <w:jc w:val="both"/>
        <w:rPr>
          <w:b/>
          <w:bCs/>
          <w:u w:val="single"/>
          <w:rtl/>
        </w:rPr>
      </w:pPr>
    </w:p>
    <w:p w14:paraId="7902EDA3" w14:textId="77777777" w:rsidR="00C80095" w:rsidRDefault="00C80095" w:rsidP="00C80095">
      <w:pPr>
        <w:pStyle w:val="ab"/>
        <w:spacing w:after="0" w:line="360" w:lineRule="auto"/>
        <w:ind w:left="714" w:hanging="765"/>
        <w:jc w:val="both"/>
        <w:rPr>
          <w:b/>
          <w:bCs/>
          <w:u w:val="single"/>
          <w:rtl/>
        </w:rPr>
      </w:pPr>
      <w:r>
        <w:rPr>
          <w:rFonts w:hint="cs"/>
          <w:b/>
          <w:bCs/>
          <w:u w:val="single"/>
          <w:rtl/>
        </w:rPr>
        <w:t>ניתן צו כללי למוצגים. הסמים יושמדו.</w:t>
      </w:r>
    </w:p>
    <w:p w14:paraId="00637483" w14:textId="77777777" w:rsidR="00C80095" w:rsidRDefault="00C80095" w:rsidP="00C80095">
      <w:pPr>
        <w:spacing w:line="360" w:lineRule="auto"/>
        <w:jc w:val="both"/>
        <w:rPr>
          <w:rtl/>
        </w:rPr>
      </w:pPr>
    </w:p>
    <w:p w14:paraId="02798775" w14:textId="77777777" w:rsidR="00C80095" w:rsidRDefault="00C80095" w:rsidP="00C80095">
      <w:pPr>
        <w:spacing w:line="360" w:lineRule="auto"/>
        <w:jc w:val="both"/>
        <w:rPr>
          <w:b/>
          <w:bCs/>
          <w:rtl/>
        </w:rPr>
      </w:pPr>
      <w:r>
        <w:rPr>
          <w:rFonts w:hint="cs"/>
          <w:b/>
          <w:bCs/>
          <w:rtl/>
        </w:rPr>
        <w:t xml:space="preserve">הנאשם יפנה למזכירות בית-המשפט לקבלת שוברים לתשלום הקנס, חתימה על ההתחייבות והפקדת רישיון הנהיגה. </w:t>
      </w:r>
    </w:p>
    <w:p w14:paraId="0B4E3A06" w14:textId="77777777" w:rsidR="00C80095" w:rsidRDefault="00C80095" w:rsidP="00C80095">
      <w:pPr>
        <w:spacing w:line="360" w:lineRule="auto"/>
        <w:jc w:val="both"/>
        <w:rPr>
          <w:b/>
          <w:bCs/>
          <w:rtl/>
        </w:rPr>
      </w:pPr>
    </w:p>
    <w:p w14:paraId="5314A19A" w14:textId="77777777" w:rsidR="00C80095" w:rsidRDefault="00C80095" w:rsidP="00C80095">
      <w:pPr>
        <w:spacing w:line="360" w:lineRule="auto"/>
        <w:jc w:val="both"/>
        <w:rPr>
          <w:b/>
          <w:bCs/>
          <w:u w:val="single"/>
          <w:rtl/>
        </w:rPr>
      </w:pPr>
      <w:r>
        <w:rPr>
          <w:rFonts w:hint="cs"/>
          <w:b/>
          <w:bCs/>
          <w:u w:val="single"/>
          <w:rtl/>
        </w:rPr>
        <w:t>זכות ערעור לבית המשפט מחוזי מרכז – לוד תוך 45 ימים מהיום.</w:t>
      </w:r>
    </w:p>
    <w:p w14:paraId="59887C0E" w14:textId="77777777" w:rsidR="00C80095" w:rsidRDefault="00C80095" w:rsidP="00C80095">
      <w:pPr>
        <w:spacing w:line="360" w:lineRule="auto"/>
        <w:rPr>
          <w:rtl/>
        </w:rPr>
      </w:pPr>
    </w:p>
    <w:p w14:paraId="640C04D8" w14:textId="77777777" w:rsidR="00C80095" w:rsidRDefault="00C80095" w:rsidP="00C80095">
      <w:pPr>
        <w:spacing w:line="360" w:lineRule="auto"/>
        <w:rPr>
          <w:sz w:val="6"/>
          <w:szCs w:val="6"/>
          <w:rtl/>
        </w:rPr>
      </w:pPr>
      <w:r>
        <w:rPr>
          <w:sz w:val="6"/>
          <w:szCs w:val="6"/>
          <w:rtl/>
        </w:rPr>
        <w:t>&lt;#4#&gt;</w:t>
      </w:r>
    </w:p>
    <w:p w14:paraId="3C22B18E" w14:textId="77777777" w:rsidR="00C80095" w:rsidRDefault="00C80095" w:rsidP="00C80095">
      <w:pPr>
        <w:jc w:val="right"/>
        <w:rPr>
          <w:rtl/>
        </w:rPr>
      </w:pPr>
    </w:p>
    <w:p w14:paraId="1A025B52" w14:textId="77777777" w:rsidR="00C80095" w:rsidRDefault="00C80095" w:rsidP="00C80095">
      <w:pPr>
        <w:spacing w:line="360" w:lineRule="auto"/>
        <w:rPr>
          <w:rtl/>
        </w:rPr>
      </w:pPr>
      <w:r>
        <w:rPr>
          <w:rFonts w:hint="cs"/>
          <w:b/>
          <w:bCs/>
          <w:rtl/>
        </w:rPr>
        <w:t xml:space="preserve">ניתנה והודעה היום </w:t>
      </w:r>
      <w:r>
        <w:rPr>
          <w:b/>
          <w:bCs/>
          <w:rtl/>
        </w:rPr>
        <w:t>ב' חשוון תשע"ח</w:t>
      </w:r>
      <w:r>
        <w:rPr>
          <w:rFonts w:hint="cs"/>
          <w:b/>
          <w:bCs/>
          <w:rtl/>
        </w:rPr>
        <w:t xml:space="preserve">, </w:t>
      </w:r>
      <w:r>
        <w:rPr>
          <w:b/>
          <w:bCs/>
        </w:rPr>
        <w:t>22/10/2017</w:t>
      </w:r>
      <w:r>
        <w:rPr>
          <w:rFonts w:hint="cs"/>
          <w:b/>
          <w:bCs/>
          <w:rtl/>
        </w:rPr>
        <w:t xml:space="preserve"> במעמד הנוכחים.</w:t>
      </w:r>
    </w:p>
    <w:p w14:paraId="67761E3F" w14:textId="77777777" w:rsidR="00C80095" w:rsidRDefault="00C80095" w:rsidP="00C80095">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62943" w14:paraId="78A7C997" w14:textId="77777777" w:rsidTr="00C80095">
        <w:trPr>
          <w:trHeight w:val="316"/>
          <w:jc w:val="right"/>
        </w:trPr>
        <w:tc>
          <w:tcPr>
            <w:tcW w:w="3936" w:type="dxa"/>
            <w:shd w:val="clear" w:color="auto" w:fill="auto"/>
          </w:tcPr>
          <w:p w14:paraId="39733F56" w14:textId="77777777" w:rsidR="00C80095" w:rsidRDefault="00C80095" w:rsidP="00C80095">
            <w:pPr>
              <w:jc w:val="center"/>
            </w:pPr>
            <w:r>
              <w:rPr>
                <w:rtl/>
              </w:rPr>
              <w:t xml:space="preserve">     </w:t>
            </w:r>
          </w:p>
          <w:p w14:paraId="1551A807" w14:textId="77777777" w:rsidR="00C80095" w:rsidRDefault="00C80095" w:rsidP="00C80095">
            <w:pPr>
              <w:jc w:val="center"/>
              <w:rPr>
                <w:rtl/>
              </w:rPr>
            </w:pPr>
          </w:p>
        </w:tc>
      </w:tr>
      <w:tr w:rsidR="00162943" w14:paraId="50BDF994" w14:textId="77777777" w:rsidTr="00C80095">
        <w:trPr>
          <w:trHeight w:val="361"/>
          <w:jc w:val="right"/>
        </w:trPr>
        <w:tc>
          <w:tcPr>
            <w:tcW w:w="3936" w:type="dxa"/>
            <w:shd w:val="clear" w:color="auto" w:fill="auto"/>
          </w:tcPr>
          <w:p w14:paraId="57ED96C5" w14:textId="77777777" w:rsidR="00C80095" w:rsidRPr="00C80095" w:rsidRDefault="00C80095" w:rsidP="00C80095">
            <w:pPr>
              <w:jc w:val="center"/>
              <w:rPr>
                <w:b/>
                <w:bCs/>
                <w:rtl/>
              </w:rPr>
            </w:pPr>
            <w:r w:rsidRPr="00C80095">
              <w:rPr>
                <w:b/>
                <w:bCs/>
                <w:rtl/>
              </w:rPr>
              <w:t>שירלי</w:t>
            </w:r>
            <w:r w:rsidRPr="00C80095">
              <w:rPr>
                <w:rFonts w:hint="cs"/>
                <w:b/>
                <w:bCs/>
                <w:rtl/>
              </w:rPr>
              <w:t xml:space="preserve"> </w:t>
            </w:r>
            <w:r w:rsidRPr="00C80095">
              <w:rPr>
                <w:b/>
                <w:bCs/>
                <w:rtl/>
              </w:rPr>
              <w:t>דקל נוה</w:t>
            </w:r>
            <w:r w:rsidRPr="00C80095">
              <w:rPr>
                <w:rFonts w:hint="cs"/>
                <w:b/>
                <w:bCs/>
                <w:rtl/>
              </w:rPr>
              <w:t xml:space="preserve">, </w:t>
            </w:r>
            <w:r w:rsidRPr="00C80095">
              <w:rPr>
                <w:b/>
                <w:bCs/>
                <w:rtl/>
              </w:rPr>
              <w:t xml:space="preserve">שופטת בכירה </w:t>
            </w:r>
          </w:p>
        </w:tc>
      </w:tr>
    </w:tbl>
    <w:p w14:paraId="231C7FD4" w14:textId="77777777" w:rsidR="00C80095" w:rsidRDefault="00C80095" w:rsidP="00C80095">
      <w:pPr>
        <w:jc w:val="right"/>
        <w:rPr>
          <w:rtl/>
        </w:rPr>
      </w:pPr>
    </w:p>
    <w:p w14:paraId="1760B26C" w14:textId="77777777" w:rsidR="00C80095" w:rsidRPr="00F012AC" w:rsidRDefault="00C80095" w:rsidP="00C80095">
      <w:pPr>
        <w:spacing w:line="360" w:lineRule="auto"/>
        <w:jc w:val="both"/>
        <w:rPr>
          <w:b/>
          <w:bCs/>
          <w:u w:val="single"/>
          <w:rtl/>
        </w:rPr>
      </w:pPr>
      <w:r w:rsidRPr="00F012AC">
        <w:rPr>
          <w:rFonts w:hint="cs"/>
          <w:b/>
          <w:bCs/>
          <w:u w:val="single"/>
          <w:rtl/>
        </w:rPr>
        <w:t>ב"כ הנאשם:</w:t>
      </w:r>
    </w:p>
    <w:p w14:paraId="73A99ADE" w14:textId="77777777" w:rsidR="00C80095" w:rsidRDefault="00C80095" w:rsidP="00C80095">
      <w:pPr>
        <w:spacing w:line="360" w:lineRule="auto"/>
        <w:jc w:val="both"/>
        <w:rPr>
          <w:rtl/>
        </w:rPr>
      </w:pPr>
      <w:r>
        <w:rPr>
          <w:rFonts w:hint="cs"/>
          <w:rtl/>
        </w:rPr>
        <w:t xml:space="preserve">אבקש שריצוי המאסר יתחיל מיום 5.11.17 על מנת שהנאשם יוכל לעבור מיון מוקדם. </w:t>
      </w:r>
    </w:p>
    <w:p w14:paraId="4CA73B59" w14:textId="77777777" w:rsidR="00C80095" w:rsidRDefault="00C80095" w:rsidP="00C80095">
      <w:pPr>
        <w:spacing w:line="360" w:lineRule="auto"/>
        <w:jc w:val="both"/>
        <w:rPr>
          <w:rtl/>
        </w:rPr>
      </w:pPr>
      <w:r>
        <w:rPr>
          <w:rFonts w:hint="cs"/>
          <w:rtl/>
        </w:rPr>
        <w:t>כמו כן אבקש לקזז את הקנס מכספים שהופקדו ע"י הנאשם ב</w:t>
      </w:r>
      <w:hyperlink r:id="rId26" w:history="1">
        <w:r w:rsidR="00162943" w:rsidRPr="00162943">
          <w:rPr>
            <w:rStyle w:val="Hyperlink"/>
            <w:rFonts w:hint="eastAsia"/>
            <w:rtl/>
          </w:rPr>
          <w:t>מ</w:t>
        </w:r>
        <w:r w:rsidR="00162943" w:rsidRPr="00162943">
          <w:rPr>
            <w:rStyle w:val="Hyperlink"/>
            <w:rtl/>
          </w:rPr>
          <w:t>"ת 62826-05-17</w:t>
        </w:r>
      </w:hyperlink>
      <w:r>
        <w:rPr>
          <w:rFonts w:hint="cs"/>
          <w:rtl/>
        </w:rPr>
        <w:t xml:space="preserve"> ביום 5.7.17. </w:t>
      </w:r>
    </w:p>
    <w:p w14:paraId="469C932F" w14:textId="77777777" w:rsidR="00C80095" w:rsidRDefault="00C80095" w:rsidP="00C80095">
      <w:pPr>
        <w:spacing w:line="360" w:lineRule="auto"/>
        <w:jc w:val="both"/>
        <w:rPr>
          <w:rtl/>
        </w:rPr>
      </w:pPr>
      <w:r>
        <w:rPr>
          <w:rFonts w:hint="cs"/>
          <w:rtl/>
        </w:rPr>
        <w:t xml:space="preserve">את  יתרת הקנס אבקש לפרוס ל-3 תשלומים. </w:t>
      </w:r>
    </w:p>
    <w:p w14:paraId="7FC74158" w14:textId="77777777" w:rsidR="00C80095" w:rsidRDefault="00C80095" w:rsidP="00C80095">
      <w:pPr>
        <w:spacing w:line="360" w:lineRule="auto"/>
        <w:jc w:val="both"/>
        <w:rPr>
          <w:rtl/>
        </w:rPr>
      </w:pPr>
      <w:r>
        <w:rPr>
          <w:rFonts w:hint="cs"/>
          <w:rtl/>
        </w:rPr>
        <w:t xml:space="preserve">הנאשם מוסר כי נתפס בידיו בעת מעצרו טלפון סלולארי גלקסי והוא מבקש שיושב לו. </w:t>
      </w:r>
    </w:p>
    <w:p w14:paraId="1A22D3EB" w14:textId="77777777" w:rsidR="00C80095" w:rsidRDefault="00C80095" w:rsidP="00C80095">
      <w:pPr>
        <w:spacing w:line="360" w:lineRule="auto"/>
        <w:jc w:val="both"/>
        <w:rPr>
          <w:rtl/>
        </w:rPr>
      </w:pPr>
    </w:p>
    <w:p w14:paraId="45289718" w14:textId="77777777" w:rsidR="00C80095" w:rsidRPr="00F012AC" w:rsidRDefault="00C80095" w:rsidP="00C80095">
      <w:pPr>
        <w:spacing w:line="360" w:lineRule="auto"/>
        <w:jc w:val="both"/>
        <w:rPr>
          <w:b/>
          <w:bCs/>
          <w:u w:val="single"/>
          <w:rtl/>
        </w:rPr>
      </w:pPr>
      <w:r w:rsidRPr="00F012AC">
        <w:rPr>
          <w:rFonts w:hint="cs"/>
          <w:b/>
          <w:bCs/>
          <w:u w:val="single"/>
          <w:rtl/>
        </w:rPr>
        <w:t>ב"כ המאשימה:</w:t>
      </w:r>
    </w:p>
    <w:p w14:paraId="41393A74" w14:textId="77777777" w:rsidR="00C80095" w:rsidRDefault="00C80095" w:rsidP="00C80095">
      <w:pPr>
        <w:spacing w:line="360" w:lineRule="auto"/>
        <w:jc w:val="both"/>
        <w:rPr>
          <w:rtl/>
        </w:rPr>
      </w:pPr>
      <w:r>
        <w:rPr>
          <w:rFonts w:hint="cs"/>
          <w:rtl/>
        </w:rPr>
        <w:t xml:space="preserve">אין התנגדות. </w:t>
      </w:r>
    </w:p>
    <w:p w14:paraId="4B843999" w14:textId="77777777" w:rsidR="00C80095" w:rsidRDefault="00C80095" w:rsidP="00C80095">
      <w:pPr>
        <w:spacing w:line="360" w:lineRule="auto"/>
        <w:jc w:val="both"/>
        <w:rPr>
          <w:rtl/>
        </w:rPr>
      </w:pPr>
      <w:r>
        <w:rPr>
          <w:rFonts w:hint="cs"/>
          <w:rtl/>
        </w:rPr>
        <w:t xml:space="preserve">לענין הטלפון, אין התנגדות להשבת הטלפון ובלבד שהנאשם יציג אישור שהטלפון בבעלותו. </w:t>
      </w:r>
    </w:p>
    <w:p w14:paraId="2AA28B09" w14:textId="77777777" w:rsidR="00C80095" w:rsidRDefault="00C80095" w:rsidP="00C80095">
      <w:pPr>
        <w:spacing w:line="360" w:lineRule="auto"/>
        <w:jc w:val="both"/>
        <w:rPr>
          <w:rtl/>
        </w:rPr>
      </w:pPr>
    </w:p>
    <w:p w14:paraId="38BC93B0" w14:textId="77777777" w:rsidR="00C80095" w:rsidRDefault="00C80095" w:rsidP="00C80095">
      <w:pPr>
        <w:spacing w:line="360" w:lineRule="auto"/>
        <w:jc w:val="both"/>
        <w:rPr>
          <w:rtl/>
        </w:rPr>
      </w:pPr>
    </w:p>
    <w:p w14:paraId="357AA25A" w14:textId="77777777" w:rsidR="00C80095" w:rsidRDefault="00C80095" w:rsidP="00C80095">
      <w:pPr>
        <w:spacing w:line="360" w:lineRule="auto"/>
        <w:jc w:val="both"/>
        <w:rPr>
          <w:sz w:val="6"/>
          <w:szCs w:val="6"/>
          <w:rtl/>
        </w:rPr>
      </w:pPr>
      <w:r>
        <w:rPr>
          <w:sz w:val="6"/>
          <w:szCs w:val="6"/>
          <w:rtl/>
        </w:rPr>
        <w:t>&lt;#5#&gt;</w:t>
      </w:r>
    </w:p>
    <w:p w14:paraId="3CB32140" w14:textId="77777777" w:rsidR="00C80095" w:rsidRDefault="00C80095" w:rsidP="00C8009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3F0F63D3" w14:textId="77777777" w:rsidR="00C80095" w:rsidRDefault="00C80095" w:rsidP="00C80095">
      <w:pPr>
        <w:spacing w:line="360" w:lineRule="auto"/>
        <w:jc w:val="center"/>
        <w:rPr>
          <w:rtl/>
        </w:rPr>
      </w:pPr>
    </w:p>
    <w:p w14:paraId="4C756BBF" w14:textId="77777777" w:rsidR="00C80095" w:rsidRPr="005C2A1F" w:rsidRDefault="00C80095" w:rsidP="00C80095">
      <w:pPr>
        <w:spacing w:line="360" w:lineRule="auto"/>
        <w:jc w:val="both"/>
        <w:rPr>
          <w:rtl/>
        </w:rPr>
      </w:pPr>
      <w:r>
        <w:rPr>
          <w:rFonts w:hint="cs"/>
          <w:rtl/>
        </w:rPr>
        <w:t xml:space="preserve">לבקשת ב"כ הנאשם, </w:t>
      </w:r>
      <w:r w:rsidRPr="005C2A1F">
        <w:rPr>
          <w:rFonts w:hint="eastAsia"/>
          <w:rtl/>
        </w:rPr>
        <w:t>אני</w:t>
      </w:r>
      <w:r w:rsidRPr="005C2A1F">
        <w:rPr>
          <w:rtl/>
        </w:rPr>
        <w:t xml:space="preserve"> </w:t>
      </w:r>
      <w:r w:rsidRPr="005C2A1F">
        <w:rPr>
          <w:rFonts w:hint="eastAsia"/>
          <w:rtl/>
        </w:rPr>
        <w:t>מעכבת</w:t>
      </w:r>
      <w:r w:rsidRPr="005C2A1F">
        <w:rPr>
          <w:rtl/>
        </w:rPr>
        <w:t xml:space="preserve"> </w:t>
      </w:r>
      <w:r w:rsidRPr="005C2A1F">
        <w:rPr>
          <w:rFonts w:hint="eastAsia"/>
          <w:rtl/>
        </w:rPr>
        <w:t>את</w:t>
      </w:r>
      <w:r w:rsidRPr="005C2A1F">
        <w:rPr>
          <w:rtl/>
        </w:rPr>
        <w:t xml:space="preserve"> </w:t>
      </w:r>
      <w:r w:rsidRPr="005C2A1F">
        <w:rPr>
          <w:rFonts w:hint="eastAsia"/>
          <w:rtl/>
        </w:rPr>
        <w:t>ריצוי</w:t>
      </w:r>
      <w:r w:rsidRPr="005C2A1F">
        <w:rPr>
          <w:rtl/>
        </w:rPr>
        <w:t xml:space="preserve"> </w:t>
      </w:r>
      <w:r w:rsidRPr="005C2A1F">
        <w:rPr>
          <w:rFonts w:hint="eastAsia"/>
          <w:rtl/>
        </w:rPr>
        <w:t>המאסר</w:t>
      </w:r>
      <w:r w:rsidRPr="005C2A1F">
        <w:rPr>
          <w:rtl/>
        </w:rPr>
        <w:t xml:space="preserve"> </w:t>
      </w:r>
      <w:r w:rsidRPr="005C2A1F">
        <w:rPr>
          <w:rFonts w:hint="eastAsia"/>
          <w:rtl/>
        </w:rPr>
        <w:t>בפועל</w:t>
      </w:r>
      <w:r w:rsidRPr="005C2A1F">
        <w:rPr>
          <w:rtl/>
        </w:rPr>
        <w:t xml:space="preserve"> </w:t>
      </w:r>
      <w:r w:rsidRPr="005C2A1F">
        <w:rPr>
          <w:rFonts w:hint="eastAsia"/>
          <w:rtl/>
        </w:rPr>
        <w:t>עד</w:t>
      </w:r>
      <w:r w:rsidRPr="005C2A1F">
        <w:rPr>
          <w:rtl/>
        </w:rPr>
        <w:t xml:space="preserve"> </w:t>
      </w:r>
      <w:r w:rsidRPr="005C2A1F">
        <w:rPr>
          <w:rFonts w:hint="eastAsia"/>
          <w:rtl/>
        </w:rPr>
        <w:t>יום</w:t>
      </w:r>
      <w:r w:rsidRPr="005C2A1F">
        <w:rPr>
          <w:rtl/>
        </w:rPr>
        <w:t xml:space="preserve"> </w:t>
      </w:r>
      <w:r>
        <w:rPr>
          <w:rFonts w:hint="cs"/>
          <w:rtl/>
        </w:rPr>
        <w:t xml:space="preserve">5.11.17, לצורך מיון מוקדם והתארגנות. </w:t>
      </w:r>
      <w:r w:rsidRPr="005C2A1F">
        <w:rPr>
          <w:rFonts w:hint="eastAsia"/>
          <w:rtl/>
        </w:rPr>
        <w:t>הנאשם</w:t>
      </w:r>
      <w:r w:rsidRPr="005C2A1F">
        <w:rPr>
          <w:rtl/>
        </w:rPr>
        <w:t xml:space="preserve"> </w:t>
      </w:r>
      <w:r w:rsidRPr="005C2A1F">
        <w:rPr>
          <w:rFonts w:hint="eastAsia"/>
          <w:rtl/>
        </w:rPr>
        <w:t>יתייצב</w:t>
      </w:r>
      <w:r w:rsidRPr="005C2A1F">
        <w:rPr>
          <w:rtl/>
        </w:rPr>
        <w:t xml:space="preserve"> </w:t>
      </w:r>
      <w:r w:rsidRPr="005C2A1F">
        <w:rPr>
          <w:rFonts w:hint="eastAsia"/>
          <w:rtl/>
        </w:rPr>
        <w:t>ב</w:t>
      </w:r>
      <w:r>
        <w:rPr>
          <w:rFonts w:hint="cs"/>
          <w:rtl/>
        </w:rPr>
        <w:t>יום 5.11.17</w:t>
      </w:r>
      <w:r w:rsidRPr="005C2A1F">
        <w:rPr>
          <w:rtl/>
        </w:rPr>
        <w:t xml:space="preserve"> </w:t>
      </w:r>
      <w:r w:rsidRPr="005C2A1F">
        <w:rPr>
          <w:rFonts w:hint="eastAsia"/>
          <w:rtl/>
        </w:rPr>
        <w:t>בבית</w:t>
      </w:r>
      <w:r w:rsidRPr="005C2A1F">
        <w:rPr>
          <w:rtl/>
        </w:rPr>
        <w:t xml:space="preserve"> </w:t>
      </w:r>
      <w:r w:rsidRPr="005C2A1F">
        <w:rPr>
          <w:rFonts w:hint="eastAsia"/>
          <w:rtl/>
        </w:rPr>
        <w:t>מעצר</w:t>
      </w:r>
      <w:r w:rsidRPr="005C2A1F">
        <w:rPr>
          <w:rtl/>
        </w:rPr>
        <w:t xml:space="preserve"> </w:t>
      </w:r>
      <w:r w:rsidRPr="005C2A1F">
        <w:rPr>
          <w:rFonts w:hint="eastAsia"/>
          <w:rtl/>
        </w:rPr>
        <w:t>הדרים</w:t>
      </w:r>
      <w:r w:rsidRPr="005C2A1F">
        <w:rPr>
          <w:rtl/>
        </w:rPr>
        <w:t xml:space="preserve"> </w:t>
      </w:r>
      <w:r w:rsidRPr="005C2A1F">
        <w:rPr>
          <w:rFonts w:hint="eastAsia"/>
          <w:rtl/>
        </w:rPr>
        <w:t>עד</w:t>
      </w:r>
      <w:r w:rsidRPr="005C2A1F">
        <w:rPr>
          <w:rtl/>
        </w:rPr>
        <w:t xml:space="preserve"> </w:t>
      </w:r>
      <w:r w:rsidRPr="005C2A1F">
        <w:rPr>
          <w:rFonts w:hint="eastAsia"/>
          <w:rtl/>
        </w:rPr>
        <w:t>השעה</w:t>
      </w:r>
      <w:r w:rsidRPr="005C2A1F">
        <w:rPr>
          <w:rtl/>
        </w:rPr>
        <w:t xml:space="preserve"> 10:00 </w:t>
      </w:r>
      <w:r w:rsidRPr="005C2A1F">
        <w:rPr>
          <w:rFonts w:hint="eastAsia"/>
          <w:rtl/>
        </w:rPr>
        <w:t>או</w:t>
      </w:r>
      <w:r w:rsidRPr="005C2A1F">
        <w:rPr>
          <w:rtl/>
        </w:rPr>
        <w:t xml:space="preserve"> </w:t>
      </w:r>
      <w:r w:rsidRPr="005C2A1F">
        <w:rPr>
          <w:rFonts w:hint="eastAsia"/>
          <w:rtl/>
        </w:rPr>
        <w:t>על</w:t>
      </w:r>
      <w:r w:rsidRPr="005C2A1F">
        <w:rPr>
          <w:rtl/>
        </w:rPr>
        <w:t xml:space="preserve"> </w:t>
      </w:r>
      <w:r w:rsidRPr="005C2A1F">
        <w:rPr>
          <w:rFonts w:hint="eastAsia"/>
          <w:rtl/>
        </w:rPr>
        <w:t>פי</w:t>
      </w:r>
      <w:r w:rsidRPr="005C2A1F">
        <w:rPr>
          <w:rtl/>
        </w:rPr>
        <w:t xml:space="preserve"> </w:t>
      </w:r>
      <w:r w:rsidRPr="005C2A1F">
        <w:rPr>
          <w:rFonts w:hint="eastAsia"/>
          <w:rtl/>
        </w:rPr>
        <w:t>החלטת</w:t>
      </w:r>
      <w:r w:rsidRPr="005C2A1F">
        <w:rPr>
          <w:rtl/>
        </w:rPr>
        <w:t xml:space="preserve"> </w:t>
      </w:r>
      <w:r w:rsidRPr="005C2A1F">
        <w:rPr>
          <w:rFonts w:hint="eastAsia"/>
          <w:rtl/>
        </w:rPr>
        <w:t>שב</w:t>
      </w:r>
      <w:r w:rsidRPr="005C2A1F">
        <w:rPr>
          <w:rtl/>
        </w:rPr>
        <w:t>"</w:t>
      </w:r>
      <w:r w:rsidRPr="005C2A1F">
        <w:rPr>
          <w:rFonts w:hint="eastAsia"/>
          <w:rtl/>
        </w:rPr>
        <w:t>ס</w:t>
      </w:r>
      <w:r w:rsidRPr="005C2A1F">
        <w:rPr>
          <w:rtl/>
        </w:rPr>
        <w:t xml:space="preserve">, </w:t>
      </w:r>
      <w:r w:rsidRPr="005C2A1F">
        <w:rPr>
          <w:rFonts w:hint="eastAsia"/>
          <w:rtl/>
        </w:rPr>
        <w:t>כשברשותו</w:t>
      </w:r>
      <w:r w:rsidRPr="005C2A1F">
        <w:rPr>
          <w:rtl/>
        </w:rPr>
        <w:t xml:space="preserve"> </w:t>
      </w:r>
      <w:r w:rsidRPr="005C2A1F">
        <w:rPr>
          <w:rFonts w:hint="eastAsia"/>
          <w:rtl/>
        </w:rPr>
        <w:t>תעודת</w:t>
      </w:r>
      <w:r w:rsidRPr="005C2A1F">
        <w:rPr>
          <w:rtl/>
        </w:rPr>
        <w:t xml:space="preserve"> </w:t>
      </w:r>
      <w:r w:rsidRPr="005C2A1F">
        <w:rPr>
          <w:rFonts w:hint="eastAsia"/>
          <w:rtl/>
        </w:rPr>
        <w:t>זהות</w:t>
      </w:r>
      <w:r w:rsidRPr="005C2A1F">
        <w:rPr>
          <w:rtl/>
        </w:rPr>
        <w:t xml:space="preserve"> </w:t>
      </w:r>
      <w:r w:rsidRPr="005C2A1F">
        <w:rPr>
          <w:rFonts w:hint="eastAsia"/>
          <w:rtl/>
        </w:rPr>
        <w:t>או</w:t>
      </w:r>
      <w:r w:rsidRPr="005C2A1F">
        <w:rPr>
          <w:rtl/>
        </w:rPr>
        <w:t xml:space="preserve"> </w:t>
      </w:r>
      <w:r w:rsidRPr="005C2A1F">
        <w:rPr>
          <w:rFonts w:hint="eastAsia"/>
          <w:rtl/>
        </w:rPr>
        <w:t>דרכון</w:t>
      </w:r>
      <w:r w:rsidRPr="005C2A1F">
        <w:rPr>
          <w:rtl/>
        </w:rPr>
        <w:t xml:space="preserve">. </w:t>
      </w:r>
    </w:p>
    <w:p w14:paraId="4FB34CE9" w14:textId="77777777" w:rsidR="00C80095" w:rsidRDefault="00C80095" w:rsidP="00C80095">
      <w:pPr>
        <w:spacing w:line="360" w:lineRule="auto"/>
        <w:jc w:val="both"/>
        <w:rPr>
          <w:rtl/>
        </w:rPr>
      </w:pPr>
      <w:r w:rsidRPr="005C2A1F">
        <w:rPr>
          <w:rFonts w:hint="eastAsia"/>
          <w:rtl/>
        </w:rPr>
        <w:t>על</w:t>
      </w:r>
      <w:r w:rsidRPr="005C2A1F">
        <w:rPr>
          <w:rtl/>
        </w:rPr>
        <w:t xml:space="preserve"> </w:t>
      </w:r>
      <w:r w:rsidRPr="005C2A1F">
        <w:rPr>
          <w:rFonts w:hint="eastAsia"/>
          <w:rtl/>
        </w:rPr>
        <w:t>הנאשם</w:t>
      </w:r>
      <w:r w:rsidRPr="005C2A1F">
        <w:rPr>
          <w:rtl/>
        </w:rPr>
        <w:t xml:space="preserve"> </w:t>
      </w:r>
      <w:r w:rsidRPr="005C2A1F">
        <w:rPr>
          <w:rFonts w:hint="eastAsia"/>
          <w:rtl/>
        </w:rPr>
        <w:t>לתאם</w:t>
      </w:r>
      <w:r w:rsidRPr="005C2A1F">
        <w:rPr>
          <w:rtl/>
        </w:rPr>
        <w:t xml:space="preserve"> </w:t>
      </w:r>
      <w:r w:rsidRPr="005C2A1F">
        <w:rPr>
          <w:rFonts w:hint="eastAsia"/>
          <w:rtl/>
        </w:rPr>
        <w:t>את</w:t>
      </w:r>
      <w:r w:rsidRPr="005C2A1F">
        <w:rPr>
          <w:rtl/>
        </w:rPr>
        <w:t xml:space="preserve"> </w:t>
      </w:r>
      <w:r w:rsidRPr="005C2A1F">
        <w:rPr>
          <w:rFonts w:hint="eastAsia"/>
          <w:rtl/>
        </w:rPr>
        <w:t>הכניסה</w:t>
      </w:r>
      <w:r w:rsidRPr="005C2A1F">
        <w:rPr>
          <w:rtl/>
        </w:rPr>
        <w:t xml:space="preserve"> </w:t>
      </w:r>
      <w:r w:rsidRPr="005C2A1F">
        <w:rPr>
          <w:rFonts w:hint="eastAsia"/>
          <w:rtl/>
        </w:rPr>
        <w:t>למאסר</w:t>
      </w:r>
      <w:r w:rsidRPr="005C2A1F">
        <w:rPr>
          <w:rtl/>
        </w:rPr>
        <w:t xml:space="preserve">, </w:t>
      </w:r>
      <w:r w:rsidRPr="005C2A1F">
        <w:rPr>
          <w:rFonts w:hint="eastAsia"/>
          <w:rtl/>
        </w:rPr>
        <w:t>כולל</w:t>
      </w:r>
      <w:r w:rsidRPr="005C2A1F">
        <w:rPr>
          <w:rtl/>
        </w:rPr>
        <w:t xml:space="preserve"> </w:t>
      </w:r>
      <w:r w:rsidRPr="005C2A1F">
        <w:rPr>
          <w:rFonts w:hint="eastAsia"/>
          <w:rtl/>
        </w:rPr>
        <w:t>האפשרות</w:t>
      </w:r>
      <w:r w:rsidRPr="005C2A1F">
        <w:rPr>
          <w:rtl/>
        </w:rPr>
        <w:t xml:space="preserve"> </w:t>
      </w:r>
      <w:r w:rsidRPr="005C2A1F">
        <w:rPr>
          <w:rFonts w:hint="eastAsia"/>
          <w:rtl/>
        </w:rPr>
        <w:t>למיון</w:t>
      </w:r>
      <w:r w:rsidRPr="005C2A1F">
        <w:rPr>
          <w:rtl/>
        </w:rPr>
        <w:t xml:space="preserve"> </w:t>
      </w:r>
      <w:r w:rsidRPr="005C2A1F">
        <w:rPr>
          <w:rFonts w:hint="eastAsia"/>
          <w:rtl/>
        </w:rPr>
        <w:t>מוקדם</w:t>
      </w:r>
      <w:r w:rsidRPr="005C2A1F">
        <w:rPr>
          <w:rtl/>
        </w:rPr>
        <w:t xml:space="preserve">, </w:t>
      </w:r>
      <w:r w:rsidRPr="005C2A1F">
        <w:rPr>
          <w:rFonts w:hint="eastAsia"/>
          <w:rtl/>
        </w:rPr>
        <w:t>עם</w:t>
      </w:r>
      <w:r w:rsidRPr="005C2A1F">
        <w:rPr>
          <w:rtl/>
        </w:rPr>
        <w:t xml:space="preserve"> </w:t>
      </w:r>
      <w:r w:rsidRPr="005C2A1F">
        <w:rPr>
          <w:rFonts w:hint="eastAsia"/>
          <w:rtl/>
        </w:rPr>
        <w:t>ענף</w:t>
      </w:r>
      <w:r w:rsidRPr="005C2A1F">
        <w:rPr>
          <w:rtl/>
        </w:rPr>
        <w:t xml:space="preserve"> </w:t>
      </w:r>
      <w:r w:rsidRPr="005C2A1F">
        <w:rPr>
          <w:rFonts w:hint="eastAsia"/>
          <w:rtl/>
        </w:rPr>
        <w:t>אבחון</w:t>
      </w:r>
      <w:r w:rsidRPr="005C2A1F">
        <w:rPr>
          <w:rtl/>
        </w:rPr>
        <w:t xml:space="preserve"> </w:t>
      </w:r>
      <w:r w:rsidRPr="005C2A1F">
        <w:rPr>
          <w:rFonts w:hint="eastAsia"/>
          <w:rtl/>
        </w:rPr>
        <w:t>ומיון</w:t>
      </w:r>
      <w:r w:rsidRPr="005C2A1F">
        <w:rPr>
          <w:rtl/>
        </w:rPr>
        <w:t xml:space="preserve"> </w:t>
      </w:r>
      <w:r w:rsidRPr="005C2A1F">
        <w:rPr>
          <w:rFonts w:hint="eastAsia"/>
          <w:rtl/>
        </w:rPr>
        <w:t>של</w:t>
      </w:r>
      <w:r w:rsidRPr="005C2A1F">
        <w:rPr>
          <w:rtl/>
        </w:rPr>
        <w:t xml:space="preserve"> </w:t>
      </w:r>
      <w:r w:rsidRPr="005C2A1F">
        <w:rPr>
          <w:rFonts w:hint="eastAsia"/>
          <w:rtl/>
        </w:rPr>
        <w:t>שב</w:t>
      </w:r>
      <w:r w:rsidRPr="005C2A1F">
        <w:rPr>
          <w:rtl/>
        </w:rPr>
        <w:t>"</w:t>
      </w:r>
      <w:r w:rsidRPr="005C2A1F">
        <w:rPr>
          <w:rFonts w:hint="eastAsia"/>
          <w:rtl/>
        </w:rPr>
        <w:t>ס</w:t>
      </w:r>
      <w:r w:rsidRPr="005C2A1F">
        <w:rPr>
          <w:rtl/>
        </w:rPr>
        <w:t xml:space="preserve">, </w:t>
      </w:r>
      <w:r w:rsidRPr="005C2A1F">
        <w:rPr>
          <w:rFonts w:hint="eastAsia"/>
          <w:rtl/>
        </w:rPr>
        <w:t>טלפונים</w:t>
      </w:r>
      <w:r w:rsidRPr="005C2A1F">
        <w:rPr>
          <w:rtl/>
        </w:rPr>
        <w:t>: 08-9787336, 08-9787377.</w:t>
      </w:r>
    </w:p>
    <w:p w14:paraId="2C9A6E46" w14:textId="77777777" w:rsidR="00C80095" w:rsidRDefault="00C80095" w:rsidP="00C80095">
      <w:pPr>
        <w:rPr>
          <w:rtl/>
        </w:rPr>
      </w:pPr>
    </w:p>
    <w:p w14:paraId="3B852EEC" w14:textId="77777777" w:rsidR="00C80095" w:rsidRDefault="00C80095" w:rsidP="00C80095">
      <w:pPr>
        <w:spacing w:line="360" w:lineRule="auto"/>
        <w:rPr>
          <w:rtl/>
        </w:rPr>
      </w:pPr>
      <w:r>
        <w:rPr>
          <w:rFonts w:hint="cs"/>
          <w:rtl/>
        </w:rPr>
        <w:t xml:space="preserve">ככל שהנאשם יתייצב לריצוי מאסרו ויוגש על כך אישור לבית המשפט אורה על קיזוז הסכום שהופקד במסגרת תיק </w:t>
      </w:r>
      <w:hyperlink r:id="rId27" w:history="1">
        <w:r w:rsidR="00162943" w:rsidRPr="00162943">
          <w:rPr>
            <w:rStyle w:val="Hyperlink"/>
            <w:rFonts w:hint="eastAsia"/>
            <w:rtl/>
          </w:rPr>
          <w:t>מ</w:t>
        </w:r>
        <w:r w:rsidR="00162943" w:rsidRPr="00162943">
          <w:rPr>
            <w:rStyle w:val="Hyperlink"/>
            <w:rtl/>
          </w:rPr>
          <w:t>"ת 62826-05-17</w:t>
        </w:r>
      </w:hyperlink>
      <w:r>
        <w:rPr>
          <w:rFonts w:hint="cs"/>
          <w:rtl/>
        </w:rPr>
        <w:t>, וזאת בכפוף לכך שהכספים הופקדו ע"י הנאשם ואין מניעה חוקית אחרת, לרבות עיקול.</w:t>
      </w:r>
    </w:p>
    <w:p w14:paraId="7F65F61D" w14:textId="77777777" w:rsidR="00C80095" w:rsidRDefault="00C80095" w:rsidP="00C80095">
      <w:pPr>
        <w:rPr>
          <w:rtl/>
        </w:rPr>
      </w:pPr>
    </w:p>
    <w:p w14:paraId="059FA356" w14:textId="77777777" w:rsidR="00C80095" w:rsidRDefault="00C80095" w:rsidP="00C80095">
      <w:pPr>
        <w:rPr>
          <w:rtl/>
        </w:rPr>
      </w:pPr>
      <w:r>
        <w:rPr>
          <w:rFonts w:hint="cs"/>
          <w:rtl/>
        </w:rPr>
        <w:t>כמו כן לבקשת ב"כ הנאשם אני מורה על פריסת הקנס לתשלומים כדלקמן:</w:t>
      </w:r>
    </w:p>
    <w:p w14:paraId="5849C3D4" w14:textId="77777777" w:rsidR="00C80095" w:rsidRDefault="00C80095" w:rsidP="00C80095">
      <w:pPr>
        <w:rPr>
          <w:rtl/>
        </w:rPr>
      </w:pPr>
    </w:p>
    <w:p w14:paraId="20EA6E97" w14:textId="77777777" w:rsidR="00C80095" w:rsidRDefault="00C80095" w:rsidP="00C80095">
      <w:pPr>
        <w:spacing w:line="360" w:lineRule="auto"/>
        <w:jc w:val="both"/>
        <w:rPr>
          <w:rtl/>
        </w:rPr>
      </w:pPr>
      <w:r>
        <w:rPr>
          <w:rFonts w:hint="cs"/>
          <w:rtl/>
        </w:rPr>
        <w:t xml:space="preserve">סך של 8,000 ₪ עד ליום 1.12.17 והיתרה תשולם ב-3 תשלומים חודשיים, שווים ורצופים החל מיום 1.1.18 ובכל 1 לחודש שלאחריו. </w:t>
      </w:r>
    </w:p>
    <w:p w14:paraId="5CA150C6" w14:textId="77777777" w:rsidR="00C80095" w:rsidRDefault="00C80095" w:rsidP="00C80095">
      <w:pPr>
        <w:spacing w:line="360" w:lineRule="auto"/>
        <w:jc w:val="both"/>
        <w:rPr>
          <w:rtl/>
        </w:rPr>
      </w:pPr>
    </w:p>
    <w:p w14:paraId="33A4A56E" w14:textId="77777777" w:rsidR="00C80095" w:rsidRDefault="00C80095" w:rsidP="00C80095">
      <w:pPr>
        <w:spacing w:line="360" w:lineRule="auto"/>
        <w:jc w:val="both"/>
        <w:rPr>
          <w:rtl/>
        </w:rPr>
      </w:pPr>
      <w:r>
        <w:rPr>
          <w:rFonts w:hint="cs"/>
          <w:rtl/>
        </w:rPr>
        <w:t xml:space="preserve">באם תשלום אחד מן התשלומים לא יפרע במועדו ובמלואו, יעמוד מלוא הקנס או יתרתו לפירעון מיידי.  </w:t>
      </w:r>
    </w:p>
    <w:p w14:paraId="4E6B3D35" w14:textId="77777777" w:rsidR="00C80095" w:rsidRDefault="00C80095" w:rsidP="00C80095">
      <w:pPr>
        <w:spacing w:line="360" w:lineRule="auto"/>
        <w:jc w:val="both"/>
        <w:rPr>
          <w:rtl/>
        </w:rPr>
      </w:pPr>
    </w:p>
    <w:p w14:paraId="031808B4" w14:textId="77777777" w:rsidR="00C80095" w:rsidRDefault="00C80095" w:rsidP="00C80095">
      <w:pPr>
        <w:spacing w:line="360" w:lineRule="auto"/>
        <w:jc w:val="both"/>
      </w:pPr>
      <w:r>
        <w:rPr>
          <w:rFonts w:hint="cs"/>
          <w:rtl/>
        </w:rPr>
        <w:t xml:space="preserve">ככל שנתפס טלפון סלולארי של הנאשם על ידי המשטרה, ובכפוף להצגת בעלות, הוא יוחזר לידיו. </w:t>
      </w:r>
    </w:p>
    <w:p w14:paraId="4C128AD3" w14:textId="77777777" w:rsidR="00C80095" w:rsidRPr="00066CB5" w:rsidRDefault="00C80095" w:rsidP="00C80095">
      <w:pPr>
        <w:spacing w:line="360" w:lineRule="auto"/>
        <w:jc w:val="both"/>
        <w:rPr>
          <w:rtl/>
        </w:rPr>
      </w:pPr>
    </w:p>
    <w:p w14:paraId="7E64ABA6" w14:textId="77777777" w:rsidR="00C80095" w:rsidRDefault="00C80095" w:rsidP="00C80095">
      <w:pPr>
        <w:spacing w:line="360" w:lineRule="auto"/>
        <w:jc w:val="both"/>
        <w:rPr>
          <w:rtl/>
        </w:rPr>
      </w:pPr>
      <w:r>
        <w:rPr>
          <w:rFonts w:hint="cs"/>
          <w:rtl/>
        </w:rPr>
        <w:t xml:space="preserve">הנאשם יפנה למזכירות בית-המשפט לקבלת שוברים לתשלום. </w:t>
      </w:r>
    </w:p>
    <w:p w14:paraId="7719FED4" w14:textId="77777777" w:rsidR="00C80095" w:rsidRDefault="00C80095" w:rsidP="00C80095">
      <w:pPr>
        <w:rPr>
          <w:rtl/>
        </w:rPr>
      </w:pPr>
    </w:p>
    <w:p w14:paraId="3B521136" w14:textId="77777777" w:rsidR="00C80095" w:rsidRDefault="00C80095" w:rsidP="00C80095">
      <w:pPr>
        <w:rPr>
          <w:b/>
          <w:bCs/>
          <w:sz w:val="28"/>
          <w:szCs w:val="28"/>
          <w:u w:val="single"/>
          <w:rtl/>
        </w:rPr>
      </w:pPr>
      <w:r w:rsidRPr="00E53B7B">
        <w:rPr>
          <w:rFonts w:hint="cs"/>
          <w:b/>
          <w:bCs/>
          <w:sz w:val="28"/>
          <w:szCs w:val="28"/>
          <w:u w:val="single"/>
          <w:rtl/>
        </w:rPr>
        <w:t xml:space="preserve">המזכירות תשלח עותק החלטה זו לשב"ס. </w:t>
      </w:r>
    </w:p>
    <w:p w14:paraId="566B2ABE" w14:textId="77777777" w:rsidR="00C80095" w:rsidRDefault="00C80095" w:rsidP="00C80095">
      <w:pPr>
        <w:rPr>
          <w:b/>
          <w:bCs/>
          <w:sz w:val="28"/>
          <w:szCs w:val="28"/>
          <w:u w:val="single"/>
          <w:rtl/>
        </w:rPr>
      </w:pPr>
    </w:p>
    <w:p w14:paraId="6853AAF7" w14:textId="77777777" w:rsidR="00C80095" w:rsidRDefault="00C80095" w:rsidP="00C80095">
      <w:pPr>
        <w:rPr>
          <w:b/>
          <w:bCs/>
          <w:sz w:val="6"/>
          <w:szCs w:val="6"/>
          <w:rtl/>
        </w:rPr>
      </w:pPr>
      <w:r>
        <w:rPr>
          <w:b/>
          <w:bCs/>
          <w:sz w:val="6"/>
          <w:szCs w:val="6"/>
          <w:rtl/>
        </w:rPr>
        <w:t>&lt;#6#&gt;</w:t>
      </w:r>
    </w:p>
    <w:p w14:paraId="6CD2ADCE" w14:textId="77777777" w:rsidR="00C80095" w:rsidRDefault="00C80095" w:rsidP="00C80095">
      <w:pPr>
        <w:jc w:val="right"/>
        <w:rPr>
          <w:rtl/>
        </w:rPr>
      </w:pPr>
    </w:p>
    <w:p w14:paraId="69629D23" w14:textId="77777777" w:rsidR="00C80095" w:rsidRDefault="00162943" w:rsidP="00C80095">
      <w:pPr>
        <w:jc w:val="center"/>
        <w:rPr>
          <w:rtl/>
        </w:rPr>
      </w:pPr>
      <w:r w:rsidRPr="00162943">
        <w:rPr>
          <w:b/>
          <w:bCs/>
          <w:color w:val="FFFFFF"/>
          <w:sz w:val="2"/>
          <w:szCs w:val="2"/>
          <w:rtl/>
        </w:rPr>
        <w:t>5129371</w:t>
      </w:r>
      <w:r>
        <w:rPr>
          <w:b/>
          <w:bCs/>
          <w:rtl/>
        </w:rPr>
        <w:t xml:space="preserve">ניתנה והודעה היום ב' חשוון תשע"ח, 22/10/2017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62943" w14:paraId="0D1C2B01" w14:textId="77777777" w:rsidTr="00C80095">
        <w:trPr>
          <w:trHeight w:val="316"/>
          <w:jc w:val="right"/>
        </w:trPr>
        <w:tc>
          <w:tcPr>
            <w:tcW w:w="3936" w:type="dxa"/>
            <w:shd w:val="clear" w:color="auto" w:fill="auto"/>
          </w:tcPr>
          <w:p w14:paraId="073337BD" w14:textId="77777777" w:rsidR="00C80095" w:rsidRPr="00162943" w:rsidRDefault="00162943" w:rsidP="00C80095">
            <w:pPr>
              <w:jc w:val="center"/>
              <w:rPr>
                <w:color w:val="FFFFFF"/>
                <w:sz w:val="2"/>
                <w:szCs w:val="2"/>
              </w:rPr>
            </w:pPr>
            <w:r w:rsidRPr="00162943">
              <w:rPr>
                <w:color w:val="FFFFFF"/>
                <w:sz w:val="2"/>
                <w:szCs w:val="2"/>
                <w:rtl/>
              </w:rPr>
              <w:t>54678313</w:t>
            </w:r>
            <w:r w:rsidR="00C80095" w:rsidRPr="00162943">
              <w:rPr>
                <w:color w:val="FFFFFF"/>
                <w:sz w:val="2"/>
                <w:szCs w:val="2"/>
                <w:rtl/>
              </w:rPr>
              <w:t xml:space="preserve">     </w:t>
            </w:r>
          </w:p>
          <w:p w14:paraId="52EDEFFA" w14:textId="77777777" w:rsidR="00C80095" w:rsidRDefault="00C80095" w:rsidP="00C80095">
            <w:pPr>
              <w:jc w:val="center"/>
              <w:rPr>
                <w:rtl/>
              </w:rPr>
            </w:pPr>
          </w:p>
        </w:tc>
      </w:tr>
      <w:tr w:rsidR="00162943" w14:paraId="064BDADB" w14:textId="77777777" w:rsidTr="00C80095">
        <w:trPr>
          <w:trHeight w:val="361"/>
          <w:jc w:val="right"/>
        </w:trPr>
        <w:tc>
          <w:tcPr>
            <w:tcW w:w="3936" w:type="dxa"/>
            <w:shd w:val="clear" w:color="auto" w:fill="auto"/>
          </w:tcPr>
          <w:p w14:paraId="0CAA8F65" w14:textId="77777777" w:rsidR="00C80095" w:rsidRPr="00C80095" w:rsidRDefault="00C80095" w:rsidP="00C80095">
            <w:pPr>
              <w:jc w:val="center"/>
              <w:rPr>
                <w:b/>
                <w:bCs/>
                <w:rtl/>
              </w:rPr>
            </w:pPr>
            <w:r w:rsidRPr="00C80095">
              <w:rPr>
                <w:b/>
                <w:bCs/>
                <w:rtl/>
              </w:rPr>
              <w:t>שירלי</w:t>
            </w:r>
            <w:r w:rsidRPr="00C80095">
              <w:rPr>
                <w:rFonts w:hint="cs"/>
                <w:b/>
                <w:bCs/>
                <w:rtl/>
              </w:rPr>
              <w:t xml:space="preserve"> </w:t>
            </w:r>
            <w:r w:rsidRPr="00C80095">
              <w:rPr>
                <w:b/>
                <w:bCs/>
                <w:rtl/>
              </w:rPr>
              <w:t>דקל נוה</w:t>
            </w:r>
            <w:r w:rsidRPr="00C80095">
              <w:rPr>
                <w:rFonts w:hint="cs"/>
                <w:b/>
                <w:bCs/>
                <w:rtl/>
              </w:rPr>
              <w:t xml:space="preserve">, </w:t>
            </w:r>
            <w:r w:rsidRPr="00C80095">
              <w:rPr>
                <w:b/>
                <w:bCs/>
                <w:rtl/>
              </w:rPr>
              <w:t xml:space="preserve">שופטת בכירה </w:t>
            </w:r>
          </w:p>
        </w:tc>
      </w:tr>
    </w:tbl>
    <w:p w14:paraId="2717A9C6" w14:textId="77777777" w:rsidR="00C80095" w:rsidRDefault="00C80095" w:rsidP="00C80095">
      <w:pPr>
        <w:jc w:val="right"/>
        <w:rPr>
          <w:rtl/>
        </w:rPr>
      </w:pPr>
    </w:p>
    <w:p w14:paraId="51D8DCD5" w14:textId="77777777" w:rsidR="00C80095" w:rsidRDefault="00C80095" w:rsidP="00C80095">
      <w:r>
        <w:rPr>
          <w:rtl/>
        </w:rPr>
        <w:t>הוקלד</w:t>
      </w:r>
      <w:r>
        <w:t xml:space="preserve"> </w:t>
      </w:r>
      <w:r>
        <w:rPr>
          <w:rtl/>
        </w:rPr>
        <w:t>על</w:t>
      </w:r>
      <w:r>
        <w:t xml:space="preserve"> </w:t>
      </w:r>
      <w:r>
        <w:rPr>
          <w:rtl/>
        </w:rPr>
        <w:t>ידי</w:t>
      </w:r>
      <w:r>
        <w:t xml:space="preserve"> </w:t>
      </w:r>
      <w:r>
        <w:rPr>
          <w:rtl/>
        </w:rPr>
        <w:t>חדווה</w:t>
      </w:r>
      <w:r>
        <w:t xml:space="preserve"> </w:t>
      </w:r>
      <w:r>
        <w:rPr>
          <w:rtl/>
        </w:rPr>
        <w:t>ינר</w:t>
      </w:r>
    </w:p>
    <w:p w14:paraId="079CB14C" w14:textId="77777777" w:rsidR="00162943" w:rsidRPr="00162943" w:rsidRDefault="00162943" w:rsidP="00162943">
      <w:pPr>
        <w:keepNext/>
        <w:rPr>
          <w:color w:val="000000"/>
          <w:sz w:val="22"/>
          <w:szCs w:val="22"/>
          <w:rtl/>
        </w:rPr>
      </w:pPr>
    </w:p>
    <w:p w14:paraId="214A62E3" w14:textId="77777777" w:rsidR="00162943" w:rsidRPr="00162943" w:rsidRDefault="00162943" w:rsidP="00162943">
      <w:pPr>
        <w:keepNext/>
        <w:rPr>
          <w:color w:val="000000"/>
          <w:sz w:val="22"/>
          <w:szCs w:val="22"/>
          <w:rtl/>
        </w:rPr>
      </w:pPr>
      <w:r w:rsidRPr="00162943">
        <w:rPr>
          <w:color w:val="000000"/>
          <w:sz w:val="22"/>
          <w:szCs w:val="22"/>
          <w:rtl/>
        </w:rPr>
        <w:t>שירלי דקל נוה 54678313</w:t>
      </w:r>
    </w:p>
    <w:p w14:paraId="3DC073BC" w14:textId="77777777" w:rsidR="00162943" w:rsidRDefault="00162943" w:rsidP="00162943">
      <w:pPr>
        <w:rPr>
          <w:color w:val="000000"/>
          <w:rtl/>
        </w:rPr>
      </w:pPr>
      <w:r w:rsidRPr="00162943">
        <w:rPr>
          <w:color w:val="000000"/>
          <w:rtl/>
        </w:rPr>
        <w:t>נוסח מסמך זה כפוף לשינויי ניסוח ועריכה</w:t>
      </w:r>
    </w:p>
    <w:p w14:paraId="1B24C1E6" w14:textId="77777777" w:rsidR="00162943" w:rsidRDefault="00162943" w:rsidP="00162943">
      <w:pPr>
        <w:rPr>
          <w:rtl/>
        </w:rPr>
      </w:pPr>
    </w:p>
    <w:p w14:paraId="6C2F5CC8" w14:textId="77777777" w:rsidR="00162943" w:rsidRDefault="00162943" w:rsidP="00162943">
      <w:pPr>
        <w:jc w:val="center"/>
        <w:rPr>
          <w:color w:val="0000FF"/>
          <w:u w:val="single"/>
          <w:rtl/>
        </w:rPr>
      </w:pPr>
      <w:hyperlink r:id="rId28" w:history="1">
        <w:r>
          <w:rPr>
            <w:rStyle w:val="Hyperlink"/>
            <w:rtl/>
          </w:rPr>
          <w:t>בעניין עריכה ושינויים במסמכי פסיקה, חקיקה ועוד באתר נבו – הקש כאן</w:t>
        </w:r>
      </w:hyperlink>
    </w:p>
    <w:p w14:paraId="700768C1" w14:textId="77777777" w:rsidR="002D7B2F" w:rsidRPr="00162943" w:rsidRDefault="002D7B2F" w:rsidP="00162943">
      <w:pPr>
        <w:jc w:val="center"/>
        <w:rPr>
          <w:color w:val="0000FF"/>
          <w:u w:val="single"/>
        </w:rPr>
      </w:pPr>
    </w:p>
    <w:sectPr w:rsidR="002D7B2F" w:rsidRPr="00162943" w:rsidSect="00162943">
      <w:headerReference w:type="even" r:id="rId29"/>
      <w:headerReference w:type="default" r:id="rId30"/>
      <w:footerReference w:type="even" r:id="rId31"/>
      <w:footerReference w:type="default" r:id="rId3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8C40A" w14:textId="77777777" w:rsidR="008F0423" w:rsidRDefault="008F0423">
      <w:r>
        <w:separator/>
      </w:r>
    </w:p>
  </w:endnote>
  <w:endnote w:type="continuationSeparator" w:id="0">
    <w:p w14:paraId="0D49ED5A" w14:textId="77777777" w:rsidR="008F0423" w:rsidRDefault="008F0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057CC4" w14:textId="77777777" w:rsidR="008F0423" w:rsidRDefault="008F0423" w:rsidP="001629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10</w:t>
    </w:r>
    <w:r>
      <w:rPr>
        <w:rFonts w:ascii="FrankRuehl" w:hAnsi="FrankRuehl" w:cs="FrankRuehl"/>
        <w:rtl/>
      </w:rPr>
      <w:fldChar w:fldCharType="end"/>
    </w:r>
  </w:p>
  <w:p w14:paraId="6F905AC5" w14:textId="77777777" w:rsidR="008F0423" w:rsidRPr="00162943" w:rsidRDefault="008F0423" w:rsidP="00162943">
    <w:pPr>
      <w:pStyle w:val="a5"/>
      <w:pBdr>
        <w:top w:val="single" w:sz="4" w:space="1" w:color="auto"/>
        <w:between w:val="single" w:sz="4" w:space="0" w:color="auto"/>
      </w:pBdr>
      <w:spacing w:after="60"/>
      <w:jc w:val="center"/>
      <w:rPr>
        <w:rFonts w:ascii="FrankRuehl" w:hAnsi="FrankRuehl" w:cs="FrankRuehl"/>
        <w:color w:val="000000"/>
      </w:rPr>
    </w:pPr>
    <w:r w:rsidRPr="00162943">
      <w:rPr>
        <w:rFonts w:ascii="FrankRuehl" w:hAnsi="FrankRuehl" w:cs="FrankRuehl"/>
        <w:color w:val="000000"/>
      </w:rPr>
      <w:pict w14:anchorId="22453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CD5CE" w14:textId="77777777" w:rsidR="008F0423" w:rsidRDefault="008F0423" w:rsidP="0016294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85DAA">
      <w:rPr>
        <w:rFonts w:ascii="FrankRuehl" w:hAnsi="FrankRuehl" w:cs="FrankRuehl"/>
        <w:noProof/>
        <w:rtl/>
      </w:rPr>
      <w:t>1</w:t>
    </w:r>
    <w:r>
      <w:rPr>
        <w:rFonts w:ascii="FrankRuehl" w:hAnsi="FrankRuehl" w:cs="FrankRuehl"/>
        <w:rtl/>
      </w:rPr>
      <w:fldChar w:fldCharType="end"/>
    </w:r>
  </w:p>
  <w:p w14:paraId="6273079E" w14:textId="77777777" w:rsidR="008F0423" w:rsidRPr="00162943" w:rsidRDefault="008F0423" w:rsidP="00162943">
    <w:pPr>
      <w:pStyle w:val="a5"/>
      <w:pBdr>
        <w:top w:val="single" w:sz="4" w:space="1" w:color="auto"/>
        <w:between w:val="single" w:sz="4" w:space="0" w:color="auto"/>
      </w:pBdr>
      <w:spacing w:after="60"/>
      <w:jc w:val="center"/>
      <w:rPr>
        <w:rFonts w:ascii="FrankRuehl" w:hAnsi="FrankRuehl" w:cs="FrankRuehl"/>
        <w:color w:val="000000"/>
      </w:rPr>
    </w:pPr>
    <w:r w:rsidRPr="00162943">
      <w:rPr>
        <w:rFonts w:ascii="FrankRuehl" w:hAnsi="FrankRuehl" w:cs="FrankRuehl"/>
        <w:color w:val="000000"/>
      </w:rPr>
      <w:pict w14:anchorId="593B63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D8BDF" w14:textId="77777777" w:rsidR="008F0423" w:rsidRDefault="008F0423">
      <w:r>
        <w:separator/>
      </w:r>
    </w:p>
  </w:footnote>
  <w:footnote w:type="continuationSeparator" w:id="0">
    <w:p w14:paraId="03B0A398" w14:textId="77777777" w:rsidR="008F0423" w:rsidRDefault="008F0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22389" w14:textId="77777777" w:rsidR="008F0423" w:rsidRPr="00162943" w:rsidRDefault="008F0423" w:rsidP="0016294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62803-05-17</w:t>
    </w:r>
    <w:r>
      <w:rPr>
        <w:color w:val="000000"/>
        <w:sz w:val="22"/>
        <w:szCs w:val="22"/>
        <w:rtl/>
      </w:rPr>
      <w:tab/>
      <w:t xml:space="preserve"> מדינת ישראל נ' שמעון כרמלי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EFAE5" w14:textId="77777777" w:rsidR="008F0423" w:rsidRPr="00162943" w:rsidRDefault="008F0423" w:rsidP="0016294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62803-05-17</w:t>
    </w:r>
    <w:r>
      <w:rPr>
        <w:color w:val="000000"/>
        <w:sz w:val="22"/>
        <w:szCs w:val="22"/>
        <w:rtl/>
      </w:rPr>
      <w:tab/>
      <w:t xml:space="preserve"> מדינת ישראל נ' שמעון כרמלי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0095"/>
    <w:rsid w:val="000C08F2"/>
    <w:rsid w:val="00162943"/>
    <w:rsid w:val="001D248A"/>
    <w:rsid w:val="002D7B2F"/>
    <w:rsid w:val="00385DAA"/>
    <w:rsid w:val="004021CD"/>
    <w:rsid w:val="00477E8B"/>
    <w:rsid w:val="008F0423"/>
    <w:rsid w:val="00AC58C7"/>
    <w:rsid w:val="00BA16A0"/>
    <w:rsid w:val="00C80095"/>
    <w:rsid w:val="00C83B2A"/>
    <w:rsid w:val="00EC6B40"/>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116C9B6"/>
  <w15:chartTrackingRefBased/>
  <w15:docId w15:val="{761EF7DA-0222-45EC-9375-E930D393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0095"/>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C80095"/>
    <w:pPr>
      <w:tabs>
        <w:tab w:val="center" w:pos="4153"/>
        <w:tab w:val="right" w:pos="8306"/>
      </w:tabs>
    </w:pPr>
  </w:style>
  <w:style w:type="character" w:customStyle="1" w:styleId="a4">
    <w:name w:val="כותרת עליונה תו"/>
    <w:link w:val="a3"/>
    <w:rsid w:val="00C80095"/>
    <w:rPr>
      <w:rFonts w:ascii="David" w:eastAsia="David" w:hAnsi="David" w:cs="David"/>
      <w:sz w:val="24"/>
      <w:szCs w:val="24"/>
    </w:rPr>
  </w:style>
  <w:style w:type="paragraph" w:styleId="a5">
    <w:name w:val="footer"/>
    <w:basedOn w:val="a"/>
    <w:link w:val="a6"/>
    <w:rsid w:val="00C80095"/>
    <w:pPr>
      <w:tabs>
        <w:tab w:val="center" w:pos="4153"/>
        <w:tab w:val="right" w:pos="8306"/>
      </w:tabs>
    </w:pPr>
  </w:style>
  <w:style w:type="character" w:customStyle="1" w:styleId="a6">
    <w:name w:val="כותרת תחתונה תו"/>
    <w:link w:val="a5"/>
    <w:rsid w:val="00C80095"/>
    <w:rPr>
      <w:rFonts w:ascii="David" w:eastAsia="David" w:hAnsi="David" w:cs="David"/>
      <w:sz w:val="24"/>
      <w:szCs w:val="24"/>
    </w:rPr>
  </w:style>
  <w:style w:type="table" w:styleId="a7">
    <w:name w:val="Table Grid"/>
    <w:basedOn w:val="a1"/>
    <w:rsid w:val="00C80095"/>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80095"/>
  </w:style>
  <w:style w:type="paragraph" w:customStyle="1" w:styleId="12">
    <w:name w:val="רגיל + ‏12 נק'"/>
    <w:aliases w:val="מיושר לשני הצדדים,מרווח בין שורות:  שורה וחצי"/>
    <w:basedOn w:val="a"/>
    <w:rsid w:val="00C80095"/>
    <w:rPr>
      <w:rFonts w:ascii="Times New Roman" w:eastAsia="Times New Roman" w:hAnsi="Times New Roman"/>
      <w:b/>
      <w:bCs/>
      <w:u w:val="single"/>
    </w:rPr>
  </w:style>
  <w:style w:type="paragraph" w:styleId="a9">
    <w:name w:val="Body Text"/>
    <w:basedOn w:val="a"/>
    <w:link w:val="aa"/>
    <w:rsid w:val="00C80095"/>
    <w:pPr>
      <w:snapToGrid w:val="0"/>
      <w:spacing w:line="360" w:lineRule="auto"/>
      <w:ind w:right="720"/>
    </w:pPr>
    <w:rPr>
      <w:rFonts w:ascii="Times New Roman" w:eastAsia="Times New Roman" w:hAnsi="Times New Roman" w:cs="Times New Roman"/>
      <w:sz w:val="22"/>
      <w:lang w:eastAsia="he-IL"/>
    </w:rPr>
  </w:style>
  <w:style w:type="character" w:customStyle="1" w:styleId="aa">
    <w:name w:val="גוף טקסט תו"/>
    <w:link w:val="a9"/>
    <w:rsid w:val="00C80095"/>
    <w:rPr>
      <w:rFonts w:ascii="Times New Roman" w:eastAsia="Times New Roman" w:hAnsi="Times New Roman" w:cs="Times New Roman"/>
      <w:szCs w:val="24"/>
      <w:lang w:eastAsia="he-IL"/>
    </w:rPr>
  </w:style>
  <w:style w:type="paragraph" w:styleId="ab">
    <w:name w:val="Body Text Indent"/>
    <w:basedOn w:val="a"/>
    <w:link w:val="ac"/>
    <w:rsid w:val="00C80095"/>
    <w:pPr>
      <w:snapToGrid w:val="0"/>
      <w:spacing w:after="120"/>
      <w:ind w:left="283"/>
    </w:pPr>
    <w:rPr>
      <w:rFonts w:ascii="Times New Roman" w:eastAsia="Times New Roman" w:hAnsi="Times New Roman"/>
      <w:sz w:val="20"/>
      <w:lang w:eastAsia="he-IL"/>
    </w:rPr>
  </w:style>
  <w:style w:type="character" w:customStyle="1" w:styleId="ac">
    <w:name w:val="כניסה בגוף טקסט תו"/>
    <w:link w:val="ab"/>
    <w:rsid w:val="00C80095"/>
    <w:rPr>
      <w:rFonts w:ascii="Times New Roman" w:eastAsia="Times New Roman" w:hAnsi="Times New Roman" w:cs="David"/>
      <w:sz w:val="20"/>
      <w:szCs w:val="24"/>
      <w:lang w:eastAsia="he-IL"/>
    </w:rPr>
  </w:style>
  <w:style w:type="character" w:styleId="ad">
    <w:name w:val="line number"/>
    <w:basedOn w:val="a0"/>
    <w:rsid w:val="00162943"/>
  </w:style>
  <w:style w:type="character" w:styleId="Hyperlink">
    <w:name w:val="Hyperlink"/>
    <w:basedOn w:val="a0"/>
    <w:rsid w:val="00162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0235191" TargetMode="External"/><Relationship Id="rId26" Type="http://schemas.openxmlformats.org/officeDocument/2006/relationships/hyperlink" Target="http://www.nevo.co.il/case/22657084" TargetMode="External"/><Relationship Id="rId3" Type="http://schemas.openxmlformats.org/officeDocument/2006/relationships/webSettings" Target="webSettings.xml"/><Relationship Id="rId21" Type="http://schemas.openxmlformats.org/officeDocument/2006/relationships/hyperlink" Target="http://www.nevo.co.il/case/20957590" TargetMode="External"/><Relationship Id="rId34" Type="http://schemas.openxmlformats.org/officeDocument/2006/relationships/theme" Target="theme/theme1.xml"/><Relationship Id="rId7" Type="http://schemas.openxmlformats.org/officeDocument/2006/relationships/hyperlink" Target="http://www.nevo.co.il/law/4216/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0235201" TargetMode="External"/><Relationship Id="rId25" Type="http://schemas.openxmlformats.org/officeDocument/2006/relationships/hyperlink" Target="http://www.nevo.co.il/law/4216"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21642004" TargetMode="External"/><Relationship Id="rId20" Type="http://schemas.openxmlformats.org/officeDocument/2006/relationships/hyperlink" Target="http://www.nevo.co.il/case/18770588"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6" TargetMode="External"/><Relationship Id="rId24" Type="http://schemas.openxmlformats.org/officeDocument/2006/relationships/hyperlink" Target="http://www.nevo.co.il/law/4216"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37a" TargetMode="External"/><Relationship Id="rId19" Type="http://schemas.openxmlformats.org/officeDocument/2006/relationships/hyperlink" Target="http://www.nevo.co.il/case/20456248"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37a"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2657084" TargetMode="External"/><Relationship Id="rId30" Type="http://schemas.openxmlformats.org/officeDocument/2006/relationships/header" Target="header2.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1400</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8389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3866739</vt:i4>
      </vt:variant>
      <vt:variant>
        <vt:i4>63</vt:i4>
      </vt:variant>
      <vt:variant>
        <vt:i4>0</vt:i4>
      </vt:variant>
      <vt:variant>
        <vt:i4>5</vt:i4>
      </vt:variant>
      <vt:variant>
        <vt:lpwstr>http://www.nevo.co.il/case/22657084</vt:lpwstr>
      </vt:variant>
      <vt:variant>
        <vt:lpwstr/>
      </vt:variant>
      <vt:variant>
        <vt:i4>3866739</vt:i4>
      </vt:variant>
      <vt:variant>
        <vt:i4>60</vt:i4>
      </vt:variant>
      <vt:variant>
        <vt:i4>0</vt:i4>
      </vt:variant>
      <vt:variant>
        <vt:i4>5</vt:i4>
      </vt:variant>
      <vt:variant>
        <vt:lpwstr>http://www.nevo.co.il/case/22657084</vt:lpwstr>
      </vt:variant>
      <vt:variant>
        <vt:lpwstr/>
      </vt:variant>
      <vt:variant>
        <vt:i4>8257637</vt:i4>
      </vt:variant>
      <vt:variant>
        <vt:i4>57</vt:i4>
      </vt:variant>
      <vt:variant>
        <vt:i4>0</vt:i4>
      </vt:variant>
      <vt:variant>
        <vt:i4>5</vt:i4>
      </vt:variant>
      <vt:variant>
        <vt:lpwstr>http://www.nevo.co.il/law/4216</vt:lpwstr>
      </vt:variant>
      <vt:variant>
        <vt:lpwstr/>
      </vt:variant>
      <vt:variant>
        <vt:i4>8257637</vt:i4>
      </vt:variant>
      <vt:variant>
        <vt:i4>54</vt:i4>
      </vt:variant>
      <vt:variant>
        <vt:i4>0</vt:i4>
      </vt:variant>
      <vt:variant>
        <vt:i4>5</vt:i4>
      </vt:variant>
      <vt:variant>
        <vt:lpwstr>http://www.nevo.co.il/law/4216</vt:lpwstr>
      </vt:variant>
      <vt:variant>
        <vt:lpwstr/>
      </vt:variant>
      <vt:variant>
        <vt:i4>8257637</vt:i4>
      </vt:variant>
      <vt:variant>
        <vt:i4>51</vt:i4>
      </vt:variant>
      <vt:variant>
        <vt:i4>0</vt:i4>
      </vt:variant>
      <vt:variant>
        <vt:i4>5</vt:i4>
      </vt:variant>
      <vt:variant>
        <vt:lpwstr>http://www.nevo.co.il/law/4216</vt:lpwstr>
      </vt:variant>
      <vt:variant>
        <vt:lpwstr/>
      </vt:variant>
      <vt:variant>
        <vt:i4>8257637</vt:i4>
      </vt:variant>
      <vt:variant>
        <vt:i4>48</vt:i4>
      </vt:variant>
      <vt:variant>
        <vt:i4>0</vt:i4>
      </vt:variant>
      <vt:variant>
        <vt:i4>5</vt:i4>
      </vt:variant>
      <vt:variant>
        <vt:lpwstr>http://www.nevo.co.il/law/4216</vt:lpwstr>
      </vt:variant>
      <vt:variant>
        <vt:lpwstr/>
      </vt:variant>
      <vt:variant>
        <vt:i4>3473524</vt:i4>
      </vt:variant>
      <vt:variant>
        <vt:i4>45</vt:i4>
      </vt:variant>
      <vt:variant>
        <vt:i4>0</vt:i4>
      </vt:variant>
      <vt:variant>
        <vt:i4>5</vt:i4>
      </vt:variant>
      <vt:variant>
        <vt:lpwstr>http://www.nevo.co.il/case/20957590</vt:lpwstr>
      </vt:variant>
      <vt:variant>
        <vt:lpwstr/>
      </vt:variant>
      <vt:variant>
        <vt:i4>4063358</vt:i4>
      </vt:variant>
      <vt:variant>
        <vt:i4>42</vt:i4>
      </vt:variant>
      <vt:variant>
        <vt:i4>0</vt:i4>
      </vt:variant>
      <vt:variant>
        <vt:i4>5</vt:i4>
      </vt:variant>
      <vt:variant>
        <vt:lpwstr>http://www.nevo.co.il/case/18770588</vt:lpwstr>
      </vt:variant>
      <vt:variant>
        <vt:lpwstr/>
      </vt:variant>
      <vt:variant>
        <vt:i4>3407987</vt:i4>
      </vt:variant>
      <vt:variant>
        <vt:i4>39</vt:i4>
      </vt:variant>
      <vt:variant>
        <vt:i4>0</vt:i4>
      </vt:variant>
      <vt:variant>
        <vt:i4>5</vt:i4>
      </vt:variant>
      <vt:variant>
        <vt:lpwstr>http://www.nevo.co.il/case/20456248</vt:lpwstr>
      </vt:variant>
      <vt:variant>
        <vt:lpwstr/>
      </vt:variant>
      <vt:variant>
        <vt:i4>3932278</vt:i4>
      </vt:variant>
      <vt:variant>
        <vt:i4>36</vt:i4>
      </vt:variant>
      <vt:variant>
        <vt:i4>0</vt:i4>
      </vt:variant>
      <vt:variant>
        <vt:i4>5</vt:i4>
      </vt:variant>
      <vt:variant>
        <vt:lpwstr>http://www.nevo.co.il/case/20235191</vt:lpwstr>
      </vt:variant>
      <vt:variant>
        <vt:lpwstr/>
      </vt:variant>
      <vt:variant>
        <vt:i4>3473525</vt:i4>
      </vt:variant>
      <vt:variant>
        <vt:i4>33</vt:i4>
      </vt:variant>
      <vt:variant>
        <vt:i4>0</vt:i4>
      </vt:variant>
      <vt:variant>
        <vt:i4>5</vt:i4>
      </vt:variant>
      <vt:variant>
        <vt:lpwstr>http://www.nevo.co.il/case/20235201</vt:lpwstr>
      </vt:variant>
      <vt:variant>
        <vt:lpwstr/>
      </vt:variant>
      <vt:variant>
        <vt:i4>3539057</vt:i4>
      </vt:variant>
      <vt:variant>
        <vt:i4>30</vt:i4>
      </vt:variant>
      <vt:variant>
        <vt:i4>0</vt:i4>
      </vt:variant>
      <vt:variant>
        <vt:i4>5</vt:i4>
      </vt:variant>
      <vt:variant>
        <vt:lpwstr>http://www.nevo.co.il/case/21642004</vt:lpwstr>
      </vt:variant>
      <vt:variant>
        <vt:lpwstr/>
      </vt:variant>
      <vt:variant>
        <vt:i4>8257637</vt:i4>
      </vt:variant>
      <vt:variant>
        <vt:i4>27</vt:i4>
      </vt:variant>
      <vt:variant>
        <vt:i4>0</vt:i4>
      </vt:variant>
      <vt:variant>
        <vt:i4>5</vt:i4>
      </vt:variant>
      <vt:variant>
        <vt:lpwstr>http://www.nevo.co.il/law/4216</vt:lpwstr>
      </vt:variant>
      <vt:variant>
        <vt:lpwstr/>
      </vt:variant>
      <vt:variant>
        <vt:i4>2883709</vt:i4>
      </vt:variant>
      <vt:variant>
        <vt:i4>24</vt:i4>
      </vt:variant>
      <vt:variant>
        <vt:i4>0</vt:i4>
      </vt:variant>
      <vt:variant>
        <vt:i4>5</vt:i4>
      </vt:variant>
      <vt:variant>
        <vt:lpwstr>http://www.nevo.co.il/law/4216/37a</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4718666</vt:i4>
      </vt:variant>
      <vt:variant>
        <vt:i4>15</vt:i4>
      </vt:variant>
      <vt:variant>
        <vt:i4>0</vt:i4>
      </vt:variant>
      <vt:variant>
        <vt:i4>5</vt:i4>
      </vt:variant>
      <vt:variant>
        <vt:lpwstr>http://www.nevo.co.il/law/4216/6</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2025-04-22T23:26:00Z</dcterms:created>
  <dcterms:modified xsi:type="dcterms:W3CDTF">2025-04-22T23:26:00Z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62803</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שמעון כרמלי</vt:lpwstr>
  </property>
  <property fmtid="{D5CDD505-2E9C-101B-9397-08002B2CF9AE}" pid="10" name="LAWYER">
    <vt:lpwstr>שרית מרום;קרינה אבאל (משרד סוחמי)</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20171022</vt:lpwstr>
  </property>
  <property fmtid="{D5CDD505-2E9C-101B-9397-08002B2CF9AE}" pid="14" name="TYPE_N_DATE">
    <vt:lpwstr>38020171022</vt:lpwstr>
  </property>
  <property fmtid="{D5CDD505-2E9C-101B-9397-08002B2CF9AE}" pid="15" name="CASESLISTTMP1">
    <vt:lpwstr>21642004;20235201;20235191;20456248;18770588;20957590;22657084:2</vt:lpwstr>
  </property>
  <property fmtid="{D5CDD505-2E9C-101B-9397-08002B2CF9AE}" pid="16" name="WORDNUMPAGES">
    <vt:lpwstr>5</vt:lpwstr>
  </property>
  <property fmtid="{D5CDD505-2E9C-101B-9397-08002B2CF9AE}" pid="17" name="TYPE_ABS_DATE">
    <vt:lpwstr>380020171022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4216/006;007.a;007.c;037a</vt:lpwstr>
  </property>
</Properties>
</file>