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A96162" w:rsidRPr="003F2BF6" w14:paraId="1BC18EB3" w14:textId="77777777" w:rsidTr="000719C4">
        <w:trPr>
          <w:trHeight w:hRule="exact" w:val="418"/>
          <w:jc w:val="center"/>
        </w:trPr>
        <w:tc>
          <w:tcPr>
            <w:tcW w:w="8523" w:type="dxa"/>
            <w:gridSpan w:val="2"/>
          </w:tcPr>
          <w:p w14:paraId="15CE05CF" w14:textId="77777777" w:rsidR="00A96162" w:rsidRPr="003F2BF6" w:rsidRDefault="00A96162" w:rsidP="00430A08">
            <w:pPr>
              <w:pStyle w:val="a3"/>
              <w:jc w:val="center"/>
              <w:rPr>
                <w:rFonts w:ascii="Tahoma" w:hAnsi="Tahoma"/>
                <w:color w:val="000080"/>
                <w:sz w:val="32"/>
                <w:szCs w:val="32"/>
                <w:rtl/>
              </w:rPr>
            </w:pPr>
            <w:bookmarkStart w:id="0" w:name="LastJudge"/>
            <w:r w:rsidRPr="003F2BF6">
              <w:rPr>
                <w:rFonts w:ascii="Tahoma" w:hAnsi="Tahoma"/>
                <w:b/>
                <w:bCs/>
                <w:color w:val="000080"/>
                <w:sz w:val="32"/>
                <w:szCs w:val="32"/>
                <w:rtl/>
              </w:rPr>
              <w:t>בית משפט השלום בתל אביב - יפו</w:t>
            </w:r>
          </w:p>
        </w:tc>
      </w:tr>
      <w:tr w:rsidR="00A96162" w:rsidRPr="003F2BF6" w14:paraId="07141191" w14:textId="77777777" w:rsidTr="000719C4">
        <w:trPr>
          <w:trHeight w:val="337"/>
          <w:jc w:val="center"/>
        </w:trPr>
        <w:tc>
          <w:tcPr>
            <w:tcW w:w="4945" w:type="dxa"/>
          </w:tcPr>
          <w:p w14:paraId="6B8C1ADA" w14:textId="77777777" w:rsidR="00A96162" w:rsidRPr="003F2BF6" w:rsidRDefault="00A96162" w:rsidP="00430A08">
            <w:pPr>
              <w:rPr>
                <w:sz w:val="26"/>
                <w:szCs w:val="26"/>
                <w:rtl/>
              </w:rPr>
            </w:pPr>
            <w:r w:rsidRPr="003F2BF6">
              <w:rPr>
                <w:sz w:val="26"/>
                <w:szCs w:val="26"/>
                <w:rtl/>
              </w:rPr>
              <w:t>ת"פ</w:t>
            </w:r>
            <w:r w:rsidRPr="003F2BF6">
              <w:rPr>
                <w:rFonts w:hint="cs"/>
                <w:sz w:val="26"/>
                <w:szCs w:val="26"/>
                <w:rtl/>
              </w:rPr>
              <w:t xml:space="preserve"> </w:t>
            </w:r>
            <w:r w:rsidRPr="003F2BF6">
              <w:rPr>
                <w:sz w:val="26"/>
                <w:szCs w:val="26"/>
                <w:rtl/>
              </w:rPr>
              <w:t>56668-06-17</w:t>
            </w:r>
            <w:r w:rsidRPr="003F2BF6">
              <w:rPr>
                <w:rFonts w:hint="cs"/>
                <w:sz w:val="26"/>
                <w:szCs w:val="26"/>
                <w:rtl/>
              </w:rPr>
              <w:t xml:space="preserve"> </w:t>
            </w:r>
            <w:r w:rsidRPr="003F2BF6">
              <w:rPr>
                <w:sz w:val="26"/>
                <w:szCs w:val="26"/>
                <w:rtl/>
              </w:rPr>
              <w:t>מדינת ישראל נ' טורס</w:t>
            </w:r>
          </w:p>
        </w:tc>
        <w:tc>
          <w:tcPr>
            <w:tcW w:w="3578" w:type="dxa"/>
          </w:tcPr>
          <w:p w14:paraId="78EF1561" w14:textId="77777777" w:rsidR="00A96162" w:rsidRPr="003F2BF6" w:rsidRDefault="00A96162" w:rsidP="00430A08">
            <w:pPr>
              <w:pStyle w:val="a3"/>
              <w:jc w:val="right"/>
              <w:rPr>
                <w:rFonts w:cs="FrankRuehl"/>
                <w:sz w:val="28"/>
                <w:szCs w:val="28"/>
                <w:rtl/>
              </w:rPr>
            </w:pPr>
          </w:p>
        </w:tc>
      </w:tr>
    </w:tbl>
    <w:p w14:paraId="27F2ADBC" w14:textId="77777777" w:rsidR="00A96162" w:rsidRPr="003F2BF6" w:rsidRDefault="00A96162" w:rsidP="00A96162">
      <w:pPr>
        <w:pStyle w:val="a3"/>
        <w:rPr>
          <w:rtl/>
        </w:rPr>
      </w:pPr>
      <w:r w:rsidRPr="003F2BF6">
        <w:rPr>
          <w:rFonts w:hint="cs"/>
          <w:rtl/>
        </w:rPr>
        <w:t xml:space="preserve"> </w:t>
      </w:r>
    </w:p>
    <w:p w14:paraId="23FFD8C5" w14:textId="77777777" w:rsidR="00A96162" w:rsidRPr="003F2BF6" w:rsidRDefault="00A96162" w:rsidP="00A96162">
      <w:pPr>
        <w:rPr>
          <w:rtl/>
        </w:rPr>
      </w:pPr>
    </w:p>
    <w:p w14:paraId="292BBE62" w14:textId="77777777" w:rsidR="00A96162" w:rsidRPr="003F2BF6" w:rsidRDefault="00A96162" w:rsidP="00A9616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7"/>
        <w:gridCol w:w="3382"/>
      </w:tblGrid>
      <w:tr w:rsidR="00A96162" w:rsidRPr="003F2BF6" w14:paraId="01790CE9" w14:textId="77777777" w:rsidTr="00A96162">
        <w:trPr>
          <w:trHeight w:val="295"/>
          <w:jc w:val="center"/>
        </w:trPr>
        <w:tc>
          <w:tcPr>
            <w:tcW w:w="8820" w:type="dxa"/>
            <w:gridSpan w:val="3"/>
            <w:tcBorders>
              <w:top w:val="nil"/>
              <w:left w:val="nil"/>
              <w:bottom w:val="nil"/>
              <w:right w:val="nil"/>
            </w:tcBorders>
            <w:shd w:val="clear" w:color="auto" w:fill="auto"/>
          </w:tcPr>
          <w:p w14:paraId="0E336DA7" w14:textId="77777777" w:rsidR="00A96162" w:rsidRPr="003F2BF6" w:rsidRDefault="00A96162" w:rsidP="00A96162">
            <w:pPr>
              <w:jc w:val="both"/>
              <w:rPr>
                <w:sz w:val="26"/>
                <w:szCs w:val="26"/>
                <w:rtl/>
              </w:rPr>
            </w:pPr>
            <w:r w:rsidRPr="003F2BF6">
              <w:rPr>
                <w:rFonts w:ascii="Arial" w:hAnsi="Arial" w:hint="cs"/>
                <w:b/>
                <w:bCs/>
                <w:sz w:val="26"/>
                <w:szCs w:val="26"/>
                <w:rtl/>
              </w:rPr>
              <w:t>ל</w:t>
            </w:r>
            <w:r w:rsidRPr="003F2BF6">
              <w:rPr>
                <w:rFonts w:ascii="Arial" w:hAnsi="Arial"/>
                <w:b/>
                <w:bCs/>
                <w:sz w:val="26"/>
                <w:szCs w:val="26"/>
                <w:rtl/>
              </w:rPr>
              <w:t xml:space="preserve">פני </w:t>
            </w:r>
            <w:r w:rsidRPr="003F2BF6">
              <w:rPr>
                <w:rFonts w:ascii="Arial" w:hAnsi="Arial" w:hint="cs"/>
                <w:b/>
                <w:bCs/>
                <w:sz w:val="26"/>
                <w:szCs w:val="26"/>
                <w:rtl/>
              </w:rPr>
              <w:t>כבוד ה</w:t>
            </w:r>
            <w:r w:rsidRPr="003F2BF6">
              <w:rPr>
                <w:rFonts w:ascii="Arial" w:hAnsi="Arial"/>
                <w:b/>
                <w:bCs/>
                <w:sz w:val="26"/>
                <w:szCs w:val="26"/>
                <w:rtl/>
              </w:rPr>
              <w:t>שופט</w:t>
            </w:r>
            <w:r w:rsidRPr="003F2BF6">
              <w:rPr>
                <w:rFonts w:ascii="Arial" w:hAnsi="Arial" w:hint="cs"/>
                <w:b/>
                <w:bCs/>
                <w:sz w:val="26"/>
                <w:szCs w:val="26"/>
                <w:rtl/>
              </w:rPr>
              <w:t xml:space="preserve">  </w:t>
            </w:r>
            <w:r w:rsidRPr="003F2BF6">
              <w:rPr>
                <w:rFonts w:ascii="Arial" w:hAnsi="Arial"/>
                <w:b/>
                <w:bCs/>
                <w:sz w:val="26"/>
                <w:szCs w:val="26"/>
                <w:rtl/>
              </w:rPr>
              <w:t>איתי הרמלין</w:t>
            </w:r>
          </w:p>
          <w:p w14:paraId="66024E0C" w14:textId="77777777" w:rsidR="00A96162" w:rsidRPr="003F2BF6" w:rsidRDefault="00A96162" w:rsidP="00A96162">
            <w:pPr>
              <w:jc w:val="both"/>
              <w:rPr>
                <w:rFonts w:ascii="Arial" w:hAnsi="Arial"/>
                <w:b/>
                <w:bCs/>
                <w:sz w:val="26"/>
                <w:szCs w:val="26"/>
              </w:rPr>
            </w:pPr>
          </w:p>
        </w:tc>
      </w:tr>
      <w:tr w:rsidR="00A96162" w:rsidRPr="003F2BF6" w14:paraId="2189AA93" w14:textId="77777777" w:rsidTr="00A96162">
        <w:trPr>
          <w:trHeight w:val="355"/>
          <w:jc w:val="center"/>
        </w:trPr>
        <w:tc>
          <w:tcPr>
            <w:tcW w:w="1231" w:type="dxa"/>
            <w:tcBorders>
              <w:top w:val="nil"/>
              <w:left w:val="nil"/>
              <w:bottom w:val="nil"/>
              <w:right w:val="nil"/>
            </w:tcBorders>
            <w:shd w:val="clear" w:color="auto" w:fill="auto"/>
          </w:tcPr>
          <w:p w14:paraId="1BF1055D" w14:textId="77777777" w:rsidR="00A96162" w:rsidRPr="003F2BF6" w:rsidRDefault="00A96162" w:rsidP="00A96162">
            <w:pPr>
              <w:jc w:val="both"/>
              <w:rPr>
                <w:rFonts w:ascii="Arial" w:hAnsi="Arial"/>
                <w:b/>
                <w:bCs/>
                <w:sz w:val="26"/>
                <w:szCs w:val="26"/>
              </w:rPr>
            </w:pPr>
            <w:bookmarkStart w:id="1" w:name="FirstAppellant"/>
            <w:bookmarkStart w:id="2" w:name="FirstLawyer"/>
            <w:r w:rsidRPr="003F2BF6">
              <w:rPr>
                <w:rFonts w:ascii="Arial" w:hAnsi="Arial" w:hint="cs"/>
                <w:b/>
                <w:bCs/>
                <w:sz w:val="26"/>
                <w:szCs w:val="26"/>
                <w:rtl/>
              </w:rPr>
              <w:t>ה</w:t>
            </w:r>
            <w:r w:rsidRPr="003F2BF6">
              <w:rPr>
                <w:rFonts w:ascii="Arial" w:hAnsi="Arial"/>
                <w:b/>
                <w:bCs/>
                <w:sz w:val="26"/>
                <w:szCs w:val="26"/>
                <w:rtl/>
              </w:rPr>
              <w:t>מאשימה</w:t>
            </w:r>
          </w:p>
        </w:tc>
        <w:tc>
          <w:tcPr>
            <w:tcW w:w="4207" w:type="dxa"/>
            <w:tcBorders>
              <w:top w:val="nil"/>
              <w:left w:val="nil"/>
              <w:bottom w:val="nil"/>
              <w:right w:val="nil"/>
            </w:tcBorders>
            <w:shd w:val="clear" w:color="auto" w:fill="auto"/>
          </w:tcPr>
          <w:p w14:paraId="0867758A" w14:textId="77777777" w:rsidR="00A96162" w:rsidRPr="003F2BF6" w:rsidRDefault="00A96162" w:rsidP="00430A08">
            <w:pPr>
              <w:rPr>
                <w:sz w:val="26"/>
                <w:szCs w:val="26"/>
                <w:rtl/>
              </w:rPr>
            </w:pPr>
            <w:r w:rsidRPr="003F2BF6">
              <w:rPr>
                <w:rFonts w:ascii="Arial" w:hAnsi="Arial"/>
                <w:b/>
                <w:bCs/>
                <w:sz w:val="26"/>
                <w:szCs w:val="26"/>
                <w:rtl/>
              </w:rPr>
              <w:t>מדינת ישראל</w:t>
            </w:r>
          </w:p>
          <w:p w14:paraId="0414E952" w14:textId="77777777" w:rsidR="00A96162" w:rsidRPr="003F2BF6" w:rsidRDefault="00A96162" w:rsidP="00430A08">
            <w:r w:rsidRPr="003F2BF6">
              <w:rPr>
                <w:rFonts w:hint="cs"/>
                <w:rtl/>
              </w:rPr>
              <w:t>ע"י עו"ד אילנה קיפניס פרדמן</w:t>
            </w:r>
          </w:p>
        </w:tc>
        <w:tc>
          <w:tcPr>
            <w:tcW w:w="3382" w:type="dxa"/>
            <w:tcBorders>
              <w:top w:val="nil"/>
              <w:left w:val="nil"/>
              <w:bottom w:val="nil"/>
              <w:right w:val="nil"/>
            </w:tcBorders>
            <w:shd w:val="clear" w:color="auto" w:fill="auto"/>
          </w:tcPr>
          <w:p w14:paraId="314790C5" w14:textId="77777777" w:rsidR="00A96162" w:rsidRPr="003F2BF6" w:rsidRDefault="00A96162" w:rsidP="00A96162">
            <w:pPr>
              <w:jc w:val="both"/>
              <w:rPr>
                <w:rFonts w:ascii="Arial" w:hAnsi="Arial"/>
                <w:sz w:val="26"/>
                <w:szCs w:val="26"/>
              </w:rPr>
            </w:pPr>
          </w:p>
        </w:tc>
      </w:tr>
      <w:bookmarkEnd w:id="1"/>
      <w:bookmarkEnd w:id="2"/>
      <w:tr w:rsidR="00A96162" w:rsidRPr="003F2BF6" w14:paraId="20B8D196" w14:textId="77777777" w:rsidTr="00A96162">
        <w:trPr>
          <w:trHeight w:val="373"/>
          <w:jc w:val="center"/>
        </w:trPr>
        <w:tc>
          <w:tcPr>
            <w:tcW w:w="1231" w:type="dxa"/>
            <w:tcBorders>
              <w:top w:val="nil"/>
              <w:left w:val="nil"/>
              <w:bottom w:val="nil"/>
              <w:right w:val="nil"/>
            </w:tcBorders>
            <w:shd w:val="clear" w:color="auto" w:fill="auto"/>
          </w:tcPr>
          <w:p w14:paraId="396192CC" w14:textId="77777777" w:rsidR="00A96162" w:rsidRPr="003F2BF6" w:rsidRDefault="00A96162" w:rsidP="00A96162">
            <w:pPr>
              <w:jc w:val="both"/>
              <w:rPr>
                <w:rFonts w:ascii="Arial" w:hAnsi="Arial"/>
                <w:sz w:val="26"/>
                <w:szCs w:val="26"/>
                <w:rtl/>
              </w:rPr>
            </w:pPr>
          </w:p>
        </w:tc>
        <w:tc>
          <w:tcPr>
            <w:tcW w:w="7589" w:type="dxa"/>
            <w:gridSpan w:val="2"/>
            <w:tcBorders>
              <w:top w:val="nil"/>
              <w:left w:val="nil"/>
              <w:bottom w:val="nil"/>
              <w:right w:val="nil"/>
            </w:tcBorders>
            <w:shd w:val="clear" w:color="auto" w:fill="auto"/>
          </w:tcPr>
          <w:p w14:paraId="6F495F94" w14:textId="77777777" w:rsidR="00A96162" w:rsidRPr="003F2BF6" w:rsidRDefault="00A96162" w:rsidP="00A96162">
            <w:pPr>
              <w:jc w:val="center"/>
              <w:rPr>
                <w:rFonts w:ascii="Arial" w:hAnsi="Arial"/>
                <w:b/>
                <w:bCs/>
                <w:sz w:val="26"/>
                <w:szCs w:val="26"/>
                <w:rtl/>
              </w:rPr>
            </w:pPr>
          </w:p>
          <w:p w14:paraId="6CE4B397" w14:textId="77777777" w:rsidR="00A96162" w:rsidRPr="003F2BF6" w:rsidRDefault="00A96162" w:rsidP="00A96162">
            <w:pPr>
              <w:jc w:val="center"/>
              <w:rPr>
                <w:rFonts w:ascii="Arial" w:hAnsi="Arial"/>
                <w:b/>
                <w:bCs/>
                <w:sz w:val="26"/>
                <w:szCs w:val="26"/>
                <w:rtl/>
              </w:rPr>
            </w:pPr>
            <w:r w:rsidRPr="003F2BF6">
              <w:rPr>
                <w:rFonts w:ascii="Arial" w:hAnsi="Arial"/>
                <w:b/>
                <w:bCs/>
                <w:sz w:val="26"/>
                <w:szCs w:val="26"/>
                <w:rtl/>
              </w:rPr>
              <w:t>נגד</w:t>
            </w:r>
          </w:p>
          <w:p w14:paraId="1CCA8764" w14:textId="77777777" w:rsidR="00A96162" w:rsidRPr="003F2BF6" w:rsidRDefault="00A96162" w:rsidP="00A96162">
            <w:pPr>
              <w:jc w:val="both"/>
              <w:rPr>
                <w:rFonts w:ascii="Arial" w:hAnsi="Arial"/>
                <w:sz w:val="26"/>
                <w:szCs w:val="26"/>
              </w:rPr>
            </w:pPr>
          </w:p>
        </w:tc>
      </w:tr>
      <w:tr w:rsidR="00A96162" w:rsidRPr="003F2BF6" w14:paraId="7F4A0B29" w14:textId="77777777" w:rsidTr="00A96162">
        <w:trPr>
          <w:trHeight w:val="355"/>
          <w:jc w:val="center"/>
        </w:trPr>
        <w:tc>
          <w:tcPr>
            <w:tcW w:w="1231" w:type="dxa"/>
            <w:tcBorders>
              <w:top w:val="nil"/>
              <w:left w:val="nil"/>
              <w:bottom w:val="nil"/>
              <w:right w:val="nil"/>
            </w:tcBorders>
            <w:shd w:val="clear" w:color="auto" w:fill="auto"/>
          </w:tcPr>
          <w:p w14:paraId="6D4D1B31" w14:textId="77777777" w:rsidR="00A96162" w:rsidRPr="003F2BF6" w:rsidRDefault="00A96162" w:rsidP="00430A08">
            <w:pPr>
              <w:rPr>
                <w:rFonts w:ascii="Arial" w:hAnsi="Arial"/>
                <w:b/>
                <w:bCs/>
                <w:sz w:val="26"/>
                <w:szCs w:val="26"/>
                <w:rtl/>
              </w:rPr>
            </w:pPr>
            <w:r w:rsidRPr="003F2BF6">
              <w:rPr>
                <w:rFonts w:ascii="Arial" w:hAnsi="Arial" w:hint="cs"/>
                <w:b/>
                <w:bCs/>
                <w:sz w:val="26"/>
                <w:szCs w:val="26"/>
                <w:rtl/>
              </w:rPr>
              <w:t>ה</w:t>
            </w:r>
            <w:r w:rsidRPr="003F2BF6">
              <w:rPr>
                <w:rFonts w:ascii="Arial" w:hAnsi="Arial"/>
                <w:b/>
                <w:bCs/>
                <w:sz w:val="26"/>
                <w:szCs w:val="26"/>
                <w:rtl/>
              </w:rPr>
              <w:t>נאשם</w:t>
            </w:r>
          </w:p>
        </w:tc>
        <w:tc>
          <w:tcPr>
            <w:tcW w:w="4207" w:type="dxa"/>
            <w:tcBorders>
              <w:top w:val="nil"/>
              <w:left w:val="nil"/>
              <w:bottom w:val="nil"/>
              <w:right w:val="nil"/>
            </w:tcBorders>
            <w:shd w:val="clear" w:color="auto" w:fill="auto"/>
          </w:tcPr>
          <w:p w14:paraId="42190D61" w14:textId="77777777" w:rsidR="00A96162" w:rsidRPr="003F2BF6" w:rsidRDefault="00A96162" w:rsidP="00430A08">
            <w:pPr>
              <w:rPr>
                <w:sz w:val="26"/>
                <w:szCs w:val="26"/>
                <w:rtl/>
              </w:rPr>
            </w:pPr>
            <w:r w:rsidRPr="003F2BF6">
              <w:rPr>
                <w:rFonts w:ascii="Arial" w:hAnsi="Arial"/>
                <w:b/>
                <w:bCs/>
                <w:sz w:val="26"/>
                <w:szCs w:val="26"/>
                <w:rtl/>
              </w:rPr>
              <w:t>שרון שמואל חי טורס</w:t>
            </w:r>
          </w:p>
          <w:p w14:paraId="56230F57" w14:textId="77777777" w:rsidR="00A96162" w:rsidRPr="003F2BF6" w:rsidRDefault="00A96162" w:rsidP="00430A08">
            <w:pPr>
              <w:rPr>
                <w:rtl/>
              </w:rPr>
            </w:pPr>
            <w:r w:rsidRPr="003F2BF6">
              <w:rPr>
                <w:rFonts w:hint="cs"/>
                <w:rtl/>
              </w:rPr>
              <w:t>ע"י עו"ד סהר מורנו</w:t>
            </w:r>
          </w:p>
        </w:tc>
        <w:tc>
          <w:tcPr>
            <w:tcW w:w="3382" w:type="dxa"/>
            <w:tcBorders>
              <w:top w:val="nil"/>
              <w:left w:val="nil"/>
              <w:bottom w:val="nil"/>
              <w:right w:val="nil"/>
            </w:tcBorders>
            <w:shd w:val="clear" w:color="auto" w:fill="auto"/>
          </w:tcPr>
          <w:p w14:paraId="1A1052ED" w14:textId="77777777" w:rsidR="00A96162" w:rsidRPr="003F2BF6" w:rsidRDefault="00A96162" w:rsidP="00A96162">
            <w:pPr>
              <w:jc w:val="right"/>
              <w:rPr>
                <w:rFonts w:ascii="Arial" w:hAnsi="Arial"/>
                <w:sz w:val="26"/>
                <w:szCs w:val="26"/>
              </w:rPr>
            </w:pPr>
          </w:p>
        </w:tc>
      </w:tr>
    </w:tbl>
    <w:p w14:paraId="569B2585" w14:textId="77777777" w:rsidR="001701EE" w:rsidRDefault="001701EE" w:rsidP="001701EE">
      <w:pPr>
        <w:spacing w:line="360" w:lineRule="auto"/>
        <w:jc w:val="both"/>
        <w:rPr>
          <w:rFonts w:ascii="Arial" w:hAnsi="Arial"/>
          <w:rtl/>
        </w:rPr>
      </w:pPr>
      <w:bookmarkStart w:id="3" w:name="LawTable"/>
      <w:bookmarkEnd w:id="3"/>
    </w:p>
    <w:p w14:paraId="18FB4273" w14:textId="77777777" w:rsidR="001701EE" w:rsidRPr="001701EE" w:rsidRDefault="001701EE" w:rsidP="001701EE">
      <w:pPr>
        <w:spacing w:before="120" w:after="120" w:line="240" w:lineRule="exact"/>
        <w:ind w:left="283" w:hanging="283"/>
        <w:jc w:val="both"/>
        <w:rPr>
          <w:rFonts w:ascii="FrankRuehl" w:hAnsi="FrankRuehl" w:cs="FrankRuehl"/>
          <w:rtl/>
        </w:rPr>
      </w:pPr>
    </w:p>
    <w:p w14:paraId="7A30F52A" w14:textId="77777777" w:rsidR="001701EE" w:rsidRPr="001701EE" w:rsidRDefault="001701EE" w:rsidP="001701EE">
      <w:pPr>
        <w:spacing w:before="120" w:after="120" w:line="240" w:lineRule="exact"/>
        <w:ind w:left="283" w:hanging="283"/>
        <w:jc w:val="both"/>
        <w:rPr>
          <w:rFonts w:ascii="FrankRuehl" w:hAnsi="FrankRuehl" w:cs="FrankRuehl"/>
          <w:rtl/>
        </w:rPr>
      </w:pPr>
    </w:p>
    <w:p w14:paraId="433A3FB9" w14:textId="77777777" w:rsidR="001701EE" w:rsidRPr="001701EE" w:rsidRDefault="001701EE" w:rsidP="001701EE">
      <w:pPr>
        <w:spacing w:before="120" w:after="120" w:line="240" w:lineRule="exact"/>
        <w:ind w:left="283" w:hanging="283"/>
        <w:jc w:val="both"/>
        <w:rPr>
          <w:rFonts w:ascii="FrankRuehl" w:hAnsi="FrankRuehl" w:cs="FrankRuehl"/>
          <w:rtl/>
        </w:rPr>
      </w:pPr>
      <w:r w:rsidRPr="001701EE">
        <w:rPr>
          <w:rFonts w:ascii="FrankRuehl" w:hAnsi="FrankRuehl" w:cs="FrankRuehl"/>
          <w:rtl/>
        </w:rPr>
        <w:t xml:space="preserve">חקיקה שאוזכרה: </w:t>
      </w:r>
    </w:p>
    <w:p w14:paraId="2CAB729A" w14:textId="77777777" w:rsidR="001701EE" w:rsidRPr="001701EE" w:rsidRDefault="001701EE" w:rsidP="001701EE">
      <w:pPr>
        <w:spacing w:before="120" w:after="120" w:line="240" w:lineRule="exact"/>
        <w:ind w:left="283" w:hanging="283"/>
        <w:jc w:val="both"/>
        <w:rPr>
          <w:rFonts w:ascii="FrankRuehl" w:hAnsi="FrankRuehl" w:cs="FrankRuehl"/>
          <w:rtl/>
        </w:rPr>
      </w:pPr>
      <w:hyperlink r:id="rId7" w:history="1">
        <w:r w:rsidRPr="001701EE">
          <w:rPr>
            <w:rFonts w:ascii="FrankRuehl" w:hAnsi="FrankRuehl" w:cs="FrankRuehl"/>
            <w:color w:val="0000FF"/>
            <w:rtl/>
          </w:rPr>
          <w:t>פקודת הסמים המסוכנים [נוסח חדש], תשל"ג-1973</w:t>
        </w:r>
      </w:hyperlink>
    </w:p>
    <w:p w14:paraId="485841FB" w14:textId="77777777" w:rsidR="001701EE" w:rsidRPr="001701EE" w:rsidRDefault="001701EE" w:rsidP="001701EE">
      <w:pPr>
        <w:spacing w:line="360" w:lineRule="auto"/>
        <w:jc w:val="both"/>
        <w:rPr>
          <w:rFonts w:ascii="Arial" w:hAnsi="Arial"/>
          <w:rtl/>
        </w:rPr>
      </w:pPr>
      <w:bookmarkStart w:id="4" w:name="LawTable_End"/>
      <w:bookmarkEnd w:id="4"/>
    </w:p>
    <w:p w14:paraId="7CE81152" w14:textId="77777777" w:rsidR="00A96162" w:rsidRPr="000719C4" w:rsidRDefault="00A96162" w:rsidP="000719C4">
      <w:pPr>
        <w:spacing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96162" w14:paraId="6896C83B" w14:textId="77777777" w:rsidTr="00A96162">
        <w:trPr>
          <w:trHeight w:val="355"/>
          <w:jc w:val="center"/>
        </w:trPr>
        <w:tc>
          <w:tcPr>
            <w:tcW w:w="8820" w:type="dxa"/>
            <w:tcBorders>
              <w:top w:val="nil"/>
              <w:left w:val="nil"/>
              <w:bottom w:val="nil"/>
              <w:right w:val="nil"/>
            </w:tcBorders>
            <w:shd w:val="clear" w:color="auto" w:fill="auto"/>
          </w:tcPr>
          <w:p w14:paraId="6DED8081" w14:textId="77777777" w:rsidR="003F2BF6" w:rsidRPr="003F2BF6" w:rsidRDefault="003F2BF6" w:rsidP="003F2BF6">
            <w:pPr>
              <w:jc w:val="center"/>
              <w:rPr>
                <w:rFonts w:ascii="Arial" w:hAnsi="Arial"/>
                <w:b/>
                <w:bCs/>
                <w:sz w:val="28"/>
                <w:szCs w:val="28"/>
                <w:u w:val="single"/>
                <w:rtl/>
              </w:rPr>
            </w:pPr>
            <w:bookmarkStart w:id="5" w:name="PsakDin" w:colFirst="0" w:colLast="0"/>
            <w:bookmarkEnd w:id="0"/>
            <w:r w:rsidRPr="003F2BF6">
              <w:rPr>
                <w:rFonts w:ascii="Arial" w:hAnsi="Arial"/>
                <w:b/>
                <w:bCs/>
                <w:sz w:val="28"/>
                <w:szCs w:val="28"/>
                <w:u w:val="single"/>
                <w:rtl/>
              </w:rPr>
              <w:t>גזר דין</w:t>
            </w:r>
          </w:p>
          <w:p w14:paraId="4B67CFAC" w14:textId="77777777" w:rsidR="00A96162" w:rsidRPr="003F2BF6" w:rsidRDefault="00A96162" w:rsidP="003F2BF6">
            <w:pPr>
              <w:jc w:val="center"/>
              <w:rPr>
                <w:rFonts w:ascii="Arial" w:hAnsi="Arial"/>
                <w:bCs/>
                <w:sz w:val="28"/>
                <w:szCs w:val="28"/>
                <w:u w:val="single"/>
                <w:rtl/>
              </w:rPr>
            </w:pPr>
          </w:p>
        </w:tc>
      </w:tr>
      <w:bookmarkEnd w:id="5"/>
    </w:tbl>
    <w:p w14:paraId="7B8C7BF6" w14:textId="77777777" w:rsidR="00A96162" w:rsidRPr="00B05847" w:rsidRDefault="00A96162" w:rsidP="00A96162">
      <w:pPr>
        <w:spacing w:line="360" w:lineRule="auto"/>
        <w:jc w:val="both"/>
        <w:rPr>
          <w:rFonts w:ascii="Arial" w:hAnsi="Arial"/>
          <w:rtl/>
        </w:rPr>
      </w:pPr>
    </w:p>
    <w:p w14:paraId="577C8839" w14:textId="77777777" w:rsidR="00A96162" w:rsidRDefault="00A96162" w:rsidP="00A96162">
      <w:pPr>
        <w:pStyle w:val="a9"/>
        <w:numPr>
          <w:ilvl w:val="0"/>
          <w:numId w:val="1"/>
        </w:numPr>
        <w:spacing w:line="360" w:lineRule="auto"/>
        <w:jc w:val="both"/>
      </w:pPr>
      <w:bookmarkStart w:id="6" w:name="ABSTRACT_START"/>
      <w:bookmarkEnd w:id="6"/>
      <w:r>
        <w:rPr>
          <w:rFonts w:hint="cs"/>
          <w:rtl/>
        </w:rPr>
        <w:t xml:space="preserve">הנאשם הורשע בכך שב-29.1.2020 החזיק בדירת מגוריו בכ-100 גרם קנביס. הקנביס הוחזק בשתי קופסאות שנמצאו בחדר השינה של הנאשם (למעט כמות מזערית שנמצאה על אדן החלון בחדר אחר). הואיל והנאשם לא הצליח לסתור את החזקה הקבועה בחוק שלפיה החזקה של יותר מ-15 גרם קנביס אינה לצריכה עצמית, הוא הורשע בעבירה של החזקת סם שלא לצריכה עצמית. </w:t>
      </w:r>
    </w:p>
    <w:p w14:paraId="5F82D649" w14:textId="77777777" w:rsidR="00A96162" w:rsidRDefault="00A96162" w:rsidP="00A96162">
      <w:pPr>
        <w:pStyle w:val="a9"/>
        <w:spacing w:line="360" w:lineRule="auto"/>
        <w:jc w:val="both"/>
      </w:pPr>
      <w:bookmarkStart w:id="7" w:name="ABSTRACT_END"/>
      <w:bookmarkEnd w:id="7"/>
    </w:p>
    <w:p w14:paraId="396397B8" w14:textId="77777777" w:rsidR="00A96162" w:rsidRDefault="00A96162" w:rsidP="00A96162">
      <w:pPr>
        <w:pStyle w:val="a9"/>
        <w:numPr>
          <w:ilvl w:val="0"/>
          <w:numId w:val="1"/>
        </w:numPr>
        <w:spacing w:line="360" w:lineRule="auto"/>
        <w:jc w:val="both"/>
      </w:pPr>
      <w:r>
        <w:rPr>
          <w:rFonts w:hint="cs"/>
          <w:rtl/>
        </w:rPr>
        <w:t>במעשהו פגע הנאשם במאבק שמנהלת המדינה נגד החזקה ללא היתר של חומרים משני תודעה. הפגיעה הייתה מתונה יחסית.</w:t>
      </w:r>
    </w:p>
    <w:p w14:paraId="3CC04895" w14:textId="77777777" w:rsidR="00A96162" w:rsidRDefault="00A96162" w:rsidP="00A96162">
      <w:pPr>
        <w:pStyle w:val="a9"/>
        <w:rPr>
          <w:rtl/>
        </w:rPr>
      </w:pPr>
    </w:p>
    <w:p w14:paraId="37AD54B2" w14:textId="77777777" w:rsidR="00A96162" w:rsidRDefault="00A96162" w:rsidP="00A96162">
      <w:pPr>
        <w:pStyle w:val="a9"/>
        <w:numPr>
          <w:ilvl w:val="0"/>
          <w:numId w:val="1"/>
        </w:numPr>
        <w:spacing w:line="360" w:lineRule="auto"/>
        <w:jc w:val="both"/>
      </w:pPr>
      <w:r>
        <w:rPr>
          <w:rFonts w:hint="cs"/>
          <w:rtl/>
        </w:rPr>
        <w:t>הסניגור הדגיש בטיעוניו את העובדה שאמנם הנאשם לא הצליח לסתור את החזקה הקבועה בחוק שהוזכרה לעיל, אך ציין שבדירת מגוריו של הנאשם לא נמצאו משקל אלקטרוני או שקיות חלוקה ואף במכשיר הטלפון שלו לא נמצאו אינדיקציות לכך שהנאשם סוחר בסמים. על כך יש להוסיף כי הסם שבו החזיק הנאשם הוא קנביס שבניגוד לסמים אחרים המוזכרים ב</w:t>
      </w:r>
      <w:hyperlink r:id="rId8" w:history="1">
        <w:r w:rsidR="003F2BF6" w:rsidRPr="003F2BF6">
          <w:rPr>
            <w:color w:val="0000FF"/>
            <w:u w:val="single"/>
            <w:rtl/>
          </w:rPr>
          <w:t>פקודת הסמים המסוכנים</w:t>
        </w:r>
      </w:hyperlink>
      <w:r>
        <w:rPr>
          <w:rFonts w:hint="cs"/>
          <w:rtl/>
        </w:rPr>
        <w:t>, השימוש העצמי בו עבר בשנים האחרונות תהליך של דה-קרימינליזציה (אי-הפללה) וצוות ממשלתי בין-משרדי אף המליץ לאחרונה על לגליזציה שלו (הפיכתו לחוקי). הכמות שהוחזקה אמנם הקימה נגד הנאשם את החזקה בדבר מטרת ההחזקה, אך לא מדובר בכמות גדולה מאד.</w:t>
      </w:r>
    </w:p>
    <w:p w14:paraId="0F96FEF8" w14:textId="77777777" w:rsidR="00A96162" w:rsidRDefault="00A96162" w:rsidP="00A96162">
      <w:pPr>
        <w:pStyle w:val="a9"/>
        <w:rPr>
          <w:rtl/>
        </w:rPr>
      </w:pPr>
    </w:p>
    <w:p w14:paraId="2EC01C74" w14:textId="77777777" w:rsidR="00A96162" w:rsidRDefault="00A96162" w:rsidP="00A96162">
      <w:pPr>
        <w:pStyle w:val="a9"/>
        <w:numPr>
          <w:ilvl w:val="0"/>
          <w:numId w:val="1"/>
        </w:numPr>
        <w:spacing w:line="360" w:lineRule="auto"/>
        <w:jc w:val="both"/>
      </w:pPr>
      <w:r>
        <w:rPr>
          <w:rFonts w:hint="cs"/>
          <w:rtl/>
        </w:rPr>
        <w:lastRenderedPageBreak/>
        <w:t>התביעה טענה כי מתחם העונש ההולם לעבירה שעבר הנאשם נע בין תקופת מאסר קצרה שניתן לרצות בעבודות שירות לתשעה חודשי מאסר בפועל, וביקשה שיוטל על הנאשם עונש שבחלק התחתון של מתחם זה. הסניגור לעומתה ביקש שאאמץ את המלצת שירות המבחן, אבטל את הרשעת הנאשם ואחייבו בביצוע שירות לתועלת הציבור.</w:t>
      </w:r>
    </w:p>
    <w:p w14:paraId="1B105600" w14:textId="77777777" w:rsidR="00A96162" w:rsidRDefault="00A96162" w:rsidP="00A96162">
      <w:pPr>
        <w:pStyle w:val="a9"/>
        <w:rPr>
          <w:rtl/>
        </w:rPr>
      </w:pPr>
    </w:p>
    <w:p w14:paraId="5CBFF8E4" w14:textId="77777777" w:rsidR="00A96162" w:rsidRPr="00B05847" w:rsidRDefault="00A96162" w:rsidP="00A96162">
      <w:pPr>
        <w:pStyle w:val="a9"/>
        <w:numPr>
          <w:ilvl w:val="0"/>
          <w:numId w:val="1"/>
        </w:numPr>
        <w:spacing w:line="360" w:lineRule="auto"/>
        <w:jc w:val="both"/>
        <w:rPr>
          <w:rtl/>
        </w:rPr>
      </w:pPr>
      <w:r>
        <w:rPr>
          <w:rFonts w:hint="cs"/>
          <w:rtl/>
        </w:rPr>
        <w:t>לתמיכה בעמדתה הפנתה התביעה לשני פסקי דין שעניינם החזקת חשיש. ב</w:t>
      </w:r>
      <w:hyperlink r:id="rId9" w:history="1">
        <w:r w:rsidR="003F2BF6" w:rsidRPr="003F2BF6">
          <w:rPr>
            <w:color w:val="0000FF"/>
            <w:u w:val="single"/>
            <w:rtl/>
          </w:rPr>
          <w:t>ת"פ (תל אביב) 8439-07-15</w:t>
        </w:r>
      </w:hyperlink>
      <w:r>
        <w:rPr>
          <w:rFonts w:hint="cs"/>
          <w:rtl/>
        </w:rPr>
        <w:t xml:space="preserve"> </w:t>
      </w:r>
      <w:r>
        <w:rPr>
          <w:rFonts w:hint="cs"/>
          <w:b/>
          <w:bCs/>
          <w:rtl/>
        </w:rPr>
        <w:t>מדינת ישראל נ' שלומי קוממי</w:t>
      </w:r>
      <w:r>
        <w:rPr>
          <w:rFonts w:hint="cs"/>
          <w:rtl/>
        </w:rPr>
        <w:t xml:space="preserve"> (2016) נקבע מתחם עונש הולם שבין מספר חודשי מאסר שיכול וירוצו בעבודות שירות לבין 10 חודשי מאסר בפועל למי שהחזיק כ-60 גרם חשיש. ב</w:t>
      </w:r>
      <w:hyperlink r:id="rId10" w:history="1">
        <w:r w:rsidR="003F2BF6" w:rsidRPr="003F2BF6">
          <w:rPr>
            <w:color w:val="0000FF"/>
            <w:u w:val="single"/>
            <w:rtl/>
          </w:rPr>
          <w:t>ת"פ (תל אביב) 62490-03-15</w:t>
        </w:r>
      </w:hyperlink>
      <w:r>
        <w:rPr>
          <w:rFonts w:hint="cs"/>
          <w:rtl/>
        </w:rPr>
        <w:t xml:space="preserve"> </w:t>
      </w:r>
      <w:r>
        <w:rPr>
          <w:rFonts w:hint="cs"/>
          <w:b/>
          <w:bCs/>
          <w:rtl/>
        </w:rPr>
        <w:t xml:space="preserve">מדינת ישראל נ' יוסי מגל </w:t>
      </w:r>
      <w:r>
        <w:rPr>
          <w:rFonts w:hint="cs"/>
          <w:rtl/>
        </w:rPr>
        <w:t xml:space="preserve">(2016) נקבע מתחם עונש שבין תקופת מאסר שניתן לרצות בעבודות שירות לבין 12 חודשי מאסר בפועל בגין החזקת כמויות שונות של חשיש (115 גרם מחולקים ל-12 אריזות, 170 גרם, 135 גרם). </w:t>
      </w:r>
    </w:p>
    <w:p w14:paraId="4BBC3A30" w14:textId="77777777" w:rsidR="00A96162" w:rsidRDefault="00A96162" w:rsidP="00A96162">
      <w:pPr>
        <w:spacing w:line="360" w:lineRule="auto"/>
        <w:jc w:val="both"/>
        <w:rPr>
          <w:rtl/>
        </w:rPr>
      </w:pPr>
    </w:p>
    <w:p w14:paraId="0F112AD8" w14:textId="77777777" w:rsidR="00A96162" w:rsidRDefault="00A96162" w:rsidP="00A96162">
      <w:pPr>
        <w:pStyle w:val="a9"/>
        <w:numPr>
          <w:ilvl w:val="0"/>
          <w:numId w:val="1"/>
        </w:numPr>
        <w:spacing w:line="360" w:lineRule="auto"/>
        <w:jc w:val="both"/>
      </w:pPr>
      <w:r>
        <w:rPr>
          <w:rFonts w:hint="cs"/>
          <w:rtl/>
        </w:rPr>
        <w:t xml:space="preserve">זה המקום לציין שאף על פי שהמריחואנה והחשיש מופקים שניהם מצמח הקנביס, </w:t>
      </w:r>
      <w:hyperlink r:id="rId11" w:history="1">
        <w:r w:rsidR="003F2BF6" w:rsidRPr="003F2BF6">
          <w:rPr>
            <w:color w:val="0000FF"/>
            <w:u w:val="single"/>
            <w:rtl/>
          </w:rPr>
          <w:t>פקודת הסמים המסוכנים</w:t>
        </w:r>
      </w:hyperlink>
      <w:r>
        <w:rPr>
          <w:rFonts w:hint="cs"/>
          <w:rtl/>
        </w:rPr>
        <w:t xml:space="preserve"> [נוסח חדש], תשל"ג-1973 מבחינה בין קנבוס (שמו העברי של הקנביס) לבין שרף של קנבוס (חשיש). בעקבות החוק גם הפסיקה מבחינה בין המריחואנה שאליה היא מתייחסת בשם "קנבוס" או "קנביס" לבין החשיש. נקל לראות בפסיקה כי הענישה על החזקת חשיש חמורה יותר מאשר על החזקת כמות דומה של מריחואנה (אף על פי שלא הובאה חוות דעת בעניין זה, ניתן להניח שהרקע להבדל זה הוא שריכוז החומר הפעיל בחשיש גבוה יותר).  </w:t>
      </w:r>
    </w:p>
    <w:p w14:paraId="20A5470F" w14:textId="77777777" w:rsidR="00A96162" w:rsidRDefault="00A96162" w:rsidP="00A96162">
      <w:pPr>
        <w:pStyle w:val="a9"/>
        <w:rPr>
          <w:rtl/>
        </w:rPr>
      </w:pPr>
    </w:p>
    <w:p w14:paraId="7FA3D2D4" w14:textId="77777777" w:rsidR="00A96162" w:rsidRDefault="00A96162" w:rsidP="00A96162">
      <w:pPr>
        <w:pStyle w:val="a9"/>
        <w:numPr>
          <w:ilvl w:val="0"/>
          <w:numId w:val="1"/>
        </w:numPr>
        <w:spacing w:line="360" w:lineRule="auto"/>
        <w:jc w:val="both"/>
      </w:pPr>
      <w:r w:rsidRPr="00583F60">
        <w:rPr>
          <w:rtl/>
        </w:rPr>
        <w:t>עיון בפסיקה מעלה כי במקרים של החזקת מריחואנה  בכמות דומה לזו שבענייננו נקבע כי מתחם העונש ההולם מתחיל ממאסר על תנאי</w:t>
      </w:r>
      <w:r>
        <w:rPr>
          <w:rFonts w:hint="cs"/>
          <w:rtl/>
        </w:rPr>
        <w:t xml:space="preserve"> או ממאסר על תנאי בתוספת של"ץ</w:t>
      </w:r>
      <w:r w:rsidRPr="00583F60">
        <w:rPr>
          <w:rtl/>
        </w:rPr>
        <w:t>.</w:t>
      </w:r>
      <w:r>
        <w:rPr>
          <w:rFonts w:hint="cs"/>
          <w:rtl/>
        </w:rPr>
        <w:t xml:space="preserve"> כך למשל ב</w:t>
      </w:r>
      <w:hyperlink r:id="rId12" w:history="1">
        <w:r w:rsidR="003F2BF6" w:rsidRPr="003F2BF6">
          <w:rPr>
            <w:color w:val="0000FF"/>
            <w:u w:val="single"/>
            <w:rtl/>
          </w:rPr>
          <w:t>ת"פ 1418-12-17</w:t>
        </w:r>
      </w:hyperlink>
      <w:r>
        <w:rPr>
          <w:rFonts w:hint="cs"/>
          <w:rtl/>
        </w:rPr>
        <w:t xml:space="preserve"> (מחוזי תל אביב) </w:t>
      </w:r>
      <w:r>
        <w:rPr>
          <w:rFonts w:hint="cs"/>
          <w:b/>
          <w:bCs/>
          <w:rtl/>
        </w:rPr>
        <w:t>מדינת ישראל נ' טל זוהר</w:t>
      </w:r>
      <w:r>
        <w:rPr>
          <w:rFonts w:hint="cs"/>
          <w:rtl/>
        </w:rPr>
        <w:t xml:space="preserve"> (2020) נקבע מתחם עונש הולם שתחתיתו בשירות לתועלת הציבור במקרה של החזקה של 50 גרם קנביס ו-12 גרם חשיש בבית וכן יותר מגרם קוקאין ברחוב. ב</w:t>
      </w:r>
      <w:hyperlink r:id="rId13" w:history="1">
        <w:r w:rsidR="003F2BF6" w:rsidRPr="003F2BF6">
          <w:rPr>
            <w:color w:val="0000FF"/>
            <w:u w:val="single"/>
            <w:rtl/>
          </w:rPr>
          <w:t>ת"פ (תל אביב) 21678-03-18</w:t>
        </w:r>
      </w:hyperlink>
      <w:r>
        <w:rPr>
          <w:rFonts w:hint="cs"/>
          <w:rtl/>
        </w:rPr>
        <w:t xml:space="preserve"> </w:t>
      </w:r>
      <w:r>
        <w:rPr>
          <w:rFonts w:hint="cs"/>
          <w:b/>
          <w:bCs/>
          <w:rtl/>
        </w:rPr>
        <w:t xml:space="preserve">מדינת ישראל נ' מייקל </w:t>
      </w:r>
      <w:r w:rsidRPr="00DC0272">
        <w:rPr>
          <w:rFonts w:hint="cs"/>
          <w:b/>
          <w:bCs/>
          <w:rtl/>
        </w:rPr>
        <w:t>גוסיינוב</w:t>
      </w:r>
      <w:r>
        <w:rPr>
          <w:rFonts w:hint="cs"/>
          <w:rtl/>
        </w:rPr>
        <w:t xml:space="preserve"> (2020) נקבע מתחם עונש הולם שבין מאסר על תנאי ל-9 חודשי מאסר בפועל במקרה של החזקת כ-500 גרם קנביס. </w:t>
      </w:r>
      <w:r w:rsidRPr="00DC0272">
        <w:rPr>
          <w:rFonts w:hint="cs"/>
          <w:rtl/>
        </w:rPr>
        <w:t>ב</w:t>
      </w:r>
      <w:hyperlink r:id="rId14" w:history="1">
        <w:r w:rsidR="003F2BF6" w:rsidRPr="003F2BF6">
          <w:rPr>
            <w:color w:val="0000FF"/>
            <w:u w:val="single"/>
            <w:rtl/>
          </w:rPr>
          <w:t>ת"פ (רחובות) 34792-10-18</w:t>
        </w:r>
      </w:hyperlink>
      <w:r>
        <w:rPr>
          <w:rFonts w:hint="cs"/>
          <w:rtl/>
        </w:rPr>
        <w:t xml:space="preserve"> </w:t>
      </w:r>
      <w:r>
        <w:rPr>
          <w:rFonts w:hint="cs"/>
          <w:b/>
          <w:bCs/>
          <w:rtl/>
        </w:rPr>
        <w:t>מדינת ישראל נ' דוד פרנקו</w:t>
      </w:r>
      <w:r>
        <w:rPr>
          <w:rFonts w:hint="cs"/>
          <w:rtl/>
        </w:rPr>
        <w:t xml:space="preserve"> (2020) נקבע מתחם עונש הולם שבין מאסר על תנאי ל-6 חודשי מאסר בפועל למי שהחזיק בביתו 80 גרם קנביס. ב</w:t>
      </w:r>
      <w:hyperlink r:id="rId15" w:history="1">
        <w:r w:rsidR="003F2BF6" w:rsidRPr="003F2BF6">
          <w:rPr>
            <w:color w:val="0000FF"/>
            <w:u w:val="single"/>
            <w:rtl/>
          </w:rPr>
          <w:t>ת"פ (תל אביב) 53788-02-16</w:t>
        </w:r>
      </w:hyperlink>
      <w:r>
        <w:rPr>
          <w:rFonts w:hint="cs"/>
          <w:rtl/>
        </w:rPr>
        <w:t xml:space="preserve"> </w:t>
      </w:r>
      <w:r>
        <w:rPr>
          <w:rFonts w:hint="cs"/>
          <w:b/>
          <w:bCs/>
          <w:rtl/>
        </w:rPr>
        <w:t>מדינת ישראל נ' עמית קלוורי</w:t>
      </w:r>
      <w:r>
        <w:rPr>
          <w:rFonts w:hint="cs"/>
          <w:rtl/>
        </w:rPr>
        <w:t xml:space="preserve"> (2018) נקבע מתחם עונש הולם שבין מאסר על תנאי ל-8 חודשי מאסר בפועל למי שהחזיק בדירתו כ-50 גרם קנביס, 25 גרם חשיש ורבע גרם קוקאין. </w:t>
      </w:r>
    </w:p>
    <w:p w14:paraId="4ADBFAB0" w14:textId="77777777" w:rsidR="00A96162" w:rsidRDefault="00A96162" w:rsidP="00A96162">
      <w:pPr>
        <w:pStyle w:val="a9"/>
        <w:rPr>
          <w:rtl/>
        </w:rPr>
      </w:pPr>
    </w:p>
    <w:p w14:paraId="742D0C86" w14:textId="77777777" w:rsidR="00A96162" w:rsidRDefault="00A96162" w:rsidP="00A96162">
      <w:pPr>
        <w:pStyle w:val="a9"/>
        <w:numPr>
          <w:ilvl w:val="0"/>
          <w:numId w:val="1"/>
        </w:numPr>
        <w:spacing w:line="360" w:lineRule="auto"/>
        <w:jc w:val="both"/>
      </w:pPr>
      <w:r>
        <w:rPr>
          <w:rFonts w:hint="cs"/>
          <w:rtl/>
        </w:rPr>
        <w:t>בהתחשב בנסיבות ביצוע העבירה שפורטו לעיל וברמת הענישה הנוהגת אני קובע לפיכך שמתחם העונש ההולם נע בין מאסר על תנאי ל-6 חודשי מאסר בפועל.</w:t>
      </w:r>
    </w:p>
    <w:p w14:paraId="7F4661AB" w14:textId="77777777" w:rsidR="00A96162" w:rsidRDefault="00A96162" w:rsidP="00A96162">
      <w:pPr>
        <w:pStyle w:val="a9"/>
        <w:rPr>
          <w:rtl/>
        </w:rPr>
      </w:pPr>
    </w:p>
    <w:p w14:paraId="4A1DDA07" w14:textId="77777777" w:rsidR="00A96162" w:rsidRDefault="00A96162" w:rsidP="00A96162">
      <w:pPr>
        <w:pStyle w:val="a9"/>
        <w:numPr>
          <w:ilvl w:val="0"/>
          <w:numId w:val="1"/>
        </w:numPr>
        <w:spacing w:line="360" w:lineRule="auto"/>
        <w:jc w:val="both"/>
      </w:pPr>
      <w:r>
        <w:rPr>
          <w:rFonts w:hint="cs"/>
          <w:rtl/>
        </w:rPr>
        <w:t xml:space="preserve">שירות המבחן ערך מספר תסקירים בעניינו של הנאשם. בתסקירים אלה ניכרה מגמת שיפור ברורה. בתסקיר האחרון מחודש אוגוסט 2020 כתבה קצינת המבחן כי הנאשם "בחר לבחון באופן רציני ואחראי, יותר מבעבר, את מצבו והשתלב בטיפול ייעודי ביחידה </w:t>
      </w:r>
      <w:r>
        <w:rPr>
          <w:rFonts w:hint="cs"/>
          <w:rtl/>
        </w:rPr>
        <w:lastRenderedPageBreak/>
        <w:t>העירונית לטיפול בהתמכרויות בחולון, ופעל לשיקום תוך גילוי רצון ויכולת להיעזר בגורמי הטיפול לצורך כך", ו"ניכר כי השתתפותו בהליך הטיפולי ביחידה תרמה להעלאת מודעות לדפוסים מכשילים אצלו וכן חידדה נושא הגבולות אצלו". קצינת המבחן ציינה עוד שהנאשם "מבטא רצון להתנהלות נורמטיבית ושומרת חוק", "מתייחס לעצמו באופן ביקורתי ורציני, מסוגל לקחת אחריות על חלקו בביצוע העבירה ורואה בהשתלבות בטיפול הזדמנות להתבוננות על עצמו וחלקיו הבעייתיים", וכי "קיימת חשיבות במקרה זה לעודד את מאמציו לשיקום". לפי הדיווח של היחידה למניעת התמכרויות, דגימות השתן שמסר היו נקיות מסמים. לנוכח התרשמותו זו המליץ שירות המבחן להוציא בעניינו של הנאשם צו מבחן ולחייבו בביצוע 120 שעות של"ץ שיחדד עבורו גבולות אך לא יפגע בתעסוקתו.</w:t>
      </w:r>
    </w:p>
    <w:p w14:paraId="76421096" w14:textId="77777777" w:rsidR="00A96162" w:rsidRDefault="00A96162" w:rsidP="00A96162">
      <w:pPr>
        <w:pStyle w:val="a9"/>
        <w:rPr>
          <w:rtl/>
        </w:rPr>
      </w:pPr>
    </w:p>
    <w:p w14:paraId="5F8346B9" w14:textId="77777777" w:rsidR="00A96162" w:rsidRDefault="00A96162" w:rsidP="00A96162">
      <w:pPr>
        <w:pStyle w:val="a9"/>
        <w:numPr>
          <w:ilvl w:val="0"/>
          <w:numId w:val="1"/>
        </w:numPr>
        <w:spacing w:line="360" w:lineRule="auto"/>
        <w:jc w:val="both"/>
      </w:pPr>
      <w:r>
        <w:rPr>
          <w:rFonts w:hint="cs"/>
          <w:rtl/>
        </w:rPr>
        <w:t>שירות המבחן המליץ גם לבטל את הרשעתו של הנאשם כיוון שמדובר באדם צעיר ללא עבר פלילי, וקיים חשש שהרשעה פלילית תקשה על השתלבותו בשוק העבודה ותפגע גם ביכולתו של עסק הזכוכית שהקים לאחרונה לבצע עבודות עבור גופים ממשלתיים ובבתים פרטיים.</w:t>
      </w:r>
    </w:p>
    <w:p w14:paraId="4A3D0757" w14:textId="77777777" w:rsidR="00A96162" w:rsidRDefault="00A96162" w:rsidP="00A96162">
      <w:pPr>
        <w:pStyle w:val="a9"/>
        <w:rPr>
          <w:rtl/>
        </w:rPr>
      </w:pPr>
    </w:p>
    <w:p w14:paraId="224F702C" w14:textId="77777777" w:rsidR="00A96162" w:rsidRDefault="00A96162" w:rsidP="00A96162">
      <w:pPr>
        <w:pStyle w:val="a9"/>
        <w:numPr>
          <w:ilvl w:val="0"/>
          <w:numId w:val="1"/>
        </w:numPr>
        <w:spacing w:line="360" w:lineRule="auto"/>
        <w:jc w:val="both"/>
      </w:pPr>
      <w:r>
        <w:rPr>
          <w:rFonts w:hint="cs"/>
          <w:rtl/>
        </w:rPr>
        <w:t>התביעה התנגדה להמלצת שירות המבחן לביטול הרשעה, כיוון שאין ביסוס ראייתי לטענה לפגיעה קונקרטית שתיגרם לנאשם מהרשעתו. הסניגור מבקש כי ההרשעה תבוטל מן הטעמים שהוצגו על ידי שירות המבחן.</w:t>
      </w:r>
    </w:p>
    <w:p w14:paraId="5C8EFA1C" w14:textId="77777777" w:rsidR="00A96162" w:rsidRDefault="00A96162" w:rsidP="00A96162">
      <w:pPr>
        <w:pStyle w:val="a9"/>
        <w:rPr>
          <w:rtl/>
        </w:rPr>
      </w:pPr>
    </w:p>
    <w:p w14:paraId="741DF1DD" w14:textId="77777777" w:rsidR="00A96162" w:rsidRDefault="00A96162" w:rsidP="00A96162">
      <w:pPr>
        <w:pStyle w:val="a9"/>
        <w:numPr>
          <w:ilvl w:val="0"/>
          <w:numId w:val="1"/>
        </w:numPr>
        <w:spacing w:line="360" w:lineRule="auto"/>
        <w:jc w:val="both"/>
      </w:pPr>
      <w:r>
        <w:rPr>
          <w:rtl/>
        </w:rPr>
        <w:t>כידוע, הכלל הנוהג במשפט הפלילי הוא שכאשר נקבעת אשמתו של אדם בביצוע עבירה, על בית המשפט להרשיעו. סיומו ללא הרשעה של תיק שבו נקבעה אשמת הנאשם הוא בגדר חריג לכלל המתאים למקרים שבהם "אין יחס סביר בין הנזק הצפוי לנאשם מן ההרשעה לבין חומרתה של העבירה" (</w:t>
      </w:r>
      <w:hyperlink r:id="rId16" w:history="1">
        <w:r w:rsidR="003F2BF6" w:rsidRPr="003F2BF6">
          <w:rPr>
            <w:color w:val="0000FF"/>
            <w:u w:val="single"/>
            <w:rtl/>
          </w:rPr>
          <w:t>ר"ע 432/85</w:t>
        </w:r>
      </w:hyperlink>
      <w:r>
        <w:rPr>
          <w:rtl/>
        </w:rPr>
        <w:t xml:space="preserve"> </w:t>
      </w:r>
      <w:r w:rsidRPr="00C617B4">
        <w:rPr>
          <w:b/>
          <w:bCs/>
          <w:rtl/>
        </w:rPr>
        <w:t>גדעון רומנו נ' מדינת ישראל</w:t>
      </w:r>
      <w:r>
        <w:rPr>
          <w:rtl/>
        </w:rPr>
        <w:t xml:space="preserve"> (1985)). בית המשפט ינקוט בחריג זה אם מתמלאים שני תנאים: א. הרשעה צפויה לפגוע פגיעה</w:t>
      </w:r>
      <w:r>
        <w:rPr>
          <w:rFonts w:hint="cs"/>
          <w:rtl/>
        </w:rPr>
        <w:t xml:space="preserve"> </w:t>
      </w:r>
      <w:r>
        <w:rPr>
          <w:rtl/>
        </w:rPr>
        <w:t>חמורה בשיקום הנאשם. ב. סוג העבירה שבה נמצא הנאשם אשם מאפשר לוותר בנסיבות המקרה המסוים על ההרשעה בלי לפגוע באופן מהותי בשיקולי הענישה האחרים (</w:t>
      </w:r>
      <w:hyperlink r:id="rId17" w:history="1">
        <w:r w:rsidR="006E5AD4" w:rsidRPr="006E5AD4">
          <w:rPr>
            <w:color w:val="0000FF"/>
            <w:u w:val="single"/>
            <w:rtl/>
          </w:rPr>
          <w:t xml:space="preserve">ע"פ 2083/96‏ </w:t>
        </w:r>
      </w:hyperlink>
      <w:r>
        <w:rPr>
          <w:rtl/>
        </w:rPr>
        <w:t xml:space="preserve"> </w:t>
      </w:r>
      <w:r w:rsidRPr="00C617B4">
        <w:rPr>
          <w:b/>
          <w:bCs/>
          <w:rtl/>
        </w:rPr>
        <w:t>תמר כתב נ' מדינת ישראל</w:t>
      </w:r>
      <w:r>
        <w:rPr>
          <w:rtl/>
        </w:rPr>
        <w:t xml:space="preserve"> (1997)).</w:t>
      </w:r>
      <w:r>
        <w:rPr>
          <w:rFonts w:hint="cs"/>
          <w:rtl/>
        </w:rPr>
        <w:t xml:space="preserve"> עם השנים התגבשה בפסיקה דרישה לכך שהנאשם יצביע על פגיעה קשה וקונקרטית שתיגרם לו כתוצאה מן ההרשעה כתנאי לביטולה, ויתמוך טענה זו בראיות (ראו למשל: </w:t>
      </w:r>
      <w:hyperlink r:id="rId18" w:history="1">
        <w:r w:rsidR="003F2BF6" w:rsidRPr="003F2BF6">
          <w:rPr>
            <w:color w:val="0000FF"/>
            <w:u w:val="single"/>
            <w:rtl/>
          </w:rPr>
          <w:t>רע"פ 3589/14</w:t>
        </w:r>
      </w:hyperlink>
      <w:r w:rsidRPr="00EA62D7">
        <w:rPr>
          <w:rtl/>
        </w:rPr>
        <w:t xml:space="preserve"> </w:t>
      </w:r>
      <w:r w:rsidRPr="00EA62D7">
        <w:rPr>
          <w:b/>
          <w:bCs/>
          <w:rtl/>
        </w:rPr>
        <w:t>שרון לוזון נ' מדינת ישראל</w:t>
      </w:r>
      <w:r w:rsidRPr="00EA62D7">
        <w:rPr>
          <w:rFonts w:hint="cs"/>
          <w:rtl/>
        </w:rPr>
        <w:t xml:space="preserve"> </w:t>
      </w:r>
      <w:r>
        <w:rPr>
          <w:rFonts w:hint="cs"/>
          <w:rtl/>
        </w:rPr>
        <w:t>(</w:t>
      </w:r>
      <w:r w:rsidRPr="00EA62D7">
        <w:rPr>
          <w:rFonts w:hint="cs"/>
          <w:b/>
          <w:bCs/>
          <w:rtl/>
        </w:rPr>
        <w:t>2018</w:t>
      </w:r>
      <w:r>
        <w:rPr>
          <w:rFonts w:hint="cs"/>
          <w:rtl/>
        </w:rPr>
        <w:t>)).</w:t>
      </w:r>
    </w:p>
    <w:p w14:paraId="3BD4A87E" w14:textId="77777777" w:rsidR="00A96162" w:rsidRPr="00EA62D7" w:rsidRDefault="00A96162" w:rsidP="00A96162">
      <w:pPr>
        <w:pStyle w:val="a9"/>
        <w:rPr>
          <w:rtl/>
        </w:rPr>
      </w:pPr>
    </w:p>
    <w:p w14:paraId="6850B154" w14:textId="77777777" w:rsidR="00A96162" w:rsidRDefault="00A96162" w:rsidP="00A96162">
      <w:pPr>
        <w:pStyle w:val="a9"/>
        <w:numPr>
          <w:ilvl w:val="0"/>
          <w:numId w:val="1"/>
        </w:numPr>
        <w:spacing w:line="360" w:lineRule="auto"/>
        <w:jc w:val="both"/>
      </w:pPr>
      <w:r>
        <w:rPr>
          <w:rFonts w:hint="cs"/>
          <w:rtl/>
        </w:rPr>
        <w:t>אינני סבור שבמקרה זה הנאשם הוכיח כי יפגע מן ההרשעה יותר מאשר כל נאשם אחר (שהרי הרשעה פוגעת בכל נאשם), וששיקומו ינזק במידה קשה שמצדיקה ביטולה של ההרשעה. הטענות בעניין פגיעה תעסוקתית (לרבות הטענה לצמצום פוטנציאלי של פעולת עסק עבודות הזכוכית שהקים) היו כלליות ותיאורטיות, ולא נתמכו בראיות כלשהן. לפיכך, אני דוחה את הבקשה לביטול הרשעה.</w:t>
      </w:r>
    </w:p>
    <w:p w14:paraId="7AAFCF42" w14:textId="77777777" w:rsidR="00A96162" w:rsidRDefault="00A96162" w:rsidP="00A96162">
      <w:pPr>
        <w:pStyle w:val="a9"/>
        <w:rPr>
          <w:rtl/>
        </w:rPr>
      </w:pPr>
    </w:p>
    <w:p w14:paraId="45AF1ED2" w14:textId="77777777" w:rsidR="00A96162" w:rsidRDefault="00A96162" w:rsidP="00A96162">
      <w:pPr>
        <w:pStyle w:val="a9"/>
        <w:numPr>
          <w:ilvl w:val="0"/>
          <w:numId w:val="1"/>
        </w:numPr>
        <w:spacing w:line="360" w:lineRule="auto"/>
        <w:jc w:val="both"/>
      </w:pPr>
      <w:r>
        <w:rPr>
          <w:rFonts w:hint="cs"/>
          <w:rtl/>
        </w:rPr>
        <w:t>בטרם גזירת עונשו של הנאשם אציין עוד כי מאז ביצוע העבירה חלפו כארבע שנים שבהן לא הסתבך הנאשם בביצוע עבירות נוספות, הוא פתח עסק (לעבודות זכוכית), נישא, ונולד לו בן שטרם מלאה לו שנה.</w:t>
      </w:r>
    </w:p>
    <w:p w14:paraId="6A3E4444" w14:textId="77777777" w:rsidR="00A96162" w:rsidRDefault="00A96162" w:rsidP="00A96162">
      <w:pPr>
        <w:pStyle w:val="a9"/>
        <w:rPr>
          <w:rtl/>
        </w:rPr>
      </w:pPr>
    </w:p>
    <w:p w14:paraId="71CDC6B5" w14:textId="77777777" w:rsidR="00A96162" w:rsidRDefault="00A96162" w:rsidP="00A96162">
      <w:pPr>
        <w:pStyle w:val="a9"/>
        <w:numPr>
          <w:ilvl w:val="0"/>
          <w:numId w:val="1"/>
        </w:numPr>
        <w:spacing w:line="360" w:lineRule="auto"/>
        <w:jc w:val="both"/>
      </w:pPr>
      <w:r>
        <w:rPr>
          <w:rFonts w:hint="cs"/>
          <w:rtl/>
        </w:rPr>
        <w:t>לנוכח האמור בתסקיר אודות שיקומו של הנאשם ולנוכח יתר הנסיבות שאינן קשורות לביצוע העבירה, אני מוצא מקום לגזור על הנאשם עונש הנמצא בחלק התחתון של מתחם העונש ההולם ואינו כולל רכיב של מאסר בפועל. בנוסף על הטלת מאסר על תנאי, הואיל ושירות המבחן מצביע על השל"ץ כנדרש לצורך חידוד הגבולות לנאשם, אחייבו בביצוע של"ץ כהמלצת שירות המבחן. על מנת שלא לפגוע בפרנסתו של הנאשם פגיעה שתפגע גם במשפחתו, אינני גוזר עליו פסילה בפועל של רישיון הנהיגה אלא פסילה על תנאי בלבד.</w:t>
      </w:r>
    </w:p>
    <w:p w14:paraId="7E4CFE11" w14:textId="77777777" w:rsidR="00A96162" w:rsidRDefault="00A96162" w:rsidP="00A96162">
      <w:pPr>
        <w:pStyle w:val="a9"/>
        <w:rPr>
          <w:rtl/>
        </w:rPr>
      </w:pPr>
    </w:p>
    <w:p w14:paraId="6ABBDD2A" w14:textId="77777777" w:rsidR="00A96162" w:rsidRDefault="00A96162" w:rsidP="00A96162">
      <w:pPr>
        <w:pStyle w:val="a9"/>
        <w:rPr>
          <w:rtl/>
        </w:rPr>
      </w:pPr>
    </w:p>
    <w:p w14:paraId="4420925D" w14:textId="77777777" w:rsidR="00A96162" w:rsidRDefault="00A96162" w:rsidP="00A96162">
      <w:pPr>
        <w:pStyle w:val="a9"/>
        <w:rPr>
          <w:rtl/>
        </w:rPr>
      </w:pPr>
    </w:p>
    <w:p w14:paraId="309BC829" w14:textId="77777777" w:rsidR="00A96162" w:rsidRDefault="00A96162" w:rsidP="00A96162">
      <w:pPr>
        <w:pStyle w:val="a9"/>
        <w:rPr>
          <w:rtl/>
        </w:rPr>
      </w:pPr>
    </w:p>
    <w:p w14:paraId="635AA695" w14:textId="77777777" w:rsidR="00A96162" w:rsidRDefault="00A96162" w:rsidP="00A96162">
      <w:pPr>
        <w:pStyle w:val="a9"/>
        <w:rPr>
          <w:rtl/>
        </w:rPr>
      </w:pPr>
    </w:p>
    <w:p w14:paraId="27B58C3B" w14:textId="77777777" w:rsidR="00A96162" w:rsidRDefault="00A96162" w:rsidP="00A96162">
      <w:pPr>
        <w:pStyle w:val="a9"/>
        <w:numPr>
          <w:ilvl w:val="0"/>
          <w:numId w:val="1"/>
        </w:numPr>
        <w:spacing w:line="360" w:lineRule="auto"/>
        <w:jc w:val="both"/>
      </w:pPr>
      <w:r>
        <w:rPr>
          <w:rFonts w:hint="cs"/>
          <w:rtl/>
        </w:rPr>
        <w:t>לנוכח כל האמור לעיל אני גוזר על הנאשם את העונשים הבאים:</w:t>
      </w:r>
    </w:p>
    <w:p w14:paraId="7AD16EB3" w14:textId="77777777" w:rsidR="00A96162" w:rsidRDefault="00A96162" w:rsidP="00A96162">
      <w:pPr>
        <w:pStyle w:val="a9"/>
        <w:rPr>
          <w:rtl/>
        </w:rPr>
      </w:pPr>
    </w:p>
    <w:p w14:paraId="4F90BCDE" w14:textId="77777777" w:rsidR="00A96162" w:rsidRDefault="00A96162" w:rsidP="00A96162">
      <w:pPr>
        <w:pStyle w:val="a9"/>
        <w:numPr>
          <w:ilvl w:val="0"/>
          <w:numId w:val="2"/>
        </w:numPr>
        <w:spacing w:line="360" w:lineRule="auto"/>
        <w:jc w:val="both"/>
      </w:pPr>
      <w:r>
        <w:rPr>
          <w:rFonts w:hint="cs"/>
          <w:rtl/>
        </w:rPr>
        <w:t>4 חודשי מאסר על תנאי ל-3 שנים שלא ישוב ויעבור עבירת סמים למעט עבירה של החזקת סם לצריכה עצמית.</w:t>
      </w:r>
    </w:p>
    <w:p w14:paraId="7EAA6397" w14:textId="77777777" w:rsidR="00A96162" w:rsidRDefault="00A96162" w:rsidP="00A96162">
      <w:pPr>
        <w:pStyle w:val="a9"/>
        <w:numPr>
          <w:ilvl w:val="0"/>
          <w:numId w:val="2"/>
        </w:numPr>
        <w:spacing w:line="360" w:lineRule="auto"/>
        <w:jc w:val="both"/>
      </w:pPr>
      <w:r>
        <w:rPr>
          <w:rFonts w:hint="cs"/>
          <w:rtl/>
        </w:rPr>
        <w:t>120 שעות שירות לתועלת הציבור לפי תוכנית שיקבע שירות המבחן.</w:t>
      </w:r>
    </w:p>
    <w:p w14:paraId="69BB9AFA" w14:textId="77777777" w:rsidR="00A96162" w:rsidRDefault="00A96162" w:rsidP="00A96162">
      <w:pPr>
        <w:pStyle w:val="a9"/>
        <w:numPr>
          <w:ilvl w:val="0"/>
          <w:numId w:val="2"/>
        </w:numPr>
        <w:spacing w:line="360" w:lineRule="auto"/>
        <w:jc w:val="both"/>
      </w:pPr>
      <w:r>
        <w:rPr>
          <w:rFonts w:hint="cs"/>
          <w:rtl/>
        </w:rPr>
        <w:t>6 חודשי פסילת רשיון נהיגה על תנאי ל-3 שנים שלא ישוב ויעבור עבירת סמים כלשהי.</w:t>
      </w:r>
    </w:p>
    <w:p w14:paraId="5D35643A" w14:textId="77777777" w:rsidR="00A96162" w:rsidRDefault="00A96162" w:rsidP="00A96162">
      <w:pPr>
        <w:pStyle w:val="a9"/>
        <w:numPr>
          <w:ilvl w:val="0"/>
          <w:numId w:val="2"/>
        </w:numPr>
        <w:spacing w:line="360" w:lineRule="auto"/>
        <w:jc w:val="both"/>
      </w:pPr>
      <w:r>
        <w:rPr>
          <w:rFonts w:hint="cs"/>
          <w:rtl/>
        </w:rPr>
        <w:t>1,000 ₪ קנס או 7 ימי מאסר תמורתו. הקנס ישולם עד 1.2.2021. מסכום הקנס ניתן לקזז כל סכום שהופקד במסגרת צו הבאה.</w:t>
      </w:r>
    </w:p>
    <w:p w14:paraId="6452E520" w14:textId="77777777" w:rsidR="00A96162" w:rsidRDefault="00A96162" w:rsidP="00A96162">
      <w:pPr>
        <w:spacing w:line="360" w:lineRule="auto"/>
        <w:jc w:val="both"/>
        <w:rPr>
          <w:rtl/>
        </w:rPr>
      </w:pPr>
    </w:p>
    <w:p w14:paraId="5B2CF795" w14:textId="77777777" w:rsidR="00A96162" w:rsidRDefault="00A96162" w:rsidP="00A96162">
      <w:pPr>
        <w:pStyle w:val="a9"/>
        <w:numPr>
          <w:ilvl w:val="0"/>
          <w:numId w:val="1"/>
        </w:numPr>
        <w:spacing w:line="360" w:lineRule="auto"/>
        <w:jc w:val="both"/>
      </w:pPr>
      <w:r>
        <w:rPr>
          <w:rFonts w:hint="cs"/>
          <w:rtl/>
        </w:rPr>
        <w:t>מוצא בזאת צו מבחן למשך שנה בעניינו של הנאשם, שיאפשר לחייב את הנאשם להשתתף בטיפול ולערוך לו בדיקות שתן.</w:t>
      </w:r>
    </w:p>
    <w:p w14:paraId="6722EBBD" w14:textId="77777777" w:rsidR="00A96162" w:rsidRDefault="00A96162" w:rsidP="00A96162">
      <w:pPr>
        <w:pStyle w:val="a9"/>
        <w:spacing w:line="360" w:lineRule="auto"/>
        <w:jc w:val="both"/>
      </w:pPr>
    </w:p>
    <w:p w14:paraId="41BA9EFB" w14:textId="77777777" w:rsidR="00A96162" w:rsidRDefault="00A96162" w:rsidP="00A96162">
      <w:pPr>
        <w:pStyle w:val="a9"/>
        <w:numPr>
          <w:ilvl w:val="0"/>
          <w:numId w:val="1"/>
        </w:numPr>
        <w:spacing w:line="360" w:lineRule="auto"/>
        <w:jc w:val="both"/>
      </w:pPr>
      <w:r>
        <w:rPr>
          <w:rFonts w:hint="cs"/>
          <w:rtl/>
        </w:rPr>
        <w:t xml:space="preserve">שירות המבחן יגיש לאישורי את תוכנית השל"ץ עד ליום 7.1.2021. </w:t>
      </w:r>
    </w:p>
    <w:p w14:paraId="2F71DD8C" w14:textId="77777777" w:rsidR="00A96162" w:rsidRDefault="00A96162" w:rsidP="00A96162">
      <w:pPr>
        <w:pStyle w:val="a9"/>
        <w:rPr>
          <w:rtl/>
        </w:rPr>
      </w:pPr>
    </w:p>
    <w:p w14:paraId="3E4D1FF2" w14:textId="77777777" w:rsidR="00A96162" w:rsidRDefault="00A96162" w:rsidP="00A96162">
      <w:pPr>
        <w:pStyle w:val="a9"/>
        <w:numPr>
          <w:ilvl w:val="0"/>
          <w:numId w:val="1"/>
        </w:numPr>
        <w:spacing w:line="360" w:lineRule="auto"/>
        <w:jc w:val="both"/>
      </w:pPr>
      <w:r>
        <w:rPr>
          <w:rFonts w:hint="cs"/>
          <w:rtl/>
        </w:rPr>
        <w:t>מובהר לנאשם כי הפרה של צו המבחן או של צו השל"ץ עלולה להביא להטלת עונש אחר תחת הצו שהופר.</w:t>
      </w:r>
    </w:p>
    <w:p w14:paraId="2FCF69D2" w14:textId="77777777" w:rsidR="00A96162" w:rsidRPr="00EA62D7" w:rsidRDefault="00A96162" w:rsidP="00A96162">
      <w:pPr>
        <w:pStyle w:val="a9"/>
        <w:spacing w:line="360" w:lineRule="auto"/>
        <w:jc w:val="both"/>
      </w:pPr>
    </w:p>
    <w:p w14:paraId="431B6E23" w14:textId="77777777" w:rsidR="00A96162" w:rsidRDefault="00A96162" w:rsidP="00A96162">
      <w:pPr>
        <w:pStyle w:val="a9"/>
        <w:numPr>
          <w:ilvl w:val="0"/>
          <w:numId w:val="1"/>
        </w:numPr>
        <w:spacing w:line="360" w:lineRule="auto"/>
        <w:jc w:val="both"/>
      </w:pPr>
      <w:r>
        <w:rPr>
          <w:rFonts w:hint="cs"/>
          <w:rtl/>
        </w:rPr>
        <w:t>המזכירות תשלח את גזר הדין לשירות המבחן וכך יעשה גם הסניגור שיוודא שעניינו של הנאשם מטופל ותוכנית השל"ץ מוגשת במועד.</w:t>
      </w:r>
    </w:p>
    <w:p w14:paraId="0E5D0E2F" w14:textId="77777777" w:rsidR="00A96162" w:rsidRDefault="00A96162" w:rsidP="00A96162">
      <w:pPr>
        <w:spacing w:line="360" w:lineRule="auto"/>
        <w:jc w:val="both"/>
      </w:pPr>
    </w:p>
    <w:p w14:paraId="22F5CFE8" w14:textId="77777777" w:rsidR="00A96162" w:rsidRDefault="00A96162" w:rsidP="00A96162">
      <w:pPr>
        <w:pStyle w:val="a9"/>
        <w:numPr>
          <w:ilvl w:val="0"/>
          <w:numId w:val="1"/>
        </w:numPr>
        <w:spacing w:line="360" w:lineRule="auto"/>
        <w:jc w:val="both"/>
      </w:pPr>
      <w:r>
        <w:rPr>
          <w:rFonts w:hint="cs"/>
          <w:rtl/>
        </w:rPr>
        <w:t>תזכורת פנימית ביום 10.1.2021.</w:t>
      </w:r>
    </w:p>
    <w:p w14:paraId="4B35BEEA" w14:textId="77777777" w:rsidR="00A96162" w:rsidRDefault="00A96162" w:rsidP="00A96162">
      <w:pPr>
        <w:spacing w:line="360" w:lineRule="auto"/>
        <w:jc w:val="both"/>
        <w:rPr>
          <w:rtl/>
        </w:rPr>
      </w:pPr>
    </w:p>
    <w:p w14:paraId="67E9E35C" w14:textId="77777777" w:rsidR="00A96162" w:rsidRDefault="00A96162" w:rsidP="00A96162">
      <w:pPr>
        <w:spacing w:line="360" w:lineRule="auto"/>
        <w:jc w:val="both"/>
        <w:rPr>
          <w:rtl/>
        </w:rPr>
      </w:pPr>
      <w:r>
        <w:rPr>
          <w:rFonts w:hint="cs"/>
          <w:rtl/>
        </w:rPr>
        <w:t>זכות ערעור לבית המשפט המחוזי בתוך 45 יום.</w:t>
      </w:r>
    </w:p>
    <w:p w14:paraId="12C41DC9" w14:textId="77777777" w:rsidR="00A96162" w:rsidRPr="003F2BF6" w:rsidRDefault="003F2BF6" w:rsidP="00A96162">
      <w:pPr>
        <w:rPr>
          <w:color w:val="FFFFFF"/>
          <w:sz w:val="2"/>
          <w:szCs w:val="2"/>
          <w:rtl/>
        </w:rPr>
      </w:pPr>
      <w:r w:rsidRPr="003F2BF6">
        <w:rPr>
          <w:color w:val="FFFFFF"/>
          <w:sz w:val="2"/>
          <w:szCs w:val="2"/>
          <w:rtl/>
        </w:rPr>
        <w:t>5129371</w:t>
      </w:r>
    </w:p>
    <w:p w14:paraId="08B767F0" w14:textId="77777777" w:rsidR="00A96162" w:rsidRPr="00250B83" w:rsidRDefault="003F2BF6" w:rsidP="00A96162">
      <w:pPr>
        <w:rPr>
          <w:rtl/>
        </w:rPr>
      </w:pPr>
      <w:bookmarkStart w:id="8" w:name="Nitan"/>
      <w:r w:rsidRPr="003F2BF6">
        <w:rPr>
          <w:rFonts w:ascii="Arial" w:hAnsi="Arial"/>
          <w:color w:val="FFFFFF"/>
          <w:sz w:val="2"/>
          <w:szCs w:val="2"/>
          <w:rtl/>
        </w:rPr>
        <w:t>54678313</w:t>
      </w:r>
      <w:r>
        <w:rPr>
          <w:rFonts w:ascii="Arial" w:hAnsi="Arial"/>
          <w:rtl/>
        </w:rPr>
        <w:t xml:space="preserve">ניתן היום, 7 בדצמבר 2020, בנוכחות הצדדים. </w:t>
      </w:r>
      <w:bookmarkEnd w:id="8"/>
    </w:p>
    <w:p w14:paraId="7F1B1356" w14:textId="77777777" w:rsidR="00A96162" w:rsidRPr="00250B83" w:rsidRDefault="00A96162" w:rsidP="003F2BF6">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4CC1D070" w14:textId="77777777" w:rsidR="00A96162" w:rsidRPr="00250B83" w:rsidRDefault="00A96162" w:rsidP="00A96162">
      <w:pPr>
        <w:jc w:val="center"/>
        <w:rPr>
          <w:rFonts w:ascii="Arial" w:hAnsi="Arial"/>
          <w:rtl/>
        </w:rPr>
      </w:pPr>
    </w:p>
    <w:p w14:paraId="42663ED1" w14:textId="77777777" w:rsidR="00A96162" w:rsidRPr="00250B83" w:rsidRDefault="00A96162" w:rsidP="00A96162">
      <w:pPr>
        <w:rPr>
          <w:rtl/>
        </w:rPr>
      </w:pPr>
    </w:p>
    <w:p w14:paraId="6784A181" w14:textId="77777777" w:rsidR="00A96162" w:rsidRDefault="00A96162" w:rsidP="00A96162">
      <w:pPr>
        <w:pStyle w:val="a3"/>
        <w:jc w:val="center"/>
        <w:rPr>
          <w:rtl/>
        </w:rPr>
      </w:pPr>
    </w:p>
    <w:p w14:paraId="6634B9F0" w14:textId="77777777" w:rsidR="00AF7945" w:rsidRPr="003F2BF6" w:rsidRDefault="00AF7945" w:rsidP="003F2BF6">
      <w:pPr>
        <w:keepNext/>
        <w:rPr>
          <w:rFonts w:ascii="David" w:hAnsi="David"/>
          <w:color w:val="000000"/>
          <w:sz w:val="22"/>
          <w:szCs w:val="22"/>
          <w:rtl/>
        </w:rPr>
      </w:pPr>
    </w:p>
    <w:p w14:paraId="0FCE117E" w14:textId="77777777" w:rsidR="003F2BF6" w:rsidRPr="003F2BF6" w:rsidRDefault="003F2BF6" w:rsidP="003F2BF6">
      <w:pPr>
        <w:keepNext/>
        <w:rPr>
          <w:rFonts w:ascii="David" w:hAnsi="David"/>
          <w:color w:val="000000"/>
          <w:sz w:val="22"/>
          <w:szCs w:val="22"/>
          <w:rtl/>
        </w:rPr>
      </w:pPr>
      <w:r w:rsidRPr="003F2BF6">
        <w:rPr>
          <w:rFonts w:ascii="David" w:hAnsi="David"/>
          <w:color w:val="000000"/>
          <w:sz w:val="22"/>
          <w:szCs w:val="22"/>
          <w:rtl/>
        </w:rPr>
        <w:t>איתי הרמלין 54678313</w:t>
      </w:r>
    </w:p>
    <w:p w14:paraId="6F81D86D" w14:textId="77777777" w:rsidR="003F2BF6" w:rsidRDefault="003F2BF6" w:rsidP="003F2BF6">
      <w:r w:rsidRPr="003F2BF6">
        <w:rPr>
          <w:color w:val="000000"/>
          <w:rtl/>
        </w:rPr>
        <w:t>נוסח מסמך זה כפוף לשינויי ניסוח ועריכה</w:t>
      </w:r>
    </w:p>
    <w:p w14:paraId="6358BCA4" w14:textId="77777777" w:rsidR="003F2BF6" w:rsidRDefault="003F2BF6" w:rsidP="003F2BF6">
      <w:pPr>
        <w:rPr>
          <w:rtl/>
        </w:rPr>
      </w:pPr>
    </w:p>
    <w:p w14:paraId="5E49C0E9" w14:textId="77777777" w:rsidR="003F2BF6" w:rsidRDefault="003F2BF6" w:rsidP="003F2BF6">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4E7A829C" w14:textId="77777777" w:rsidR="003F2BF6" w:rsidRPr="003F2BF6" w:rsidRDefault="003F2BF6" w:rsidP="003F2BF6">
      <w:pPr>
        <w:jc w:val="center"/>
        <w:rPr>
          <w:color w:val="0000FF"/>
          <w:u w:val="single"/>
        </w:rPr>
      </w:pPr>
    </w:p>
    <w:sectPr w:rsidR="003F2BF6" w:rsidRPr="003F2BF6" w:rsidSect="003F2BF6">
      <w:headerReference w:type="even" r:id="rId20"/>
      <w:headerReference w:type="default" r:id="rId21"/>
      <w:footerReference w:type="even" r:id="rId22"/>
      <w:footerReference w:type="default" r:id="rId23"/>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3F47F" w14:textId="77777777" w:rsidR="00172700" w:rsidRDefault="00172700" w:rsidP="0002144E">
      <w:r>
        <w:separator/>
      </w:r>
    </w:p>
  </w:endnote>
  <w:endnote w:type="continuationSeparator" w:id="0">
    <w:p w14:paraId="5AEA4576" w14:textId="77777777" w:rsidR="00172700" w:rsidRDefault="00172700" w:rsidP="00021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2A3BF" w14:textId="77777777" w:rsidR="003F2BF6" w:rsidRDefault="003F2BF6" w:rsidP="003F2BF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109B06" w14:textId="77777777" w:rsidR="00430A08" w:rsidRPr="003F2BF6" w:rsidRDefault="003F2BF6" w:rsidP="003F2BF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8AD5A" w14:textId="77777777" w:rsidR="003F2BF6" w:rsidRDefault="003F2BF6" w:rsidP="003F2BF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15FA8">
      <w:rPr>
        <w:rFonts w:ascii="FrankRuehl" w:hAnsi="FrankRuehl" w:cs="FrankRuehl"/>
        <w:noProof/>
        <w:rtl/>
      </w:rPr>
      <w:t>1</w:t>
    </w:r>
    <w:r>
      <w:rPr>
        <w:rFonts w:ascii="FrankRuehl" w:hAnsi="FrankRuehl" w:cs="FrankRuehl"/>
        <w:rtl/>
      </w:rPr>
      <w:fldChar w:fldCharType="end"/>
    </w:r>
  </w:p>
  <w:p w14:paraId="049F535B" w14:textId="77777777" w:rsidR="00430A08" w:rsidRPr="003F2BF6" w:rsidRDefault="003F2BF6" w:rsidP="003F2BF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CD4F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9C6F7" w14:textId="77777777" w:rsidR="00172700" w:rsidRDefault="00172700" w:rsidP="0002144E">
      <w:r>
        <w:separator/>
      </w:r>
    </w:p>
  </w:footnote>
  <w:footnote w:type="continuationSeparator" w:id="0">
    <w:p w14:paraId="457353B5" w14:textId="77777777" w:rsidR="00172700" w:rsidRDefault="00172700" w:rsidP="00021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970C1" w14:textId="77777777" w:rsidR="003F2BF6" w:rsidRPr="003F2BF6" w:rsidRDefault="003F2BF6" w:rsidP="003F2BF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56668-06-17</w:t>
    </w:r>
    <w:r>
      <w:rPr>
        <w:rFonts w:ascii="David" w:hAnsi="David"/>
        <w:color w:val="000000"/>
        <w:sz w:val="22"/>
        <w:szCs w:val="22"/>
        <w:rtl/>
      </w:rPr>
      <w:tab/>
      <w:t xml:space="preserve"> מדינת ישראל נ' שרון שמואל חי טורס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DA848" w14:textId="77777777" w:rsidR="003F2BF6" w:rsidRPr="003F2BF6" w:rsidRDefault="003F2BF6" w:rsidP="003F2BF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56668-06-17</w:t>
    </w:r>
    <w:r>
      <w:rPr>
        <w:rFonts w:ascii="David" w:hAnsi="David"/>
        <w:color w:val="000000"/>
        <w:sz w:val="22"/>
        <w:szCs w:val="22"/>
        <w:rtl/>
      </w:rPr>
      <w:tab/>
      <w:t xml:space="preserve"> מדינת ישראל נ' שרון שמואל חי טורס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C56E82"/>
    <w:multiLevelType w:val="hybridMultilevel"/>
    <w:tmpl w:val="12B63C34"/>
    <w:lvl w:ilvl="0" w:tplc="4642BB1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DF7BD7"/>
    <w:multiLevelType w:val="hybridMultilevel"/>
    <w:tmpl w:val="1E5A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81401">
    <w:abstractNumId w:val="1"/>
  </w:num>
  <w:num w:numId="2" w16cid:durableId="482742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96162"/>
    <w:rsid w:val="0002144E"/>
    <w:rsid w:val="000719C4"/>
    <w:rsid w:val="001701EE"/>
    <w:rsid w:val="00172700"/>
    <w:rsid w:val="003A33AF"/>
    <w:rsid w:val="003B6F3C"/>
    <w:rsid w:val="003F2BF6"/>
    <w:rsid w:val="00415FA8"/>
    <w:rsid w:val="00430A08"/>
    <w:rsid w:val="005225B9"/>
    <w:rsid w:val="005D2A4B"/>
    <w:rsid w:val="00627426"/>
    <w:rsid w:val="006E5AD4"/>
    <w:rsid w:val="00A96162"/>
    <w:rsid w:val="00AC4D64"/>
    <w:rsid w:val="00AF7945"/>
    <w:rsid w:val="00CE24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F8EA02"/>
  <w15:chartTrackingRefBased/>
  <w15:docId w15:val="{2B01A72D-92B8-4187-B5AC-977565C5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616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96162"/>
    <w:pPr>
      <w:tabs>
        <w:tab w:val="center" w:pos="4153"/>
        <w:tab w:val="right" w:pos="8306"/>
      </w:tabs>
    </w:pPr>
  </w:style>
  <w:style w:type="character" w:customStyle="1" w:styleId="a4">
    <w:name w:val="כותרת עליונה תו"/>
    <w:link w:val="a3"/>
    <w:rsid w:val="00A96162"/>
    <w:rPr>
      <w:rFonts w:ascii="Times New Roman" w:eastAsia="Times New Roman" w:hAnsi="Times New Roman" w:cs="David"/>
      <w:sz w:val="24"/>
      <w:szCs w:val="24"/>
    </w:rPr>
  </w:style>
  <w:style w:type="paragraph" w:styleId="a5">
    <w:name w:val="footer"/>
    <w:basedOn w:val="a"/>
    <w:link w:val="a6"/>
    <w:rsid w:val="00A96162"/>
    <w:pPr>
      <w:tabs>
        <w:tab w:val="center" w:pos="4153"/>
        <w:tab w:val="right" w:pos="8306"/>
      </w:tabs>
    </w:pPr>
  </w:style>
  <w:style w:type="character" w:customStyle="1" w:styleId="a6">
    <w:name w:val="כותרת תחתונה תו"/>
    <w:link w:val="a5"/>
    <w:rsid w:val="00A96162"/>
    <w:rPr>
      <w:rFonts w:ascii="Times New Roman" w:eastAsia="Times New Roman" w:hAnsi="Times New Roman" w:cs="David"/>
      <w:sz w:val="24"/>
      <w:szCs w:val="24"/>
    </w:rPr>
  </w:style>
  <w:style w:type="table" w:styleId="a7">
    <w:name w:val="Table Grid"/>
    <w:basedOn w:val="a1"/>
    <w:rsid w:val="00A9616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96162"/>
  </w:style>
  <w:style w:type="paragraph" w:styleId="a9">
    <w:name w:val="List Paragraph"/>
    <w:basedOn w:val="a"/>
    <w:qFormat/>
    <w:rsid w:val="00A96162"/>
    <w:pPr>
      <w:ind w:left="720"/>
      <w:contextualSpacing/>
    </w:pPr>
  </w:style>
  <w:style w:type="character" w:styleId="Hyperlink">
    <w:name w:val="Hyperlink"/>
    <w:rsid w:val="003F2B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23777143" TargetMode="External"/><Relationship Id="rId18" Type="http://schemas.openxmlformats.org/officeDocument/2006/relationships/hyperlink" Target="http://www.nevo.co.il/case/16941543"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case/23367950" TargetMode="External"/><Relationship Id="rId17" Type="http://schemas.openxmlformats.org/officeDocument/2006/relationships/hyperlink" Target="http://www.nevo.co.il/case/581078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17943750"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0991958" TargetMode="External"/><Relationship Id="rId23" Type="http://schemas.openxmlformats.org/officeDocument/2006/relationships/footer" Target="footer2.xml"/><Relationship Id="rId10" Type="http://schemas.openxmlformats.org/officeDocument/2006/relationships/hyperlink" Target="http://www.nevo.co.il/case/20148502"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case/20415687" TargetMode="External"/><Relationship Id="rId14" Type="http://schemas.openxmlformats.org/officeDocument/2006/relationships/hyperlink" Target="http://www.nevo.co.il/case/25053766"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1371</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8211</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3997811</vt:i4>
      </vt:variant>
      <vt:variant>
        <vt:i4>33</vt:i4>
      </vt:variant>
      <vt:variant>
        <vt:i4>0</vt:i4>
      </vt:variant>
      <vt:variant>
        <vt:i4>5</vt:i4>
      </vt:variant>
      <vt:variant>
        <vt:lpwstr>http://www.nevo.co.il/case/16941543</vt:lpwstr>
      </vt:variant>
      <vt:variant>
        <vt:lpwstr/>
      </vt:variant>
      <vt:variant>
        <vt:i4>3276916</vt:i4>
      </vt:variant>
      <vt:variant>
        <vt:i4>30</vt:i4>
      </vt:variant>
      <vt:variant>
        <vt:i4>0</vt:i4>
      </vt:variant>
      <vt:variant>
        <vt:i4>5</vt:i4>
      </vt:variant>
      <vt:variant>
        <vt:lpwstr>http://www.nevo.co.il/case/5810781</vt:lpwstr>
      </vt:variant>
      <vt:variant>
        <vt:lpwstr/>
      </vt:variant>
      <vt:variant>
        <vt:i4>4063344</vt:i4>
      </vt:variant>
      <vt:variant>
        <vt:i4>27</vt:i4>
      </vt:variant>
      <vt:variant>
        <vt:i4>0</vt:i4>
      </vt:variant>
      <vt:variant>
        <vt:i4>5</vt:i4>
      </vt:variant>
      <vt:variant>
        <vt:lpwstr>http://www.nevo.co.il/case/17943750</vt:lpwstr>
      </vt:variant>
      <vt:variant>
        <vt:lpwstr/>
      </vt:variant>
      <vt:variant>
        <vt:i4>4128884</vt:i4>
      </vt:variant>
      <vt:variant>
        <vt:i4>24</vt:i4>
      </vt:variant>
      <vt:variant>
        <vt:i4>0</vt:i4>
      </vt:variant>
      <vt:variant>
        <vt:i4>5</vt:i4>
      </vt:variant>
      <vt:variant>
        <vt:lpwstr>http://www.nevo.co.il/case/20991958</vt:lpwstr>
      </vt:variant>
      <vt:variant>
        <vt:lpwstr/>
      </vt:variant>
      <vt:variant>
        <vt:i4>3604595</vt:i4>
      </vt:variant>
      <vt:variant>
        <vt:i4>21</vt:i4>
      </vt:variant>
      <vt:variant>
        <vt:i4>0</vt:i4>
      </vt:variant>
      <vt:variant>
        <vt:i4>5</vt:i4>
      </vt:variant>
      <vt:variant>
        <vt:lpwstr>http://www.nevo.co.il/case/25053766</vt:lpwstr>
      </vt:variant>
      <vt:variant>
        <vt:lpwstr/>
      </vt:variant>
      <vt:variant>
        <vt:i4>3539057</vt:i4>
      </vt:variant>
      <vt:variant>
        <vt:i4>18</vt:i4>
      </vt:variant>
      <vt:variant>
        <vt:i4>0</vt:i4>
      </vt:variant>
      <vt:variant>
        <vt:i4>5</vt:i4>
      </vt:variant>
      <vt:variant>
        <vt:lpwstr>http://www.nevo.co.il/case/23777143</vt:lpwstr>
      </vt:variant>
      <vt:variant>
        <vt:lpwstr/>
      </vt:variant>
      <vt:variant>
        <vt:i4>3342456</vt:i4>
      </vt:variant>
      <vt:variant>
        <vt:i4>15</vt:i4>
      </vt:variant>
      <vt:variant>
        <vt:i4>0</vt:i4>
      </vt:variant>
      <vt:variant>
        <vt:i4>5</vt:i4>
      </vt:variant>
      <vt:variant>
        <vt:lpwstr>http://www.nevo.co.il/case/23367950</vt:lpwstr>
      </vt:variant>
      <vt:variant>
        <vt:lpwstr/>
      </vt:variant>
      <vt:variant>
        <vt:i4>8257637</vt:i4>
      </vt:variant>
      <vt:variant>
        <vt:i4>12</vt:i4>
      </vt:variant>
      <vt:variant>
        <vt:i4>0</vt:i4>
      </vt:variant>
      <vt:variant>
        <vt:i4>5</vt:i4>
      </vt:variant>
      <vt:variant>
        <vt:lpwstr>http://www.nevo.co.il/law/4216</vt:lpwstr>
      </vt:variant>
      <vt:variant>
        <vt:lpwstr/>
      </vt:variant>
      <vt:variant>
        <vt:i4>3866741</vt:i4>
      </vt:variant>
      <vt:variant>
        <vt:i4>9</vt:i4>
      </vt:variant>
      <vt:variant>
        <vt:i4>0</vt:i4>
      </vt:variant>
      <vt:variant>
        <vt:i4>5</vt:i4>
      </vt:variant>
      <vt:variant>
        <vt:lpwstr>http://www.nevo.co.il/case/20148502</vt:lpwstr>
      </vt:variant>
      <vt:variant>
        <vt:lpwstr/>
      </vt:variant>
      <vt:variant>
        <vt:i4>3866739</vt:i4>
      </vt:variant>
      <vt:variant>
        <vt:i4>6</vt:i4>
      </vt:variant>
      <vt:variant>
        <vt:i4>0</vt:i4>
      </vt:variant>
      <vt:variant>
        <vt:i4>5</vt:i4>
      </vt:variant>
      <vt:variant>
        <vt:lpwstr>http://www.nevo.co.il/case/20415687</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2025-04-22T23:27:00Z</dcterms:created>
  <dcterms:modified xsi:type="dcterms:W3CDTF">2025-04-22T23:27:00Z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56668</vt:lpwstr>
  </property>
  <property fmtid="{D5CDD505-2E9C-101B-9397-08002B2CF9AE}" pid="6" name="NEWPARTB">
    <vt:lpwstr>06</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שרון שמואל חי טורס</vt:lpwstr>
  </property>
  <property fmtid="{D5CDD505-2E9C-101B-9397-08002B2CF9AE}" pid="10" name="LAWYER">
    <vt:lpwstr>אילנה קיפניס פרדמן;סהר מורנו</vt:lpwstr>
  </property>
  <property fmtid="{D5CDD505-2E9C-101B-9397-08002B2CF9AE}" pid="11" name="JUDGE">
    <vt:lpwstr>איתי הרמלין</vt:lpwstr>
  </property>
  <property fmtid="{D5CDD505-2E9C-101B-9397-08002B2CF9AE}" pid="12" name="CITY">
    <vt:lpwstr>ת"א</vt:lpwstr>
  </property>
  <property fmtid="{D5CDD505-2E9C-101B-9397-08002B2CF9AE}" pid="13" name="DATE">
    <vt:lpwstr>20201207</vt:lpwstr>
  </property>
  <property fmtid="{D5CDD505-2E9C-101B-9397-08002B2CF9AE}" pid="14" name="TYPE_N_DATE">
    <vt:lpwstr>38020201207</vt:lpwstr>
  </property>
  <property fmtid="{D5CDD505-2E9C-101B-9397-08002B2CF9AE}" pid="15" name="WORDNUMPAGES">
    <vt:lpwstr>5</vt:lpwstr>
  </property>
  <property fmtid="{D5CDD505-2E9C-101B-9397-08002B2CF9AE}" pid="16" name="TYPE_ABS_DATE">
    <vt:lpwstr>380020201207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20415687;20148502;23367950;23777143;25053766;20991958;17943750;5810781;16941543</vt:lpwstr>
  </property>
  <property fmtid="{D5CDD505-2E9C-101B-9397-08002B2CF9AE}" pid="36" name="LAWLISTTMP1">
    <vt:lpwstr>4216:2</vt:lpwstr>
  </property>
</Properties>
</file>