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87A4C" w:rsidRPr="00B3264F" w14:paraId="4D992A63" w14:textId="77777777" w:rsidTr="002044AD">
        <w:trPr>
          <w:trHeight w:hRule="exact" w:val="418"/>
          <w:jc w:val="center"/>
        </w:trPr>
        <w:tc>
          <w:tcPr>
            <w:tcW w:w="8721" w:type="dxa"/>
            <w:gridSpan w:val="2"/>
          </w:tcPr>
          <w:p w14:paraId="50DD1C72" w14:textId="77777777" w:rsidR="00987A4C" w:rsidRPr="00B3264F" w:rsidRDefault="00987A4C" w:rsidP="00245DA6">
            <w:pPr>
              <w:pStyle w:val="a3"/>
              <w:jc w:val="center"/>
              <w:rPr>
                <w:rFonts w:ascii="Tahoma" w:hAnsi="Tahoma" w:cs="Tahoma"/>
                <w:color w:val="000080"/>
                <w:rtl/>
              </w:rPr>
            </w:pPr>
            <w:bookmarkStart w:id="0" w:name="LastJudge"/>
            <w:r w:rsidRPr="00B3264F">
              <w:rPr>
                <w:rFonts w:ascii="Tahoma" w:hAnsi="Tahoma" w:cs="Tahoma"/>
                <w:b/>
                <w:bCs/>
                <w:color w:val="000080"/>
                <w:rtl/>
              </w:rPr>
              <w:t>בית משפט השלום בירושלים</w:t>
            </w:r>
          </w:p>
        </w:tc>
      </w:tr>
      <w:tr w:rsidR="00987A4C" w:rsidRPr="00B3264F" w14:paraId="6FD4A64C" w14:textId="77777777" w:rsidTr="002044AD">
        <w:trPr>
          <w:trHeight w:val="337"/>
          <w:jc w:val="center"/>
        </w:trPr>
        <w:tc>
          <w:tcPr>
            <w:tcW w:w="5061" w:type="dxa"/>
          </w:tcPr>
          <w:p w14:paraId="07FC042A" w14:textId="77777777" w:rsidR="00987A4C" w:rsidRPr="00B3264F" w:rsidRDefault="00987A4C" w:rsidP="00245DA6">
            <w:pPr>
              <w:rPr>
                <w:rFonts w:cs="FrankRuehl"/>
                <w:sz w:val="28"/>
                <w:szCs w:val="28"/>
                <w:rtl/>
              </w:rPr>
            </w:pPr>
            <w:r w:rsidRPr="00B3264F">
              <w:rPr>
                <w:rFonts w:cs="FrankRuehl"/>
                <w:sz w:val="28"/>
                <w:szCs w:val="28"/>
                <w:rtl/>
              </w:rPr>
              <w:t>ת"פ</w:t>
            </w:r>
            <w:r w:rsidRPr="00B3264F">
              <w:rPr>
                <w:rFonts w:cs="FrankRuehl" w:hint="cs"/>
                <w:sz w:val="28"/>
                <w:szCs w:val="28"/>
                <w:rtl/>
              </w:rPr>
              <w:t xml:space="preserve"> </w:t>
            </w:r>
            <w:r w:rsidRPr="00B3264F">
              <w:rPr>
                <w:rFonts w:cs="FrankRuehl"/>
                <w:sz w:val="28"/>
                <w:szCs w:val="28"/>
                <w:rtl/>
              </w:rPr>
              <w:t>10324-07-17</w:t>
            </w:r>
            <w:r w:rsidRPr="00B3264F">
              <w:rPr>
                <w:rFonts w:cs="FrankRuehl" w:hint="cs"/>
                <w:sz w:val="28"/>
                <w:szCs w:val="28"/>
                <w:rtl/>
              </w:rPr>
              <w:t xml:space="preserve"> </w:t>
            </w:r>
            <w:r w:rsidRPr="00B3264F">
              <w:rPr>
                <w:rFonts w:cs="FrankRuehl"/>
                <w:sz w:val="28"/>
                <w:szCs w:val="28"/>
                <w:rtl/>
              </w:rPr>
              <w:t>מדינת ישראל נ' ריץ'(אחר/נוסף)</w:t>
            </w:r>
          </w:p>
          <w:p w14:paraId="6A387DD2" w14:textId="77777777" w:rsidR="00987A4C" w:rsidRPr="00B3264F" w:rsidRDefault="00987A4C" w:rsidP="00245DA6">
            <w:pPr>
              <w:pStyle w:val="a3"/>
              <w:rPr>
                <w:rFonts w:cs="FrankRuehl"/>
                <w:sz w:val="28"/>
                <w:szCs w:val="28"/>
                <w:rtl/>
              </w:rPr>
            </w:pPr>
          </w:p>
        </w:tc>
        <w:tc>
          <w:tcPr>
            <w:tcW w:w="3660" w:type="dxa"/>
          </w:tcPr>
          <w:p w14:paraId="143FD4D5" w14:textId="77777777" w:rsidR="00987A4C" w:rsidRPr="00B3264F" w:rsidRDefault="00987A4C" w:rsidP="00245DA6">
            <w:pPr>
              <w:pStyle w:val="a3"/>
              <w:jc w:val="right"/>
              <w:rPr>
                <w:rFonts w:cs="FrankRuehl"/>
                <w:sz w:val="28"/>
                <w:szCs w:val="28"/>
                <w:rtl/>
              </w:rPr>
            </w:pPr>
          </w:p>
        </w:tc>
      </w:tr>
    </w:tbl>
    <w:p w14:paraId="4BFCB748" w14:textId="77777777" w:rsidR="00987A4C" w:rsidRPr="00B3264F" w:rsidRDefault="00987A4C" w:rsidP="00987A4C">
      <w:pPr>
        <w:pStyle w:val="a3"/>
        <w:rPr>
          <w:rtl/>
        </w:rPr>
      </w:pPr>
      <w:r w:rsidRPr="00B3264F">
        <w:rPr>
          <w:rFonts w:hint="cs"/>
          <w:rtl/>
        </w:rPr>
        <w:t xml:space="preserve"> </w:t>
      </w:r>
    </w:p>
    <w:p w14:paraId="391020CB" w14:textId="77777777" w:rsidR="00987A4C" w:rsidRPr="00B3264F" w:rsidRDefault="00987A4C" w:rsidP="00987A4C">
      <w:pPr>
        <w:rPr>
          <w:rtl/>
        </w:rPr>
      </w:pPr>
    </w:p>
    <w:p w14:paraId="3AC6EB35" w14:textId="77777777" w:rsidR="00987A4C" w:rsidRPr="00B3264F" w:rsidRDefault="00987A4C" w:rsidP="00987A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7A4C" w:rsidRPr="00B3264F" w14:paraId="300242DB" w14:textId="77777777" w:rsidTr="00987A4C">
        <w:trPr>
          <w:trHeight w:val="295"/>
          <w:jc w:val="center"/>
        </w:trPr>
        <w:tc>
          <w:tcPr>
            <w:tcW w:w="923" w:type="dxa"/>
            <w:tcBorders>
              <w:top w:val="nil"/>
              <w:left w:val="nil"/>
              <w:bottom w:val="nil"/>
              <w:right w:val="nil"/>
            </w:tcBorders>
            <w:shd w:val="clear" w:color="auto" w:fill="auto"/>
          </w:tcPr>
          <w:p w14:paraId="7C3A1376" w14:textId="77777777" w:rsidR="00987A4C" w:rsidRPr="00B3264F" w:rsidRDefault="00987A4C" w:rsidP="00987A4C">
            <w:pPr>
              <w:jc w:val="both"/>
              <w:rPr>
                <w:rFonts w:ascii="Arial" w:hAnsi="Arial"/>
                <w:sz w:val="28"/>
                <w:szCs w:val="28"/>
              </w:rPr>
            </w:pPr>
            <w:r w:rsidRPr="00B3264F">
              <w:rPr>
                <w:rFonts w:ascii="Arial" w:hAnsi="Arial" w:hint="cs"/>
                <w:sz w:val="28"/>
                <w:szCs w:val="28"/>
                <w:rtl/>
              </w:rPr>
              <w:t>ב</w:t>
            </w:r>
            <w:r w:rsidRPr="00B3264F">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5B099372" w14:textId="77777777" w:rsidR="00987A4C" w:rsidRPr="00B3264F" w:rsidRDefault="00987A4C" w:rsidP="00245DA6">
            <w:pPr>
              <w:rPr>
                <w:rFonts w:ascii="Arial" w:hAnsi="Arial"/>
                <w:b/>
                <w:bCs/>
                <w:rtl/>
              </w:rPr>
            </w:pPr>
            <w:r w:rsidRPr="00B3264F">
              <w:rPr>
                <w:rFonts w:ascii="Arial" w:hAnsi="Arial" w:hint="cs"/>
                <w:b/>
                <w:bCs/>
                <w:rtl/>
              </w:rPr>
              <w:t>כבוד ה</w:t>
            </w:r>
            <w:r w:rsidRPr="00B3264F">
              <w:rPr>
                <w:rFonts w:ascii="Arial" w:hAnsi="Arial"/>
                <w:b/>
                <w:bCs/>
                <w:rtl/>
              </w:rPr>
              <w:t>שופט</w:t>
            </w:r>
            <w:r w:rsidRPr="00B3264F">
              <w:rPr>
                <w:rFonts w:ascii="Arial" w:hAnsi="Arial" w:hint="cs"/>
                <w:b/>
                <w:bCs/>
                <w:rtl/>
              </w:rPr>
              <w:t xml:space="preserve">  </w:t>
            </w:r>
            <w:r w:rsidRPr="00B3264F">
              <w:rPr>
                <w:rFonts w:ascii="Arial" w:hAnsi="Arial"/>
                <w:b/>
                <w:bCs/>
                <w:rtl/>
              </w:rPr>
              <w:t>ארנון איתן</w:t>
            </w:r>
          </w:p>
          <w:p w14:paraId="196A66BD" w14:textId="77777777" w:rsidR="00987A4C" w:rsidRPr="00B3264F" w:rsidRDefault="00987A4C" w:rsidP="00245DA6">
            <w:pPr>
              <w:rPr>
                <w:rtl/>
              </w:rPr>
            </w:pPr>
          </w:p>
          <w:p w14:paraId="21F430D6" w14:textId="77777777" w:rsidR="00987A4C" w:rsidRPr="00B3264F" w:rsidRDefault="00987A4C" w:rsidP="00987A4C">
            <w:pPr>
              <w:jc w:val="both"/>
              <w:rPr>
                <w:rFonts w:ascii="Arial" w:hAnsi="Arial"/>
                <w:sz w:val="28"/>
                <w:szCs w:val="28"/>
              </w:rPr>
            </w:pPr>
          </w:p>
        </w:tc>
      </w:tr>
      <w:tr w:rsidR="00987A4C" w:rsidRPr="00B3264F" w14:paraId="6EE46692" w14:textId="77777777" w:rsidTr="00987A4C">
        <w:trPr>
          <w:trHeight w:val="355"/>
          <w:jc w:val="center"/>
        </w:trPr>
        <w:tc>
          <w:tcPr>
            <w:tcW w:w="923" w:type="dxa"/>
            <w:tcBorders>
              <w:top w:val="nil"/>
              <w:left w:val="nil"/>
              <w:bottom w:val="nil"/>
              <w:right w:val="nil"/>
            </w:tcBorders>
            <w:shd w:val="clear" w:color="auto" w:fill="auto"/>
          </w:tcPr>
          <w:p w14:paraId="61CB9F7A" w14:textId="77777777" w:rsidR="00987A4C" w:rsidRPr="00B3264F" w:rsidRDefault="00987A4C" w:rsidP="00987A4C">
            <w:pPr>
              <w:jc w:val="both"/>
              <w:rPr>
                <w:rFonts w:ascii="Arial" w:hAnsi="Arial"/>
                <w:b/>
                <w:bCs/>
              </w:rPr>
            </w:pPr>
            <w:bookmarkStart w:id="1" w:name="FirstAppellant"/>
            <w:r w:rsidRPr="00B3264F">
              <w:rPr>
                <w:rFonts w:ascii="Arial" w:hAnsi="Arial" w:hint="cs"/>
                <w:b/>
                <w:bCs/>
                <w:rtl/>
              </w:rPr>
              <w:t>בעניין:</w:t>
            </w:r>
          </w:p>
        </w:tc>
        <w:tc>
          <w:tcPr>
            <w:tcW w:w="4126" w:type="dxa"/>
            <w:tcBorders>
              <w:top w:val="nil"/>
              <w:left w:val="nil"/>
              <w:bottom w:val="nil"/>
              <w:right w:val="nil"/>
            </w:tcBorders>
            <w:shd w:val="clear" w:color="auto" w:fill="auto"/>
          </w:tcPr>
          <w:p w14:paraId="5BB1F5F1" w14:textId="77777777" w:rsidR="00987A4C" w:rsidRPr="00B3264F" w:rsidRDefault="00987A4C" w:rsidP="00245DA6">
            <w:pPr>
              <w:rPr>
                <w:b/>
                <w:bCs/>
              </w:rPr>
            </w:pPr>
            <w:r w:rsidRPr="00B3264F">
              <w:rPr>
                <w:rFonts w:ascii="Arial" w:hAnsi="Arial"/>
                <w:b/>
                <w:bCs/>
                <w:rtl/>
              </w:rPr>
              <w:t>מדינת ישראל</w:t>
            </w:r>
          </w:p>
        </w:tc>
        <w:tc>
          <w:tcPr>
            <w:tcW w:w="3771" w:type="dxa"/>
            <w:tcBorders>
              <w:top w:val="nil"/>
              <w:left w:val="nil"/>
              <w:bottom w:val="nil"/>
              <w:right w:val="nil"/>
            </w:tcBorders>
            <w:shd w:val="clear" w:color="auto" w:fill="auto"/>
          </w:tcPr>
          <w:p w14:paraId="55350A99" w14:textId="77777777" w:rsidR="00987A4C" w:rsidRPr="00B3264F" w:rsidRDefault="00987A4C" w:rsidP="00987A4C">
            <w:pPr>
              <w:jc w:val="both"/>
              <w:rPr>
                <w:rFonts w:ascii="Arial" w:hAnsi="Arial"/>
                <w:b/>
                <w:bCs/>
              </w:rPr>
            </w:pPr>
          </w:p>
        </w:tc>
      </w:tr>
      <w:bookmarkEnd w:id="1"/>
      <w:tr w:rsidR="00987A4C" w:rsidRPr="00B3264F" w14:paraId="16D8DC00" w14:textId="77777777" w:rsidTr="00987A4C">
        <w:trPr>
          <w:trHeight w:val="355"/>
          <w:jc w:val="center"/>
        </w:trPr>
        <w:tc>
          <w:tcPr>
            <w:tcW w:w="923" w:type="dxa"/>
            <w:tcBorders>
              <w:top w:val="nil"/>
              <w:left w:val="nil"/>
              <w:bottom w:val="nil"/>
              <w:right w:val="nil"/>
            </w:tcBorders>
            <w:shd w:val="clear" w:color="auto" w:fill="auto"/>
          </w:tcPr>
          <w:p w14:paraId="4B3FEAD2" w14:textId="77777777" w:rsidR="00987A4C" w:rsidRPr="00B3264F" w:rsidRDefault="00987A4C" w:rsidP="00987A4C">
            <w:pPr>
              <w:jc w:val="both"/>
              <w:rPr>
                <w:rFonts w:ascii="Arial" w:hAnsi="Arial"/>
                <w:b/>
                <w:bCs/>
                <w:rtl/>
              </w:rPr>
            </w:pPr>
          </w:p>
        </w:tc>
        <w:tc>
          <w:tcPr>
            <w:tcW w:w="4126" w:type="dxa"/>
            <w:tcBorders>
              <w:top w:val="nil"/>
              <w:left w:val="nil"/>
              <w:bottom w:val="nil"/>
              <w:right w:val="nil"/>
            </w:tcBorders>
            <w:shd w:val="clear" w:color="auto" w:fill="auto"/>
          </w:tcPr>
          <w:p w14:paraId="6E2056D3" w14:textId="77777777" w:rsidR="00987A4C" w:rsidRPr="00B3264F" w:rsidRDefault="00987A4C" w:rsidP="00987A4C">
            <w:pPr>
              <w:jc w:val="both"/>
              <w:rPr>
                <w:b/>
                <w:bCs/>
                <w:rtl/>
              </w:rPr>
            </w:pPr>
          </w:p>
        </w:tc>
        <w:tc>
          <w:tcPr>
            <w:tcW w:w="3771" w:type="dxa"/>
            <w:tcBorders>
              <w:top w:val="nil"/>
              <w:left w:val="nil"/>
              <w:bottom w:val="nil"/>
              <w:right w:val="nil"/>
            </w:tcBorders>
            <w:shd w:val="clear" w:color="auto" w:fill="auto"/>
          </w:tcPr>
          <w:p w14:paraId="69AFC301" w14:textId="77777777" w:rsidR="00987A4C" w:rsidRPr="00B3264F" w:rsidRDefault="00987A4C" w:rsidP="00987A4C">
            <w:pPr>
              <w:jc w:val="right"/>
              <w:rPr>
                <w:rFonts w:ascii="Arial" w:hAnsi="Arial"/>
                <w:b/>
                <w:bCs/>
                <w:rtl/>
              </w:rPr>
            </w:pPr>
            <w:r w:rsidRPr="00B3264F">
              <w:rPr>
                <w:rFonts w:ascii="Arial" w:hAnsi="Arial" w:hint="cs"/>
                <w:b/>
                <w:bCs/>
                <w:rtl/>
              </w:rPr>
              <w:t>ה</w:t>
            </w:r>
            <w:r w:rsidRPr="00B3264F">
              <w:rPr>
                <w:rFonts w:ascii="Arial" w:hAnsi="Arial"/>
                <w:b/>
                <w:bCs/>
                <w:rtl/>
              </w:rPr>
              <w:t>מאשימה</w:t>
            </w:r>
          </w:p>
        </w:tc>
      </w:tr>
      <w:tr w:rsidR="00987A4C" w:rsidRPr="00B3264F" w14:paraId="550E3129" w14:textId="77777777" w:rsidTr="00987A4C">
        <w:trPr>
          <w:trHeight w:val="355"/>
          <w:jc w:val="center"/>
        </w:trPr>
        <w:tc>
          <w:tcPr>
            <w:tcW w:w="923" w:type="dxa"/>
            <w:tcBorders>
              <w:top w:val="nil"/>
              <w:left w:val="nil"/>
              <w:bottom w:val="nil"/>
              <w:right w:val="nil"/>
            </w:tcBorders>
            <w:shd w:val="clear" w:color="auto" w:fill="auto"/>
          </w:tcPr>
          <w:p w14:paraId="187CAF4A" w14:textId="77777777" w:rsidR="00987A4C" w:rsidRPr="00B3264F" w:rsidRDefault="00987A4C" w:rsidP="00987A4C">
            <w:pPr>
              <w:jc w:val="both"/>
              <w:rPr>
                <w:rFonts w:ascii="Arial" w:hAnsi="Arial"/>
                <w:b/>
                <w:bCs/>
                <w:rtl/>
              </w:rPr>
            </w:pPr>
          </w:p>
        </w:tc>
        <w:tc>
          <w:tcPr>
            <w:tcW w:w="7897" w:type="dxa"/>
            <w:gridSpan w:val="2"/>
            <w:tcBorders>
              <w:top w:val="nil"/>
              <w:left w:val="nil"/>
              <w:bottom w:val="nil"/>
              <w:right w:val="nil"/>
            </w:tcBorders>
            <w:shd w:val="clear" w:color="auto" w:fill="auto"/>
          </w:tcPr>
          <w:p w14:paraId="025D61B5" w14:textId="77777777" w:rsidR="00987A4C" w:rsidRPr="00B3264F" w:rsidRDefault="00987A4C" w:rsidP="00987A4C">
            <w:pPr>
              <w:jc w:val="center"/>
              <w:rPr>
                <w:rFonts w:ascii="Arial" w:hAnsi="Arial"/>
                <w:b/>
                <w:bCs/>
                <w:rtl/>
              </w:rPr>
            </w:pPr>
          </w:p>
          <w:p w14:paraId="537A1C98" w14:textId="77777777" w:rsidR="00987A4C" w:rsidRPr="00B3264F" w:rsidRDefault="00987A4C" w:rsidP="00987A4C">
            <w:pPr>
              <w:jc w:val="center"/>
              <w:rPr>
                <w:rFonts w:ascii="Arial" w:hAnsi="Arial"/>
                <w:b/>
                <w:bCs/>
                <w:rtl/>
              </w:rPr>
            </w:pPr>
            <w:r w:rsidRPr="00B3264F">
              <w:rPr>
                <w:rFonts w:ascii="Arial" w:hAnsi="Arial"/>
                <w:b/>
                <w:bCs/>
                <w:rtl/>
              </w:rPr>
              <w:t>נגד</w:t>
            </w:r>
          </w:p>
          <w:p w14:paraId="0EA7C3C6" w14:textId="77777777" w:rsidR="00987A4C" w:rsidRPr="00B3264F" w:rsidRDefault="00987A4C" w:rsidP="00987A4C">
            <w:pPr>
              <w:jc w:val="both"/>
              <w:rPr>
                <w:rFonts w:ascii="Arial" w:hAnsi="Arial"/>
                <w:b/>
                <w:bCs/>
              </w:rPr>
            </w:pPr>
          </w:p>
        </w:tc>
      </w:tr>
      <w:tr w:rsidR="00987A4C" w:rsidRPr="00B3264F" w14:paraId="39D7ADC6" w14:textId="77777777" w:rsidTr="00987A4C">
        <w:trPr>
          <w:trHeight w:val="355"/>
          <w:jc w:val="center"/>
        </w:trPr>
        <w:tc>
          <w:tcPr>
            <w:tcW w:w="923" w:type="dxa"/>
            <w:tcBorders>
              <w:top w:val="nil"/>
              <w:left w:val="nil"/>
              <w:bottom w:val="nil"/>
              <w:right w:val="nil"/>
            </w:tcBorders>
            <w:shd w:val="clear" w:color="auto" w:fill="auto"/>
          </w:tcPr>
          <w:p w14:paraId="1C80CE82" w14:textId="77777777" w:rsidR="00987A4C" w:rsidRPr="00B3264F" w:rsidRDefault="00987A4C" w:rsidP="00245DA6">
            <w:pPr>
              <w:rPr>
                <w:rFonts w:ascii="Arial" w:hAnsi="Arial"/>
                <w:b/>
                <w:bCs/>
                <w:rtl/>
              </w:rPr>
            </w:pPr>
          </w:p>
        </w:tc>
        <w:tc>
          <w:tcPr>
            <w:tcW w:w="4126" w:type="dxa"/>
            <w:tcBorders>
              <w:top w:val="nil"/>
              <w:left w:val="nil"/>
              <w:bottom w:val="nil"/>
              <w:right w:val="nil"/>
            </w:tcBorders>
            <w:shd w:val="clear" w:color="auto" w:fill="auto"/>
          </w:tcPr>
          <w:p w14:paraId="147F1830" w14:textId="77777777" w:rsidR="00987A4C" w:rsidRPr="00B3264F" w:rsidRDefault="00987A4C" w:rsidP="00245DA6">
            <w:pPr>
              <w:rPr>
                <w:b/>
                <w:bCs/>
                <w:rtl/>
              </w:rPr>
            </w:pPr>
            <w:r w:rsidRPr="00B3264F">
              <w:rPr>
                <w:rFonts w:ascii="Arial" w:hAnsi="Arial"/>
                <w:b/>
                <w:bCs/>
                <w:rtl/>
              </w:rPr>
              <w:t>דוד משה ריץ' (אחר/נוסף)</w:t>
            </w:r>
          </w:p>
        </w:tc>
        <w:tc>
          <w:tcPr>
            <w:tcW w:w="3771" w:type="dxa"/>
            <w:tcBorders>
              <w:top w:val="nil"/>
              <w:left w:val="nil"/>
              <w:bottom w:val="nil"/>
              <w:right w:val="nil"/>
            </w:tcBorders>
            <w:shd w:val="clear" w:color="auto" w:fill="auto"/>
          </w:tcPr>
          <w:p w14:paraId="6ACF9D6F" w14:textId="77777777" w:rsidR="00987A4C" w:rsidRPr="00B3264F" w:rsidRDefault="00987A4C" w:rsidP="00987A4C">
            <w:pPr>
              <w:jc w:val="right"/>
              <w:rPr>
                <w:rFonts w:ascii="Arial" w:hAnsi="Arial"/>
                <w:b/>
                <w:bCs/>
              </w:rPr>
            </w:pPr>
          </w:p>
        </w:tc>
      </w:tr>
      <w:tr w:rsidR="00987A4C" w:rsidRPr="00B3264F" w14:paraId="45F03630" w14:textId="77777777" w:rsidTr="00987A4C">
        <w:trPr>
          <w:trHeight w:val="355"/>
          <w:jc w:val="center"/>
        </w:trPr>
        <w:tc>
          <w:tcPr>
            <w:tcW w:w="923" w:type="dxa"/>
            <w:tcBorders>
              <w:top w:val="nil"/>
              <w:left w:val="nil"/>
              <w:bottom w:val="nil"/>
              <w:right w:val="nil"/>
            </w:tcBorders>
            <w:shd w:val="clear" w:color="auto" w:fill="auto"/>
          </w:tcPr>
          <w:p w14:paraId="223267E9" w14:textId="77777777" w:rsidR="00987A4C" w:rsidRPr="00B3264F" w:rsidRDefault="00987A4C" w:rsidP="00987A4C">
            <w:pPr>
              <w:jc w:val="both"/>
              <w:rPr>
                <w:rFonts w:ascii="Arial" w:hAnsi="Arial"/>
                <w:b/>
                <w:bCs/>
                <w:rtl/>
              </w:rPr>
            </w:pPr>
          </w:p>
        </w:tc>
        <w:tc>
          <w:tcPr>
            <w:tcW w:w="4126" w:type="dxa"/>
            <w:tcBorders>
              <w:top w:val="nil"/>
              <w:left w:val="nil"/>
              <w:bottom w:val="nil"/>
              <w:right w:val="nil"/>
            </w:tcBorders>
            <w:shd w:val="clear" w:color="auto" w:fill="auto"/>
          </w:tcPr>
          <w:p w14:paraId="02C92D77" w14:textId="77777777" w:rsidR="00987A4C" w:rsidRPr="00B3264F" w:rsidRDefault="00987A4C" w:rsidP="00987A4C">
            <w:pPr>
              <w:jc w:val="both"/>
              <w:rPr>
                <w:b/>
                <w:bCs/>
                <w:rtl/>
              </w:rPr>
            </w:pPr>
          </w:p>
        </w:tc>
        <w:tc>
          <w:tcPr>
            <w:tcW w:w="3771" w:type="dxa"/>
            <w:tcBorders>
              <w:top w:val="nil"/>
              <w:left w:val="nil"/>
              <w:bottom w:val="nil"/>
              <w:right w:val="nil"/>
            </w:tcBorders>
            <w:shd w:val="clear" w:color="auto" w:fill="auto"/>
          </w:tcPr>
          <w:p w14:paraId="7AE1DD35" w14:textId="77777777" w:rsidR="00987A4C" w:rsidRPr="00B3264F" w:rsidRDefault="00987A4C" w:rsidP="00987A4C">
            <w:pPr>
              <w:jc w:val="right"/>
              <w:rPr>
                <w:rFonts w:ascii="Arial" w:hAnsi="Arial"/>
                <w:b/>
                <w:bCs/>
              </w:rPr>
            </w:pPr>
            <w:r w:rsidRPr="00B3264F">
              <w:rPr>
                <w:rFonts w:ascii="Arial" w:hAnsi="Arial" w:hint="cs"/>
                <w:b/>
                <w:bCs/>
                <w:rtl/>
              </w:rPr>
              <w:t>ה</w:t>
            </w:r>
            <w:r w:rsidRPr="00B3264F">
              <w:rPr>
                <w:rFonts w:ascii="Arial" w:hAnsi="Arial"/>
                <w:b/>
                <w:bCs/>
                <w:rtl/>
              </w:rPr>
              <w:t>נאשם</w:t>
            </w:r>
          </w:p>
        </w:tc>
      </w:tr>
    </w:tbl>
    <w:p w14:paraId="2B5BAAA0" w14:textId="77777777" w:rsidR="002044AD" w:rsidRPr="002044AD" w:rsidRDefault="002044AD" w:rsidP="002044AD">
      <w:pPr>
        <w:spacing w:after="120" w:line="240" w:lineRule="exact"/>
        <w:ind w:left="283" w:right="142" w:hanging="283"/>
        <w:jc w:val="both"/>
        <w:rPr>
          <w:rFonts w:ascii="FrankRuehl" w:hAnsi="FrankRuehl" w:cs="FrankRuehl"/>
          <w:rtl/>
        </w:rPr>
      </w:pPr>
    </w:p>
    <w:p w14:paraId="76AD9822" w14:textId="77777777" w:rsidR="002044AD" w:rsidRPr="002044AD" w:rsidRDefault="002044AD" w:rsidP="002044AD">
      <w:pPr>
        <w:spacing w:after="120" w:line="240" w:lineRule="exact"/>
        <w:ind w:left="283" w:right="142" w:hanging="283"/>
        <w:jc w:val="both"/>
        <w:rPr>
          <w:rFonts w:ascii="FrankRuehl" w:hAnsi="FrankRuehl" w:cs="FrankRuehl"/>
          <w:rtl/>
        </w:rPr>
      </w:pPr>
      <w:r w:rsidRPr="002044AD">
        <w:rPr>
          <w:rFonts w:ascii="FrankRuehl" w:hAnsi="FrankRuehl" w:cs="FrankRuehl"/>
          <w:rtl/>
        </w:rPr>
        <w:t xml:space="preserve">חקיקה שאוזכרה: </w:t>
      </w:r>
    </w:p>
    <w:p w14:paraId="7CB252A6" w14:textId="77777777" w:rsidR="002044AD" w:rsidRPr="002044AD" w:rsidRDefault="002044AD" w:rsidP="002044AD">
      <w:pPr>
        <w:spacing w:after="120" w:line="240" w:lineRule="exact"/>
        <w:ind w:left="283" w:right="142" w:hanging="283"/>
        <w:jc w:val="both"/>
        <w:rPr>
          <w:rFonts w:ascii="FrankRuehl" w:hAnsi="FrankRuehl" w:cs="FrankRuehl"/>
          <w:rtl/>
        </w:rPr>
      </w:pPr>
      <w:hyperlink r:id="rId6" w:history="1">
        <w:r w:rsidRPr="002044AD">
          <w:rPr>
            <w:rFonts w:ascii="FrankRuehl" w:hAnsi="FrankRuehl" w:cs="FrankRuehl"/>
            <w:color w:val="0000FF"/>
            <w:u w:val="single"/>
            <w:rtl/>
          </w:rPr>
          <w:t>פקודת הסמים המסוכנים [נוסח חדש], תשל"ג-1973</w:t>
        </w:r>
      </w:hyperlink>
      <w:r w:rsidRPr="002044AD">
        <w:rPr>
          <w:rFonts w:ascii="FrankRuehl" w:hAnsi="FrankRuehl" w:cs="FrankRuehl"/>
          <w:rtl/>
        </w:rPr>
        <w:t xml:space="preserve">: סע'  </w:t>
      </w:r>
      <w:hyperlink r:id="rId7" w:history="1">
        <w:r w:rsidRPr="002044AD">
          <w:rPr>
            <w:rFonts w:ascii="FrankRuehl" w:hAnsi="FrankRuehl" w:cs="FrankRuehl"/>
            <w:color w:val="0000FF"/>
            <w:u w:val="single"/>
            <w:rtl/>
          </w:rPr>
          <w:t>13</w:t>
        </w:r>
      </w:hyperlink>
      <w:r w:rsidRPr="002044AD">
        <w:rPr>
          <w:rFonts w:ascii="FrankRuehl" w:hAnsi="FrankRuehl" w:cs="FrankRuehl"/>
          <w:rtl/>
        </w:rPr>
        <w:t xml:space="preserve">, </w:t>
      </w:r>
      <w:hyperlink r:id="rId8" w:history="1">
        <w:r w:rsidRPr="002044AD">
          <w:rPr>
            <w:rFonts w:ascii="FrankRuehl" w:hAnsi="FrankRuehl" w:cs="FrankRuehl"/>
            <w:color w:val="0000FF"/>
            <w:u w:val="single"/>
            <w:rtl/>
          </w:rPr>
          <w:t>19</w:t>
        </w:r>
      </w:hyperlink>
      <w:r w:rsidRPr="002044AD">
        <w:rPr>
          <w:rFonts w:ascii="FrankRuehl" w:hAnsi="FrankRuehl" w:cs="FrankRuehl"/>
          <w:rtl/>
        </w:rPr>
        <w:t xml:space="preserve">, </w:t>
      </w:r>
      <w:hyperlink r:id="rId9" w:history="1">
        <w:r w:rsidRPr="002044AD">
          <w:rPr>
            <w:rFonts w:ascii="FrankRuehl" w:hAnsi="FrankRuehl" w:cs="FrankRuehl"/>
            <w:color w:val="0000FF"/>
            <w:u w:val="single"/>
            <w:rtl/>
          </w:rPr>
          <w:t>7{א}</w:t>
        </w:r>
      </w:hyperlink>
      <w:r w:rsidRPr="002044AD">
        <w:rPr>
          <w:rFonts w:ascii="FrankRuehl" w:hAnsi="FrankRuehl" w:cs="FrankRuehl"/>
          <w:rtl/>
        </w:rPr>
        <w:t xml:space="preserve">, </w:t>
      </w:r>
      <w:hyperlink r:id="rId10" w:history="1">
        <w:r w:rsidRPr="002044AD">
          <w:rPr>
            <w:rFonts w:ascii="FrankRuehl" w:hAnsi="FrankRuehl" w:cs="FrankRuehl"/>
            <w:color w:val="0000FF"/>
            <w:u w:val="single"/>
            <w:rtl/>
          </w:rPr>
          <w:t>7{ג}</w:t>
        </w:r>
      </w:hyperlink>
    </w:p>
    <w:p w14:paraId="6019A5B6" w14:textId="77777777" w:rsidR="002044AD" w:rsidRPr="002044AD" w:rsidRDefault="002044AD" w:rsidP="002044AD">
      <w:pPr>
        <w:spacing w:after="120" w:line="240" w:lineRule="exact"/>
        <w:ind w:left="283" w:right="142" w:hanging="283"/>
        <w:jc w:val="both"/>
        <w:rPr>
          <w:rFonts w:ascii="FrankRuehl" w:hAnsi="FrankRuehl" w:cs="FrankRuehl"/>
          <w:rtl/>
        </w:rPr>
      </w:pPr>
      <w:hyperlink r:id="rId11" w:history="1">
        <w:r w:rsidRPr="002044AD">
          <w:rPr>
            <w:rFonts w:ascii="FrankRuehl" w:hAnsi="FrankRuehl" w:cs="FrankRuehl"/>
            <w:color w:val="0000FF"/>
            <w:u w:val="single"/>
            <w:rtl/>
          </w:rPr>
          <w:t>חוק העונשין, תשל"ז-1977</w:t>
        </w:r>
      </w:hyperlink>
      <w:r w:rsidRPr="002044AD">
        <w:rPr>
          <w:rFonts w:ascii="FrankRuehl" w:hAnsi="FrankRuehl" w:cs="FrankRuehl"/>
          <w:rtl/>
        </w:rPr>
        <w:t xml:space="preserve">: סע'  </w:t>
      </w:r>
      <w:hyperlink r:id="rId12" w:history="1">
        <w:r w:rsidRPr="002044AD">
          <w:rPr>
            <w:rFonts w:ascii="FrankRuehl" w:hAnsi="FrankRuehl" w:cs="FrankRuehl"/>
            <w:color w:val="0000FF"/>
            <w:u w:val="single"/>
            <w:rtl/>
          </w:rPr>
          <w:t>25</w:t>
        </w:r>
      </w:hyperlink>
      <w:r w:rsidRPr="002044AD">
        <w:rPr>
          <w:rFonts w:ascii="FrankRuehl" w:hAnsi="FrankRuehl" w:cs="FrankRuehl"/>
          <w:rtl/>
        </w:rPr>
        <w:t xml:space="preserve">, </w:t>
      </w:r>
      <w:hyperlink r:id="rId13" w:history="1">
        <w:r w:rsidRPr="002044AD">
          <w:rPr>
            <w:rFonts w:ascii="FrankRuehl" w:hAnsi="FrankRuehl" w:cs="FrankRuehl"/>
            <w:color w:val="0000FF"/>
            <w:u w:val="single"/>
            <w:rtl/>
          </w:rPr>
          <w:t>40 יא'</w:t>
        </w:r>
      </w:hyperlink>
      <w:r w:rsidRPr="002044AD">
        <w:rPr>
          <w:rFonts w:ascii="FrankRuehl" w:hAnsi="FrankRuehl" w:cs="FrankRuehl"/>
          <w:rtl/>
        </w:rPr>
        <w:t xml:space="preserve">, </w:t>
      </w:r>
      <w:hyperlink r:id="rId14" w:history="1">
        <w:r w:rsidRPr="002044AD">
          <w:rPr>
            <w:rFonts w:ascii="FrankRuehl" w:hAnsi="FrankRuehl" w:cs="FrankRuehl"/>
            <w:color w:val="0000FF"/>
            <w:u w:val="single"/>
            <w:rtl/>
          </w:rPr>
          <w:t>499{א}{1}</w:t>
        </w:r>
      </w:hyperlink>
    </w:p>
    <w:p w14:paraId="52F71740" w14:textId="77777777" w:rsidR="002044AD" w:rsidRPr="002044AD" w:rsidRDefault="002044AD" w:rsidP="002044AD">
      <w:pPr>
        <w:spacing w:after="120" w:line="240" w:lineRule="exact"/>
        <w:ind w:left="283" w:right="142" w:hanging="283"/>
        <w:jc w:val="both"/>
        <w:rPr>
          <w:rFonts w:ascii="FrankRuehl" w:hAnsi="FrankRuehl" w:cs="FrankRuehl"/>
          <w:rtl/>
        </w:rPr>
      </w:pPr>
      <w:hyperlink r:id="rId15" w:history="1">
        <w:r w:rsidRPr="002044AD">
          <w:rPr>
            <w:rFonts w:ascii="FrankRuehl" w:hAnsi="FrankRuehl" w:cs="FrankRuehl"/>
            <w:color w:val="0000FF"/>
            <w:u w:val="single"/>
            <w:rtl/>
          </w:rPr>
          <w:t>פקודת התעבורה [נוסח חדש]</w:t>
        </w:r>
      </w:hyperlink>
    </w:p>
    <w:p w14:paraId="6C43CDCF" w14:textId="77777777" w:rsidR="002044AD" w:rsidRPr="00B3264F" w:rsidRDefault="002044AD" w:rsidP="002044AD">
      <w:pPr>
        <w:spacing w:after="120" w:line="240" w:lineRule="exact"/>
        <w:ind w:left="283" w:right="142" w:hanging="283"/>
        <w:jc w:val="both"/>
        <w:rPr>
          <w:rFonts w:ascii="FrankRuehl" w:hAnsi="FrankRuehl" w:cs="FrankRuehl"/>
          <w:rtl/>
        </w:rPr>
      </w:pPr>
    </w:p>
    <w:p w14:paraId="003B7D0F" w14:textId="77777777" w:rsidR="00987A4C" w:rsidRPr="00B3264F" w:rsidRDefault="00987A4C" w:rsidP="00987A4C">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7A4C" w:rsidRPr="000643A2" w14:paraId="07E5003B" w14:textId="77777777" w:rsidTr="00987A4C">
        <w:trPr>
          <w:trHeight w:val="355"/>
          <w:jc w:val="center"/>
        </w:trPr>
        <w:tc>
          <w:tcPr>
            <w:tcW w:w="8820" w:type="dxa"/>
            <w:tcBorders>
              <w:top w:val="nil"/>
              <w:left w:val="nil"/>
              <w:bottom w:val="nil"/>
              <w:right w:val="nil"/>
            </w:tcBorders>
            <w:shd w:val="clear" w:color="auto" w:fill="auto"/>
          </w:tcPr>
          <w:p w14:paraId="0539497F" w14:textId="77777777" w:rsidR="00B3264F" w:rsidRPr="00B3264F" w:rsidRDefault="00B3264F" w:rsidP="00B3264F">
            <w:pPr>
              <w:jc w:val="center"/>
              <w:rPr>
                <w:rFonts w:ascii="Arial" w:hAnsi="Arial"/>
                <w:b/>
                <w:bCs/>
                <w:sz w:val="32"/>
                <w:szCs w:val="32"/>
                <w:u w:val="single"/>
                <w:rtl/>
              </w:rPr>
            </w:pPr>
            <w:bookmarkStart w:id="2" w:name="PsakDin" w:colFirst="0" w:colLast="0"/>
            <w:bookmarkEnd w:id="0"/>
            <w:r w:rsidRPr="00B3264F">
              <w:rPr>
                <w:rFonts w:ascii="Arial" w:hAnsi="Arial"/>
                <w:b/>
                <w:bCs/>
                <w:sz w:val="32"/>
                <w:szCs w:val="32"/>
                <w:u w:val="single"/>
                <w:rtl/>
              </w:rPr>
              <w:t>גזר דין</w:t>
            </w:r>
          </w:p>
          <w:p w14:paraId="01C54497" w14:textId="77777777" w:rsidR="00987A4C" w:rsidRPr="00B3264F" w:rsidRDefault="00987A4C" w:rsidP="00B3264F">
            <w:pPr>
              <w:jc w:val="center"/>
              <w:rPr>
                <w:rFonts w:ascii="Arial" w:hAnsi="Arial"/>
                <w:bCs/>
                <w:sz w:val="32"/>
                <w:szCs w:val="32"/>
                <w:u w:val="single"/>
                <w:rtl/>
              </w:rPr>
            </w:pPr>
          </w:p>
        </w:tc>
      </w:tr>
    </w:tbl>
    <w:p w14:paraId="77467A8B" w14:textId="77777777" w:rsidR="00987A4C" w:rsidRPr="000643A2" w:rsidRDefault="00987A4C" w:rsidP="00987A4C">
      <w:pPr>
        <w:spacing w:line="360" w:lineRule="auto"/>
        <w:ind w:right="142"/>
        <w:jc w:val="both"/>
        <w:rPr>
          <w:rFonts w:ascii="David" w:hAnsi="David"/>
          <w:b/>
          <w:bCs/>
          <w:rtl/>
        </w:rPr>
      </w:pPr>
      <w:bookmarkStart w:id="3" w:name="LawTable"/>
      <w:bookmarkStart w:id="4" w:name="LawTable_End"/>
      <w:bookmarkEnd w:id="2"/>
      <w:bookmarkEnd w:id="3"/>
      <w:bookmarkEnd w:id="4"/>
      <w:r w:rsidRPr="000643A2">
        <w:rPr>
          <w:rFonts w:ascii="David" w:hAnsi="David" w:hint="cs"/>
          <w:b/>
          <w:bCs/>
          <w:rtl/>
        </w:rPr>
        <w:t>כתב האישום ומהלך הדיון:</w:t>
      </w:r>
    </w:p>
    <w:p w14:paraId="65D80F90" w14:textId="77777777" w:rsidR="00987A4C" w:rsidRPr="000643A2" w:rsidRDefault="00987A4C" w:rsidP="00987A4C">
      <w:pPr>
        <w:spacing w:line="360" w:lineRule="auto"/>
        <w:ind w:right="142"/>
        <w:jc w:val="both"/>
        <w:rPr>
          <w:rFonts w:ascii="David" w:hAnsi="David"/>
          <w:b/>
          <w:bCs/>
          <w:rtl/>
        </w:rPr>
      </w:pPr>
    </w:p>
    <w:p w14:paraId="2CD9F2B0" w14:textId="77777777" w:rsidR="00987A4C" w:rsidRDefault="00987A4C" w:rsidP="00987A4C">
      <w:pPr>
        <w:spacing w:line="360" w:lineRule="auto"/>
        <w:ind w:left="720" w:right="142" w:hanging="720"/>
        <w:jc w:val="both"/>
        <w:rPr>
          <w:rFonts w:ascii="David" w:hAnsi="David"/>
          <w:b/>
          <w:bCs/>
          <w:rtl/>
        </w:rPr>
      </w:pPr>
      <w:r w:rsidRPr="000643A2">
        <w:rPr>
          <w:rFonts w:ascii="David" w:hAnsi="David" w:hint="cs"/>
          <w:rtl/>
        </w:rPr>
        <w:t>1.</w:t>
      </w:r>
      <w:r w:rsidRPr="000643A2">
        <w:rPr>
          <w:rFonts w:ascii="David" w:hAnsi="David" w:hint="cs"/>
          <w:rtl/>
        </w:rPr>
        <w:tab/>
      </w:r>
      <w:bookmarkStart w:id="5" w:name="ABSTRACT_START"/>
      <w:bookmarkEnd w:id="5"/>
      <w:r w:rsidRPr="000643A2">
        <w:rPr>
          <w:rFonts w:ascii="David" w:hAnsi="David" w:hint="cs"/>
          <w:rtl/>
        </w:rPr>
        <w:t xml:space="preserve">הנאשם הורשע במסגרת הסדר טעון הכולל תיקון כתב אישום בעבירות של החזקה סם שלא לצריכה עצמית, עבירה לפי </w:t>
      </w:r>
      <w:hyperlink r:id="rId16" w:history="1">
        <w:r w:rsidR="002044AD" w:rsidRPr="002044AD">
          <w:rPr>
            <w:rFonts w:ascii="David" w:hAnsi="David"/>
            <w:color w:val="0000FF"/>
            <w:u w:val="single"/>
            <w:rtl/>
          </w:rPr>
          <w:t>סעיף 7{א}+7{ג}</w:t>
        </w:r>
      </w:hyperlink>
      <w:r w:rsidRPr="000643A2">
        <w:rPr>
          <w:rFonts w:ascii="David" w:hAnsi="David" w:hint="cs"/>
          <w:rtl/>
        </w:rPr>
        <w:t xml:space="preserve"> ל</w:t>
      </w:r>
      <w:hyperlink r:id="rId17" w:history="1">
        <w:r w:rsidR="00B3264F" w:rsidRPr="00B3264F">
          <w:rPr>
            <w:rFonts w:ascii="David" w:hAnsi="David"/>
            <w:color w:val="0000FF"/>
            <w:u w:val="single"/>
            <w:rtl/>
          </w:rPr>
          <w:t>פקודת הסמים המסוכנים</w:t>
        </w:r>
      </w:hyperlink>
      <w:r w:rsidRPr="000643A2">
        <w:rPr>
          <w:rFonts w:ascii="David" w:hAnsi="David" w:hint="cs"/>
          <w:color w:val="000000"/>
          <w:rtl/>
        </w:rPr>
        <w:t xml:space="preserve"> [נוסח חדש], תשל"ג-1973</w:t>
      </w:r>
      <w:r w:rsidRPr="000643A2">
        <w:rPr>
          <w:rFonts w:ascii="David" w:hAnsi="David" w:hint="cs"/>
          <w:rtl/>
        </w:rPr>
        <w:t xml:space="preserve"> (להלן: "פקודת הסמים), סחר בסם מסוכן, לפי סעיפים </w:t>
      </w:r>
      <w:hyperlink r:id="rId18" w:history="1">
        <w:r w:rsidR="002044AD" w:rsidRPr="002044AD">
          <w:rPr>
            <w:rFonts w:ascii="David" w:hAnsi="David"/>
            <w:color w:val="0000FF"/>
            <w:u w:val="single"/>
            <w:rtl/>
          </w:rPr>
          <w:t>13</w:t>
        </w:r>
      </w:hyperlink>
      <w:r w:rsidRPr="000643A2">
        <w:rPr>
          <w:rFonts w:ascii="David" w:hAnsi="David" w:hint="cs"/>
          <w:rtl/>
        </w:rPr>
        <w:t>+</w:t>
      </w:r>
      <w:hyperlink r:id="rId19" w:history="1">
        <w:r w:rsidR="002044AD" w:rsidRPr="002044AD">
          <w:rPr>
            <w:rFonts w:ascii="David" w:hAnsi="David"/>
            <w:color w:val="0000FF"/>
            <w:u w:val="single"/>
            <w:rtl/>
          </w:rPr>
          <w:t>19</w:t>
        </w:r>
      </w:hyperlink>
      <w:r w:rsidRPr="000643A2">
        <w:rPr>
          <w:rFonts w:ascii="David" w:hAnsi="David" w:hint="cs"/>
          <w:rtl/>
        </w:rPr>
        <w:t xml:space="preserve"> ל</w:t>
      </w:r>
      <w:r w:rsidRPr="000643A2">
        <w:rPr>
          <w:rFonts w:ascii="David" w:hAnsi="David" w:hint="cs"/>
          <w:color w:val="000000"/>
          <w:rtl/>
        </w:rPr>
        <w:t xml:space="preserve">פקודת הסמים, ניסיון של מסחר בסם מסוכן, לפי סעיף </w:t>
      </w:r>
      <w:hyperlink r:id="rId20" w:history="1">
        <w:r w:rsidR="002044AD" w:rsidRPr="002044AD">
          <w:rPr>
            <w:rFonts w:ascii="David" w:hAnsi="David"/>
            <w:color w:val="0000FF"/>
            <w:u w:val="single"/>
            <w:rtl/>
          </w:rPr>
          <w:t>13</w:t>
        </w:r>
      </w:hyperlink>
      <w:r w:rsidRPr="000643A2">
        <w:rPr>
          <w:rFonts w:ascii="David" w:hAnsi="David" w:hint="cs"/>
          <w:color w:val="000000"/>
          <w:rtl/>
        </w:rPr>
        <w:t>+</w:t>
      </w:r>
      <w:hyperlink r:id="rId21" w:history="1">
        <w:r w:rsidR="002044AD" w:rsidRPr="002044AD">
          <w:rPr>
            <w:rFonts w:ascii="David" w:hAnsi="David"/>
            <w:color w:val="0000FF"/>
            <w:u w:val="single"/>
            <w:rtl/>
          </w:rPr>
          <w:t>19</w:t>
        </w:r>
      </w:hyperlink>
      <w:r w:rsidRPr="000643A2">
        <w:rPr>
          <w:rFonts w:ascii="David" w:hAnsi="David" w:hint="cs"/>
          <w:color w:val="000000"/>
          <w:rtl/>
        </w:rPr>
        <w:t xml:space="preserve"> לפקודת הסמים המסוכנים, בצירוף </w:t>
      </w:r>
      <w:hyperlink r:id="rId22" w:history="1">
        <w:r w:rsidR="002044AD" w:rsidRPr="002044AD">
          <w:rPr>
            <w:rFonts w:ascii="David" w:hAnsi="David"/>
            <w:color w:val="0000FF"/>
            <w:u w:val="single"/>
            <w:rtl/>
          </w:rPr>
          <w:t>סעיף 25</w:t>
        </w:r>
      </w:hyperlink>
      <w:r w:rsidRPr="000643A2">
        <w:rPr>
          <w:rFonts w:ascii="David" w:hAnsi="David" w:hint="cs"/>
          <w:rtl/>
        </w:rPr>
        <w:t xml:space="preserve"> ל</w:t>
      </w:r>
      <w:hyperlink r:id="rId23" w:history="1">
        <w:r w:rsidR="00B3264F" w:rsidRPr="00B3264F">
          <w:rPr>
            <w:rFonts w:ascii="David" w:hAnsi="David"/>
            <w:color w:val="0000FF"/>
            <w:u w:val="single"/>
            <w:rtl/>
          </w:rPr>
          <w:t>חוק העונשין</w:t>
        </w:r>
      </w:hyperlink>
      <w:r w:rsidRPr="000643A2">
        <w:rPr>
          <w:rFonts w:ascii="David" w:hAnsi="David" w:hint="cs"/>
          <w:rtl/>
        </w:rPr>
        <w:t xml:space="preserve">, תשל"ז- 1977, וקשירת קשר לעשות פשע (להלן: "חוק העונשין") עבירה לפי </w:t>
      </w:r>
      <w:hyperlink r:id="rId24" w:history="1">
        <w:r w:rsidR="002044AD" w:rsidRPr="002044AD">
          <w:rPr>
            <w:rFonts w:ascii="David" w:hAnsi="David"/>
            <w:color w:val="0000FF"/>
            <w:u w:val="single"/>
            <w:rtl/>
          </w:rPr>
          <w:t>סעיף 499{א}{1}</w:t>
        </w:r>
      </w:hyperlink>
      <w:r w:rsidRPr="000643A2">
        <w:rPr>
          <w:rFonts w:ascii="David" w:hAnsi="David" w:hint="cs"/>
          <w:rtl/>
        </w:rPr>
        <w:t>לחוק העונשין</w:t>
      </w:r>
      <w:r w:rsidRPr="000643A2">
        <w:rPr>
          <w:rFonts w:ascii="David" w:hAnsi="David" w:hint="cs"/>
          <w:b/>
          <w:bCs/>
          <w:rtl/>
        </w:rPr>
        <w:t>.</w:t>
      </w:r>
    </w:p>
    <w:p w14:paraId="40400894" w14:textId="77777777" w:rsidR="00987A4C" w:rsidRPr="000643A2" w:rsidRDefault="00987A4C" w:rsidP="00987A4C">
      <w:pPr>
        <w:spacing w:line="360" w:lineRule="auto"/>
        <w:ind w:left="720" w:right="142" w:hanging="720"/>
        <w:jc w:val="both"/>
        <w:rPr>
          <w:rFonts w:ascii="David" w:hAnsi="David"/>
          <w:b/>
          <w:bCs/>
          <w:rtl/>
        </w:rPr>
      </w:pPr>
    </w:p>
    <w:p w14:paraId="7395E9E8" w14:textId="77777777" w:rsidR="00987A4C" w:rsidRPr="000643A2" w:rsidRDefault="00987A4C" w:rsidP="00987A4C">
      <w:pPr>
        <w:spacing w:line="360" w:lineRule="auto"/>
        <w:ind w:left="720" w:right="142" w:hanging="720"/>
        <w:jc w:val="both"/>
        <w:rPr>
          <w:rFonts w:ascii="David" w:hAnsi="David"/>
          <w:rtl/>
        </w:rPr>
      </w:pPr>
      <w:r w:rsidRPr="000643A2">
        <w:rPr>
          <w:rFonts w:ascii="David" w:hAnsi="David" w:hint="cs"/>
          <w:rtl/>
        </w:rPr>
        <w:t>2.</w:t>
      </w:r>
      <w:r w:rsidRPr="000643A2">
        <w:rPr>
          <w:rFonts w:ascii="David" w:hAnsi="David" w:hint="cs"/>
          <w:rtl/>
        </w:rPr>
        <w:tab/>
        <w:t>על פי הנטען בחלק הכללי ש</w:t>
      </w:r>
      <w:r>
        <w:rPr>
          <w:rFonts w:ascii="David" w:hAnsi="David" w:hint="cs"/>
          <w:rtl/>
        </w:rPr>
        <w:t>ב</w:t>
      </w:r>
      <w:r w:rsidRPr="000643A2">
        <w:rPr>
          <w:rFonts w:ascii="David" w:hAnsi="David" w:hint="cs"/>
          <w:rtl/>
        </w:rPr>
        <w:t>כתב האישום המתוקן, ביום 2.9.18 בדירה ברחוב הפלמ"ח ביישוב עופרה</w:t>
      </w:r>
      <w:r w:rsidRPr="000643A2">
        <w:rPr>
          <w:rFonts w:ascii="David" w:hAnsi="David" w:hint="cs"/>
          <w:b/>
          <w:bCs/>
          <w:rtl/>
        </w:rPr>
        <w:t xml:space="preserve">{להלן: "הדירה"}, </w:t>
      </w:r>
      <w:r w:rsidRPr="000643A2">
        <w:rPr>
          <w:rFonts w:ascii="David" w:hAnsi="David" w:hint="cs"/>
          <w:rtl/>
        </w:rPr>
        <w:t>החזיקו שמואל ריץ, אחיו של הנאשם, ונתנאל קיזלשטיין</w:t>
      </w:r>
      <w:r w:rsidRPr="000643A2">
        <w:rPr>
          <w:rFonts w:ascii="David" w:hAnsi="David" w:hint="cs"/>
          <w:b/>
          <w:bCs/>
          <w:rtl/>
        </w:rPr>
        <w:t xml:space="preserve">{להלן: "האחרים"}, </w:t>
      </w:r>
      <w:r w:rsidRPr="000643A2">
        <w:rPr>
          <w:rFonts w:ascii="David" w:hAnsi="David" w:hint="cs"/>
          <w:rtl/>
        </w:rPr>
        <w:t xml:space="preserve">מעבדה לגידול סם מסוכן מסוג קנאביס. </w:t>
      </w:r>
    </w:p>
    <w:p w14:paraId="593B68CF" w14:textId="77777777" w:rsidR="00987A4C" w:rsidRDefault="00987A4C" w:rsidP="00987A4C">
      <w:pPr>
        <w:spacing w:line="360" w:lineRule="auto"/>
        <w:ind w:left="720" w:right="142"/>
        <w:jc w:val="both"/>
        <w:rPr>
          <w:rFonts w:ascii="David" w:hAnsi="David"/>
          <w:b/>
          <w:bCs/>
          <w:rtl/>
        </w:rPr>
      </w:pPr>
      <w:r w:rsidRPr="000643A2">
        <w:rPr>
          <w:rFonts w:ascii="David" w:hAnsi="David" w:hint="cs"/>
          <w:rtl/>
        </w:rPr>
        <w:t xml:space="preserve">ביום 25.06.17 החזיק הנאשם יחד עם האחרים סמים מסוכנים במשקל כולל 4,809.82 גרם נטו, כאשר הסם מחולק ל- 68 שתילים מסוג קנאביס במשקל של 4,549.82 גרם, </w:t>
      </w:r>
      <w:r w:rsidRPr="000643A2">
        <w:rPr>
          <w:rFonts w:ascii="David" w:hAnsi="David" w:hint="cs"/>
          <w:rtl/>
        </w:rPr>
        <w:lastRenderedPageBreak/>
        <w:t>ופרחים של סם שהופרדו מהשתילים במשקל של 260 גרם נטו</w:t>
      </w:r>
      <w:r w:rsidRPr="000643A2">
        <w:rPr>
          <w:rFonts w:ascii="David" w:hAnsi="David" w:hint="cs"/>
          <w:b/>
          <w:bCs/>
          <w:rtl/>
        </w:rPr>
        <w:t>{להלן: "</w:t>
      </w:r>
      <w:r>
        <w:rPr>
          <w:rFonts w:ascii="David" w:hAnsi="David" w:hint="cs"/>
          <w:b/>
          <w:bCs/>
          <w:rtl/>
        </w:rPr>
        <w:t>ה</w:t>
      </w:r>
      <w:r w:rsidRPr="000643A2">
        <w:rPr>
          <w:rFonts w:ascii="David" w:hAnsi="David" w:hint="cs"/>
          <w:b/>
          <w:bCs/>
          <w:rtl/>
        </w:rPr>
        <w:t xml:space="preserve">פרחים המופרדים"}. </w:t>
      </w:r>
      <w:r w:rsidRPr="000643A2">
        <w:rPr>
          <w:rFonts w:ascii="David" w:hAnsi="David" w:hint="cs"/>
          <w:rtl/>
        </w:rPr>
        <w:t>בנוסף, החזיקו האחרים בדירה כלים המשמשים לגידול הסם כגון: מאוורים, מערכות השקיה, גופי חימום, משקלים אלקטרונים ועוד.</w:t>
      </w:r>
    </w:p>
    <w:p w14:paraId="5730AD08" w14:textId="77777777" w:rsidR="00987A4C" w:rsidRPr="000643A2" w:rsidRDefault="00987A4C" w:rsidP="00987A4C">
      <w:pPr>
        <w:spacing w:line="360" w:lineRule="auto"/>
        <w:ind w:left="720" w:right="142"/>
        <w:jc w:val="both"/>
        <w:rPr>
          <w:rFonts w:ascii="David" w:hAnsi="David"/>
          <w:b/>
          <w:bCs/>
          <w:rtl/>
        </w:rPr>
      </w:pPr>
    </w:p>
    <w:p w14:paraId="016AF1F6" w14:textId="77777777" w:rsidR="00987A4C" w:rsidRDefault="00987A4C" w:rsidP="00987A4C">
      <w:pPr>
        <w:spacing w:line="360" w:lineRule="auto"/>
        <w:ind w:left="720" w:right="142" w:hanging="720"/>
        <w:jc w:val="both"/>
        <w:rPr>
          <w:rFonts w:ascii="David" w:hAnsi="David"/>
          <w:b/>
          <w:bCs/>
          <w:rtl/>
        </w:rPr>
      </w:pPr>
      <w:bookmarkStart w:id="6" w:name="ABSTRACT_END"/>
      <w:bookmarkEnd w:id="6"/>
      <w:r w:rsidRPr="000643A2">
        <w:rPr>
          <w:rFonts w:ascii="David" w:hAnsi="David" w:hint="cs"/>
          <w:rtl/>
        </w:rPr>
        <w:t>3.</w:t>
      </w:r>
      <w:r w:rsidRPr="000643A2">
        <w:rPr>
          <w:rFonts w:ascii="David" w:hAnsi="David" w:hint="cs"/>
          <w:rtl/>
        </w:rPr>
        <w:tab/>
        <w:t>באישום הראשון נטען כי במהלך התקופה שלפני 25.06.17 הגיע הנאשם לדירה על מנת לתלות את הפרחים ליבוש, עובר ליום 25.6.17 במועד שאינו ידוע למאשימה, שוחחו הנאשם ונתנאל זאת לצורך הכנת חבילות סם למכירתו. באותו יום הגיעו הנאשם ונתנאל לדירה והכינו מהפרחים המופרדים חבילות מהסם המופרדים במשקל 100 גרם ו-50</w:t>
      </w:r>
      <w:r w:rsidRPr="000643A2">
        <w:rPr>
          <w:rFonts w:ascii="David" w:hAnsi="David" w:hint="cs"/>
          <w:b/>
          <w:bCs/>
          <w:rtl/>
        </w:rPr>
        <w:t xml:space="preserve"> </w:t>
      </w:r>
      <w:r w:rsidRPr="000643A2">
        <w:rPr>
          <w:rFonts w:ascii="David" w:hAnsi="David" w:hint="cs"/>
          <w:rtl/>
        </w:rPr>
        <w:t>גרם</w:t>
      </w:r>
      <w:r w:rsidRPr="000643A2">
        <w:rPr>
          <w:rFonts w:ascii="David" w:hAnsi="David" w:hint="cs"/>
          <w:b/>
          <w:bCs/>
          <w:rtl/>
        </w:rPr>
        <w:t xml:space="preserve"> {להלן: "החבילות"}</w:t>
      </w:r>
      <w:r w:rsidRPr="000643A2">
        <w:rPr>
          <w:rFonts w:ascii="David" w:hAnsi="David" w:hint="cs"/>
          <w:rtl/>
        </w:rPr>
        <w:t>זאת במטרה למכור את הסם לאדם בשם ג'ורג' שזהותו אינה ידועה למאשימה, ולאדם נוסף המכונה "אבו ג'וניור" שזהותו אף היא אינה ידועה במדויק למאשימה. עבור החבילות  היה הנאשם צפוי לקבל סכום כולל של 10,500 ₪.</w:t>
      </w:r>
    </w:p>
    <w:p w14:paraId="7ED12CFA" w14:textId="77777777" w:rsidR="00987A4C" w:rsidRDefault="00987A4C" w:rsidP="00987A4C">
      <w:pPr>
        <w:spacing w:line="360" w:lineRule="auto"/>
        <w:ind w:left="720" w:right="142" w:hanging="720"/>
        <w:jc w:val="both"/>
        <w:rPr>
          <w:rFonts w:ascii="David" w:hAnsi="David"/>
          <w:b/>
          <w:bCs/>
          <w:rtl/>
        </w:rPr>
      </w:pPr>
    </w:p>
    <w:p w14:paraId="39B75F05" w14:textId="77777777" w:rsidR="00987A4C" w:rsidRPr="000643A2" w:rsidRDefault="00987A4C" w:rsidP="00987A4C">
      <w:pPr>
        <w:spacing w:line="360" w:lineRule="auto"/>
        <w:ind w:left="720" w:right="142" w:hanging="720"/>
        <w:jc w:val="both"/>
        <w:rPr>
          <w:rFonts w:ascii="David" w:hAnsi="David"/>
          <w:b/>
          <w:bCs/>
          <w:rtl/>
        </w:rPr>
      </w:pPr>
      <w:r w:rsidRPr="000643A2">
        <w:rPr>
          <w:rFonts w:ascii="David" w:hAnsi="David" w:hint="cs"/>
          <w:rtl/>
        </w:rPr>
        <w:t>4.</w:t>
      </w:r>
      <w:r w:rsidRPr="000643A2">
        <w:rPr>
          <w:rFonts w:ascii="David" w:hAnsi="David" w:hint="cs"/>
          <w:rtl/>
        </w:rPr>
        <w:tab/>
      </w:r>
      <w:r>
        <w:rPr>
          <w:rFonts w:ascii="David" w:hAnsi="David" w:hint="cs"/>
          <w:rtl/>
        </w:rPr>
        <w:t xml:space="preserve">באישום השני נטען כי </w:t>
      </w:r>
      <w:r w:rsidRPr="000643A2">
        <w:rPr>
          <w:rFonts w:ascii="David" w:hAnsi="David" w:hint="cs"/>
          <w:rtl/>
        </w:rPr>
        <w:t xml:space="preserve">כשבועיים עובר ליום 25.06.17 הגיעו הנאשם ונתנאל לאחר </w:t>
      </w:r>
      <w:r>
        <w:rPr>
          <w:rFonts w:ascii="David" w:hAnsi="David" w:hint="cs"/>
          <w:rtl/>
        </w:rPr>
        <w:t xml:space="preserve">תיאום </w:t>
      </w:r>
      <w:r w:rsidRPr="000643A2">
        <w:rPr>
          <w:rFonts w:ascii="David" w:hAnsi="David" w:hint="cs"/>
          <w:rtl/>
        </w:rPr>
        <w:t xml:space="preserve"> לדירה </w:t>
      </w:r>
      <w:r>
        <w:rPr>
          <w:rFonts w:ascii="David" w:hAnsi="David" w:hint="cs"/>
          <w:rtl/>
        </w:rPr>
        <w:t xml:space="preserve">זאת כדי </w:t>
      </w:r>
      <w:r w:rsidRPr="000643A2">
        <w:rPr>
          <w:rFonts w:ascii="David" w:hAnsi="David" w:hint="cs"/>
          <w:rtl/>
        </w:rPr>
        <w:t>להכין חבילות למכירה</w:t>
      </w:r>
      <w:r>
        <w:rPr>
          <w:rFonts w:ascii="David" w:hAnsi="David" w:hint="cs"/>
          <w:rtl/>
        </w:rPr>
        <w:t xml:space="preserve">. הנאשם ונתנאל </w:t>
      </w:r>
      <w:r w:rsidRPr="000643A2">
        <w:rPr>
          <w:rFonts w:ascii="David" w:hAnsi="David" w:hint="cs"/>
          <w:rtl/>
        </w:rPr>
        <w:t>הכינו חבילת סם מסוג קנאביס במשקל 100 גרם</w:t>
      </w:r>
      <w:r w:rsidRPr="000643A2">
        <w:rPr>
          <w:rFonts w:ascii="David" w:hAnsi="David" w:hint="cs"/>
          <w:b/>
          <w:bCs/>
          <w:rtl/>
        </w:rPr>
        <w:t xml:space="preserve">{להלן: "החבילה"}, </w:t>
      </w:r>
      <w:r w:rsidRPr="000643A2">
        <w:rPr>
          <w:rFonts w:ascii="David" w:hAnsi="David" w:hint="cs"/>
          <w:rtl/>
        </w:rPr>
        <w:t xml:space="preserve">והעבירו אותה אל אדם המכונה ג'ורג' שזהותו אינה ידוע למאשימה, עבור </w:t>
      </w:r>
      <w:r>
        <w:rPr>
          <w:rFonts w:ascii="David" w:hAnsi="David" w:hint="cs"/>
          <w:rtl/>
        </w:rPr>
        <w:t xml:space="preserve">חבילת </w:t>
      </w:r>
      <w:r w:rsidRPr="000643A2">
        <w:rPr>
          <w:rFonts w:ascii="David" w:hAnsi="David" w:hint="cs"/>
          <w:rtl/>
        </w:rPr>
        <w:t>הסם התחייב ג</w:t>
      </w:r>
      <w:r>
        <w:rPr>
          <w:rFonts w:ascii="David" w:hAnsi="David" w:hint="cs"/>
          <w:rtl/>
        </w:rPr>
        <w:t>'</w:t>
      </w:r>
      <w:r w:rsidRPr="000643A2">
        <w:rPr>
          <w:rFonts w:ascii="David" w:hAnsi="David" w:hint="cs"/>
          <w:rtl/>
        </w:rPr>
        <w:t xml:space="preserve">ורג' להעביר </w:t>
      </w:r>
      <w:r>
        <w:rPr>
          <w:rFonts w:ascii="David" w:hAnsi="David" w:hint="cs"/>
          <w:rtl/>
        </w:rPr>
        <w:t xml:space="preserve">לנאשם סכום כסף שאינו ידוע </w:t>
      </w:r>
      <w:r w:rsidRPr="000643A2">
        <w:rPr>
          <w:rFonts w:ascii="David" w:hAnsi="David" w:hint="cs"/>
          <w:rtl/>
        </w:rPr>
        <w:t xml:space="preserve">למאשימה, כאשר בפועל </w:t>
      </w:r>
      <w:r>
        <w:rPr>
          <w:rFonts w:ascii="David" w:hAnsi="David" w:hint="cs"/>
          <w:rtl/>
        </w:rPr>
        <w:t xml:space="preserve">הנאשם ונתנאל </w:t>
      </w:r>
      <w:r w:rsidRPr="000643A2">
        <w:rPr>
          <w:rFonts w:ascii="David" w:hAnsi="David" w:hint="cs"/>
          <w:rtl/>
        </w:rPr>
        <w:t>לא קיבלו את התשלום.</w:t>
      </w:r>
    </w:p>
    <w:p w14:paraId="4AC50CEC" w14:textId="77777777" w:rsidR="00987A4C" w:rsidRPr="000643A2" w:rsidRDefault="00987A4C" w:rsidP="00987A4C">
      <w:pPr>
        <w:pStyle w:val="a9"/>
        <w:spacing w:line="360" w:lineRule="auto"/>
        <w:ind w:right="142"/>
        <w:jc w:val="both"/>
        <w:rPr>
          <w:rFonts w:ascii="David" w:hAnsi="David" w:cs="David"/>
          <w:b/>
          <w:bCs/>
          <w:sz w:val="24"/>
          <w:szCs w:val="24"/>
        </w:rPr>
      </w:pPr>
    </w:p>
    <w:p w14:paraId="048D85DE" w14:textId="77777777" w:rsidR="00987A4C" w:rsidRDefault="00987A4C" w:rsidP="00987A4C">
      <w:pPr>
        <w:spacing w:line="360" w:lineRule="auto"/>
        <w:ind w:right="142"/>
        <w:jc w:val="both"/>
        <w:rPr>
          <w:rFonts w:ascii="David" w:hAnsi="David"/>
          <w:b/>
          <w:bCs/>
          <w:rtl/>
        </w:rPr>
      </w:pPr>
      <w:r w:rsidRPr="000643A2">
        <w:rPr>
          <w:rFonts w:ascii="David" w:hAnsi="David" w:hint="cs"/>
          <w:b/>
          <w:bCs/>
          <w:rtl/>
        </w:rPr>
        <w:t>תסקיר שירות המבחן:</w:t>
      </w:r>
    </w:p>
    <w:p w14:paraId="445537BE" w14:textId="77777777" w:rsidR="00987A4C" w:rsidRDefault="00987A4C" w:rsidP="00987A4C">
      <w:pPr>
        <w:spacing w:line="360" w:lineRule="auto"/>
        <w:ind w:right="142"/>
        <w:jc w:val="both"/>
        <w:rPr>
          <w:rFonts w:ascii="David" w:hAnsi="David"/>
          <w:b/>
          <w:bCs/>
          <w:rtl/>
        </w:rPr>
      </w:pPr>
    </w:p>
    <w:p w14:paraId="1448404E" w14:textId="77777777" w:rsidR="00987A4C" w:rsidRDefault="00987A4C" w:rsidP="00987A4C">
      <w:pPr>
        <w:spacing w:line="360" w:lineRule="auto"/>
        <w:ind w:left="720" w:right="142" w:hanging="720"/>
        <w:jc w:val="both"/>
        <w:rPr>
          <w:rFonts w:ascii="David" w:hAnsi="David"/>
          <w:rtl/>
        </w:rPr>
      </w:pPr>
      <w:r w:rsidRPr="007C70CD">
        <w:rPr>
          <w:rFonts w:ascii="David" w:hAnsi="David" w:hint="cs"/>
          <w:rtl/>
        </w:rPr>
        <w:t>5.</w:t>
      </w:r>
      <w:r w:rsidRPr="007C70CD">
        <w:rPr>
          <w:rFonts w:ascii="David" w:hAnsi="David" w:hint="cs"/>
          <w:rtl/>
        </w:rPr>
        <w:tab/>
        <w:t>בעניינו של הנאשם הוגש תסקיר מאת שרות המבחן, אביא מתוכנו בתמצית. הנאשם כבן</w:t>
      </w:r>
      <w:r w:rsidRPr="000643A2">
        <w:rPr>
          <w:rFonts w:ascii="David" w:hAnsi="David" w:hint="cs"/>
          <w:rtl/>
        </w:rPr>
        <w:t xml:space="preserve"> 34, רווק, מתגורר בירושלים ועובד כמדריך בחדר כושר מזה כ</w:t>
      </w:r>
      <w:r>
        <w:rPr>
          <w:rFonts w:ascii="David" w:hAnsi="David" w:hint="cs"/>
          <w:rtl/>
        </w:rPr>
        <w:t>-</w:t>
      </w:r>
      <w:r w:rsidRPr="000643A2">
        <w:rPr>
          <w:rFonts w:ascii="David" w:hAnsi="David" w:hint="cs"/>
          <w:rtl/>
        </w:rPr>
        <w:t xml:space="preserve"> 3 שנים. בתסקיר פירוט אודות הרקע בו צמח הנאשם</w:t>
      </w:r>
      <w:r>
        <w:rPr>
          <w:rFonts w:ascii="David" w:hAnsi="David" w:hint="cs"/>
          <w:rtl/>
        </w:rPr>
        <w:t xml:space="preserve">, אירועים שחווה ילדותו וקשריו כיום עם משפחתו. </w:t>
      </w:r>
    </w:p>
    <w:p w14:paraId="32D7A05E" w14:textId="77777777" w:rsidR="00987A4C" w:rsidRDefault="00987A4C" w:rsidP="00987A4C">
      <w:pPr>
        <w:spacing w:line="360" w:lineRule="auto"/>
        <w:ind w:left="720" w:right="142"/>
        <w:jc w:val="both"/>
        <w:rPr>
          <w:rFonts w:ascii="David" w:hAnsi="David"/>
          <w:rtl/>
        </w:rPr>
      </w:pPr>
      <w:r>
        <w:rPr>
          <w:rFonts w:ascii="David" w:hAnsi="David" w:hint="cs"/>
          <w:rtl/>
        </w:rPr>
        <w:t xml:space="preserve">הנאשם נולד בארה"ב וגדל בתא משפחתי שאינו מתפקד. הנאשם התחנך במספר מוסדות לימוד חרדיים, ובגיל 12 </w:t>
      </w:r>
      <w:r w:rsidRPr="000643A2">
        <w:rPr>
          <w:rFonts w:ascii="David" w:hAnsi="David" w:hint="cs"/>
          <w:rtl/>
        </w:rPr>
        <w:t xml:space="preserve">עלה עם משפחתו לישראל. </w:t>
      </w:r>
    </w:p>
    <w:p w14:paraId="152FFA30" w14:textId="77777777" w:rsidR="00987A4C" w:rsidRPr="000643A2" w:rsidRDefault="00987A4C" w:rsidP="00987A4C">
      <w:pPr>
        <w:spacing w:line="360" w:lineRule="auto"/>
        <w:ind w:left="720" w:right="142"/>
        <w:jc w:val="both"/>
        <w:rPr>
          <w:rFonts w:ascii="David" w:hAnsi="David"/>
        </w:rPr>
      </w:pPr>
      <w:r>
        <w:rPr>
          <w:rFonts w:ascii="David" w:hAnsi="David" w:hint="cs"/>
          <w:rtl/>
        </w:rPr>
        <w:t>בתסקיר תיאור אודות קשיי הקליטה ואופן הסתגלותו בחברה הישראלית. גם תקופה זו אופיינה במעבר בין מוסדות חינוך עד שפסק מלנהל אורח חיים דתי. הנאשם סיים 12 שנות לימוד והתגייס לשרות צבאי כנער מקא"מ. לאחר שחרורו השלים לימודי בגרות ובשנת 2012 סיים את לימודיו במכון וינגייט ו</w:t>
      </w:r>
      <w:r w:rsidRPr="000643A2">
        <w:rPr>
          <w:rFonts w:ascii="David" w:hAnsi="David" w:hint="cs"/>
          <w:rtl/>
        </w:rPr>
        <w:t>קיבל תעודת מדריך</w:t>
      </w:r>
      <w:r>
        <w:rPr>
          <w:rFonts w:ascii="David" w:hAnsi="David" w:hint="cs"/>
          <w:rtl/>
        </w:rPr>
        <w:t xml:space="preserve"> חדר כושר הנאשם היה מצוי בטיפול רגשי לא קבוע משך שנתיים וחצי, ומחודש מרץ החל בלימודי צורפות</w:t>
      </w:r>
      <w:r w:rsidRPr="000643A2">
        <w:rPr>
          <w:rFonts w:ascii="David" w:hAnsi="David" w:hint="cs"/>
          <w:rtl/>
        </w:rPr>
        <w:t>.</w:t>
      </w:r>
    </w:p>
    <w:p w14:paraId="6C9DB437" w14:textId="77777777" w:rsidR="00987A4C" w:rsidRPr="000643A2" w:rsidRDefault="00987A4C" w:rsidP="00987A4C">
      <w:pPr>
        <w:pStyle w:val="a9"/>
        <w:spacing w:line="360" w:lineRule="auto"/>
        <w:ind w:right="142"/>
        <w:jc w:val="both"/>
        <w:rPr>
          <w:rFonts w:ascii="David" w:hAnsi="David" w:cs="David"/>
          <w:sz w:val="24"/>
          <w:szCs w:val="24"/>
          <w:rtl/>
        </w:rPr>
      </w:pPr>
      <w:r w:rsidRPr="000643A2">
        <w:rPr>
          <w:rFonts w:ascii="David" w:hAnsi="David" w:cs="David" w:hint="cs"/>
          <w:sz w:val="24"/>
          <w:szCs w:val="24"/>
          <w:rtl/>
        </w:rPr>
        <w:t xml:space="preserve">הנאשם נטל אחריות על מעשיו והביע חרטה על מעשיו. </w:t>
      </w:r>
      <w:r>
        <w:rPr>
          <w:rFonts w:ascii="David" w:hAnsi="David" w:cs="David" w:hint="cs"/>
          <w:sz w:val="24"/>
          <w:szCs w:val="24"/>
          <w:rtl/>
        </w:rPr>
        <w:t>על פיו,</w:t>
      </w:r>
      <w:r w:rsidRPr="000643A2">
        <w:rPr>
          <w:rFonts w:ascii="David" w:hAnsi="David" w:cs="David" w:hint="cs"/>
          <w:sz w:val="24"/>
          <w:szCs w:val="24"/>
          <w:rtl/>
        </w:rPr>
        <w:t xml:space="preserve"> הרקע ל</w:t>
      </w:r>
      <w:r>
        <w:rPr>
          <w:rFonts w:ascii="David" w:hAnsi="David" w:cs="David" w:hint="cs"/>
          <w:sz w:val="24"/>
          <w:szCs w:val="24"/>
          <w:rtl/>
        </w:rPr>
        <w:t>ביצוע ה</w:t>
      </w:r>
      <w:r w:rsidRPr="000643A2">
        <w:rPr>
          <w:rFonts w:ascii="David" w:hAnsi="David" w:cs="David" w:hint="cs"/>
          <w:sz w:val="24"/>
          <w:szCs w:val="24"/>
          <w:rtl/>
        </w:rPr>
        <w:t>עביר</w:t>
      </w:r>
      <w:r>
        <w:rPr>
          <w:rFonts w:ascii="David" w:hAnsi="David" w:cs="David" w:hint="cs"/>
          <w:sz w:val="24"/>
          <w:szCs w:val="24"/>
          <w:rtl/>
        </w:rPr>
        <w:t xml:space="preserve">ות נעוץ </w:t>
      </w:r>
      <w:r w:rsidRPr="000643A2">
        <w:rPr>
          <w:rFonts w:ascii="David" w:hAnsi="David" w:cs="David" w:hint="cs"/>
          <w:sz w:val="24"/>
          <w:szCs w:val="24"/>
          <w:rtl/>
        </w:rPr>
        <w:t>ב</w:t>
      </w:r>
      <w:r>
        <w:rPr>
          <w:rFonts w:ascii="David" w:hAnsi="David" w:cs="David" w:hint="cs"/>
          <w:sz w:val="24"/>
          <w:szCs w:val="24"/>
          <w:rtl/>
        </w:rPr>
        <w:t>ב</w:t>
      </w:r>
      <w:r w:rsidRPr="000643A2">
        <w:rPr>
          <w:rFonts w:ascii="David" w:hAnsi="David" w:cs="David" w:hint="cs"/>
          <w:sz w:val="24"/>
          <w:szCs w:val="24"/>
          <w:rtl/>
        </w:rPr>
        <w:t>קש</w:t>
      </w:r>
      <w:r>
        <w:rPr>
          <w:rFonts w:ascii="David" w:hAnsi="David" w:cs="David" w:hint="cs"/>
          <w:sz w:val="24"/>
          <w:szCs w:val="24"/>
          <w:rtl/>
        </w:rPr>
        <w:t xml:space="preserve">ת אחיו </w:t>
      </w:r>
      <w:r w:rsidRPr="000643A2">
        <w:rPr>
          <w:rFonts w:ascii="David" w:hAnsi="David" w:cs="David" w:hint="cs"/>
          <w:sz w:val="24"/>
          <w:szCs w:val="24"/>
          <w:rtl/>
        </w:rPr>
        <w:t>ל</w:t>
      </w:r>
      <w:r>
        <w:rPr>
          <w:rFonts w:ascii="David" w:hAnsi="David" w:cs="David" w:hint="cs"/>
          <w:sz w:val="24"/>
          <w:szCs w:val="24"/>
          <w:rtl/>
        </w:rPr>
        <w:t xml:space="preserve">סייע </w:t>
      </w:r>
      <w:r w:rsidRPr="000643A2">
        <w:rPr>
          <w:rFonts w:ascii="David" w:hAnsi="David" w:cs="David" w:hint="cs"/>
          <w:sz w:val="24"/>
          <w:szCs w:val="24"/>
          <w:rtl/>
        </w:rPr>
        <w:t xml:space="preserve">לו </w:t>
      </w:r>
      <w:r>
        <w:rPr>
          <w:rFonts w:ascii="David" w:hAnsi="David" w:cs="David" w:hint="cs"/>
          <w:sz w:val="24"/>
          <w:szCs w:val="24"/>
          <w:rtl/>
        </w:rPr>
        <w:t xml:space="preserve">במכירת הסם. </w:t>
      </w:r>
      <w:r w:rsidRPr="000643A2">
        <w:rPr>
          <w:rFonts w:ascii="David" w:hAnsi="David" w:cs="David" w:hint="cs"/>
          <w:sz w:val="24"/>
          <w:szCs w:val="24"/>
          <w:rtl/>
        </w:rPr>
        <w:t>הנאשם</w:t>
      </w:r>
      <w:r>
        <w:rPr>
          <w:rFonts w:ascii="David" w:hAnsi="David" w:cs="David" w:hint="cs"/>
          <w:sz w:val="24"/>
          <w:szCs w:val="24"/>
          <w:rtl/>
        </w:rPr>
        <w:t xml:space="preserve">, כך לדבריו, </w:t>
      </w:r>
      <w:r w:rsidRPr="000643A2">
        <w:rPr>
          <w:rFonts w:ascii="David" w:hAnsi="David" w:cs="David" w:hint="cs"/>
          <w:sz w:val="24"/>
          <w:szCs w:val="24"/>
          <w:rtl/>
        </w:rPr>
        <w:t xml:space="preserve"> הרגיש מחויב</w:t>
      </w:r>
      <w:r>
        <w:rPr>
          <w:rFonts w:ascii="David" w:hAnsi="David" w:cs="David" w:hint="cs"/>
          <w:sz w:val="24"/>
          <w:szCs w:val="24"/>
          <w:rtl/>
        </w:rPr>
        <w:t xml:space="preserve">ות </w:t>
      </w:r>
      <w:r w:rsidRPr="000643A2">
        <w:rPr>
          <w:rFonts w:ascii="David" w:hAnsi="David" w:cs="David" w:hint="cs"/>
          <w:sz w:val="24"/>
          <w:szCs w:val="24"/>
          <w:rtl/>
        </w:rPr>
        <w:t xml:space="preserve">כלפיו </w:t>
      </w:r>
      <w:r>
        <w:rPr>
          <w:rFonts w:ascii="David" w:hAnsi="David" w:cs="David" w:hint="cs"/>
          <w:sz w:val="24"/>
          <w:szCs w:val="24"/>
          <w:rtl/>
        </w:rPr>
        <w:t xml:space="preserve">שכן הוא סייע לו </w:t>
      </w:r>
      <w:r w:rsidRPr="000643A2">
        <w:rPr>
          <w:rFonts w:ascii="David" w:hAnsi="David" w:cs="David" w:hint="cs"/>
          <w:sz w:val="24"/>
          <w:szCs w:val="24"/>
          <w:rtl/>
        </w:rPr>
        <w:t>כלכלית.</w:t>
      </w:r>
    </w:p>
    <w:p w14:paraId="79178555" w14:textId="77777777" w:rsidR="00987A4C" w:rsidRDefault="00987A4C" w:rsidP="00987A4C">
      <w:pPr>
        <w:pStyle w:val="a9"/>
        <w:spacing w:line="360" w:lineRule="auto"/>
        <w:ind w:right="142"/>
        <w:jc w:val="both"/>
        <w:rPr>
          <w:rFonts w:ascii="David" w:hAnsi="David" w:cs="David"/>
          <w:sz w:val="24"/>
          <w:szCs w:val="24"/>
          <w:rtl/>
        </w:rPr>
      </w:pPr>
      <w:r>
        <w:rPr>
          <w:rFonts w:ascii="David" w:hAnsi="David" w:cs="David" w:hint="cs"/>
          <w:sz w:val="24"/>
          <w:szCs w:val="24"/>
          <w:rtl/>
        </w:rPr>
        <w:t xml:space="preserve">הנאשם השתלב בתהליך טיפולי של שרות המבחן ונטל חלק </w:t>
      </w:r>
      <w:r w:rsidRPr="000643A2">
        <w:rPr>
          <w:rFonts w:ascii="David" w:hAnsi="David" w:cs="David" w:hint="cs"/>
          <w:sz w:val="24"/>
          <w:szCs w:val="24"/>
          <w:rtl/>
        </w:rPr>
        <w:t>בקבוצה טיפולית</w:t>
      </w:r>
      <w:r>
        <w:rPr>
          <w:rFonts w:ascii="David" w:hAnsi="David" w:cs="David" w:hint="cs"/>
          <w:sz w:val="24"/>
          <w:szCs w:val="24"/>
          <w:rtl/>
        </w:rPr>
        <w:t xml:space="preserve"> לעצורי בית. הנאשם </w:t>
      </w:r>
      <w:r w:rsidRPr="000643A2">
        <w:rPr>
          <w:rFonts w:ascii="David" w:hAnsi="David" w:cs="David" w:hint="cs"/>
          <w:sz w:val="24"/>
          <w:szCs w:val="24"/>
          <w:rtl/>
        </w:rPr>
        <w:t>ה</w:t>
      </w:r>
      <w:r>
        <w:rPr>
          <w:rFonts w:ascii="David" w:hAnsi="David" w:cs="David" w:hint="cs"/>
          <w:sz w:val="24"/>
          <w:szCs w:val="24"/>
          <w:rtl/>
        </w:rPr>
        <w:t>ת</w:t>
      </w:r>
      <w:r w:rsidRPr="000643A2">
        <w:rPr>
          <w:rFonts w:ascii="David" w:hAnsi="David" w:cs="David" w:hint="cs"/>
          <w:sz w:val="24"/>
          <w:szCs w:val="24"/>
          <w:rtl/>
        </w:rPr>
        <w:t xml:space="preserve">מיד להגיע לכל המפגשים, </w:t>
      </w:r>
      <w:r>
        <w:rPr>
          <w:rFonts w:ascii="David" w:hAnsi="David" w:cs="David" w:hint="cs"/>
          <w:sz w:val="24"/>
          <w:szCs w:val="24"/>
          <w:rtl/>
        </w:rPr>
        <w:t xml:space="preserve">השתתף </w:t>
      </w:r>
      <w:r w:rsidRPr="000643A2">
        <w:rPr>
          <w:rFonts w:ascii="David" w:hAnsi="David" w:cs="David" w:hint="cs"/>
          <w:sz w:val="24"/>
          <w:szCs w:val="24"/>
          <w:rtl/>
        </w:rPr>
        <w:t>בשיח הקבוצתי, חשף</w:t>
      </w:r>
      <w:r>
        <w:rPr>
          <w:rFonts w:ascii="David" w:hAnsi="David" w:cs="David" w:hint="cs"/>
          <w:sz w:val="24"/>
          <w:szCs w:val="24"/>
          <w:rtl/>
        </w:rPr>
        <w:t xml:space="preserve"> מ</w:t>
      </w:r>
      <w:r w:rsidRPr="000643A2">
        <w:rPr>
          <w:rFonts w:ascii="David" w:hAnsi="David" w:cs="David" w:hint="cs"/>
          <w:sz w:val="24"/>
          <w:szCs w:val="24"/>
          <w:rtl/>
        </w:rPr>
        <w:t>עולמו הפנימי</w:t>
      </w:r>
      <w:r>
        <w:rPr>
          <w:rFonts w:ascii="David" w:hAnsi="David" w:cs="David" w:hint="cs"/>
          <w:sz w:val="24"/>
          <w:szCs w:val="24"/>
          <w:rtl/>
        </w:rPr>
        <w:t xml:space="preserve">, </w:t>
      </w:r>
      <w:r>
        <w:rPr>
          <w:rFonts w:ascii="David" w:hAnsi="David" w:cs="David" w:hint="cs"/>
          <w:sz w:val="24"/>
          <w:szCs w:val="24"/>
          <w:rtl/>
        </w:rPr>
        <w:lastRenderedPageBreak/>
        <w:t>ולהתרשמות שרות המבחן ה</w:t>
      </w:r>
      <w:r w:rsidRPr="000643A2">
        <w:rPr>
          <w:rFonts w:ascii="David" w:hAnsi="David" w:cs="David" w:hint="cs"/>
          <w:sz w:val="24"/>
          <w:szCs w:val="24"/>
          <w:rtl/>
        </w:rPr>
        <w:t>בין את דפוסי התנהגותו הבעייתיים.</w:t>
      </w:r>
      <w:r>
        <w:rPr>
          <w:rFonts w:ascii="David" w:hAnsi="David" w:cs="David" w:hint="cs"/>
          <w:sz w:val="24"/>
          <w:szCs w:val="24"/>
          <w:rtl/>
        </w:rPr>
        <w:t xml:space="preserve"> הנאשם שולב במסגרת טיפול פרטני וכן עושה ניסיון להשתלב בטיפול נוסף הנוגע באירועים הקשורים בילדותו.</w:t>
      </w:r>
    </w:p>
    <w:p w14:paraId="166308B0" w14:textId="77777777" w:rsidR="00987A4C" w:rsidRPr="000643A2" w:rsidRDefault="00987A4C" w:rsidP="00987A4C">
      <w:pPr>
        <w:pStyle w:val="a9"/>
        <w:spacing w:line="360" w:lineRule="auto"/>
        <w:ind w:right="142"/>
        <w:jc w:val="both"/>
        <w:rPr>
          <w:rFonts w:ascii="David" w:hAnsi="David" w:cs="David"/>
          <w:sz w:val="24"/>
          <w:szCs w:val="24"/>
          <w:rtl/>
        </w:rPr>
      </w:pPr>
      <w:r w:rsidRPr="000643A2">
        <w:rPr>
          <w:rFonts w:ascii="David" w:hAnsi="David" w:cs="David" w:hint="cs"/>
          <w:sz w:val="24"/>
          <w:szCs w:val="24"/>
          <w:rtl/>
        </w:rPr>
        <w:t>בבחינת גורמי סיכו</w:t>
      </w:r>
      <w:r>
        <w:rPr>
          <w:rFonts w:ascii="David" w:hAnsi="David" w:cs="David" w:hint="cs"/>
          <w:sz w:val="24"/>
          <w:szCs w:val="24"/>
          <w:rtl/>
        </w:rPr>
        <w:t>ן</w:t>
      </w:r>
      <w:r w:rsidRPr="000643A2">
        <w:rPr>
          <w:rFonts w:ascii="David" w:hAnsi="David" w:cs="David" w:hint="cs"/>
          <w:sz w:val="24"/>
          <w:szCs w:val="24"/>
          <w:rtl/>
        </w:rPr>
        <w:t xml:space="preserve"> ציין שירות המבחן </w:t>
      </w:r>
      <w:r>
        <w:rPr>
          <w:rFonts w:ascii="David" w:hAnsi="David" w:cs="David" w:hint="cs"/>
          <w:sz w:val="24"/>
          <w:szCs w:val="24"/>
          <w:rtl/>
        </w:rPr>
        <w:t xml:space="preserve">את </w:t>
      </w:r>
      <w:r w:rsidRPr="000643A2">
        <w:rPr>
          <w:rFonts w:ascii="David" w:hAnsi="David" w:cs="David" w:hint="cs"/>
          <w:sz w:val="24"/>
          <w:szCs w:val="24"/>
          <w:rtl/>
        </w:rPr>
        <w:t>הרקע המשפחתי המורכב</w:t>
      </w:r>
      <w:r>
        <w:rPr>
          <w:rFonts w:ascii="David" w:hAnsi="David" w:cs="David" w:hint="cs"/>
          <w:sz w:val="24"/>
          <w:szCs w:val="24"/>
          <w:rtl/>
        </w:rPr>
        <w:t xml:space="preserve"> בו גדל הנאשם, נתון הקשור גם בעבירות אותן ביצע. מנגד, ובבחינת גורמי סיכוי ציין שרות המבחן כי הנאשם נעדר עבר פלילי, וההליך מ</w:t>
      </w:r>
      <w:r w:rsidRPr="000643A2">
        <w:rPr>
          <w:rFonts w:ascii="David" w:hAnsi="David" w:cs="David" w:hint="cs"/>
          <w:sz w:val="24"/>
          <w:szCs w:val="24"/>
          <w:rtl/>
        </w:rPr>
        <w:t>הוו</w:t>
      </w:r>
      <w:r>
        <w:rPr>
          <w:rFonts w:ascii="David" w:hAnsi="David" w:cs="David" w:hint="cs"/>
          <w:sz w:val="24"/>
          <w:szCs w:val="24"/>
          <w:rtl/>
        </w:rPr>
        <w:t>ה</w:t>
      </w:r>
      <w:r w:rsidRPr="000643A2">
        <w:rPr>
          <w:rFonts w:ascii="David" w:hAnsi="David" w:cs="David" w:hint="cs"/>
          <w:sz w:val="24"/>
          <w:szCs w:val="24"/>
          <w:rtl/>
        </w:rPr>
        <w:t xml:space="preserve"> גורם </w:t>
      </w:r>
      <w:r>
        <w:rPr>
          <w:rFonts w:ascii="David" w:hAnsi="David" w:cs="David" w:hint="cs"/>
          <w:sz w:val="24"/>
          <w:szCs w:val="24"/>
          <w:rtl/>
        </w:rPr>
        <w:t>מרתיע מחד ומדרבן מאידך לניהול א</w:t>
      </w:r>
      <w:r w:rsidRPr="000643A2">
        <w:rPr>
          <w:rFonts w:ascii="David" w:hAnsi="David" w:cs="David" w:hint="cs"/>
          <w:sz w:val="24"/>
          <w:szCs w:val="24"/>
          <w:rtl/>
        </w:rPr>
        <w:t>ורח חיים נורמטיבי.</w:t>
      </w:r>
      <w:r>
        <w:rPr>
          <w:rFonts w:ascii="David" w:hAnsi="David" w:cs="David" w:hint="cs"/>
          <w:sz w:val="24"/>
          <w:szCs w:val="24"/>
          <w:rtl/>
        </w:rPr>
        <w:t xml:space="preserve"> </w:t>
      </w:r>
      <w:r w:rsidRPr="000643A2">
        <w:rPr>
          <w:rFonts w:ascii="David" w:hAnsi="David" w:cs="David" w:hint="cs"/>
          <w:sz w:val="24"/>
          <w:szCs w:val="24"/>
          <w:rtl/>
        </w:rPr>
        <w:t>באשר ל</w:t>
      </w:r>
      <w:r>
        <w:rPr>
          <w:rFonts w:ascii="David" w:hAnsi="David" w:cs="David" w:hint="cs"/>
          <w:sz w:val="24"/>
          <w:szCs w:val="24"/>
          <w:rtl/>
        </w:rPr>
        <w:t>שאלת ה</w:t>
      </w:r>
      <w:r w:rsidRPr="000643A2">
        <w:rPr>
          <w:rFonts w:ascii="David" w:hAnsi="David" w:cs="David" w:hint="cs"/>
          <w:sz w:val="24"/>
          <w:szCs w:val="24"/>
          <w:rtl/>
        </w:rPr>
        <w:t xml:space="preserve">הרשעה </w:t>
      </w:r>
      <w:r>
        <w:rPr>
          <w:rFonts w:ascii="David" w:hAnsi="David" w:cs="David" w:hint="cs"/>
          <w:sz w:val="24"/>
          <w:szCs w:val="24"/>
          <w:rtl/>
        </w:rPr>
        <w:t>ציין שרות המבחן כי קיימת התלבטות מצדו, זאת על רקע חומרת העבירות מחד, אל מול חלוף הזמן, השינוי שערך הנאשם בחייו, וכן העובדה כי הוא מגלה יציבות תעסוקתית. בנסיבות האמורות ה</w:t>
      </w:r>
      <w:r w:rsidRPr="000643A2">
        <w:rPr>
          <w:rFonts w:ascii="David" w:hAnsi="David" w:cs="David" w:hint="cs"/>
          <w:sz w:val="24"/>
          <w:szCs w:val="24"/>
          <w:rtl/>
        </w:rPr>
        <w:t xml:space="preserve">מליץ </w:t>
      </w:r>
      <w:r>
        <w:rPr>
          <w:rFonts w:ascii="David" w:hAnsi="David" w:cs="David" w:hint="cs"/>
          <w:sz w:val="24"/>
          <w:szCs w:val="24"/>
          <w:rtl/>
        </w:rPr>
        <w:t xml:space="preserve">שרות המבחן על ענישה מקלה </w:t>
      </w:r>
      <w:r w:rsidRPr="000643A2">
        <w:rPr>
          <w:rFonts w:ascii="David" w:hAnsi="David" w:cs="David" w:hint="cs"/>
          <w:sz w:val="24"/>
          <w:szCs w:val="24"/>
          <w:rtl/>
        </w:rPr>
        <w:t>בדמות</w:t>
      </w:r>
      <w:r>
        <w:rPr>
          <w:rFonts w:ascii="David" w:hAnsi="David" w:cs="David" w:hint="cs"/>
          <w:sz w:val="24"/>
          <w:szCs w:val="24"/>
          <w:rtl/>
        </w:rPr>
        <w:t xml:space="preserve"> צו של"צ בהיקף 300 שעות וכן לשקול את ביטול ההרשעה. על פיהם להרשעה תהא השלכה שלילית על דימויו העצמי, ותקשה עליו בייצוב מצבו והתחזקותו. </w:t>
      </w:r>
    </w:p>
    <w:p w14:paraId="705116AF" w14:textId="77777777" w:rsidR="00987A4C" w:rsidRPr="000643A2" w:rsidRDefault="00987A4C" w:rsidP="00987A4C">
      <w:pPr>
        <w:pStyle w:val="a9"/>
        <w:spacing w:line="360" w:lineRule="auto"/>
        <w:ind w:right="142"/>
        <w:jc w:val="both"/>
        <w:rPr>
          <w:rFonts w:ascii="David" w:hAnsi="David" w:cs="David"/>
          <w:sz w:val="24"/>
          <w:szCs w:val="24"/>
          <w:rtl/>
        </w:rPr>
      </w:pPr>
    </w:p>
    <w:p w14:paraId="71E0341A" w14:textId="77777777" w:rsidR="00987A4C" w:rsidRDefault="00987A4C" w:rsidP="00987A4C">
      <w:pPr>
        <w:spacing w:line="360" w:lineRule="auto"/>
        <w:ind w:right="142"/>
        <w:jc w:val="both"/>
        <w:rPr>
          <w:rFonts w:ascii="David" w:hAnsi="David"/>
          <w:b/>
          <w:bCs/>
          <w:rtl/>
        </w:rPr>
      </w:pPr>
      <w:r>
        <w:rPr>
          <w:rFonts w:ascii="David" w:hAnsi="David" w:hint="cs"/>
          <w:b/>
          <w:bCs/>
          <w:rtl/>
        </w:rPr>
        <w:t>ראיות ההגנה לעונש:</w:t>
      </w:r>
    </w:p>
    <w:p w14:paraId="413BC574" w14:textId="77777777" w:rsidR="00987A4C" w:rsidRDefault="00987A4C" w:rsidP="00987A4C">
      <w:pPr>
        <w:spacing w:line="360" w:lineRule="auto"/>
        <w:ind w:right="142"/>
        <w:jc w:val="both"/>
        <w:rPr>
          <w:rFonts w:ascii="David" w:hAnsi="David"/>
          <w:b/>
          <w:bCs/>
          <w:rtl/>
        </w:rPr>
      </w:pPr>
    </w:p>
    <w:p w14:paraId="2D12BE4C" w14:textId="77777777" w:rsidR="00987A4C" w:rsidRPr="000133B4" w:rsidRDefault="00987A4C" w:rsidP="00987A4C">
      <w:pPr>
        <w:spacing w:line="360" w:lineRule="auto"/>
        <w:ind w:left="720" w:right="142" w:hanging="720"/>
        <w:jc w:val="both"/>
        <w:rPr>
          <w:rFonts w:ascii="David" w:hAnsi="David"/>
          <w:rtl/>
        </w:rPr>
      </w:pPr>
      <w:r w:rsidRPr="00554E77">
        <w:rPr>
          <w:rFonts w:ascii="David" w:hAnsi="David" w:hint="cs"/>
          <w:rtl/>
        </w:rPr>
        <w:t>6.</w:t>
      </w:r>
      <w:r w:rsidRPr="00554E77">
        <w:rPr>
          <w:rFonts w:ascii="David" w:hAnsi="David" w:hint="cs"/>
          <w:rtl/>
        </w:rPr>
        <w:tab/>
        <w:t>במסגרת עדותה מסרה הגב' ליה אלבז, מעסיקתו של הנאשם בחמש השנים האחרונות, כי</w:t>
      </w:r>
      <w:r w:rsidRPr="000133B4">
        <w:rPr>
          <w:rFonts w:ascii="David" w:hAnsi="David" w:hint="cs"/>
          <w:rtl/>
        </w:rPr>
        <w:t xml:space="preserve"> ה</w:t>
      </w:r>
      <w:r>
        <w:rPr>
          <w:rFonts w:ascii="David" w:hAnsi="David" w:hint="cs"/>
          <w:rtl/>
        </w:rPr>
        <w:t xml:space="preserve">נאשם השוהה בביתה במסגרת תנאי השחרור שנקבעו, כי הוא </w:t>
      </w:r>
      <w:r w:rsidRPr="000133B4">
        <w:rPr>
          <w:rFonts w:ascii="David" w:hAnsi="David" w:hint="cs"/>
          <w:rtl/>
        </w:rPr>
        <w:t xml:space="preserve">עבר תהליך </w:t>
      </w:r>
      <w:r>
        <w:rPr>
          <w:rFonts w:ascii="David" w:hAnsi="David" w:hint="cs"/>
          <w:rtl/>
        </w:rPr>
        <w:t xml:space="preserve">טיפולי </w:t>
      </w:r>
      <w:r w:rsidRPr="000133B4">
        <w:rPr>
          <w:rFonts w:ascii="David" w:hAnsi="David" w:hint="cs"/>
          <w:rtl/>
        </w:rPr>
        <w:t>משמעותי שניכר בו</w:t>
      </w:r>
      <w:r>
        <w:rPr>
          <w:rFonts w:ascii="David" w:hAnsi="David" w:hint="cs"/>
          <w:rtl/>
        </w:rPr>
        <w:t>,</w:t>
      </w:r>
      <w:r w:rsidRPr="000133B4">
        <w:rPr>
          <w:rFonts w:ascii="David" w:hAnsi="David" w:hint="cs"/>
          <w:rtl/>
        </w:rPr>
        <w:t xml:space="preserve"> ו</w:t>
      </w:r>
      <w:r>
        <w:rPr>
          <w:rFonts w:ascii="David" w:hAnsi="David" w:hint="cs"/>
          <w:rtl/>
        </w:rPr>
        <w:t xml:space="preserve">כיום </w:t>
      </w:r>
      <w:r w:rsidRPr="000133B4">
        <w:rPr>
          <w:rFonts w:ascii="David" w:hAnsi="David" w:hint="cs"/>
          <w:rtl/>
        </w:rPr>
        <w:t>נוקט ה</w:t>
      </w:r>
      <w:r>
        <w:rPr>
          <w:rFonts w:ascii="David" w:hAnsi="David" w:hint="cs"/>
          <w:rtl/>
        </w:rPr>
        <w:t xml:space="preserve">וא </w:t>
      </w:r>
      <w:r w:rsidRPr="000133B4">
        <w:rPr>
          <w:rFonts w:ascii="David" w:hAnsi="David" w:hint="cs"/>
          <w:rtl/>
        </w:rPr>
        <w:t xml:space="preserve">בפעולות נוספות </w:t>
      </w:r>
      <w:r>
        <w:rPr>
          <w:rFonts w:ascii="David" w:hAnsi="David" w:hint="cs"/>
          <w:rtl/>
        </w:rPr>
        <w:t>כדי לגדול מהמקום הזה, כך לדבריה. הוסף, כי ה</w:t>
      </w:r>
      <w:r w:rsidRPr="000133B4">
        <w:rPr>
          <w:rFonts w:ascii="David" w:hAnsi="David" w:hint="cs"/>
          <w:rtl/>
        </w:rPr>
        <w:t>רשע</w:t>
      </w:r>
      <w:r>
        <w:rPr>
          <w:rFonts w:ascii="David" w:hAnsi="David" w:hint="cs"/>
          <w:rtl/>
        </w:rPr>
        <w:t xml:space="preserve">ה יכול ותפגע בו </w:t>
      </w:r>
      <w:r w:rsidRPr="000133B4">
        <w:rPr>
          <w:rFonts w:ascii="David" w:hAnsi="David" w:hint="cs"/>
          <w:rtl/>
        </w:rPr>
        <w:t>כמי שמתעתד להשתלב בעסקי הצורפות.</w:t>
      </w:r>
    </w:p>
    <w:p w14:paraId="431B2434" w14:textId="77777777" w:rsidR="00987A4C" w:rsidRDefault="00987A4C" w:rsidP="00987A4C">
      <w:pPr>
        <w:spacing w:line="360" w:lineRule="auto"/>
        <w:ind w:right="142"/>
        <w:jc w:val="both"/>
        <w:rPr>
          <w:rFonts w:ascii="David" w:hAnsi="David"/>
          <w:b/>
          <w:bCs/>
          <w:rtl/>
        </w:rPr>
      </w:pPr>
    </w:p>
    <w:p w14:paraId="0348BA62" w14:textId="77777777" w:rsidR="00987A4C" w:rsidRDefault="00987A4C" w:rsidP="00987A4C">
      <w:pPr>
        <w:spacing w:line="360" w:lineRule="auto"/>
        <w:ind w:right="142"/>
        <w:jc w:val="both"/>
        <w:rPr>
          <w:rFonts w:ascii="David" w:hAnsi="David"/>
          <w:b/>
          <w:bCs/>
          <w:rtl/>
        </w:rPr>
      </w:pPr>
      <w:r w:rsidRPr="000643A2">
        <w:rPr>
          <w:rFonts w:ascii="David" w:hAnsi="David" w:hint="cs"/>
          <w:b/>
          <w:bCs/>
          <w:rtl/>
        </w:rPr>
        <w:t>תמצית טיעוני הצדדים:</w:t>
      </w:r>
    </w:p>
    <w:p w14:paraId="1822ECC3" w14:textId="77777777" w:rsidR="00987A4C" w:rsidRDefault="00987A4C" w:rsidP="00987A4C">
      <w:pPr>
        <w:spacing w:line="360" w:lineRule="auto"/>
        <w:ind w:right="142"/>
        <w:jc w:val="both"/>
        <w:rPr>
          <w:rFonts w:ascii="David" w:hAnsi="David"/>
          <w:b/>
          <w:bCs/>
          <w:rtl/>
        </w:rPr>
      </w:pPr>
    </w:p>
    <w:p w14:paraId="0EE1C04C" w14:textId="77777777" w:rsidR="00987A4C" w:rsidRDefault="00987A4C" w:rsidP="00987A4C">
      <w:pPr>
        <w:spacing w:line="360" w:lineRule="auto"/>
        <w:ind w:left="720" w:right="142" w:hanging="720"/>
        <w:jc w:val="both"/>
        <w:rPr>
          <w:rFonts w:ascii="David" w:hAnsi="David"/>
          <w:rtl/>
        </w:rPr>
      </w:pPr>
      <w:r>
        <w:rPr>
          <w:rFonts w:ascii="David" w:hAnsi="David" w:hint="cs"/>
          <w:rtl/>
        </w:rPr>
        <w:t>7</w:t>
      </w:r>
      <w:r w:rsidRPr="001F724C">
        <w:rPr>
          <w:rFonts w:ascii="David" w:hAnsi="David" w:hint="cs"/>
          <w:rtl/>
        </w:rPr>
        <w:t>.</w:t>
      </w:r>
      <w:r w:rsidRPr="001F724C">
        <w:rPr>
          <w:rFonts w:ascii="David" w:hAnsi="David" w:hint="cs"/>
          <w:rtl/>
        </w:rPr>
        <w:tab/>
        <w:t>המאשימה הפנתה לכתב האישום המתוקן ו</w:t>
      </w:r>
      <w:r>
        <w:rPr>
          <w:rFonts w:ascii="David" w:hAnsi="David" w:hint="cs"/>
          <w:rtl/>
        </w:rPr>
        <w:t>ל</w:t>
      </w:r>
      <w:r w:rsidRPr="001F724C">
        <w:rPr>
          <w:rFonts w:ascii="David" w:hAnsi="David" w:hint="cs"/>
          <w:rtl/>
        </w:rPr>
        <w:t>עבירות אותן ביצע הנאשם</w:t>
      </w:r>
      <w:r>
        <w:rPr>
          <w:rFonts w:ascii="David" w:hAnsi="David" w:hint="cs"/>
          <w:rtl/>
        </w:rPr>
        <w:t>,</w:t>
      </w:r>
      <w:r w:rsidRPr="001F724C">
        <w:rPr>
          <w:rFonts w:ascii="David" w:hAnsi="David" w:hint="cs"/>
          <w:rtl/>
        </w:rPr>
        <w:t xml:space="preserve"> הכוללות</w:t>
      </w:r>
      <w:r w:rsidRPr="000643A2">
        <w:rPr>
          <w:rFonts w:ascii="David" w:hAnsi="David" w:hint="cs"/>
          <w:rtl/>
        </w:rPr>
        <w:t xml:space="preserve"> </w:t>
      </w:r>
      <w:r>
        <w:rPr>
          <w:rFonts w:ascii="David" w:hAnsi="David" w:hint="cs"/>
          <w:rtl/>
        </w:rPr>
        <w:t xml:space="preserve">אלמנטים </w:t>
      </w:r>
      <w:r w:rsidRPr="000643A2">
        <w:rPr>
          <w:rFonts w:ascii="David" w:hAnsi="David" w:hint="cs"/>
          <w:rtl/>
        </w:rPr>
        <w:t xml:space="preserve"> של תכנון ותחכום בביצוע</w:t>
      </w:r>
      <w:r>
        <w:rPr>
          <w:rFonts w:ascii="David" w:hAnsi="David" w:hint="cs"/>
          <w:rtl/>
        </w:rPr>
        <w:t xml:space="preserve">ן. על פיה </w:t>
      </w:r>
      <w:r w:rsidRPr="000643A2">
        <w:rPr>
          <w:rFonts w:ascii="David" w:hAnsi="David" w:hint="cs"/>
          <w:rtl/>
        </w:rPr>
        <w:t xml:space="preserve">המעבדה </w:t>
      </w:r>
      <w:r>
        <w:rPr>
          <w:rFonts w:ascii="David" w:hAnsi="David" w:hint="cs"/>
          <w:rtl/>
        </w:rPr>
        <w:t xml:space="preserve">אומנם </w:t>
      </w:r>
      <w:r w:rsidRPr="000643A2">
        <w:rPr>
          <w:rFonts w:ascii="David" w:hAnsi="David" w:hint="cs"/>
          <w:rtl/>
        </w:rPr>
        <w:t>הייתה רשומה על שמם של אחרים</w:t>
      </w:r>
      <w:r>
        <w:rPr>
          <w:rFonts w:ascii="David" w:hAnsi="David" w:hint="cs"/>
          <w:rtl/>
        </w:rPr>
        <w:t>,</w:t>
      </w:r>
      <w:r w:rsidRPr="000643A2">
        <w:rPr>
          <w:rFonts w:ascii="David" w:hAnsi="David" w:hint="cs"/>
          <w:rtl/>
        </w:rPr>
        <w:t xml:space="preserve"> אך הנאשם היה אחראי לדירה יחד </w:t>
      </w:r>
      <w:r>
        <w:rPr>
          <w:rFonts w:ascii="David" w:hAnsi="David" w:hint="cs"/>
          <w:rtl/>
        </w:rPr>
        <w:t xml:space="preserve">עמם </w:t>
      </w:r>
      <w:r w:rsidRPr="000643A2">
        <w:rPr>
          <w:rFonts w:ascii="David" w:hAnsi="David" w:hint="cs"/>
          <w:rtl/>
        </w:rPr>
        <w:t>כמפורט בכתב האישום</w:t>
      </w:r>
      <w:r>
        <w:rPr>
          <w:rFonts w:ascii="David" w:hAnsi="David" w:hint="cs"/>
          <w:rtl/>
        </w:rPr>
        <w:t xml:space="preserve">. נטען, כי במסגרת זו נעשו על ידו פעולות </w:t>
      </w:r>
      <w:r w:rsidRPr="000643A2">
        <w:rPr>
          <w:rFonts w:ascii="David" w:hAnsi="David" w:hint="cs"/>
          <w:rtl/>
        </w:rPr>
        <w:t xml:space="preserve">גידול </w:t>
      </w:r>
      <w:r>
        <w:rPr>
          <w:rFonts w:ascii="David" w:hAnsi="David" w:hint="cs"/>
          <w:rtl/>
        </w:rPr>
        <w:t xml:space="preserve">סם </w:t>
      </w:r>
      <w:r w:rsidRPr="000643A2">
        <w:rPr>
          <w:rFonts w:ascii="David" w:hAnsi="David" w:hint="cs"/>
          <w:rtl/>
        </w:rPr>
        <w:t xml:space="preserve">בכמויות גדולות של כ-5 ק"ג, תחזוקתם והפצתם. </w:t>
      </w:r>
      <w:r>
        <w:rPr>
          <w:rFonts w:ascii="David" w:hAnsi="David" w:hint="cs"/>
          <w:rtl/>
        </w:rPr>
        <w:t xml:space="preserve">המאשימה הוסיפה, כי </w:t>
      </w:r>
      <w:r w:rsidRPr="000643A2">
        <w:rPr>
          <w:rFonts w:ascii="David" w:hAnsi="David" w:hint="cs"/>
          <w:rtl/>
        </w:rPr>
        <w:t xml:space="preserve">הנאשם פגע בצורך החברתי </w:t>
      </w:r>
      <w:r>
        <w:rPr>
          <w:rFonts w:ascii="David" w:hAnsi="David" w:hint="cs"/>
          <w:rtl/>
        </w:rPr>
        <w:t xml:space="preserve">במיגור </w:t>
      </w:r>
      <w:r w:rsidRPr="000643A2">
        <w:rPr>
          <w:rFonts w:ascii="David" w:hAnsi="David" w:hint="cs"/>
          <w:rtl/>
        </w:rPr>
        <w:t>נגע הסמים</w:t>
      </w:r>
      <w:r>
        <w:rPr>
          <w:rFonts w:ascii="David" w:hAnsi="David" w:hint="cs"/>
          <w:rtl/>
        </w:rPr>
        <w:t>,</w:t>
      </w:r>
      <w:r w:rsidRPr="000643A2">
        <w:rPr>
          <w:rFonts w:ascii="David" w:hAnsi="David" w:hint="cs"/>
          <w:rtl/>
        </w:rPr>
        <w:t xml:space="preserve"> בבריאות הציבור ובשלטון החוק. באשר למתחם העונש ההולם ציינה</w:t>
      </w:r>
      <w:r>
        <w:rPr>
          <w:rFonts w:ascii="David" w:hAnsi="David" w:hint="cs"/>
          <w:rtl/>
        </w:rPr>
        <w:t xml:space="preserve"> </w:t>
      </w:r>
      <w:r w:rsidRPr="000643A2">
        <w:rPr>
          <w:rFonts w:ascii="David" w:hAnsi="David" w:hint="cs"/>
          <w:rtl/>
        </w:rPr>
        <w:t>כי הוא נע בין</w:t>
      </w:r>
      <w:r>
        <w:rPr>
          <w:rFonts w:ascii="David" w:hAnsi="David" w:hint="cs"/>
          <w:rtl/>
        </w:rPr>
        <w:t xml:space="preserve"> 6 חודשי מאסר ל-</w:t>
      </w:r>
      <w:r w:rsidRPr="000643A2">
        <w:rPr>
          <w:rFonts w:ascii="David" w:hAnsi="David" w:hint="cs"/>
          <w:rtl/>
        </w:rPr>
        <w:t xml:space="preserve">12 חודשי מאסר בפועל. בנסיבות האמורות ביקשה </w:t>
      </w:r>
      <w:r>
        <w:rPr>
          <w:rFonts w:ascii="David" w:hAnsi="David" w:hint="cs"/>
          <w:rtl/>
        </w:rPr>
        <w:t>ל</w:t>
      </w:r>
      <w:r w:rsidRPr="000643A2">
        <w:rPr>
          <w:rFonts w:ascii="David" w:hAnsi="David" w:hint="cs"/>
          <w:rtl/>
        </w:rPr>
        <w:t>הטיל</w:t>
      </w:r>
      <w:r>
        <w:rPr>
          <w:rFonts w:ascii="David" w:hAnsi="David" w:hint="cs"/>
          <w:rtl/>
        </w:rPr>
        <w:t xml:space="preserve"> על הנאשם </w:t>
      </w:r>
      <w:r w:rsidRPr="000643A2">
        <w:rPr>
          <w:rFonts w:ascii="David" w:hAnsi="David" w:hint="cs"/>
          <w:rtl/>
        </w:rPr>
        <w:t xml:space="preserve"> 6 חודשי מאסר </w:t>
      </w:r>
      <w:r>
        <w:rPr>
          <w:rFonts w:ascii="David" w:hAnsi="David" w:hint="cs"/>
          <w:rtl/>
        </w:rPr>
        <w:t xml:space="preserve">לצד </w:t>
      </w:r>
      <w:r w:rsidRPr="000643A2">
        <w:rPr>
          <w:rFonts w:ascii="David" w:hAnsi="David" w:hint="cs"/>
          <w:rtl/>
        </w:rPr>
        <w:t xml:space="preserve">עונשים נלווים. </w:t>
      </w:r>
    </w:p>
    <w:p w14:paraId="059AEAB8" w14:textId="77777777" w:rsidR="00987A4C" w:rsidRDefault="00987A4C" w:rsidP="00987A4C">
      <w:pPr>
        <w:spacing w:line="360" w:lineRule="auto"/>
        <w:ind w:left="360" w:right="142" w:hanging="360"/>
        <w:jc w:val="both"/>
        <w:rPr>
          <w:rFonts w:ascii="David" w:hAnsi="David"/>
          <w:rtl/>
        </w:rPr>
      </w:pPr>
    </w:p>
    <w:p w14:paraId="232B56C8" w14:textId="77777777" w:rsidR="00987A4C" w:rsidRPr="000643A2" w:rsidRDefault="00987A4C" w:rsidP="00987A4C">
      <w:pPr>
        <w:spacing w:line="360" w:lineRule="auto"/>
        <w:ind w:left="720" w:right="142" w:hanging="720"/>
        <w:jc w:val="both"/>
        <w:rPr>
          <w:rFonts w:ascii="David" w:hAnsi="David"/>
        </w:rPr>
      </w:pPr>
      <w:r>
        <w:rPr>
          <w:rFonts w:ascii="David" w:hAnsi="David" w:hint="cs"/>
          <w:rtl/>
        </w:rPr>
        <w:t>8.</w:t>
      </w:r>
      <w:r>
        <w:rPr>
          <w:rFonts w:ascii="David" w:hAnsi="David" w:hint="cs"/>
          <w:rtl/>
        </w:rPr>
        <w:tab/>
        <w:t xml:space="preserve">ההגנה </w:t>
      </w:r>
      <w:r w:rsidRPr="000643A2">
        <w:rPr>
          <w:rFonts w:ascii="David" w:hAnsi="David" w:hint="cs"/>
          <w:rtl/>
        </w:rPr>
        <w:t>הפנתה לנסיבותיו האישות של הנאשם</w:t>
      </w:r>
      <w:r>
        <w:rPr>
          <w:rFonts w:ascii="David" w:hAnsi="David" w:hint="cs"/>
          <w:rtl/>
        </w:rPr>
        <w:t xml:space="preserve">, היותו נעדר עבר פלילי, וכן </w:t>
      </w:r>
      <w:r w:rsidRPr="000643A2">
        <w:rPr>
          <w:rFonts w:ascii="David" w:hAnsi="David" w:hint="cs"/>
          <w:rtl/>
        </w:rPr>
        <w:t>לסיטואציה אליה נקלע</w:t>
      </w:r>
      <w:r>
        <w:rPr>
          <w:rFonts w:ascii="David" w:hAnsi="David" w:hint="cs"/>
          <w:rtl/>
        </w:rPr>
        <w:t xml:space="preserve">, </w:t>
      </w:r>
      <w:r w:rsidRPr="000643A2">
        <w:rPr>
          <w:rFonts w:ascii="David" w:hAnsi="David" w:hint="cs"/>
          <w:rtl/>
        </w:rPr>
        <w:t xml:space="preserve">כך </w:t>
      </w:r>
      <w:r>
        <w:rPr>
          <w:rFonts w:ascii="David" w:hAnsi="David" w:hint="cs"/>
          <w:rtl/>
        </w:rPr>
        <w:t xml:space="preserve">לדבריה, שעה </w:t>
      </w:r>
      <w:r w:rsidRPr="000643A2">
        <w:rPr>
          <w:rFonts w:ascii="David" w:hAnsi="David" w:hint="cs"/>
          <w:rtl/>
        </w:rPr>
        <w:t xml:space="preserve">שהאחריות כולה </w:t>
      </w:r>
      <w:r>
        <w:rPr>
          <w:rFonts w:ascii="David" w:hAnsi="David" w:hint="cs"/>
          <w:rtl/>
        </w:rPr>
        <w:t xml:space="preserve">מוטלת על </w:t>
      </w:r>
      <w:r w:rsidRPr="000643A2">
        <w:rPr>
          <w:rFonts w:ascii="David" w:hAnsi="David" w:hint="cs"/>
          <w:rtl/>
        </w:rPr>
        <w:t>כתפיו</w:t>
      </w:r>
      <w:r>
        <w:rPr>
          <w:rFonts w:ascii="David" w:hAnsi="David" w:hint="cs"/>
          <w:rtl/>
        </w:rPr>
        <w:t xml:space="preserve">, לאחר </w:t>
      </w:r>
      <w:r w:rsidRPr="000643A2">
        <w:rPr>
          <w:rFonts w:ascii="David" w:hAnsi="David" w:hint="cs"/>
          <w:rtl/>
        </w:rPr>
        <w:t xml:space="preserve">שאחיו </w:t>
      </w:r>
      <w:r>
        <w:rPr>
          <w:rFonts w:ascii="David" w:hAnsi="David" w:hint="cs"/>
          <w:rtl/>
        </w:rPr>
        <w:t>נמלט</w:t>
      </w:r>
      <w:r w:rsidRPr="000643A2">
        <w:rPr>
          <w:rFonts w:ascii="David" w:hAnsi="David" w:hint="cs"/>
          <w:rtl/>
        </w:rPr>
        <w:t xml:space="preserve"> מן הארץ</w:t>
      </w:r>
      <w:r>
        <w:rPr>
          <w:rFonts w:ascii="David" w:hAnsi="David" w:hint="cs"/>
          <w:rtl/>
        </w:rPr>
        <w:t xml:space="preserve">. על פיה הנאשם הינו בבחינת "בובה </w:t>
      </w:r>
      <w:r w:rsidRPr="000643A2">
        <w:rPr>
          <w:rFonts w:ascii="David" w:hAnsi="David" w:hint="cs"/>
          <w:rtl/>
        </w:rPr>
        <w:t xml:space="preserve"> על חוט</w:t>
      </w:r>
      <w:r>
        <w:rPr>
          <w:rFonts w:ascii="David" w:hAnsi="David" w:hint="cs"/>
          <w:rtl/>
        </w:rPr>
        <w:t>"</w:t>
      </w:r>
      <w:r w:rsidRPr="000643A2">
        <w:rPr>
          <w:rFonts w:ascii="David" w:hAnsi="David" w:hint="cs"/>
          <w:rtl/>
        </w:rPr>
        <w:t xml:space="preserve"> </w:t>
      </w:r>
      <w:r>
        <w:rPr>
          <w:rFonts w:ascii="David" w:hAnsi="David" w:hint="cs"/>
          <w:rtl/>
        </w:rPr>
        <w:t>ה</w:t>
      </w:r>
      <w:r w:rsidRPr="000643A2">
        <w:rPr>
          <w:rFonts w:ascii="David" w:hAnsi="David" w:hint="cs"/>
          <w:rtl/>
        </w:rPr>
        <w:t xml:space="preserve">מופעלת על ידי </w:t>
      </w:r>
      <w:r>
        <w:rPr>
          <w:rFonts w:ascii="David" w:hAnsi="David" w:hint="cs"/>
          <w:rtl/>
        </w:rPr>
        <w:t>בעליה של</w:t>
      </w:r>
      <w:r w:rsidRPr="000643A2">
        <w:rPr>
          <w:rFonts w:ascii="David" w:hAnsi="David" w:hint="cs"/>
          <w:rtl/>
        </w:rPr>
        <w:t xml:space="preserve"> הדירה. </w:t>
      </w:r>
      <w:r>
        <w:rPr>
          <w:rFonts w:ascii="David" w:hAnsi="David" w:hint="cs"/>
          <w:rtl/>
        </w:rPr>
        <w:t xml:space="preserve">הוסף, כי </w:t>
      </w:r>
      <w:r w:rsidRPr="000643A2">
        <w:rPr>
          <w:rFonts w:ascii="David" w:hAnsi="David" w:hint="cs"/>
          <w:rtl/>
        </w:rPr>
        <w:t xml:space="preserve">הנאשם </w:t>
      </w:r>
      <w:r>
        <w:rPr>
          <w:rFonts w:ascii="David" w:hAnsi="David" w:hint="cs"/>
          <w:rtl/>
        </w:rPr>
        <w:t xml:space="preserve">לא </w:t>
      </w:r>
      <w:r w:rsidRPr="000643A2">
        <w:rPr>
          <w:rFonts w:ascii="David" w:hAnsi="David" w:hint="cs"/>
          <w:rtl/>
        </w:rPr>
        <w:t xml:space="preserve">היה אמור לקבל </w:t>
      </w:r>
      <w:r>
        <w:rPr>
          <w:rFonts w:ascii="David" w:hAnsi="David" w:hint="cs"/>
          <w:rtl/>
        </w:rPr>
        <w:t>תמורה עבור העסקאות שביצע, שכן סכומי הכסף שהיו אמורים להתקבל ב</w:t>
      </w:r>
      <w:r w:rsidRPr="000643A2">
        <w:rPr>
          <w:rFonts w:ascii="David" w:hAnsi="David" w:hint="cs"/>
          <w:rtl/>
        </w:rPr>
        <w:t>עבור הס</w:t>
      </w:r>
      <w:r>
        <w:rPr>
          <w:rFonts w:ascii="David" w:hAnsi="David" w:hint="cs"/>
          <w:rtl/>
        </w:rPr>
        <w:t xml:space="preserve">ם היו אמורים להיות מופקדים </w:t>
      </w:r>
      <w:r w:rsidRPr="000643A2">
        <w:rPr>
          <w:rFonts w:ascii="David" w:hAnsi="David" w:hint="cs"/>
          <w:rtl/>
        </w:rPr>
        <w:t>בחשבו</w:t>
      </w:r>
      <w:r>
        <w:rPr>
          <w:rFonts w:ascii="David" w:hAnsi="David" w:hint="cs"/>
          <w:rtl/>
        </w:rPr>
        <w:t xml:space="preserve">ן הבנק </w:t>
      </w:r>
      <w:r w:rsidRPr="000643A2">
        <w:rPr>
          <w:rFonts w:ascii="David" w:hAnsi="David" w:hint="cs"/>
          <w:rtl/>
        </w:rPr>
        <w:t>של אחיו</w:t>
      </w:r>
      <w:r>
        <w:rPr>
          <w:rFonts w:ascii="David" w:hAnsi="David" w:hint="cs"/>
          <w:rtl/>
        </w:rPr>
        <w:t xml:space="preserve">. באשר להרשעה ציינה ההגנה כי הנאשם </w:t>
      </w:r>
      <w:r w:rsidRPr="000643A2">
        <w:rPr>
          <w:rFonts w:ascii="David" w:hAnsi="David" w:hint="cs"/>
          <w:rtl/>
        </w:rPr>
        <w:t xml:space="preserve">לומד צורפות </w:t>
      </w:r>
      <w:r>
        <w:rPr>
          <w:rFonts w:ascii="David" w:hAnsi="David" w:hint="cs"/>
          <w:rtl/>
        </w:rPr>
        <w:t xml:space="preserve">כעת </w:t>
      </w:r>
      <w:r w:rsidRPr="000643A2">
        <w:rPr>
          <w:rFonts w:ascii="David" w:hAnsi="David" w:hint="cs"/>
          <w:rtl/>
        </w:rPr>
        <w:t>והרשעה עלולה ל</w:t>
      </w:r>
      <w:r>
        <w:rPr>
          <w:rFonts w:ascii="David" w:hAnsi="David" w:hint="cs"/>
          <w:rtl/>
        </w:rPr>
        <w:t>חבל באפשרויות העסקתו</w:t>
      </w:r>
      <w:r w:rsidRPr="000643A2">
        <w:rPr>
          <w:rFonts w:ascii="David" w:hAnsi="David" w:hint="cs"/>
          <w:rtl/>
        </w:rPr>
        <w:t xml:space="preserve">. </w:t>
      </w:r>
      <w:r>
        <w:rPr>
          <w:rFonts w:ascii="David" w:hAnsi="David" w:hint="cs"/>
          <w:rtl/>
        </w:rPr>
        <w:t>לאור זאת ביקשה ל</w:t>
      </w:r>
      <w:r w:rsidRPr="000643A2">
        <w:rPr>
          <w:rFonts w:ascii="David" w:hAnsi="David" w:hint="cs"/>
          <w:rtl/>
        </w:rPr>
        <w:t>הימנע מהרשעה ול</w:t>
      </w:r>
      <w:r>
        <w:rPr>
          <w:rFonts w:ascii="David" w:hAnsi="David" w:hint="cs"/>
          <w:rtl/>
        </w:rPr>
        <w:t>אמץ את המלצות התסקיר</w:t>
      </w:r>
      <w:r w:rsidRPr="000643A2">
        <w:rPr>
          <w:rFonts w:ascii="David" w:hAnsi="David" w:hint="cs"/>
          <w:rtl/>
        </w:rPr>
        <w:t>.</w:t>
      </w:r>
    </w:p>
    <w:p w14:paraId="50AD0A80" w14:textId="77777777" w:rsidR="00987A4C" w:rsidRPr="000643A2" w:rsidRDefault="00987A4C" w:rsidP="00987A4C">
      <w:pPr>
        <w:spacing w:line="360" w:lineRule="auto"/>
        <w:ind w:right="142"/>
        <w:jc w:val="both"/>
        <w:rPr>
          <w:rFonts w:ascii="David" w:hAnsi="David"/>
          <w:b/>
          <w:bCs/>
          <w:rtl/>
        </w:rPr>
      </w:pPr>
    </w:p>
    <w:p w14:paraId="1978B428" w14:textId="77777777" w:rsidR="00987A4C" w:rsidRDefault="00987A4C" w:rsidP="00987A4C">
      <w:pPr>
        <w:spacing w:line="360" w:lineRule="auto"/>
        <w:ind w:right="142"/>
        <w:jc w:val="both"/>
        <w:rPr>
          <w:rFonts w:ascii="David" w:hAnsi="David"/>
          <w:b/>
          <w:bCs/>
          <w:rtl/>
        </w:rPr>
      </w:pPr>
      <w:r w:rsidRPr="000643A2">
        <w:rPr>
          <w:rFonts w:ascii="David" w:hAnsi="David" w:hint="cs"/>
          <w:b/>
          <w:bCs/>
          <w:rtl/>
        </w:rPr>
        <w:t>דיון: סוגיית אי הרשעה:</w:t>
      </w:r>
    </w:p>
    <w:p w14:paraId="46A42C56" w14:textId="77777777" w:rsidR="00987A4C" w:rsidRDefault="00987A4C" w:rsidP="00987A4C">
      <w:pPr>
        <w:spacing w:line="360" w:lineRule="auto"/>
        <w:ind w:right="142"/>
        <w:jc w:val="both"/>
        <w:rPr>
          <w:rFonts w:ascii="David" w:hAnsi="David"/>
          <w:b/>
          <w:bCs/>
          <w:rtl/>
        </w:rPr>
      </w:pPr>
    </w:p>
    <w:p w14:paraId="2345B5DD" w14:textId="77777777" w:rsidR="00987A4C" w:rsidRDefault="00987A4C" w:rsidP="00987A4C">
      <w:pPr>
        <w:spacing w:line="360" w:lineRule="auto"/>
        <w:ind w:left="720" w:right="142" w:hanging="720"/>
        <w:jc w:val="both"/>
        <w:rPr>
          <w:rFonts w:ascii="David" w:hAnsi="David"/>
          <w:rtl/>
        </w:rPr>
      </w:pPr>
      <w:r>
        <w:rPr>
          <w:rFonts w:ascii="David" w:hAnsi="David" w:hint="cs"/>
          <w:rtl/>
        </w:rPr>
        <w:t>9</w:t>
      </w:r>
      <w:r w:rsidRPr="009B126B">
        <w:rPr>
          <w:rFonts w:ascii="David" w:hAnsi="David" w:hint="cs"/>
          <w:rtl/>
        </w:rPr>
        <w:t>.</w:t>
      </w:r>
      <w:r w:rsidRPr="009B126B">
        <w:rPr>
          <w:rFonts w:ascii="David" w:hAnsi="David" w:hint="cs"/>
          <w:rtl/>
        </w:rPr>
        <w:tab/>
        <w:t xml:space="preserve">כלל </w:t>
      </w:r>
      <w:r>
        <w:rPr>
          <w:rFonts w:ascii="David" w:hAnsi="David" w:hint="cs"/>
          <w:rtl/>
        </w:rPr>
        <w:t xml:space="preserve">ידוע </w:t>
      </w:r>
      <w:r w:rsidRPr="009B126B">
        <w:rPr>
          <w:rFonts w:ascii="David" w:hAnsi="David" w:hint="cs"/>
          <w:rtl/>
        </w:rPr>
        <w:t>במשפט הפלילי קובע כי נאשם שהוכחה אשמתו ונקבע כי ביצע עבירה, יורשע בדין ויישא</w:t>
      </w:r>
      <w:r w:rsidRPr="000643A2">
        <w:rPr>
          <w:rFonts w:ascii="David" w:hAnsi="David" w:hint="cs"/>
          <w:rtl/>
        </w:rPr>
        <w:t xml:space="preserve"> בעונשו. הימנעות מהרשעה, הינה חריג לכלל זה, והשימוש בו נעשה במשורה בהתאם לכללים שהתוו בפסיקת בית המשפט העליון. נפסק, כי ניתן להגיע בגזר דין לתוצאה של אי הרשעה </w:t>
      </w:r>
      <w:r w:rsidRPr="00987A4C">
        <w:rPr>
          <w:rtl/>
        </w:rPr>
        <w:t>"רק בנסיבות יוצאות דופן, בהן אין יחס סביר בין הנזק הצפוי מן ההרשעה בדין לחומרתה של העבירה</w:t>
      </w:r>
      <w:r w:rsidRPr="000643A2">
        <w:rPr>
          <w:rFonts w:ascii="David" w:hAnsi="David" w:hint="cs"/>
          <w:rtl/>
        </w:rPr>
        <w:t xml:space="preserve">" </w:t>
      </w:r>
      <w:r w:rsidRPr="00987A4C">
        <w:rPr>
          <w:rtl/>
        </w:rPr>
        <w:t>(</w:t>
      </w:r>
      <w:hyperlink r:id="rId25" w:history="1">
        <w:r w:rsidR="00B3264F" w:rsidRPr="00B3264F">
          <w:rPr>
            <w:color w:val="0000FF"/>
            <w:u w:val="single"/>
            <w:rtl/>
          </w:rPr>
          <w:t>ר"ע 432/85</w:t>
        </w:r>
      </w:hyperlink>
      <w:r w:rsidRPr="00987A4C">
        <w:rPr>
          <w:rtl/>
        </w:rPr>
        <w:t xml:space="preserve"> גדעון רומנו נגד מדינת ישראל (מיום 21.8.85)</w:t>
      </w:r>
      <w:r w:rsidRPr="000643A2">
        <w:rPr>
          <w:rFonts w:ascii="David" w:hAnsi="David" w:hint="cs"/>
          <w:rtl/>
        </w:rPr>
        <w:t>).</w:t>
      </w:r>
      <w:r w:rsidRPr="00987A4C">
        <w:rPr>
          <w:rtl/>
        </w:rPr>
        <w:t xml:space="preserve"> בפסק הדין המנחה בעניין זה: </w:t>
      </w:r>
      <w:hyperlink r:id="rId26" w:history="1">
        <w:r w:rsidR="00B3264F" w:rsidRPr="00B3264F">
          <w:rPr>
            <w:color w:val="0000FF"/>
            <w:u w:val="single"/>
            <w:rtl/>
          </w:rPr>
          <w:t>ע"פ 2083/96 כתב נ' מדינת ישראל, פ"ד נב</w:t>
        </w:r>
      </w:hyperlink>
      <w:r w:rsidRPr="00987A4C">
        <w:rPr>
          <w:rtl/>
        </w:rPr>
        <w:t xml:space="preserve"> (3)</w:t>
      </w:r>
      <w:r w:rsidRPr="000643A2">
        <w:rPr>
          <w:rFonts w:ascii="David" w:hAnsi="David" w:hint="cs"/>
          <w:rtl/>
        </w:rPr>
        <w:t>337, נקבעו שני תנאים מצטברים, המאפשרים להימנע מהרשעה ביחס לנאשם שנקבע לגביו כי ביצע עבירה. "</w:t>
      </w:r>
      <w:r w:rsidRPr="00987A4C">
        <w:rPr>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p>
    <w:p w14:paraId="445E91DD" w14:textId="77777777" w:rsidR="00987A4C" w:rsidRDefault="00987A4C" w:rsidP="00987A4C">
      <w:pPr>
        <w:spacing w:line="360" w:lineRule="auto"/>
        <w:ind w:left="360" w:right="142" w:hanging="360"/>
        <w:jc w:val="both"/>
        <w:rPr>
          <w:rFonts w:ascii="David" w:hAnsi="David"/>
          <w:rtl/>
        </w:rPr>
      </w:pPr>
    </w:p>
    <w:p w14:paraId="7B0E960F" w14:textId="77777777" w:rsidR="00987A4C" w:rsidRDefault="00987A4C" w:rsidP="00987A4C">
      <w:pPr>
        <w:spacing w:line="360" w:lineRule="auto"/>
        <w:ind w:left="720" w:right="142" w:hanging="720"/>
        <w:jc w:val="both"/>
        <w:rPr>
          <w:rFonts w:ascii="David" w:hAnsi="David"/>
          <w:rtl/>
        </w:rPr>
      </w:pPr>
      <w:r>
        <w:rPr>
          <w:rFonts w:ascii="David" w:hAnsi="David" w:hint="cs"/>
          <w:rtl/>
        </w:rPr>
        <w:t>10.</w:t>
      </w:r>
      <w:r>
        <w:rPr>
          <w:rFonts w:ascii="David" w:hAnsi="David" w:hint="cs"/>
          <w:rtl/>
        </w:rPr>
        <w:tab/>
        <w:t>כ</w:t>
      </w:r>
      <w:r w:rsidRPr="000643A2">
        <w:rPr>
          <w:rFonts w:ascii="David" w:hAnsi="David" w:hint="cs"/>
          <w:rtl/>
        </w:rPr>
        <w:t xml:space="preserve">פי שיפורט להלן, מקרה זה </w:t>
      </w:r>
      <w:r>
        <w:rPr>
          <w:rFonts w:ascii="David" w:hAnsi="David" w:hint="cs"/>
          <w:rtl/>
        </w:rPr>
        <w:t xml:space="preserve">אינו מהווה </w:t>
      </w:r>
      <w:r w:rsidRPr="000643A2">
        <w:rPr>
          <w:rFonts w:ascii="David" w:hAnsi="David" w:hint="cs"/>
          <w:rtl/>
        </w:rPr>
        <w:t xml:space="preserve">חריג לכלל </w:t>
      </w:r>
      <w:r>
        <w:rPr>
          <w:rFonts w:ascii="David" w:hAnsi="David" w:hint="cs"/>
          <w:rtl/>
        </w:rPr>
        <w:t>זה.</w:t>
      </w:r>
      <w:r w:rsidRPr="000643A2">
        <w:rPr>
          <w:rFonts w:ascii="David" w:hAnsi="David" w:hint="cs"/>
          <w:rtl/>
        </w:rPr>
        <w:t xml:space="preserve"> ראשית, </w:t>
      </w:r>
      <w:r>
        <w:rPr>
          <w:rFonts w:ascii="David" w:hAnsi="David" w:hint="cs"/>
          <w:rtl/>
        </w:rPr>
        <w:t>ה</w:t>
      </w:r>
      <w:r w:rsidRPr="000643A2">
        <w:rPr>
          <w:rFonts w:ascii="David" w:hAnsi="David" w:hint="cs"/>
          <w:rtl/>
        </w:rPr>
        <w:t xml:space="preserve">עבירות </w:t>
      </w:r>
      <w:r>
        <w:rPr>
          <w:rFonts w:ascii="David" w:hAnsi="David" w:hint="cs"/>
          <w:rtl/>
        </w:rPr>
        <w:t xml:space="preserve">אותן ביצע הנאשם הינן עבירות חמורות שפגיעתן בציבור הינה קשה. </w:t>
      </w:r>
      <w:r w:rsidRPr="000643A2">
        <w:rPr>
          <w:rFonts w:ascii="David" w:hAnsi="David" w:hint="cs"/>
          <w:rtl/>
        </w:rPr>
        <w:t>בשל השכיחות בה נעשה בה</w:t>
      </w:r>
      <w:r>
        <w:rPr>
          <w:rFonts w:ascii="David" w:hAnsi="David" w:hint="cs"/>
          <w:rtl/>
        </w:rPr>
        <w:t>ם</w:t>
      </w:r>
      <w:r w:rsidRPr="000643A2">
        <w:rPr>
          <w:rFonts w:ascii="David" w:hAnsi="David" w:hint="cs"/>
          <w:rtl/>
        </w:rPr>
        <w:t xml:space="preserve"> שימוש, קראו בתי המשפט להחמיר בענישה כנגד מגדלי הסמים והסוחרים בהם</w:t>
      </w:r>
      <w:r>
        <w:rPr>
          <w:rFonts w:ascii="David" w:hAnsi="David" w:hint="cs"/>
          <w:rtl/>
        </w:rPr>
        <w:t>.</w:t>
      </w:r>
    </w:p>
    <w:p w14:paraId="799FC84A" w14:textId="77777777" w:rsidR="00987A4C" w:rsidRDefault="00987A4C" w:rsidP="00987A4C">
      <w:pPr>
        <w:spacing w:line="360" w:lineRule="auto"/>
        <w:ind w:left="720" w:right="142"/>
        <w:jc w:val="both"/>
        <w:rPr>
          <w:rFonts w:ascii="David" w:hAnsi="David"/>
        </w:rPr>
      </w:pPr>
      <w:r w:rsidRPr="00987A4C">
        <w:rPr>
          <w:rFonts w:cs="Times New Roman" w:hint="cs"/>
          <w:rtl/>
        </w:rPr>
        <w:t>(ר</w:t>
      </w:r>
      <w:r w:rsidRPr="00987A4C">
        <w:rPr>
          <w:rFonts w:cs="Times New Roman"/>
          <w:rtl/>
        </w:rPr>
        <w:t>או לדוגמה:</w:t>
      </w:r>
      <w:r w:rsidRPr="00987A4C">
        <w:rPr>
          <w:rFonts w:cs="Times New Roman" w:hint="cs"/>
          <w:rtl/>
        </w:rPr>
        <w:t xml:space="preserve"> </w:t>
      </w:r>
      <w:hyperlink r:id="rId27" w:history="1">
        <w:r w:rsidR="00B3264F" w:rsidRPr="00B3264F">
          <w:rPr>
            <w:rFonts w:cs="Times New Roman"/>
            <w:color w:val="0000FF"/>
            <w:u w:val="single"/>
            <w:rtl/>
          </w:rPr>
          <w:t>ע"פ 41827-08-10</w:t>
        </w:r>
      </w:hyperlink>
      <w:r w:rsidR="00B3264F">
        <w:rPr>
          <w:rFonts w:cs="Times New Roman"/>
          <w:color w:val="000000"/>
          <w:shd w:val="clear" w:color="auto" w:fill="FFFFFF"/>
        </w:rPr>
        <w:t xml:space="preserve"> </w:t>
      </w:r>
      <w:r w:rsidRPr="00987A4C">
        <w:rPr>
          <w:rFonts w:cs="Times New Roman"/>
          <w:color w:val="000000"/>
          <w:shd w:val="clear" w:color="auto" w:fill="FFFFFF"/>
          <w:rtl/>
        </w:rPr>
        <w:t>פרידמן נ' מדינת ישראל</w:t>
      </w:r>
      <w:r w:rsidRPr="00987A4C">
        <w:rPr>
          <w:rFonts w:cs="Times New Roman" w:hint="cs"/>
          <w:color w:val="000000"/>
          <w:shd w:val="clear" w:color="auto" w:fill="FFFFFF"/>
          <w:rtl/>
        </w:rPr>
        <w:t xml:space="preserve">, ע"פ 42358-10-14, </w:t>
      </w:r>
      <w:r w:rsidRPr="00987A4C">
        <w:rPr>
          <w:rFonts w:cs="Times New Roman"/>
          <w:color w:val="000000"/>
          <w:shd w:val="clear" w:color="auto" w:fill="FFFFFF"/>
          <w:rtl/>
        </w:rPr>
        <w:t xml:space="preserve">גיא נ' מדינת ישראל, </w:t>
      </w:r>
      <w:hyperlink r:id="rId28" w:history="1">
        <w:r w:rsidR="00B3264F" w:rsidRPr="00B3264F">
          <w:rPr>
            <w:rFonts w:cs="Times New Roman"/>
            <w:color w:val="0000FF"/>
            <w:u w:val="single"/>
            <w:shd w:val="clear" w:color="auto" w:fill="FFFFFF"/>
            <w:rtl/>
          </w:rPr>
          <w:t>ע"פ 6373/06</w:t>
        </w:r>
      </w:hyperlink>
      <w:r w:rsidRPr="00987A4C">
        <w:rPr>
          <w:rFonts w:cs="Times New Roman" w:hint="cs"/>
          <w:color w:val="000000"/>
          <w:shd w:val="clear" w:color="auto" w:fill="FFFFFF"/>
          <w:rtl/>
        </w:rPr>
        <w:t>,</w:t>
      </w:r>
      <w:r w:rsidRPr="00987A4C">
        <w:rPr>
          <w:rFonts w:cs="Times New Roman"/>
          <w:color w:val="000000"/>
          <w:shd w:val="clear" w:color="auto" w:fill="FFFFFF"/>
        </w:rPr>
        <w:t xml:space="preserve"> </w:t>
      </w:r>
      <w:r w:rsidRPr="00987A4C">
        <w:rPr>
          <w:rFonts w:cs="Times New Roman"/>
          <w:color w:val="000000"/>
          <w:shd w:val="clear" w:color="auto" w:fill="FFFFFF"/>
          <w:rtl/>
        </w:rPr>
        <w:t>מדינת ישראל נ' עווד אלנשמי</w:t>
      </w:r>
      <w:r w:rsidRPr="00987A4C">
        <w:rPr>
          <w:rFonts w:cs="Times New Roman" w:hint="cs"/>
          <w:rtl/>
        </w:rPr>
        <w:t xml:space="preserve">). </w:t>
      </w:r>
      <w:r w:rsidRPr="00987A4C">
        <w:rPr>
          <w:rFonts w:hint="cs"/>
          <w:rtl/>
        </w:rPr>
        <w:t xml:space="preserve">שנית, </w:t>
      </w:r>
      <w:r>
        <w:rPr>
          <w:rFonts w:ascii="David" w:hAnsi="David" w:hint="cs"/>
          <w:rtl/>
        </w:rPr>
        <w:t xml:space="preserve">אין המדובר באירוע חד פעמי או מינורי בנסיבותיו. אופיו של האירוע מצביע על תכנון מוקדם, </w:t>
      </w:r>
      <w:r w:rsidRPr="000643A2">
        <w:rPr>
          <w:rFonts w:ascii="David" w:hAnsi="David" w:hint="cs"/>
          <w:rtl/>
        </w:rPr>
        <w:t>גידול</w:t>
      </w:r>
      <w:r>
        <w:rPr>
          <w:rFonts w:ascii="David" w:hAnsi="David" w:hint="cs"/>
          <w:rtl/>
        </w:rPr>
        <w:t xml:space="preserve"> </w:t>
      </w:r>
      <w:r w:rsidRPr="000643A2">
        <w:rPr>
          <w:rFonts w:ascii="David" w:hAnsi="David" w:hint="cs"/>
          <w:rtl/>
        </w:rPr>
        <w:t xml:space="preserve">סם </w:t>
      </w:r>
      <w:r>
        <w:rPr>
          <w:rFonts w:ascii="David" w:hAnsi="David" w:hint="cs"/>
          <w:rtl/>
        </w:rPr>
        <w:t>בכמות גדולה,   תוך שימוש בציוד מתאים. נוסף לכך, ובהתאם להלכה י</w:t>
      </w:r>
      <w:r w:rsidRPr="000643A2">
        <w:rPr>
          <w:rFonts w:ascii="David" w:hAnsi="David" w:hint="cs"/>
          <w:rtl/>
        </w:rPr>
        <w:t>ש להצביע על נזק מוחשי וקונקרטי</w:t>
      </w:r>
      <w:r>
        <w:rPr>
          <w:rFonts w:ascii="David" w:hAnsi="David" w:hint="cs"/>
          <w:rtl/>
        </w:rPr>
        <w:t>,</w:t>
      </w:r>
      <w:r w:rsidRPr="000643A2">
        <w:rPr>
          <w:rFonts w:ascii="David" w:hAnsi="David" w:hint="cs"/>
          <w:rtl/>
        </w:rPr>
        <w:t xml:space="preserve"> כזה שיש בו לפגוע פגיעה קשה בשיקומו של הנאשם. תנאי זה, מתיישב עם אופיו המצומצם של החריג שעניינו הימנעות מהרשעה, אשר נועד לחול במקרים בהם קיימים טעמים כבדי משקל הנוגעים לשיקומו של הנאשם. </w:t>
      </w:r>
      <w:r>
        <w:rPr>
          <w:rFonts w:ascii="David" w:hAnsi="David" w:hint="cs"/>
          <w:rtl/>
        </w:rPr>
        <w:t xml:space="preserve"> עמדתי כי אין בטיעוני ההגנה כפי שהובאו בפניי, או בעמדת שרות המבחן כדי למלא תוכן אחר תנאי זה. </w:t>
      </w:r>
    </w:p>
    <w:p w14:paraId="01D3AF0E" w14:textId="77777777" w:rsidR="00987A4C" w:rsidRDefault="00987A4C" w:rsidP="00987A4C">
      <w:pPr>
        <w:spacing w:line="360" w:lineRule="auto"/>
        <w:ind w:left="720" w:right="142"/>
        <w:jc w:val="both"/>
        <w:rPr>
          <w:rFonts w:ascii="David" w:hAnsi="David"/>
          <w:rtl/>
        </w:rPr>
      </w:pPr>
      <w:r w:rsidRPr="00BD3CD8">
        <w:rPr>
          <w:rFonts w:ascii="David" w:hAnsi="David" w:hint="cs"/>
          <w:rtl/>
        </w:rPr>
        <w:t>{</w:t>
      </w:r>
      <w:r w:rsidRPr="00987A4C">
        <w:rPr>
          <w:rtl/>
        </w:rPr>
        <w:t>ראו: רע"פ 14\2180 שמואלי נגד מדינת ישראל{מיום 26.4.14}, רע"פ 13\1439 קשת נגד מדינת ישראל {מיום 4.3.13}, רע"פ 12\9118 אלכסנדר פריגין נגד מדינת ישראל {מיום 1.1.13}</w:t>
      </w:r>
      <w:r>
        <w:rPr>
          <w:rFonts w:ascii="David" w:hAnsi="David" w:hint="cs"/>
          <w:rtl/>
        </w:rPr>
        <w:t>. לכך יש להוסיף את העובדה, כי עמדת שרות המבחן בעניין זה חדה בעניין זה.</w:t>
      </w:r>
    </w:p>
    <w:p w14:paraId="30EF5C6A" w14:textId="77777777" w:rsidR="00987A4C" w:rsidRDefault="00987A4C" w:rsidP="00987A4C">
      <w:pPr>
        <w:spacing w:line="360" w:lineRule="auto"/>
        <w:ind w:left="360" w:right="142"/>
        <w:jc w:val="both"/>
        <w:rPr>
          <w:rFonts w:ascii="David" w:hAnsi="David"/>
          <w:rtl/>
        </w:rPr>
      </w:pPr>
    </w:p>
    <w:p w14:paraId="69B92E6B" w14:textId="77777777" w:rsidR="00987A4C" w:rsidRDefault="00987A4C" w:rsidP="00987A4C">
      <w:pPr>
        <w:spacing w:line="360" w:lineRule="auto"/>
        <w:ind w:left="720" w:right="142" w:hanging="720"/>
        <w:jc w:val="both"/>
        <w:rPr>
          <w:rFonts w:ascii="David" w:hAnsi="David"/>
          <w:rtl/>
        </w:rPr>
      </w:pPr>
      <w:r>
        <w:rPr>
          <w:rFonts w:ascii="David" w:hAnsi="David" w:hint="cs"/>
          <w:rtl/>
        </w:rPr>
        <w:t>11.</w:t>
      </w:r>
      <w:r>
        <w:rPr>
          <w:rFonts w:ascii="David" w:hAnsi="David" w:hint="cs"/>
          <w:rtl/>
        </w:rPr>
        <w:tab/>
        <w:t xml:space="preserve">אוסיף, כי </w:t>
      </w:r>
      <w:r w:rsidRPr="000643A2">
        <w:rPr>
          <w:rFonts w:ascii="David" w:hAnsi="David" w:hint="cs"/>
          <w:rtl/>
        </w:rPr>
        <w:t xml:space="preserve">בחינת הפסיקה שהובאה על ידי </w:t>
      </w:r>
      <w:r>
        <w:rPr>
          <w:rFonts w:ascii="David" w:hAnsi="David" w:hint="cs"/>
          <w:rtl/>
        </w:rPr>
        <w:t>ההגנה מלמדת כי באותם מקרים בהם נ</w:t>
      </w:r>
      <w:r w:rsidRPr="000643A2">
        <w:rPr>
          <w:rFonts w:ascii="David" w:hAnsi="David" w:hint="cs"/>
          <w:rtl/>
        </w:rPr>
        <w:t xml:space="preserve">מנעו </w:t>
      </w:r>
      <w:r>
        <w:rPr>
          <w:rFonts w:ascii="David" w:hAnsi="David" w:hint="cs"/>
          <w:rtl/>
        </w:rPr>
        <w:t xml:space="preserve">בתי המשפט </w:t>
      </w:r>
      <w:r w:rsidRPr="000643A2">
        <w:rPr>
          <w:rFonts w:ascii="David" w:hAnsi="David" w:hint="cs"/>
          <w:rtl/>
        </w:rPr>
        <w:t>מהרש</w:t>
      </w:r>
      <w:r>
        <w:rPr>
          <w:rFonts w:ascii="David" w:hAnsi="David" w:hint="cs"/>
          <w:rtl/>
        </w:rPr>
        <w:t>ע</w:t>
      </w:r>
      <w:r w:rsidRPr="000643A2">
        <w:rPr>
          <w:rFonts w:ascii="David" w:hAnsi="David" w:hint="cs"/>
          <w:rtl/>
        </w:rPr>
        <w:t>ה</w:t>
      </w:r>
      <w:r>
        <w:rPr>
          <w:rFonts w:ascii="David" w:hAnsi="David" w:hint="cs"/>
          <w:rtl/>
        </w:rPr>
        <w:t>, נסיבות האירוע היו שונות, חלקן בנסיבות בהן גידול הסם נעשה לשימוש עצמי, שלא כבענייננו. בעניין זה האחרון, כבר נקבע כי מקום בו נאשם סוחר בכמויות גדולות וברור כי גידול הסם נעשה לשם "בצע כסף" והפצתו בציבור מתחם הענישה גדל. קביעה זו הינה רלבנטית גם באשר לסוגיה שבפנינו.</w:t>
      </w:r>
    </w:p>
    <w:p w14:paraId="00369C89" w14:textId="77777777" w:rsidR="00987A4C" w:rsidRDefault="00987A4C" w:rsidP="00987A4C">
      <w:pPr>
        <w:spacing w:line="360" w:lineRule="auto"/>
        <w:ind w:right="142" w:firstLine="720"/>
        <w:jc w:val="both"/>
        <w:rPr>
          <w:rFonts w:ascii="David" w:hAnsi="David"/>
          <w:rtl/>
        </w:rPr>
      </w:pPr>
      <w:r>
        <w:rPr>
          <w:rFonts w:ascii="David" w:hAnsi="David" w:hint="cs"/>
          <w:rtl/>
        </w:rPr>
        <w:t xml:space="preserve">(ראו: </w:t>
      </w:r>
      <w:hyperlink r:id="rId29" w:history="1">
        <w:r w:rsidR="00B3264F" w:rsidRPr="00B3264F">
          <w:rPr>
            <w:rFonts w:ascii="David" w:hAnsi="David"/>
            <w:color w:val="0000FF"/>
            <w:u w:val="single"/>
            <w:rtl/>
          </w:rPr>
          <w:t>רע"פ 1787/15</w:t>
        </w:r>
      </w:hyperlink>
      <w:r>
        <w:rPr>
          <w:rFonts w:ascii="David" w:hAnsi="David" w:hint="cs"/>
          <w:rtl/>
        </w:rPr>
        <w:t xml:space="preserve"> אדי עמר נגד מדינת ישראל ). </w:t>
      </w:r>
    </w:p>
    <w:p w14:paraId="4A1FE931" w14:textId="77777777" w:rsidR="00987A4C" w:rsidRDefault="00987A4C" w:rsidP="00987A4C">
      <w:pPr>
        <w:spacing w:line="360" w:lineRule="auto"/>
        <w:ind w:right="142" w:firstLine="360"/>
        <w:jc w:val="both"/>
        <w:rPr>
          <w:rFonts w:ascii="David" w:hAnsi="David"/>
          <w:rtl/>
        </w:rPr>
      </w:pPr>
    </w:p>
    <w:p w14:paraId="4541EA33" w14:textId="77777777" w:rsidR="00987A4C" w:rsidRPr="003F318D" w:rsidRDefault="00987A4C" w:rsidP="00987A4C">
      <w:pPr>
        <w:spacing w:line="360" w:lineRule="auto"/>
        <w:ind w:left="720" w:right="142" w:hanging="720"/>
        <w:jc w:val="both"/>
        <w:rPr>
          <w:rFonts w:ascii="David" w:hAnsi="David"/>
        </w:rPr>
      </w:pPr>
      <w:r>
        <w:rPr>
          <w:rFonts w:ascii="David" w:hAnsi="David" w:hint="cs"/>
          <w:rtl/>
        </w:rPr>
        <w:t>12.</w:t>
      </w:r>
      <w:r>
        <w:rPr>
          <w:rFonts w:ascii="David" w:hAnsi="David"/>
          <w:rtl/>
        </w:rPr>
        <w:tab/>
      </w:r>
      <w:r w:rsidRPr="003F318D">
        <w:rPr>
          <w:rFonts w:ascii="David" w:hAnsi="David" w:hint="cs"/>
          <w:rtl/>
        </w:rPr>
        <w:t>מן האמור עולה כי במקרה זה ניתן לקבוע כי לא תהא בהרשעה כדי לפגוע פגיעה חמורה בשיקומו של הנאשם, ואין זה אחד מאותם מקרים מיוחדים הראויים להימנות בין היוצאים מן הכלל אשר בהם תימנע ההרשעה.</w:t>
      </w:r>
    </w:p>
    <w:p w14:paraId="0CC26FE3" w14:textId="77777777" w:rsidR="00987A4C" w:rsidRDefault="00987A4C" w:rsidP="00987A4C">
      <w:pPr>
        <w:spacing w:line="360" w:lineRule="auto"/>
        <w:ind w:right="142"/>
        <w:jc w:val="both"/>
        <w:rPr>
          <w:rFonts w:ascii="David" w:hAnsi="David"/>
          <w:b/>
          <w:bCs/>
          <w:u w:val="single"/>
          <w:rtl/>
        </w:rPr>
      </w:pPr>
    </w:p>
    <w:p w14:paraId="1A4B0446" w14:textId="77777777" w:rsidR="00987A4C" w:rsidRDefault="00987A4C" w:rsidP="00987A4C">
      <w:pPr>
        <w:spacing w:line="360" w:lineRule="auto"/>
        <w:ind w:right="142"/>
        <w:jc w:val="both"/>
        <w:rPr>
          <w:rFonts w:ascii="David" w:hAnsi="David"/>
          <w:b/>
          <w:bCs/>
          <w:u w:val="single"/>
          <w:rtl/>
        </w:rPr>
      </w:pPr>
      <w:r w:rsidRPr="000643A2">
        <w:rPr>
          <w:rFonts w:ascii="David" w:hAnsi="David" w:hint="cs"/>
          <w:b/>
          <w:bCs/>
          <w:u w:val="single"/>
          <w:rtl/>
        </w:rPr>
        <w:t>מתחם העונש ההולם:</w:t>
      </w:r>
    </w:p>
    <w:p w14:paraId="4AEFBCBB" w14:textId="77777777" w:rsidR="00987A4C" w:rsidRDefault="00987A4C" w:rsidP="00987A4C">
      <w:pPr>
        <w:spacing w:line="360" w:lineRule="auto"/>
        <w:ind w:right="142"/>
        <w:jc w:val="both"/>
        <w:rPr>
          <w:rFonts w:ascii="David" w:hAnsi="David"/>
          <w:b/>
          <w:bCs/>
          <w:u w:val="single"/>
          <w:rtl/>
        </w:rPr>
      </w:pPr>
    </w:p>
    <w:p w14:paraId="6A2840D3" w14:textId="77777777" w:rsidR="00987A4C" w:rsidRDefault="00987A4C" w:rsidP="00987A4C">
      <w:pPr>
        <w:spacing w:line="360" w:lineRule="auto"/>
        <w:ind w:left="720" w:right="142" w:hanging="720"/>
        <w:jc w:val="both"/>
        <w:rPr>
          <w:rtl/>
        </w:rPr>
      </w:pPr>
      <w:r>
        <w:rPr>
          <w:rFonts w:ascii="David" w:hAnsi="David" w:hint="cs"/>
          <w:rtl/>
        </w:rPr>
        <w:t>13</w:t>
      </w:r>
      <w:r w:rsidRPr="00E34BB2">
        <w:rPr>
          <w:rFonts w:ascii="David" w:hAnsi="David" w:hint="cs"/>
          <w:rtl/>
        </w:rPr>
        <w:t>.</w:t>
      </w:r>
      <w:r>
        <w:rPr>
          <w:rFonts w:ascii="David" w:hAnsi="David"/>
          <w:rtl/>
        </w:rPr>
        <w:tab/>
      </w:r>
      <w:r w:rsidRPr="005B4230">
        <w:rPr>
          <w:rFonts w:ascii="David" w:hAnsi="David"/>
          <w:rtl/>
        </w:rPr>
        <w:t>הערך החברתי אשר נפגע בעביר</w:t>
      </w:r>
      <w:r>
        <w:rPr>
          <w:rFonts w:ascii="David" w:hAnsi="David" w:hint="cs"/>
          <w:rtl/>
        </w:rPr>
        <w:t>ו</w:t>
      </w:r>
      <w:r w:rsidRPr="005B4230">
        <w:rPr>
          <w:rFonts w:ascii="David" w:hAnsi="David"/>
          <w:rtl/>
        </w:rPr>
        <w:t xml:space="preserve">ת סמים הינו </w:t>
      </w:r>
      <w:r>
        <w:rPr>
          <w:rFonts w:ascii="David" w:hAnsi="David" w:hint="cs"/>
          <w:rtl/>
        </w:rPr>
        <w:t>ה</w:t>
      </w:r>
      <w:r w:rsidRPr="005B4230">
        <w:rPr>
          <w:rFonts w:ascii="David" w:hAnsi="David"/>
          <w:rtl/>
        </w:rPr>
        <w:t>הגנה על הציבור מפני הנזקים החברתיים הישירים והעקיפים אשר נגרמים כתוצאה מסמים מסוכנים</w:t>
      </w:r>
      <w:r>
        <w:rPr>
          <w:rFonts w:ascii="David" w:hAnsi="David" w:hint="cs"/>
          <w:rtl/>
        </w:rPr>
        <w:t xml:space="preserve">. </w:t>
      </w:r>
      <w:r>
        <w:rPr>
          <w:rFonts w:hint="cs"/>
          <w:rtl/>
        </w:rPr>
        <w:t>ה</w:t>
      </w:r>
      <w:r>
        <w:rPr>
          <w:rtl/>
        </w:rPr>
        <w:t>פסיקה מתייחסת בחומרה מיוחדת לעבירות של סחר, גידול והפצת סמים</w:t>
      </w:r>
      <w:r>
        <w:rPr>
          <w:rFonts w:hint="cs"/>
          <w:rtl/>
        </w:rPr>
        <w:t>. בשל</w:t>
      </w:r>
      <w:r>
        <w:rPr>
          <w:rtl/>
        </w:rPr>
        <w:t xml:space="preserve"> הנזק הישיר שאלה גורמים לחברה, חזרו בתי המשפט והדגישו את הצורך כי העונש שייגזר יעביר מסר חד משמעי של הרתעה לעבריינים פוטנציאליים וישמש אות אזהרה לכל מי שמתכוון לקחת חלק במערכת הפצת הסם</w:t>
      </w:r>
      <w:r>
        <w:rPr>
          <w:rFonts w:hint="cs"/>
          <w:rtl/>
        </w:rPr>
        <w:t>.</w:t>
      </w:r>
    </w:p>
    <w:p w14:paraId="254BD843" w14:textId="77777777" w:rsidR="00987A4C" w:rsidRDefault="00987A4C" w:rsidP="00987A4C">
      <w:pPr>
        <w:spacing w:line="360" w:lineRule="auto"/>
        <w:ind w:left="720" w:right="142" w:hanging="720"/>
        <w:jc w:val="both"/>
        <w:rPr>
          <w:rtl/>
        </w:rPr>
      </w:pPr>
    </w:p>
    <w:p w14:paraId="69B4549C" w14:textId="77777777" w:rsidR="00987A4C" w:rsidRPr="00987A4C" w:rsidRDefault="00987A4C" w:rsidP="00987A4C">
      <w:pPr>
        <w:spacing w:line="360" w:lineRule="auto"/>
        <w:ind w:left="720" w:right="142"/>
        <w:jc w:val="both"/>
        <w:rPr>
          <w:rFonts w:cs="Times New Roman"/>
          <w:rtl/>
        </w:rPr>
      </w:pPr>
      <w:r w:rsidRPr="00987A4C">
        <w:rPr>
          <w:rFonts w:cs="Times New Roman"/>
          <w:rtl/>
        </w:rPr>
        <w:t xml:space="preserve">{ראו: </w:t>
      </w:r>
      <w:hyperlink r:id="rId30" w:history="1">
        <w:r w:rsidR="00B3264F" w:rsidRPr="00B3264F">
          <w:rPr>
            <w:rFonts w:cs="Times New Roman"/>
            <w:color w:val="0000FF"/>
            <w:u w:val="single"/>
            <w:rtl/>
          </w:rPr>
          <w:t>רע"פ 314/16</w:t>
        </w:r>
      </w:hyperlink>
      <w:r w:rsidRPr="00987A4C">
        <w:rPr>
          <w:rFonts w:cs="Times New Roman"/>
          <w:rtl/>
        </w:rPr>
        <w:t xml:space="preserve">  בן צבי נ' מדינת ישראל (פורסם בנבו, 22.2.16) </w:t>
      </w:r>
      <w:hyperlink r:id="rId31" w:history="1">
        <w:r w:rsidR="00B3264F" w:rsidRPr="00B3264F">
          <w:rPr>
            <w:rFonts w:cs="Times New Roman"/>
            <w:color w:val="0000FF"/>
            <w:u w:val="single"/>
            <w:rtl/>
          </w:rPr>
          <w:t>רע"פ 8237/15</w:t>
        </w:r>
      </w:hyperlink>
      <w:r w:rsidRPr="00987A4C">
        <w:rPr>
          <w:rFonts w:cs="Times New Roman"/>
          <w:rtl/>
        </w:rPr>
        <w:t xml:space="preserve">  בן זקן נ' מדינת ישראל (פורסם בנבו, 2.12.15), </w:t>
      </w:r>
      <w:hyperlink r:id="rId32" w:history="1">
        <w:r w:rsidR="00B3264F" w:rsidRPr="00B3264F">
          <w:rPr>
            <w:rFonts w:cs="Times New Roman"/>
            <w:color w:val="0000FF"/>
            <w:u w:val="single"/>
            <w:rtl/>
          </w:rPr>
          <w:t>רע"פ 5712/16</w:t>
        </w:r>
      </w:hyperlink>
      <w:r w:rsidRPr="00987A4C">
        <w:rPr>
          <w:rFonts w:cs="Times New Roman"/>
          <w:rtl/>
        </w:rPr>
        <w:t xml:space="preserve"> איינבאך נגד מדינת ישראל (17.8.16},  </w:t>
      </w:r>
      <w:hyperlink r:id="rId33" w:history="1">
        <w:r w:rsidR="00B3264F" w:rsidRPr="00B3264F">
          <w:rPr>
            <w:rFonts w:cs="Times New Roman"/>
            <w:color w:val="0000FF"/>
            <w:u w:val="single"/>
            <w:rtl/>
          </w:rPr>
          <w:t>רע"פ 1787/15</w:t>
        </w:r>
      </w:hyperlink>
      <w:r w:rsidRPr="00987A4C">
        <w:rPr>
          <w:rFonts w:cs="Times New Roman"/>
          <w:rtl/>
        </w:rPr>
        <w:t xml:space="preserve"> עמר נ' מדינת ישראל (פורסם בנבו, 24.3.15), </w:t>
      </w:r>
      <w:hyperlink r:id="rId34" w:history="1">
        <w:r w:rsidR="00B3264F" w:rsidRPr="00B3264F">
          <w:rPr>
            <w:rFonts w:cs="Times New Roman"/>
            <w:color w:val="0000FF"/>
            <w:u w:val="single"/>
            <w:rtl/>
          </w:rPr>
          <w:t>רע"פ 7005/14</w:t>
        </w:r>
      </w:hyperlink>
      <w:r w:rsidRPr="00987A4C">
        <w:rPr>
          <w:rFonts w:cs="Times New Roman"/>
          <w:rtl/>
        </w:rPr>
        <w:t xml:space="preserve"> דגן  נ' מדינת ישראל (פורסם בנבו, 30.11.14),  </w:t>
      </w:r>
      <w:hyperlink r:id="rId35" w:history="1">
        <w:r w:rsidR="00B3264F" w:rsidRPr="00B3264F">
          <w:rPr>
            <w:rFonts w:cs="Times New Roman"/>
            <w:color w:val="0000FF"/>
            <w:u w:val="single"/>
            <w:rtl/>
          </w:rPr>
          <w:t>עפ"ג (חיפה) 43046-12-15</w:t>
        </w:r>
      </w:hyperlink>
      <w:r w:rsidRPr="00987A4C">
        <w:rPr>
          <w:rFonts w:cs="Times New Roman"/>
          <w:rtl/>
        </w:rPr>
        <w:t xml:space="preserve"> גולדברג נגד מדינת ישראל (פורסם בנבו, 24.1.16),  </w:t>
      </w:r>
      <w:hyperlink r:id="rId36" w:history="1">
        <w:r w:rsidR="00B3264F" w:rsidRPr="00B3264F">
          <w:rPr>
            <w:rFonts w:cs="Times New Roman"/>
            <w:color w:val="0000FF"/>
            <w:u w:val="single"/>
            <w:rtl/>
          </w:rPr>
          <w:t>עפ"ג (מחוזי ת"א) 42358-10-14</w:t>
        </w:r>
      </w:hyperlink>
      <w:r w:rsidRPr="00987A4C">
        <w:rPr>
          <w:rFonts w:cs="Times New Roman"/>
          <w:rtl/>
        </w:rPr>
        <w:t xml:space="preserve"> גיא נ' מדינת ישראל (פורסם בנבו, 18.2.15}.</w:t>
      </w:r>
    </w:p>
    <w:p w14:paraId="461ECF72" w14:textId="77777777" w:rsidR="00987A4C" w:rsidRDefault="00987A4C" w:rsidP="00987A4C">
      <w:pPr>
        <w:spacing w:line="360" w:lineRule="auto"/>
        <w:ind w:left="720" w:right="142" w:hanging="720"/>
        <w:jc w:val="both"/>
        <w:rPr>
          <w:rFonts w:ascii="David" w:hAnsi="David"/>
          <w:rtl/>
        </w:rPr>
      </w:pPr>
    </w:p>
    <w:p w14:paraId="27091C09" w14:textId="77777777" w:rsidR="00987A4C" w:rsidRDefault="00987A4C" w:rsidP="00987A4C">
      <w:pPr>
        <w:spacing w:line="360" w:lineRule="auto"/>
        <w:ind w:left="720" w:hanging="720"/>
        <w:jc w:val="both"/>
        <w:rPr>
          <w:rFonts w:ascii="David" w:hAnsi="David"/>
          <w:rtl/>
        </w:rPr>
      </w:pPr>
      <w:r>
        <w:rPr>
          <w:rFonts w:ascii="David" w:hAnsi="David" w:hint="cs"/>
          <w:rtl/>
        </w:rPr>
        <w:t>14.</w:t>
      </w:r>
      <w:r>
        <w:rPr>
          <w:rFonts w:ascii="David" w:hAnsi="David" w:hint="cs"/>
          <w:rtl/>
        </w:rPr>
        <w:tab/>
        <w:t xml:space="preserve">כאמור, </w:t>
      </w:r>
      <w:r>
        <w:rPr>
          <w:rFonts w:ascii="David" w:hAnsi="David"/>
          <w:rtl/>
        </w:rPr>
        <w:t>המדובר בשני אירועים</w:t>
      </w:r>
      <w:r>
        <w:rPr>
          <w:rFonts w:ascii="David" w:hAnsi="David" w:hint="cs"/>
          <w:rtl/>
        </w:rPr>
        <w:t xml:space="preserve"> נפרדים</w:t>
      </w:r>
      <w:r>
        <w:rPr>
          <w:rFonts w:ascii="David" w:hAnsi="David"/>
          <w:rtl/>
        </w:rPr>
        <w:t xml:space="preserve">, אך </w:t>
      </w:r>
      <w:r>
        <w:rPr>
          <w:rFonts w:ascii="David" w:hAnsi="David" w:hint="cs"/>
          <w:rtl/>
        </w:rPr>
        <w:t>מעובדות המקרה עולה כי העבירות אותן ביצע הנאשם נעשו כולן סביב מועד אחד, מאותה דירה, ובעיקר שני האירועים שלובים זה בזה. בנסיבות האמורות יש לקבוע מתחם ענישה אחד.</w:t>
      </w:r>
    </w:p>
    <w:p w14:paraId="23855405" w14:textId="77777777" w:rsidR="00987A4C" w:rsidRDefault="00987A4C" w:rsidP="00987A4C">
      <w:pPr>
        <w:spacing w:line="360" w:lineRule="auto"/>
        <w:ind w:left="720" w:hanging="720"/>
        <w:jc w:val="both"/>
        <w:rPr>
          <w:rFonts w:ascii="David" w:hAnsi="David"/>
          <w:rtl/>
        </w:rPr>
      </w:pPr>
    </w:p>
    <w:p w14:paraId="4CF519FC" w14:textId="77777777" w:rsidR="00987A4C" w:rsidRDefault="00987A4C" w:rsidP="00987A4C">
      <w:pPr>
        <w:spacing w:line="360" w:lineRule="auto"/>
        <w:ind w:left="720" w:hanging="720"/>
        <w:jc w:val="both"/>
        <w:rPr>
          <w:rFonts w:ascii="David" w:hAnsi="David"/>
          <w:rtl/>
        </w:rPr>
      </w:pPr>
      <w:r>
        <w:rPr>
          <w:rFonts w:ascii="David" w:hAnsi="David" w:hint="cs"/>
          <w:rtl/>
        </w:rPr>
        <w:t>15.</w:t>
      </w:r>
      <w:r>
        <w:rPr>
          <w:rFonts w:ascii="David" w:hAnsi="David" w:hint="cs"/>
          <w:rtl/>
        </w:rPr>
        <w:tab/>
        <w:t xml:space="preserve">נסיבותיו של האירוע מצביעות על פעולה שנעשתה לאורך זמן ולאחר תכנון והכנה מוקדמת, לצורך גידול והכנת סם בכמויות גדולות, נתון שיש בו כדי להצביע על כוונת הפצה. פעולה זו הייתה משותפת לכלל הנאשמים, כאשר אין לומר, בהתאם לעובדות המפורטות באישום, שחלקו של הנאשם הינו מרכזי ביחס לחלקם של האחרים. להפך, הדירה הייתה בבעלותם, ואף התמורה מביצוע העסקאות, כעולה מעובדות כתב האישום, לא התקבלה. את סכום הכסף שאמור היה להתקבל מביצוע העסקה השנייה אמור היה הנאשם להפקיד בחשבון בנק שבבעלות אחיו. בעניין זה ציין הנאשם בפני שרות מבחן כי התקשה לסרב לאחיו שביקש ממנו למכור את הסם בעבורו. על פיו ביצע זאת במסגרת שני האירועים שפורטו באישום, אולם פעולות אלו לא היו חלק משגרת חייו. נוסף לכך סוג הסם אותו גידל הנאשם אינו מן הסמים הקשים. מנגד, כמות הסם והתמורה שהייתה אמורה להתקבל ממכירתו של הסם הינה גבוהה. </w:t>
      </w:r>
    </w:p>
    <w:p w14:paraId="71F2AE0A" w14:textId="77777777" w:rsidR="00987A4C" w:rsidRDefault="00987A4C" w:rsidP="00987A4C">
      <w:pPr>
        <w:spacing w:line="360" w:lineRule="auto"/>
        <w:ind w:left="720" w:hanging="720"/>
        <w:jc w:val="both"/>
        <w:rPr>
          <w:rFonts w:ascii="David" w:hAnsi="David"/>
          <w:rtl/>
        </w:rPr>
      </w:pPr>
    </w:p>
    <w:p w14:paraId="060B9924" w14:textId="77777777" w:rsidR="00987A4C" w:rsidRDefault="00987A4C" w:rsidP="00987A4C">
      <w:pPr>
        <w:spacing w:line="360" w:lineRule="auto"/>
        <w:ind w:left="720" w:hanging="720"/>
        <w:jc w:val="both"/>
        <w:rPr>
          <w:rFonts w:ascii="David" w:hAnsi="David"/>
          <w:rtl/>
        </w:rPr>
      </w:pPr>
      <w:r>
        <w:rPr>
          <w:rFonts w:ascii="David" w:hAnsi="David" w:hint="cs"/>
          <w:rtl/>
        </w:rPr>
        <w:t>16.</w:t>
      </w:r>
      <w:r>
        <w:rPr>
          <w:rFonts w:ascii="David" w:hAnsi="David" w:hint="cs"/>
          <w:rtl/>
        </w:rPr>
        <w:tab/>
      </w:r>
      <w:r w:rsidRPr="000643A2">
        <w:rPr>
          <w:rFonts w:ascii="David" w:hAnsi="David" w:hint="cs"/>
          <w:rtl/>
        </w:rPr>
        <w:t xml:space="preserve">לאחר ששקלתי את נסיבות ביצוע העבירה, האינטרס המוגן וכן הפסיקה הנוהגת אני קובע כי מתחם הענישה הינו החל </w:t>
      </w:r>
      <w:r>
        <w:rPr>
          <w:rFonts w:ascii="David" w:hAnsi="David" w:hint="cs"/>
          <w:rtl/>
        </w:rPr>
        <w:t xml:space="preserve">ממאסר למשך 6 חודשים </w:t>
      </w:r>
      <w:r w:rsidRPr="000643A2">
        <w:rPr>
          <w:rFonts w:ascii="David" w:hAnsi="David" w:hint="cs"/>
          <w:rtl/>
        </w:rPr>
        <w:t>ועד</w:t>
      </w:r>
      <w:r>
        <w:rPr>
          <w:rFonts w:ascii="David" w:hAnsi="David" w:hint="cs"/>
          <w:rtl/>
        </w:rPr>
        <w:t xml:space="preserve"> 24 </w:t>
      </w:r>
      <w:r w:rsidRPr="000643A2">
        <w:rPr>
          <w:rFonts w:ascii="David" w:hAnsi="David" w:hint="cs"/>
          <w:rtl/>
        </w:rPr>
        <w:t>חודשי מאסר בפועל</w:t>
      </w:r>
      <w:r>
        <w:rPr>
          <w:rFonts w:ascii="David" w:hAnsi="David" w:hint="cs"/>
          <w:rtl/>
        </w:rPr>
        <w:t xml:space="preserve"> לצד עונשים נלווים</w:t>
      </w:r>
      <w:r w:rsidRPr="000643A2">
        <w:rPr>
          <w:rFonts w:ascii="David" w:hAnsi="David" w:hint="cs"/>
          <w:rtl/>
        </w:rPr>
        <w:t>.</w:t>
      </w:r>
    </w:p>
    <w:p w14:paraId="05FEB5F3" w14:textId="77777777" w:rsidR="00987A4C" w:rsidRDefault="00987A4C" w:rsidP="00987A4C">
      <w:pPr>
        <w:spacing w:line="360" w:lineRule="auto"/>
        <w:ind w:left="720" w:hanging="720"/>
        <w:jc w:val="both"/>
        <w:rPr>
          <w:rFonts w:ascii="David" w:hAnsi="David"/>
          <w:b/>
          <w:bCs/>
          <w:u w:val="single"/>
          <w:rtl/>
        </w:rPr>
      </w:pPr>
    </w:p>
    <w:p w14:paraId="1796E3C7" w14:textId="77777777" w:rsidR="00987A4C" w:rsidRPr="00CC3335" w:rsidRDefault="00987A4C" w:rsidP="00987A4C">
      <w:pPr>
        <w:spacing w:line="360" w:lineRule="auto"/>
        <w:ind w:left="720" w:hanging="720"/>
        <w:jc w:val="both"/>
        <w:rPr>
          <w:rFonts w:cs="Times New Roman"/>
          <w:b/>
          <w:bCs/>
          <w:u w:val="single"/>
        </w:rPr>
      </w:pPr>
      <w:r w:rsidRPr="00CC3335">
        <w:rPr>
          <w:rFonts w:ascii="David" w:hAnsi="David" w:hint="cs"/>
          <w:b/>
          <w:bCs/>
          <w:u w:val="single"/>
          <w:rtl/>
        </w:rPr>
        <w:t xml:space="preserve">סטייה </w:t>
      </w:r>
      <w:r w:rsidRPr="00CC3335">
        <w:rPr>
          <w:rFonts w:ascii="David" w:hAnsi="David"/>
          <w:b/>
          <w:bCs/>
          <w:u w:val="single"/>
          <w:rtl/>
        </w:rPr>
        <w:t xml:space="preserve">מן המתחם- סיכויי שיקום </w:t>
      </w:r>
    </w:p>
    <w:p w14:paraId="12ACFB20" w14:textId="77777777" w:rsidR="00987A4C" w:rsidRDefault="00B3264F" w:rsidP="00987A4C">
      <w:pPr>
        <w:spacing w:line="360" w:lineRule="auto"/>
        <w:ind w:left="720" w:hanging="720"/>
        <w:jc w:val="both"/>
        <w:rPr>
          <w:rtl/>
        </w:rPr>
      </w:pPr>
      <w:r>
        <w:rPr>
          <w:rFonts w:ascii="David" w:hAnsi="David"/>
          <w:b/>
          <w:bCs/>
          <w:rtl/>
        </w:rPr>
        <w:t xml:space="preserve"> </w:t>
      </w:r>
    </w:p>
    <w:p w14:paraId="112AA616" w14:textId="77777777" w:rsidR="00987A4C" w:rsidRDefault="00987A4C" w:rsidP="00987A4C">
      <w:pPr>
        <w:spacing w:line="360" w:lineRule="auto"/>
        <w:ind w:left="720" w:right="142" w:hanging="720"/>
        <w:jc w:val="both"/>
        <w:rPr>
          <w:rFonts w:ascii="David" w:hAnsi="David"/>
          <w:rtl/>
        </w:rPr>
      </w:pPr>
      <w:r>
        <w:rPr>
          <w:rFonts w:ascii="David" w:hAnsi="David" w:hint="cs"/>
          <w:rtl/>
        </w:rPr>
        <w:t>17</w:t>
      </w:r>
      <w:r>
        <w:rPr>
          <w:rFonts w:ascii="David" w:hAnsi="David"/>
          <w:rtl/>
        </w:rPr>
        <w:t>.</w:t>
      </w:r>
      <w:r w:rsidR="00B3264F">
        <w:rPr>
          <w:rFonts w:ascii="David" w:hAnsi="David"/>
          <w:rtl/>
        </w:rPr>
        <w:t xml:space="preserve">       </w:t>
      </w:r>
      <w:r>
        <w:rPr>
          <w:rFonts w:ascii="David" w:hAnsi="David"/>
          <w:rtl/>
        </w:rPr>
        <w:t xml:space="preserve"> </w:t>
      </w:r>
      <w:r w:rsidRPr="00F6032D">
        <w:rPr>
          <w:rFonts w:ascii="David" w:hAnsi="David" w:hint="eastAsia"/>
          <w:color w:val="000000"/>
          <w:rtl/>
        </w:rPr>
        <w:t>סבורני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 xml:space="preserve"> </w:t>
      </w:r>
      <w:r w:rsidRPr="00F6032D">
        <w:rPr>
          <w:rFonts w:ascii="David" w:hAnsi="David" w:hint="eastAsia"/>
          <w:color w:val="000000"/>
          <w:rtl/>
        </w:rPr>
        <w:t>ישנה</w:t>
      </w:r>
      <w:r w:rsidRPr="00F6032D">
        <w:rPr>
          <w:rFonts w:ascii="David" w:hAnsi="David"/>
          <w:color w:val="000000"/>
          <w:rtl/>
        </w:rPr>
        <w:t xml:space="preserve"> </w:t>
      </w:r>
      <w:r w:rsidRPr="00F6032D">
        <w:rPr>
          <w:rFonts w:ascii="David" w:hAnsi="David" w:hint="eastAsia"/>
          <w:color w:val="000000"/>
          <w:rtl/>
        </w:rPr>
        <w:t>הצדקה</w:t>
      </w:r>
      <w:r w:rsidRPr="00F6032D">
        <w:rPr>
          <w:rFonts w:ascii="David" w:hAnsi="David"/>
          <w:color w:val="000000"/>
          <w:rtl/>
        </w:rPr>
        <w:t xml:space="preserve"> </w:t>
      </w:r>
      <w:r w:rsidRPr="00F6032D">
        <w:rPr>
          <w:rFonts w:ascii="David" w:hAnsi="David" w:hint="eastAsia"/>
          <w:color w:val="000000"/>
          <w:rtl/>
        </w:rPr>
        <w:t>לסטות</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לקולא</w:t>
      </w:r>
      <w:r w:rsidRPr="00F6032D">
        <w:rPr>
          <w:rFonts w:ascii="David" w:hAnsi="David"/>
          <w:color w:val="000000"/>
          <w:rtl/>
        </w:rPr>
        <w:t xml:space="preserve"> </w:t>
      </w:r>
      <w:r w:rsidRPr="00F6032D">
        <w:rPr>
          <w:rFonts w:ascii="David" w:hAnsi="David" w:hint="eastAsia"/>
          <w:color w:val="000000"/>
          <w:rtl/>
        </w:rPr>
        <w:t>וזאת</w:t>
      </w:r>
      <w:r w:rsidRPr="00F6032D">
        <w:rPr>
          <w:rFonts w:ascii="David" w:hAnsi="David"/>
          <w:color w:val="000000"/>
          <w:rtl/>
        </w:rPr>
        <w:t xml:space="preserve"> </w:t>
      </w:r>
      <w:r w:rsidRPr="00F6032D">
        <w:rPr>
          <w:rFonts w:ascii="David" w:hAnsi="David" w:hint="eastAsia"/>
          <w:color w:val="000000"/>
          <w:rtl/>
        </w:rPr>
        <w:t>משיקולי</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Pr>
          <w:rFonts w:ascii="David" w:hAnsi="David" w:hint="cs"/>
          <w:color w:val="000000"/>
          <w:rtl/>
        </w:rPr>
        <w:t>כבן 34 רווק</w:t>
      </w:r>
      <w:r w:rsidRPr="00F6032D">
        <w:rPr>
          <w:rFonts w:ascii="David" w:hAnsi="David"/>
          <w:color w:val="000000"/>
          <w:rtl/>
        </w:rPr>
        <w:t xml:space="preserve">, </w:t>
      </w:r>
      <w:r>
        <w:rPr>
          <w:rFonts w:ascii="David" w:hAnsi="David" w:hint="cs"/>
          <w:color w:val="000000"/>
          <w:rtl/>
        </w:rPr>
        <w:t>נעדר עבר פלילי מכול סוג שהוא. ה</w:t>
      </w:r>
      <w:r w:rsidRPr="00536886">
        <w:rPr>
          <w:rFonts w:ascii="David" w:hAnsi="David"/>
          <w:color w:val="000000"/>
          <w:rtl/>
        </w:rPr>
        <w:t>נאשם החל את הקשר עם שרות המבחן בחודש יולי</w:t>
      </w:r>
      <w:r>
        <w:rPr>
          <w:rFonts w:ascii="David" w:hAnsi="David" w:hint="cs"/>
          <w:color w:val="000000"/>
          <w:rtl/>
        </w:rPr>
        <w:t xml:space="preserve"> 2017 במסגרת פיקוח מעצרים</w:t>
      </w:r>
      <w:r w:rsidRPr="00536886">
        <w:rPr>
          <w:rFonts w:ascii="David" w:hAnsi="David"/>
          <w:color w:val="000000"/>
          <w:rtl/>
        </w:rPr>
        <w:t>. מאז שולב הנאשם בתהליך טיפולי במסגרת</w:t>
      </w:r>
      <w:r>
        <w:rPr>
          <w:rFonts w:ascii="David" w:hAnsi="David" w:hint="cs"/>
          <w:color w:val="000000"/>
          <w:rtl/>
        </w:rPr>
        <w:t xml:space="preserve"> שירות המבחן בקבוצה טיפולית לעצורי בית, </w:t>
      </w:r>
      <w:r w:rsidRPr="00751FE6">
        <w:rPr>
          <w:rFonts w:ascii="David" w:hAnsi="David" w:hint="cs"/>
          <w:rtl/>
        </w:rPr>
        <w:t>וסיים את הטיפול במהלך חודש יולי 2018. הנאשם התמיד להגיע לטיפול ולקח חלק בשיח הקבוצתי, שיתף מעולמו הפנימי ולהתר</w:t>
      </w:r>
      <w:r>
        <w:rPr>
          <w:rFonts w:ascii="David" w:hAnsi="David" w:hint="cs"/>
          <w:rtl/>
        </w:rPr>
        <w:t>ש</w:t>
      </w:r>
      <w:r w:rsidRPr="00751FE6">
        <w:rPr>
          <w:rFonts w:ascii="David" w:hAnsi="David" w:hint="cs"/>
          <w:rtl/>
        </w:rPr>
        <w:t xml:space="preserve">מות גורמי הטיפול </w:t>
      </w:r>
      <w:r>
        <w:rPr>
          <w:rFonts w:ascii="David" w:hAnsi="David" w:hint="cs"/>
          <w:rtl/>
        </w:rPr>
        <w:t xml:space="preserve">הנאשם </w:t>
      </w:r>
      <w:r w:rsidRPr="00751FE6">
        <w:rPr>
          <w:rFonts w:ascii="David" w:hAnsi="David" w:hint="cs"/>
          <w:rtl/>
        </w:rPr>
        <w:t>ערך בחינה מעמיקה אודות דפוסי התנהגותו הבעייתיי</w:t>
      </w:r>
      <w:r w:rsidRPr="00751FE6">
        <w:rPr>
          <w:rFonts w:ascii="David" w:hAnsi="David" w:hint="eastAsia"/>
          <w:rtl/>
        </w:rPr>
        <w:t>ם</w:t>
      </w:r>
      <w:r w:rsidRPr="00751FE6">
        <w:rPr>
          <w:rFonts w:ascii="David" w:hAnsi="David" w:hint="cs"/>
          <w:rtl/>
        </w:rPr>
        <w:t xml:space="preserve">. </w:t>
      </w:r>
      <w:r>
        <w:rPr>
          <w:rFonts w:ascii="David" w:hAnsi="David" w:hint="cs"/>
          <w:rtl/>
        </w:rPr>
        <w:t xml:space="preserve">הוסף, כי </w:t>
      </w:r>
      <w:r w:rsidRPr="00751FE6">
        <w:rPr>
          <w:rFonts w:ascii="David" w:hAnsi="David" w:hint="cs"/>
          <w:rtl/>
        </w:rPr>
        <w:t xml:space="preserve">הנאשם מגלה </w:t>
      </w:r>
      <w:r>
        <w:rPr>
          <w:rFonts w:ascii="David" w:hAnsi="David" w:hint="cs"/>
          <w:rtl/>
        </w:rPr>
        <w:t xml:space="preserve">כיום </w:t>
      </w:r>
      <w:r w:rsidRPr="00751FE6">
        <w:rPr>
          <w:rFonts w:ascii="David" w:hAnsi="David" w:hint="cs"/>
          <w:rtl/>
        </w:rPr>
        <w:t>מודעות ביחס למערכת הי</w:t>
      </w:r>
      <w:r>
        <w:rPr>
          <w:rFonts w:ascii="David" w:hAnsi="David" w:hint="cs"/>
          <w:rtl/>
        </w:rPr>
        <w:t>ח</w:t>
      </w:r>
      <w:r w:rsidRPr="00751FE6">
        <w:rPr>
          <w:rFonts w:ascii="David" w:hAnsi="David" w:hint="cs"/>
          <w:rtl/>
        </w:rPr>
        <w:t>סים הבעייתית</w:t>
      </w:r>
      <w:r>
        <w:rPr>
          <w:rFonts w:ascii="David" w:hAnsi="David" w:hint="cs"/>
          <w:rtl/>
        </w:rPr>
        <w:t xml:space="preserve"> בינו לבין </w:t>
      </w:r>
      <w:r w:rsidRPr="00751FE6">
        <w:rPr>
          <w:rFonts w:ascii="David" w:hAnsi="David" w:hint="cs"/>
          <w:rtl/>
        </w:rPr>
        <w:t>אחיו</w:t>
      </w:r>
      <w:r>
        <w:rPr>
          <w:rFonts w:ascii="David" w:hAnsi="David" w:hint="cs"/>
          <w:rtl/>
        </w:rPr>
        <w:t>, ושעמדה בין היתר בבסיס ביצוע העבירות</w:t>
      </w:r>
      <w:r w:rsidRPr="00751FE6">
        <w:rPr>
          <w:rFonts w:ascii="David" w:hAnsi="David" w:hint="cs"/>
          <w:rtl/>
        </w:rPr>
        <w:t xml:space="preserve">. </w:t>
      </w:r>
      <w:r>
        <w:rPr>
          <w:rFonts w:ascii="David" w:hAnsi="David" w:hint="cs"/>
          <w:rtl/>
        </w:rPr>
        <w:t xml:space="preserve">בנוסף, נוטל הנאשם חלק </w:t>
      </w:r>
      <w:r w:rsidRPr="00751FE6">
        <w:rPr>
          <w:rFonts w:ascii="David" w:hAnsi="David" w:hint="cs"/>
          <w:rtl/>
        </w:rPr>
        <w:t>בטיפול פרטני באומנות החל מחודש ינואר 2019.</w:t>
      </w:r>
      <w:r>
        <w:rPr>
          <w:rFonts w:ascii="David" w:hAnsi="David" w:hint="cs"/>
          <w:rtl/>
        </w:rPr>
        <w:t xml:space="preserve"> להתרשמות המטפלת בו, הנאשם מגלה מוטיבציה </w:t>
      </w:r>
      <w:r w:rsidRPr="00840BBA">
        <w:rPr>
          <w:rFonts w:ascii="David" w:hAnsi="David" w:hint="cs"/>
          <w:rtl/>
        </w:rPr>
        <w:t xml:space="preserve">לערוך שינוי בחייו. הוסף, כי הנאשם </w:t>
      </w:r>
      <w:r>
        <w:rPr>
          <w:rFonts w:ascii="David" w:hAnsi="David" w:hint="cs"/>
          <w:rtl/>
        </w:rPr>
        <w:t xml:space="preserve">אף </w:t>
      </w:r>
      <w:r w:rsidRPr="00840BBA">
        <w:rPr>
          <w:rFonts w:ascii="David" w:hAnsi="David" w:hint="cs"/>
          <w:rtl/>
        </w:rPr>
        <w:t xml:space="preserve">נקט בצעד משמעותי נוסף </w:t>
      </w:r>
      <w:r>
        <w:rPr>
          <w:rFonts w:ascii="David" w:hAnsi="David" w:hint="cs"/>
          <w:rtl/>
        </w:rPr>
        <w:t>ופנה לעמותה בבקשת טיפול ביחס לאירועים הקשורים בילדותו. (ראו: עמוד 1 פיסקה 1, עמוד  4 פיסקה 1).</w:t>
      </w:r>
    </w:p>
    <w:p w14:paraId="2C325AF5" w14:textId="77777777" w:rsidR="00987A4C" w:rsidRDefault="00987A4C" w:rsidP="00987A4C">
      <w:pPr>
        <w:spacing w:line="360" w:lineRule="auto"/>
        <w:ind w:left="720" w:right="142" w:hanging="720"/>
        <w:jc w:val="both"/>
        <w:rPr>
          <w:rFonts w:ascii="David" w:hAnsi="David"/>
          <w:rtl/>
        </w:rPr>
      </w:pPr>
    </w:p>
    <w:p w14:paraId="22D82EFD" w14:textId="77777777" w:rsidR="00987A4C" w:rsidRPr="00F6032D" w:rsidRDefault="00987A4C" w:rsidP="00987A4C">
      <w:pPr>
        <w:spacing w:after="120" w:line="360" w:lineRule="auto"/>
        <w:ind w:left="720"/>
        <w:jc w:val="both"/>
        <w:rPr>
          <w:rFonts w:ascii="David" w:hAnsi="David"/>
          <w:color w:val="000000"/>
        </w:rPr>
      </w:pPr>
      <w:r w:rsidRPr="00F6032D">
        <w:rPr>
          <w:rFonts w:ascii="David" w:hAnsi="David" w:hint="eastAsia"/>
          <w:color w:val="000000"/>
          <w:rtl/>
        </w:rPr>
        <w:t>נראה</w:t>
      </w:r>
      <w:r w:rsidRPr="00F6032D">
        <w:rPr>
          <w:rFonts w:ascii="David" w:hAnsi="David"/>
          <w:color w:val="000000"/>
          <w:rtl/>
        </w:rPr>
        <w:t xml:space="preserve"> </w:t>
      </w:r>
      <w:r>
        <w:rPr>
          <w:rFonts w:ascii="David" w:hAnsi="David" w:hint="cs"/>
          <w:color w:val="000000"/>
          <w:rtl/>
        </w:rPr>
        <w:t xml:space="preserve">אם כן,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במהלך</w:t>
      </w:r>
      <w:r w:rsidRPr="00F6032D">
        <w:rPr>
          <w:rFonts w:ascii="David" w:hAnsi="David"/>
          <w:color w:val="000000"/>
          <w:rtl/>
        </w:rPr>
        <w:t xml:space="preserve"> </w:t>
      </w:r>
      <w:r>
        <w:rPr>
          <w:rFonts w:ascii="David" w:hAnsi="David" w:hint="cs"/>
          <w:color w:val="000000"/>
          <w:rtl/>
        </w:rPr>
        <w:t xml:space="preserve">השנתיים האחרונות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חלפו</w:t>
      </w:r>
      <w:r w:rsidRPr="00F6032D">
        <w:rPr>
          <w:rFonts w:ascii="David" w:hAnsi="David"/>
          <w:color w:val="000000"/>
          <w:rtl/>
        </w:rPr>
        <w:t xml:space="preserve"> </w:t>
      </w:r>
      <w:r w:rsidRPr="00F6032D">
        <w:rPr>
          <w:rFonts w:ascii="David" w:hAnsi="David" w:hint="eastAsia"/>
          <w:color w:val="000000"/>
          <w:rtl/>
        </w:rPr>
        <w:t>ממועד</w:t>
      </w:r>
      <w:r w:rsidRPr="00F6032D">
        <w:rPr>
          <w:rFonts w:ascii="David" w:hAnsi="David"/>
          <w:color w:val="000000"/>
          <w:rtl/>
        </w:rPr>
        <w:t xml:space="preserve"> </w:t>
      </w:r>
      <w:r w:rsidRPr="00F6032D">
        <w:rPr>
          <w:rFonts w:ascii="David" w:hAnsi="David" w:hint="eastAsia"/>
          <w:color w:val="000000"/>
          <w:rtl/>
        </w:rPr>
        <w:t>ביצוע</w:t>
      </w:r>
      <w:r w:rsidRPr="00F6032D">
        <w:rPr>
          <w:rFonts w:ascii="David" w:hAnsi="David"/>
          <w:color w:val="000000"/>
          <w:rtl/>
        </w:rPr>
        <w:t xml:space="preserve"> </w:t>
      </w:r>
      <w:r w:rsidRPr="00F6032D">
        <w:rPr>
          <w:rFonts w:ascii="David" w:hAnsi="David" w:hint="eastAsia"/>
          <w:color w:val="000000"/>
          <w:rtl/>
        </w:rPr>
        <w:t>העביר</w:t>
      </w:r>
      <w:r>
        <w:rPr>
          <w:rFonts w:ascii="David" w:hAnsi="David" w:hint="cs"/>
          <w:color w:val="000000"/>
          <w:rtl/>
        </w:rPr>
        <w:t>ות</w:t>
      </w:r>
      <w:r w:rsidRPr="00F6032D">
        <w:rPr>
          <w:rFonts w:ascii="David" w:hAnsi="David"/>
          <w:color w:val="000000"/>
          <w:rtl/>
        </w:rPr>
        <w:t xml:space="preserve"> </w:t>
      </w:r>
      <w:r w:rsidRPr="00F6032D">
        <w:rPr>
          <w:rFonts w:ascii="David" w:hAnsi="David" w:hint="eastAsia"/>
          <w:color w:val="000000"/>
          <w:rtl/>
        </w:rPr>
        <w:t>נרתם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מלא</w:t>
      </w:r>
      <w:r w:rsidRPr="00F6032D">
        <w:rPr>
          <w:rFonts w:ascii="David" w:hAnsi="David"/>
          <w:color w:val="000000"/>
          <w:rtl/>
        </w:rPr>
        <w:t xml:space="preserve"> </w:t>
      </w:r>
      <w:r w:rsidRPr="00F6032D">
        <w:rPr>
          <w:rFonts w:ascii="David" w:hAnsi="David" w:hint="eastAsia"/>
          <w:color w:val="000000"/>
          <w:rtl/>
        </w:rPr>
        <w:t>להליך</w:t>
      </w:r>
      <w:r w:rsidRPr="00F6032D">
        <w:rPr>
          <w:rFonts w:ascii="David" w:hAnsi="David"/>
          <w:color w:val="000000"/>
          <w:rtl/>
        </w:rPr>
        <w:t xml:space="preserve"> </w:t>
      </w:r>
      <w:r w:rsidRPr="00F6032D">
        <w:rPr>
          <w:rFonts w:ascii="David" w:hAnsi="David" w:hint="eastAsia"/>
          <w:color w:val="000000"/>
          <w:rtl/>
        </w:rPr>
        <w:t>שיקומ</w:t>
      </w:r>
      <w:r>
        <w:rPr>
          <w:rFonts w:ascii="David" w:hAnsi="David" w:hint="cs"/>
          <w:color w:val="000000"/>
          <w:rtl/>
        </w:rPr>
        <w:t>ו</w:t>
      </w:r>
      <w:r w:rsidRPr="00F6032D">
        <w:rPr>
          <w:rFonts w:ascii="David" w:hAnsi="David"/>
          <w:color w:val="000000"/>
          <w:rtl/>
        </w:rPr>
        <w:t xml:space="preserve"> </w:t>
      </w:r>
      <w:r w:rsidRPr="00F6032D">
        <w:rPr>
          <w:rFonts w:ascii="David" w:hAnsi="David" w:hint="eastAsia"/>
          <w:color w:val="000000"/>
          <w:rtl/>
        </w:rPr>
        <w:t>ועשה</w:t>
      </w:r>
      <w:r w:rsidRPr="00F6032D">
        <w:rPr>
          <w:rFonts w:ascii="David" w:hAnsi="David"/>
          <w:color w:val="000000"/>
          <w:rtl/>
        </w:rPr>
        <w:t xml:space="preserve"> </w:t>
      </w:r>
      <w:r>
        <w:rPr>
          <w:rFonts w:ascii="David" w:hAnsi="David" w:hint="cs"/>
          <w:color w:val="000000"/>
          <w:rtl/>
        </w:rPr>
        <w:t xml:space="preserve">מאמץ </w:t>
      </w:r>
      <w:r w:rsidRPr="00F6032D">
        <w:rPr>
          <w:rFonts w:ascii="David" w:hAnsi="David" w:hint="eastAsia"/>
          <w:color w:val="000000"/>
          <w:rtl/>
        </w:rPr>
        <w:t>להשתלב</w:t>
      </w:r>
      <w:r w:rsidRPr="00F6032D">
        <w:rPr>
          <w:rFonts w:ascii="David" w:hAnsi="David"/>
          <w:color w:val="000000"/>
          <w:rtl/>
        </w:rPr>
        <w:t xml:space="preserve"> </w:t>
      </w:r>
      <w:r w:rsidRPr="00F6032D">
        <w:rPr>
          <w:rFonts w:ascii="David" w:hAnsi="David" w:hint="eastAsia"/>
          <w:color w:val="000000"/>
          <w:rtl/>
        </w:rPr>
        <w:t>בהליכים</w:t>
      </w:r>
      <w:r w:rsidRPr="00F6032D">
        <w:rPr>
          <w:rFonts w:ascii="David" w:hAnsi="David"/>
          <w:color w:val="000000"/>
          <w:rtl/>
        </w:rPr>
        <w:t xml:space="preserve"> </w:t>
      </w:r>
      <w:r w:rsidRPr="00F6032D">
        <w:rPr>
          <w:rFonts w:ascii="David" w:hAnsi="David" w:hint="eastAsia"/>
          <w:color w:val="000000"/>
          <w:rtl/>
        </w:rPr>
        <w:t>טיפוליים</w:t>
      </w:r>
      <w:r w:rsidRPr="00F6032D">
        <w:rPr>
          <w:rFonts w:ascii="David" w:hAnsi="David"/>
          <w:color w:val="000000"/>
          <w:rtl/>
        </w:rPr>
        <w:t xml:space="preserve"> </w:t>
      </w:r>
      <w:r w:rsidRPr="00F6032D">
        <w:rPr>
          <w:rFonts w:ascii="David" w:hAnsi="David" w:hint="eastAsia"/>
          <w:color w:val="000000"/>
          <w:rtl/>
        </w:rPr>
        <w:t>שיקומיים</w:t>
      </w:r>
      <w:r w:rsidRPr="00F6032D">
        <w:rPr>
          <w:rFonts w:ascii="David" w:hAnsi="David"/>
          <w:color w:val="000000"/>
          <w:rtl/>
        </w:rPr>
        <w:t xml:space="preserve"> </w:t>
      </w:r>
      <w:r w:rsidRPr="00F6032D">
        <w:rPr>
          <w:rFonts w:ascii="David" w:hAnsi="David" w:hint="eastAsia"/>
          <w:color w:val="000000"/>
          <w:rtl/>
        </w:rPr>
        <w:t>ולהיתרם</w:t>
      </w:r>
      <w:r w:rsidRPr="00F6032D">
        <w:rPr>
          <w:rFonts w:ascii="David" w:hAnsi="David"/>
          <w:color w:val="000000"/>
          <w:rtl/>
        </w:rPr>
        <w:t xml:space="preserve"> </w:t>
      </w:r>
      <w:r w:rsidRPr="00F6032D">
        <w:rPr>
          <w:rFonts w:ascii="David" w:hAnsi="David" w:hint="eastAsia"/>
          <w:color w:val="000000"/>
          <w:rtl/>
        </w:rPr>
        <w:t>מהם</w:t>
      </w:r>
      <w:r w:rsidRPr="00F6032D">
        <w:rPr>
          <w:rFonts w:ascii="David" w:hAnsi="David"/>
          <w:color w:val="000000"/>
          <w:rtl/>
        </w:rPr>
        <w:t xml:space="preserve">. </w:t>
      </w:r>
      <w:r>
        <w:rPr>
          <w:rFonts w:ascii="David" w:hAnsi="David" w:hint="cs"/>
          <w:color w:val="000000"/>
          <w:rtl/>
        </w:rPr>
        <w:t>להתרשמות שרות המבחן הנאשם מצוי כיום בתהליך שיקום וטיפול והוא בונה את ערכו העצמי הפגוע מחדש. הנאשם מבטא מוטיבציה לניהול אורח חיים נורמטיבי ודואג לקדם עצמו מבחינה תעסוקתית ורגשית. להתרשמות שרות המבחן הנאשם הינו בעל כוחות ויכולות גבוהות שמתקיים בזכות עצמו ובמקביל מצליח לגייס את הסובבים אותו לעזרתו. נוסף לכך, ההליך המשפטי מהווה גורם מרתיע עבורו. אשר על כן ס</w:t>
      </w:r>
      <w:r w:rsidRPr="00F6032D">
        <w:rPr>
          <w:rFonts w:ascii="David" w:hAnsi="David" w:hint="eastAsia"/>
          <w:color w:val="000000"/>
          <w:rtl/>
        </w:rPr>
        <w:t>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להוכיח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בעיצומו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ויש</w:t>
      </w:r>
      <w:r w:rsidRPr="00F6032D">
        <w:rPr>
          <w:rFonts w:ascii="David" w:hAnsi="David"/>
          <w:color w:val="000000"/>
          <w:rtl/>
        </w:rPr>
        <w:t xml:space="preserve"> </w:t>
      </w:r>
      <w:r w:rsidRPr="00F6032D">
        <w:rPr>
          <w:rFonts w:ascii="David" w:hAnsi="David" w:hint="eastAsia"/>
          <w:color w:val="000000"/>
          <w:rtl/>
        </w:rPr>
        <w:t>סיכוי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ממש</w:t>
      </w:r>
      <w:r w:rsidRPr="00F6032D">
        <w:rPr>
          <w:rFonts w:ascii="David" w:hAnsi="David"/>
          <w:color w:val="000000"/>
          <w:rtl/>
        </w:rPr>
        <w:t xml:space="preserve"> </w:t>
      </w:r>
      <w:r w:rsidRPr="00F6032D">
        <w:rPr>
          <w:rFonts w:ascii="David" w:hAnsi="David" w:hint="eastAsia"/>
          <w:color w:val="000000"/>
          <w:rtl/>
        </w:rPr>
        <w:t>שישתקם</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המצדיק</w:t>
      </w:r>
      <w:r w:rsidRPr="00F6032D">
        <w:rPr>
          <w:rFonts w:ascii="David" w:hAnsi="David"/>
          <w:color w:val="000000"/>
          <w:rtl/>
        </w:rPr>
        <w:t xml:space="preserve"> </w:t>
      </w:r>
      <w:r w:rsidRPr="00F6032D">
        <w:rPr>
          <w:rFonts w:ascii="David" w:hAnsi="David" w:hint="eastAsia"/>
          <w:color w:val="000000"/>
          <w:rtl/>
        </w:rPr>
        <w:t>סטייה</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ההולם</w:t>
      </w:r>
      <w:r w:rsidRPr="00F6032D">
        <w:rPr>
          <w:rFonts w:ascii="David" w:hAnsi="David"/>
          <w:color w:val="000000"/>
          <w:rtl/>
        </w:rPr>
        <w:t>.</w:t>
      </w:r>
    </w:p>
    <w:p w14:paraId="5A8F6C69" w14:textId="77777777" w:rsidR="00987A4C" w:rsidRDefault="00987A4C" w:rsidP="00987A4C">
      <w:pPr>
        <w:spacing w:line="360" w:lineRule="auto"/>
        <w:ind w:left="720"/>
        <w:jc w:val="both"/>
        <w:rPr>
          <w:rFonts w:ascii="David" w:hAnsi="David"/>
          <w:color w:val="000000"/>
          <w:rtl/>
        </w:rPr>
      </w:pPr>
      <w:r>
        <w:rPr>
          <w:rFonts w:ascii="David" w:hAnsi="David" w:hint="cs"/>
          <w:color w:val="000000"/>
          <w:rtl/>
        </w:rPr>
        <w:t xml:space="preserve">אציין, כי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העבירה</w:t>
      </w:r>
      <w:r>
        <w:rPr>
          <w:rFonts w:ascii="David" w:hAnsi="David" w:hint="cs"/>
          <w:color w:val="000000"/>
          <w:rtl/>
        </w:rPr>
        <w:t>,</w:t>
      </w:r>
      <w:r w:rsidRPr="00F6032D">
        <w:rPr>
          <w:rFonts w:ascii="David" w:hAnsi="David"/>
          <w:color w:val="000000"/>
          <w:rtl/>
        </w:rPr>
        <w:t xml:space="preserve"> </w:t>
      </w:r>
      <w:r>
        <w:rPr>
          <w:rFonts w:ascii="David" w:hAnsi="David" w:hint="cs"/>
          <w:color w:val="000000"/>
          <w:rtl/>
        </w:rPr>
        <w:t>סברתי כי ישנו מקום לקבוע את עונשו של הנאשם בתחתית מתחם הענישה, ואף לסטות מטה מכך, כך שהעונש ירוצה על דרך עבודות השירות, אך לנוכח עמדת שירות המבחן בעניין זה ובעיקר גזר הדין שניתן בעניינו של האחר (נתנאל קיזלשטיין), ראיתי לאמץ את עמדת שרות המבחן, ולקבוע מכסת שעות רחבה יותר מזו עליה המליץ שרות המבחן.</w:t>
      </w:r>
    </w:p>
    <w:p w14:paraId="4B3EE371" w14:textId="77777777" w:rsidR="00987A4C" w:rsidRDefault="00987A4C" w:rsidP="00987A4C">
      <w:pPr>
        <w:spacing w:line="360" w:lineRule="auto"/>
        <w:ind w:left="720" w:hanging="720"/>
        <w:jc w:val="both"/>
        <w:rPr>
          <w:rtl/>
        </w:rPr>
      </w:pPr>
    </w:p>
    <w:p w14:paraId="46A84416" w14:textId="77777777" w:rsidR="00987A4C" w:rsidRDefault="00987A4C" w:rsidP="00987A4C">
      <w:pPr>
        <w:spacing w:line="360" w:lineRule="auto"/>
        <w:ind w:left="720" w:hanging="720"/>
        <w:jc w:val="both"/>
        <w:rPr>
          <w:rFonts w:ascii="David" w:hAnsi="David"/>
          <w:rtl/>
        </w:rPr>
      </w:pPr>
      <w:r>
        <w:rPr>
          <w:rFonts w:ascii="David" w:hAnsi="David"/>
          <w:rtl/>
        </w:rPr>
        <w:t>1</w:t>
      </w:r>
      <w:r>
        <w:rPr>
          <w:rFonts w:ascii="David" w:hAnsi="David" w:hint="cs"/>
          <w:rtl/>
        </w:rPr>
        <w:t>8</w:t>
      </w:r>
      <w:r>
        <w:rPr>
          <w:rFonts w:ascii="David" w:hAnsi="David"/>
          <w:rtl/>
        </w:rPr>
        <w:t>.</w:t>
      </w:r>
      <w:r w:rsidR="00B3264F">
        <w:rPr>
          <w:rFonts w:ascii="David" w:hAnsi="David"/>
          <w:rtl/>
        </w:rPr>
        <w:t xml:space="preserve">       </w:t>
      </w:r>
      <w:r>
        <w:rPr>
          <w:rFonts w:ascii="David" w:hAnsi="David"/>
          <w:rtl/>
        </w:rPr>
        <w:t xml:space="preserve"> </w:t>
      </w:r>
      <w:r>
        <w:rPr>
          <w:rFonts w:ascii="David" w:hAnsi="David" w:hint="cs"/>
          <w:rtl/>
        </w:rPr>
        <w:t xml:space="preserve">עניינו של נתנאל קוזלשטיין שותפו של הנאשם, במסגרתו נדון הוא לצו של"צ בהיקף נרחב, לצד עונשים נלווים, ושגזר דינו הפך חלוט בינתיים, מהווה שיקול נוסף להטלת עונש שיקומי כהמלצת שרות המבחן, זאת בהתאם לעקרון אחידות הענישה אשר נועד להבטיח שוויון ביחס בין נאשמים שביצעו עבירות דומות, שהן חלק מפרשה אחת ונעשו באותן הנסיבות. (ראו: </w:t>
      </w:r>
      <w:hyperlink r:id="rId37" w:history="1">
        <w:r w:rsidR="00B3264F" w:rsidRPr="00B3264F">
          <w:rPr>
            <w:rFonts w:ascii="David" w:hAnsi="David"/>
            <w:color w:val="0000FF"/>
            <w:u w:val="single"/>
            <w:rtl/>
          </w:rPr>
          <w:t>ת"פ 10335-07-17</w:t>
        </w:r>
      </w:hyperlink>
      <w:r>
        <w:rPr>
          <w:rFonts w:ascii="David" w:hAnsi="David" w:hint="cs"/>
          <w:rtl/>
        </w:rPr>
        <w:t xml:space="preserve"> מדינת ישראל נגד נתנאל גדליהו קוזלשטיין, כבוד השופט ש. הרבסט (מיום 22.3.18)).</w:t>
      </w:r>
    </w:p>
    <w:p w14:paraId="4048D842" w14:textId="77777777" w:rsidR="00987A4C" w:rsidRDefault="00987A4C" w:rsidP="00987A4C">
      <w:pPr>
        <w:spacing w:line="360" w:lineRule="auto"/>
        <w:ind w:left="720" w:hanging="720"/>
        <w:jc w:val="both"/>
        <w:rPr>
          <w:rFonts w:ascii="David" w:hAnsi="David"/>
          <w:rtl/>
        </w:rPr>
      </w:pPr>
    </w:p>
    <w:p w14:paraId="459D34C4" w14:textId="77777777" w:rsidR="00987A4C" w:rsidRDefault="00987A4C" w:rsidP="00987A4C">
      <w:pPr>
        <w:spacing w:line="360" w:lineRule="auto"/>
        <w:ind w:left="720" w:hanging="720"/>
        <w:jc w:val="both"/>
        <w:rPr>
          <w:rFonts w:ascii="David" w:hAnsi="David"/>
          <w:rtl/>
        </w:rPr>
      </w:pPr>
      <w:r>
        <w:rPr>
          <w:rFonts w:ascii="David" w:hAnsi="David" w:hint="cs"/>
          <w:rtl/>
        </w:rPr>
        <w:t>19.</w:t>
      </w:r>
      <w:r>
        <w:rPr>
          <w:rFonts w:ascii="David" w:hAnsi="David" w:hint="cs"/>
          <w:rtl/>
        </w:rPr>
        <w:tab/>
      </w:r>
      <w:r w:rsidRPr="006C21A0">
        <w:rPr>
          <w:rFonts w:ascii="David" w:hAnsi="David"/>
          <w:rtl/>
        </w:rPr>
        <w:t>עקרון אחידות הענישה, הנגזר מעיקרון השוויון בפני החוק, מורה על החלת שיקולי ענישה דומים על מי שביצעו עבירות דומות, ובאותן נסיבות</w:t>
      </w:r>
      <w:r>
        <w:rPr>
          <w:rFonts w:ascii="David" w:hAnsi="David" w:hint="cs"/>
          <w:rtl/>
        </w:rPr>
        <w:t>.</w:t>
      </w:r>
    </w:p>
    <w:p w14:paraId="3AFE2669" w14:textId="77777777" w:rsidR="00987A4C" w:rsidRDefault="00987A4C" w:rsidP="00987A4C">
      <w:pPr>
        <w:spacing w:line="360" w:lineRule="auto"/>
        <w:ind w:left="720" w:hanging="720"/>
        <w:jc w:val="both"/>
        <w:rPr>
          <w:rFonts w:ascii="David" w:hAnsi="David"/>
          <w:rtl/>
        </w:rPr>
      </w:pPr>
      <w:r>
        <w:rPr>
          <w:rFonts w:ascii="David" w:hAnsi="David"/>
          <w:rtl/>
        </w:rPr>
        <w:tab/>
      </w:r>
    </w:p>
    <w:p w14:paraId="43145081" w14:textId="77777777" w:rsidR="00987A4C" w:rsidRPr="00987A4C" w:rsidRDefault="00987A4C" w:rsidP="00987A4C">
      <w:pPr>
        <w:spacing w:line="360" w:lineRule="auto"/>
        <w:ind w:left="720"/>
        <w:jc w:val="both"/>
        <w:rPr>
          <w:rFonts w:cs="Times New Roman"/>
          <w:rtl/>
        </w:rPr>
      </w:pPr>
      <w:r w:rsidRPr="00987A4C">
        <w:rPr>
          <w:rFonts w:cs="Times New Roman"/>
          <w:rtl/>
        </w:rPr>
        <w:t xml:space="preserve">"...עקרון זה מורה כי יש להחיל שיקולי ענישה דומים על מי שביצעו עבירות דומות במהותן, </w:t>
      </w:r>
    </w:p>
    <w:p w14:paraId="7D612DD7" w14:textId="77777777" w:rsidR="00987A4C" w:rsidRPr="00987A4C" w:rsidRDefault="00987A4C" w:rsidP="00987A4C">
      <w:pPr>
        <w:spacing w:line="360" w:lineRule="auto"/>
        <w:ind w:left="720"/>
        <w:jc w:val="both"/>
        <w:rPr>
          <w:rFonts w:cs="Times New Roman"/>
          <w:rtl/>
        </w:rPr>
      </w:pPr>
      <w:r w:rsidRPr="00987A4C">
        <w:rPr>
          <w:rFonts w:cs="Times New Roman"/>
          <w:rtl/>
        </w:rPr>
        <w:t xml:space="preserve">בנסיבות דומות ובעלי נסיבות אישיות דומות. עקרון </w:t>
      </w:r>
      <w:r w:rsidRPr="00987A4C">
        <w:rPr>
          <w:rFonts w:cs="Times New Roman" w:hint="cs"/>
          <w:rtl/>
        </w:rPr>
        <w:t xml:space="preserve"> </w:t>
      </w:r>
      <w:r w:rsidRPr="00987A4C">
        <w:rPr>
          <w:rFonts w:cs="Times New Roman"/>
          <w:rtl/>
        </w:rPr>
        <w:t xml:space="preserve">זה מקבל </w:t>
      </w:r>
      <w:r w:rsidRPr="00987A4C">
        <w:rPr>
          <w:rFonts w:cs="Times New Roman" w:hint="cs"/>
          <w:rtl/>
        </w:rPr>
        <w:t xml:space="preserve">  </w:t>
      </w:r>
      <w:r w:rsidRPr="00987A4C">
        <w:rPr>
          <w:rFonts w:cs="Times New Roman"/>
          <w:rtl/>
        </w:rPr>
        <w:t xml:space="preserve">משנה חשיבות כאשר מדובר </w:t>
      </w:r>
    </w:p>
    <w:p w14:paraId="14288E2A" w14:textId="77777777" w:rsidR="00987A4C" w:rsidRPr="00987A4C" w:rsidRDefault="00987A4C" w:rsidP="00987A4C">
      <w:pPr>
        <w:spacing w:line="360" w:lineRule="auto"/>
        <w:ind w:left="720"/>
        <w:jc w:val="both"/>
        <w:rPr>
          <w:rFonts w:cs="Times New Roman"/>
          <w:rtl/>
        </w:rPr>
      </w:pPr>
      <w:r w:rsidRPr="00987A4C">
        <w:rPr>
          <w:rFonts w:cs="Times New Roman"/>
          <w:rtl/>
        </w:rPr>
        <w:t xml:space="preserve">בנאשמים שונים המורשעים בגדרה של אותה </w:t>
      </w:r>
      <w:r w:rsidRPr="00987A4C">
        <w:rPr>
          <w:rFonts w:cs="Times New Roman" w:hint="cs"/>
          <w:rtl/>
        </w:rPr>
        <w:t xml:space="preserve"> </w:t>
      </w:r>
      <w:r w:rsidRPr="00987A4C">
        <w:rPr>
          <w:rFonts w:cs="Times New Roman"/>
          <w:rtl/>
        </w:rPr>
        <w:t>פרשה. במצב דברים</w:t>
      </w:r>
      <w:r w:rsidRPr="00987A4C">
        <w:rPr>
          <w:rFonts w:cs="Times New Roman" w:hint="cs"/>
          <w:rtl/>
        </w:rPr>
        <w:t xml:space="preserve"> </w:t>
      </w:r>
      <w:r w:rsidRPr="00987A4C">
        <w:rPr>
          <w:rFonts w:cs="Times New Roman"/>
          <w:rtl/>
        </w:rPr>
        <w:t xml:space="preserve"> זה מצדד </w:t>
      </w:r>
      <w:r w:rsidRPr="00987A4C">
        <w:rPr>
          <w:rFonts w:cs="Times New Roman" w:hint="cs"/>
          <w:rtl/>
        </w:rPr>
        <w:t xml:space="preserve"> </w:t>
      </w:r>
      <w:r w:rsidRPr="00987A4C">
        <w:rPr>
          <w:rFonts w:cs="Times New Roman"/>
          <w:rtl/>
        </w:rPr>
        <w:t xml:space="preserve">עקרון אחידות </w:t>
      </w:r>
    </w:p>
    <w:p w14:paraId="72E29AE0" w14:textId="77777777" w:rsidR="00987A4C" w:rsidRPr="00987A4C" w:rsidRDefault="00987A4C" w:rsidP="00987A4C">
      <w:pPr>
        <w:spacing w:line="360" w:lineRule="auto"/>
        <w:ind w:left="720"/>
        <w:jc w:val="both"/>
        <w:rPr>
          <w:rFonts w:cs="Times New Roman"/>
          <w:rtl/>
        </w:rPr>
      </w:pPr>
      <w:r w:rsidRPr="00987A4C">
        <w:rPr>
          <w:rFonts w:cs="Times New Roman"/>
          <w:rtl/>
        </w:rPr>
        <w:t xml:space="preserve">הענישה בהטלת עונשים דומים על מי שביצעו מעשים דומים וכן בשמירה על יחס של שקילות </w:t>
      </w:r>
    </w:p>
    <w:p w14:paraId="7A5C775C" w14:textId="77777777" w:rsidR="00987A4C" w:rsidRPr="00987A4C" w:rsidRDefault="00987A4C" w:rsidP="00987A4C">
      <w:pPr>
        <w:spacing w:line="360" w:lineRule="auto"/>
        <w:ind w:left="720"/>
        <w:jc w:val="both"/>
        <w:rPr>
          <w:rFonts w:cs="Times New Roman"/>
          <w:rtl/>
        </w:rPr>
      </w:pPr>
      <w:r w:rsidRPr="00987A4C">
        <w:rPr>
          <w:rFonts w:cs="Times New Roman"/>
          <w:rtl/>
        </w:rPr>
        <w:t xml:space="preserve">בין </w:t>
      </w:r>
      <w:r w:rsidRPr="00987A4C">
        <w:rPr>
          <w:rFonts w:cs="Times New Roman" w:hint="cs"/>
          <w:rtl/>
        </w:rPr>
        <w:t xml:space="preserve"> </w:t>
      </w:r>
      <w:r w:rsidRPr="00987A4C">
        <w:rPr>
          <w:rFonts w:cs="Times New Roman"/>
          <w:rtl/>
        </w:rPr>
        <w:t xml:space="preserve">מבצעיהם </w:t>
      </w:r>
      <w:r w:rsidRPr="00987A4C">
        <w:rPr>
          <w:rFonts w:cs="Times New Roman" w:hint="cs"/>
          <w:rtl/>
        </w:rPr>
        <w:t xml:space="preserve"> </w:t>
      </w:r>
      <w:r w:rsidRPr="00987A4C">
        <w:rPr>
          <w:rFonts w:cs="Times New Roman"/>
          <w:rtl/>
        </w:rPr>
        <w:t>של מעשים הנבדלים ז</w:t>
      </w:r>
      <w:r w:rsidRPr="00987A4C">
        <w:rPr>
          <w:rFonts w:cs="Times New Roman" w:hint="cs"/>
          <w:rtl/>
        </w:rPr>
        <w:t xml:space="preserve"> </w:t>
      </w:r>
      <w:r w:rsidRPr="00987A4C">
        <w:rPr>
          <w:rFonts w:cs="Times New Roman"/>
          <w:rtl/>
        </w:rPr>
        <w:t xml:space="preserve">ה מזה </w:t>
      </w:r>
      <w:r w:rsidRPr="00987A4C">
        <w:rPr>
          <w:rFonts w:cs="Times New Roman" w:hint="cs"/>
          <w:rtl/>
        </w:rPr>
        <w:t xml:space="preserve"> </w:t>
      </w:r>
      <w:r w:rsidRPr="00987A4C">
        <w:rPr>
          <w:rFonts w:cs="Times New Roman"/>
          <w:rtl/>
        </w:rPr>
        <w:t xml:space="preserve">במניינם, חומרתם </w:t>
      </w:r>
      <w:r w:rsidRPr="00987A4C">
        <w:rPr>
          <w:rFonts w:cs="Times New Roman" w:hint="cs"/>
          <w:rtl/>
        </w:rPr>
        <w:t xml:space="preserve"> </w:t>
      </w:r>
      <w:r w:rsidRPr="00987A4C">
        <w:rPr>
          <w:rFonts w:cs="Times New Roman"/>
          <w:rtl/>
        </w:rPr>
        <w:t xml:space="preserve">או בנסיבותיו </w:t>
      </w:r>
      <w:r w:rsidRPr="00987A4C">
        <w:rPr>
          <w:rFonts w:cs="Times New Roman" w:hint="cs"/>
          <w:rtl/>
        </w:rPr>
        <w:t xml:space="preserve"> </w:t>
      </w:r>
      <w:r w:rsidRPr="00987A4C">
        <w:rPr>
          <w:rFonts w:cs="Times New Roman"/>
          <w:rtl/>
        </w:rPr>
        <w:t xml:space="preserve">האישיות של </w:t>
      </w:r>
    </w:p>
    <w:p w14:paraId="485C0B84" w14:textId="77777777" w:rsidR="00987A4C" w:rsidRPr="00987A4C" w:rsidRDefault="00987A4C" w:rsidP="00987A4C">
      <w:pPr>
        <w:spacing w:line="360" w:lineRule="auto"/>
        <w:ind w:left="720"/>
        <w:jc w:val="both"/>
        <w:rPr>
          <w:rFonts w:cs="Times New Roman"/>
          <w:rtl/>
        </w:rPr>
      </w:pPr>
      <w:r w:rsidRPr="00987A4C">
        <w:rPr>
          <w:rFonts w:cs="Times New Roman"/>
          <w:rtl/>
        </w:rPr>
        <w:t>המבצע "</w:t>
      </w:r>
    </w:p>
    <w:p w14:paraId="0E32B3FA" w14:textId="77777777" w:rsidR="00987A4C" w:rsidRPr="00987A4C" w:rsidRDefault="00987A4C" w:rsidP="00987A4C">
      <w:pPr>
        <w:spacing w:line="360" w:lineRule="auto"/>
        <w:ind w:left="720"/>
        <w:jc w:val="both"/>
        <w:rPr>
          <w:rFonts w:cs="Times New Roman"/>
          <w:rtl/>
        </w:rPr>
      </w:pPr>
      <w:r w:rsidRPr="00987A4C">
        <w:rPr>
          <w:rFonts w:cs="Times New Roman"/>
          <w:rtl/>
        </w:rPr>
        <w:t>(</w:t>
      </w:r>
      <w:hyperlink r:id="rId38" w:history="1">
        <w:r w:rsidR="00B3264F" w:rsidRPr="00B3264F">
          <w:rPr>
            <w:rFonts w:cs="Times New Roman"/>
            <w:color w:val="0000FF"/>
            <w:u w:val="single"/>
            <w:rtl/>
          </w:rPr>
          <w:t>ע"פ 2580/14</w:t>
        </w:r>
      </w:hyperlink>
      <w:r w:rsidRPr="00987A4C">
        <w:rPr>
          <w:rFonts w:cs="Times New Roman"/>
          <w:rtl/>
        </w:rPr>
        <w:t xml:space="preserve"> אבו ליל חסן נגד מדינת ישראל (מיום 23.9.14), </w:t>
      </w:r>
      <w:hyperlink r:id="rId39" w:history="1">
        <w:r w:rsidR="00B3264F" w:rsidRPr="00B3264F">
          <w:rPr>
            <w:rFonts w:cs="Times New Roman"/>
            <w:color w:val="0000FF"/>
            <w:u w:val="single"/>
            <w:rtl/>
          </w:rPr>
          <w:t>רע"פ 4600/12</w:t>
        </w:r>
      </w:hyperlink>
      <w:r w:rsidRPr="00987A4C">
        <w:rPr>
          <w:rFonts w:cs="Times New Roman"/>
          <w:rtl/>
        </w:rPr>
        <w:t xml:space="preserve"> יאשייב נ' מדינת ישראל (13.6.2012).</w:t>
      </w:r>
    </w:p>
    <w:p w14:paraId="4A2F3C4F" w14:textId="77777777" w:rsidR="00987A4C" w:rsidRDefault="00987A4C" w:rsidP="00987A4C">
      <w:pPr>
        <w:spacing w:line="360" w:lineRule="auto"/>
        <w:ind w:left="720"/>
        <w:jc w:val="both"/>
        <w:rPr>
          <w:rtl/>
        </w:rPr>
      </w:pPr>
    </w:p>
    <w:p w14:paraId="11298F46" w14:textId="77777777" w:rsidR="00987A4C" w:rsidRDefault="00987A4C" w:rsidP="00987A4C">
      <w:pPr>
        <w:pStyle w:val="1"/>
        <w:shd w:val="clear" w:color="auto" w:fill="FFFFFF"/>
        <w:bidi/>
        <w:spacing w:before="120" w:beforeAutospacing="0" w:after="60" w:afterAutospacing="0" w:line="360" w:lineRule="auto"/>
        <w:ind w:left="720" w:right="994"/>
        <w:jc w:val="both"/>
        <w:rPr>
          <w:rtl/>
        </w:rPr>
      </w:pPr>
      <w:r w:rsidRPr="00B91C7A">
        <w:rPr>
          <w:rFonts w:cs="David" w:hint="cs"/>
          <w:rtl/>
        </w:rPr>
        <w:t>וראו גם:</w:t>
      </w:r>
      <w:r>
        <w:rPr>
          <w:rFonts w:hint="cs"/>
          <w:rtl/>
        </w:rPr>
        <w:t xml:space="preserve"> </w:t>
      </w:r>
      <w:hyperlink r:id="rId40" w:history="1">
        <w:r w:rsidR="00B3264F" w:rsidRPr="00B3264F">
          <w:rPr>
            <w:color w:val="0000FF"/>
            <w:u w:val="single"/>
            <w:rtl/>
          </w:rPr>
          <w:t>ע"פ 493/88 וותד נ' מדינת ישראל נ' מדינת ישראל, פ"ד מד</w:t>
        </w:r>
      </w:hyperlink>
      <w:r>
        <w:rPr>
          <w:rFonts w:hint="cs"/>
          <w:rtl/>
        </w:rPr>
        <w:t>(3) 133, 137 (1989).</w:t>
      </w:r>
    </w:p>
    <w:p w14:paraId="026A2B7A" w14:textId="77777777" w:rsidR="00987A4C" w:rsidRPr="00987A4C" w:rsidRDefault="00987A4C" w:rsidP="00987A4C">
      <w:pPr>
        <w:pStyle w:val="1"/>
        <w:shd w:val="clear" w:color="auto" w:fill="FFFFFF"/>
        <w:bidi/>
        <w:spacing w:before="120" w:beforeAutospacing="0" w:after="60" w:afterAutospacing="0" w:line="360" w:lineRule="auto"/>
        <w:ind w:left="720" w:right="994"/>
        <w:jc w:val="both"/>
        <w:rPr>
          <w:color w:val="000000"/>
          <w:rtl/>
        </w:rPr>
      </w:pPr>
      <w:r w:rsidRPr="00987A4C">
        <w:rPr>
          <w:color w:val="000000"/>
          <w:rtl/>
        </w:rPr>
        <w:t>עקרון אחידות הענישה</w:t>
      </w:r>
      <w:r w:rsidR="00B3264F">
        <w:rPr>
          <w:color w:val="000000"/>
          <w:rtl/>
        </w:rPr>
        <w:t xml:space="preserve"> </w:t>
      </w:r>
      <w:r w:rsidRPr="00987A4C">
        <w:rPr>
          <w:color w:val="000000"/>
          <w:rtl/>
        </w:rPr>
        <w:t>הוא בעל חשיבות רבה במשפטנו. הוא משקף את ערכי השוויון, ההגינות והצדק, ואף את האינטרס לשמור על אמון הציבור בהליך הפלילי ובמערכת המשפט. במהלך הדיון, הדגישו הסנגורים כי יש "להחיל את עיקרון אחידות הענישה</w:t>
      </w:r>
      <w:r w:rsidR="00B3264F">
        <w:rPr>
          <w:color w:val="000000"/>
          <w:rtl/>
        </w:rPr>
        <w:t xml:space="preserve"> </w:t>
      </w:r>
      <w:r w:rsidRPr="00987A4C">
        <w:rPr>
          <w:color w:val="000000"/>
          <w:rtl/>
        </w:rPr>
        <w:t>גם במקרה כזה בו ניתנו גזרי דין על ידי שני מותבים שונים. דעה זו מקובלת עלינו. המבחן הוא אם עסקינן בסיפור מעשה אחד. אין זה אומר, כמובן, שכל ה"שחקנים" בסיפור אמורים לקבל את אותו העונש – ודאי שלא. יש לבחון את נסיבות העושה והמעשה. ברם, נקודה חשובה היא היחס בין עונשם של המעורבים במקרה על פי חומרת השתתפותם היחסית. האירוע המשותף מגביר את הצורך לבנות ענישה ראויה, הן כלפי הנאשם המסוים והן בהתחשב ביחס בינו לבין משתתפים אחרים. ודוק, עיקרון אחידות הענישה איננו כלל הכרעה סופי ומוחלט, מין "סרגל מכאני" שממנו אין לסטות"</w:t>
      </w:r>
    </w:p>
    <w:p w14:paraId="3E129FE4" w14:textId="77777777" w:rsidR="00987A4C" w:rsidRDefault="00987A4C" w:rsidP="00987A4C">
      <w:pPr>
        <w:pStyle w:val="ruller5"/>
        <w:shd w:val="clear" w:color="auto" w:fill="FFFFFF"/>
        <w:bidi/>
        <w:spacing w:before="0" w:beforeAutospacing="0" w:after="0" w:afterAutospacing="0" w:line="360" w:lineRule="auto"/>
        <w:jc w:val="both"/>
        <w:rPr>
          <w:rFonts w:ascii="David" w:hAnsi="David" w:cs="David"/>
          <w:b/>
          <w:bCs/>
          <w:color w:val="000000"/>
          <w:spacing w:val="10"/>
          <w:rtl/>
        </w:rPr>
      </w:pPr>
    </w:p>
    <w:p w14:paraId="6B8CCCFD" w14:textId="77777777" w:rsidR="00987A4C" w:rsidRDefault="00987A4C" w:rsidP="00987A4C">
      <w:pPr>
        <w:spacing w:line="360" w:lineRule="auto"/>
        <w:ind w:left="720" w:hanging="720"/>
        <w:rPr>
          <w:rtl/>
        </w:rPr>
      </w:pPr>
      <w:r>
        <w:rPr>
          <w:rFonts w:ascii="David" w:hAnsi="David"/>
          <w:b/>
          <w:bCs/>
          <w:u w:val="single"/>
          <w:rtl/>
        </w:rPr>
        <w:t>גזירת העונש המתאים לנאשם</w:t>
      </w:r>
      <w:r w:rsidRPr="004336DD">
        <w:rPr>
          <w:rFonts w:ascii="David" w:hAnsi="David" w:hint="cs"/>
          <w:b/>
          <w:bCs/>
          <w:rtl/>
        </w:rPr>
        <w:t>:</w:t>
      </w:r>
    </w:p>
    <w:p w14:paraId="13A0EA9E" w14:textId="77777777" w:rsidR="00987A4C" w:rsidRPr="004336DD" w:rsidRDefault="00987A4C" w:rsidP="00987A4C">
      <w:pPr>
        <w:spacing w:line="360" w:lineRule="auto"/>
        <w:ind w:left="720" w:hanging="720"/>
        <w:rPr>
          <w:rtl/>
        </w:rPr>
      </w:pPr>
    </w:p>
    <w:p w14:paraId="1F5567AC" w14:textId="77777777" w:rsidR="00987A4C" w:rsidRDefault="00987A4C" w:rsidP="00987A4C">
      <w:pPr>
        <w:spacing w:line="360" w:lineRule="auto"/>
        <w:ind w:left="720" w:hanging="720"/>
        <w:jc w:val="both"/>
        <w:rPr>
          <w:rtl/>
        </w:rPr>
      </w:pPr>
      <w:r>
        <w:rPr>
          <w:rFonts w:ascii="David" w:hAnsi="David" w:hint="cs"/>
          <w:rtl/>
        </w:rPr>
        <w:t>20</w:t>
      </w:r>
      <w:r>
        <w:rPr>
          <w:rFonts w:ascii="David" w:hAnsi="David"/>
          <w:rtl/>
        </w:rPr>
        <w:t>.</w:t>
      </w:r>
      <w:r w:rsidR="00B3264F">
        <w:rPr>
          <w:rFonts w:ascii="David" w:hAnsi="David"/>
          <w:rtl/>
        </w:rPr>
        <w:t xml:space="preserve">       </w:t>
      </w:r>
      <w:r>
        <w:rPr>
          <w:rFonts w:ascii="David" w:hAnsi="David"/>
          <w:rtl/>
        </w:rPr>
        <w:t xml:space="preserve"> בגזירת העונש המתאים לנאשם, יש להתחשב בנסיבות שאינן קשורות בביצוע העבירה</w:t>
      </w:r>
      <w:r>
        <w:rPr>
          <w:rFonts w:ascii="David" w:hAnsi="David" w:hint="cs"/>
          <w:rtl/>
        </w:rPr>
        <w:t xml:space="preserve"> (</w:t>
      </w:r>
      <w:hyperlink r:id="rId41" w:history="1">
        <w:r w:rsidR="002044AD" w:rsidRPr="002044AD">
          <w:rPr>
            <w:rStyle w:val="Hyperlink"/>
            <w:rFonts w:ascii="David" w:hAnsi="David" w:hint="eastAsia"/>
            <w:color w:val="0000FF"/>
            <w:rtl/>
          </w:rPr>
          <w:t>סעיף</w:t>
        </w:r>
        <w:r w:rsidR="002044AD" w:rsidRPr="002044AD">
          <w:rPr>
            <w:rStyle w:val="Hyperlink"/>
            <w:rFonts w:ascii="David" w:hAnsi="David"/>
            <w:color w:val="0000FF"/>
            <w:rtl/>
          </w:rPr>
          <w:t xml:space="preserve"> 40 יא'</w:t>
        </w:r>
      </w:hyperlink>
      <w:r>
        <w:rPr>
          <w:rFonts w:ascii="David" w:hAnsi="David" w:hint="cs"/>
          <w:rtl/>
        </w:rPr>
        <w:t>)</w:t>
      </w:r>
      <w:r>
        <w:rPr>
          <w:rFonts w:ascii="David" w:hAnsi="David"/>
          <w:rtl/>
        </w:rPr>
        <w:t xml:space="preserve">. במסגרת זו מן הראוי לתת את הדעת לנסיבות הבאות: </w:t>
      </w:r>
      <w:r w:rsidRPr="000643A2">
        <w:rPr>
          <w:rFonts w:ascii="David" w:hAnsi="David" w:hint="cs"/>
          <w:rtl/>
        </w:rPr>
        <w:t xml:space="preserve">הנאשם כבן 34, רווק, הודה בבית משפט בעבירות שיחסו לו והוא נעדר עבר פלילי. הבאתי בחשבון גם </w:t>
      </w:r>
      <w:r>
        <w:rPr>
          <w:rFonts w:ascii="David" w:hAnsi="David" w:hint="cs"/>
          <w:rtl/>
        </w:rPr>
        <w:t xml:space="preserve">חלוף הזמן מעת ביצוע העבירות, וכן, ובעיקר </w:t>
      </w:r>
      <w:r w:rsidRPr="000643A2">
        <w:rPr>
          <w:rFonts w:ascii="David" w:hAnsi="David" w:hint="cs"/>
          <w:rtl/>
        </w:rPr>
        <w:t>את התרשמותו של שרות המבחן לכך ש</w:t>
      </w:r>
      <w:r>
        <w:rPr>
          <w:rFonts w:ascii="David" w:hAnsi="David" w:hint="cs"/>
          <w:rtl/>
        </w:rPr>
        <w:t xml:space="preserve">הרקע בו צמח הנאשם הינו מורכב מאוד, ולמרות זאת וקשיים נוספים עמם נאלץ הוא להתמודד, הנאשם סיים את לימודיו התגייס לשרות צבאי אותו השלים, ומגלה לאורך זמן יציבות </w:t>
      </w:r>
      <w:r w:rsidRPr="000643A2">
        <w:rPr>
          <w:rFonts w:ascii="David" w:hAnsi="David" w:hint="cs"/>
          <w:rtl/>
        </w:rPr>
        <w:t>תעסוקתי</w:t>
      </w:r>
      <w:r>
        <w:rPr>
          <w:rFonts w:ascii="David" w:hAnsi="David" w:hint="cs"/>
          <w:rtl/>
        </w:rPr>
        <w:t xml:space="preserve">ת. הנאשם כאמור סיים את הטיפול בקבוצה הטיפולית בה נטל חלק במסגרת שירות המבחן, וכן שולב בטיפול הפרטני החל מינואר 2019, טיפול בו הוא עודנו נמצא. </w:t>
      </w:r>
      <w:r>
        <w:rPr>
          <w:rFonts w:hint="cs"/>
          <w:rtl/>
        </w:rPr>
        <w:t xml:space="preserve">להתרשמות שרות המבחן וכן מעסיקתו שהעידה בפניי, הנאשם ערך שינוי חיובי בחייו והוא עושה כעת מאמץ לחזור למוטב ולהציב את חייו על מסלול תקין. </w:t>
      </w:r>
    </w:p>
    <w:p w14:paraId="2A76F4C6" w14:textId="77777777" w:rsidR="00987A4C" w:rsidRDefault="00987A4C" w:rsidP="00987A4C">
      <w:pPr>
        <w:spacing w:line="360" w:lineRule="auto"/>
        <w:ind w:left="720" w:hanging="720"/>
        <w:jc w:val="both"/>
      </w:pPr>
      <w:r>
        <w:rPr>
          <w:rFonts w:hint="cs"/>
          <w:rtl/>
        </w:rPr>
        <w:t xml:space="preserve"> </w:t>
      </w:r>
    </w:p>
    <w:p w14:paraId="309907C1" w14:textId="77777777" w:rsidR="00987A4C" w:rsidRDefault="00987A4C" w:rsidP="00987A4C">
      <w:pPr>
        <w:spacing w:line="360" w:lineRule="auto"/>
        <w:ind w:left="720" w:hanging="720"/>
        <w:jc w:val="both"/>
        <w:rPr>
          <w:rtl/>
        </w:rPr>
      </w:pPr>
      <w:r>
        <w:rPr>
          <w:rFonts w:ascii="David" w:hAnsi="David" w:hint="cs"/>
          <w:rtl/>
        </w:rPr>
        <w:t>21</w:t>
      </w:r>
      <w:r>
        <w:rPr>
          <w:rFonts w:ascii="David" w:hAnsi="David"/>
          <w:rtl/>
        </w:rPr>
        <w:t>.</w:t>
      </w:r>
      <w:r w:rsidR="00B3264F">
        <w:rPr>
          <w:rFonts w:ascii="David" w:hAnsi="David"/>
          <w:rtl/>
        </w:rPr>
        <w:t xml:space="preserve">       </w:t>
      </w:r>
      <w:r>
        <w:rPr>
          <w:rFonts w:ascii="David" w:hAnsi="David"/>
          <w:rtl/>
        </w:rPr>
        <w:t xml:space="preserve"> </w:t>
      </w:r>
      <w:r>
        <w:rPr>
          <w:rFonts w:ascii="David" w:hAnsi="David"/>
          <w:color w:val="000000"/>
          <w:rtl/>
        </w:rPr>
        <w:t>באיזון בין השיקולים השונים, אני סבור כי ישנו מקום לגזור במקרה זה עונש אשר סוטה לקולא ממתחם העונש באופן שלא יפגע בסיכויי השיקום של הנאשם ויאפשר לו לה</w:t>
      </w:r>
      <w:r>
        <w:rPr>
          <w:rFonts w:ascii="David" w:hAnsi="David" w:hint="cs"/>
          <w:color w:val="000000"/>
          <w:rtl/>
        </w:rPr>
        <w:t>ציב</w:t>
      </w:r>
      <w:r>
        <w:rPr>
          <w:rFonts w:ascii="David" w:hAnsi="David"/>
          <w:color w:val="000000"/>
          <w:rtl/>
        </w:rPr>
        <w:t xml:space="preserve"> את חייו</w:t>
      </w:r>
      <w:r>
        <w:rPr>
          <w:rFonts w:ascii="David" w:hAnsi="David" w:hint="cs"/>
          <w:color w:val="000000"/>
          <w:rtl/>
        </w:rPr>
        <w:t xml:space="preserve"> ב</w:t>
      </w:r>
      <w:r>
        <w:rPr>
          <w:rFonts w:ascii="David" w:hAnsi="David"/>
          <w:color w:val="000000"/>
          <w:rtl/>
        </w:rPr>
        <w:t xml:space="preserve">מסלול נורמטיבי ותקין. </w:t>
      </w:r>
    </w:p>
    <w:p w14:paraId="79CB36F3" w14:textId="77777777" w:rsidR="00987A4C" w:rsidRDefault="00B3264F" w:rsidP="00987A4C">
      <w:pPr>
        <w:spacing w:line="360" w:lineRule="auto"/>
        <w:ind w:left="720" w:hanging="720"/>
        <w:jc w:val="both"/>
        <w:rPr>
          <w:rtl/>
        </w:rPr>
      </w:pPr>
      <w:r>
        <w:rPr>
          <w:rFonts w:ascii="David" w:hAnsi="David"/>
          <w:rtl/>
        </w:rPr>
        <w:t xml:space="preserve"> </w:t>
      </w:r>
    </w:p>
    <w:p w14:paraId="0407FF31" w14:textId="77777777" w:rsidR="00987A4C" w:rsidRDefault="00987A4C" w:rsidP="00987A4C">
      <w:pPr>
        <w:spacing w:line="360" w:lineRule="auto"/>
        <w:ind w:left="360" w:right="142"/>
        <w:jc w:val="both"/>
        <w:rPr>
          <w:rFonts w:ascii="David" w:hAnsi="David"/>
          <w:rtl/>
        </w:rPr>
      </w:pPr>
      <w:r w:rsidRPr="000643A2">
        <w:rPr>
          <w:rFonts w:ascii="David" w:hAnsi="David" w:hint="cs"/>
          <w:rtl/>
        </w:rPr>
        <w:t>אשר על כן אני גוזר על הנאשם את העונשים הבאים:</w:t>
      </w:r>
    </w:p>
    <w:p w14:paraId="41D5B878" w14:textId="77777777" w:rsidR="00987A4C" w:rsidRDefault="00987A4C" w:rsidP="00987A4C">
      <w:pPr>
        <w:spacing w:line="360" w:lineRule="auto"/>
        <w:ind w:left="360" w:right="142"/>
        <w:jc w:val="both"/>
        <w:rPr>
          <w:rFonts w:ascii="David" w:hAnsi="David"/>
          <w:rtl/>
        </w:rPr>
      </w:pPr>
    </w:p>
    <w:p w14:paraId="3F1299E0" w14:textId="77777777" w:rsidR="00987A4C" w:rsidRDefault="00987A4C" w:rsidP="00987A4C">
      <w:pPr>
        <w:spacing w:line="360" w:lineRule="auto"/>
        <w:ind w:left="720" w:right="142" w:hanging="360"/>
        <w:jc w:val="both"/>
        <w:rPr>
          <w:rFonts w:ascii="David" w:hAnsi="David"/>
          <w:rtl/>
        </w:rPr>
      </w:pPr>
      <w:r>
        <w:rPr>
          <w:rFonts w:ascii="David" w:hAnsi="David" w:hint="cs"/>
          <w:rtl/>
        </w:rPr>
        <w:t>1</w:t>
      </w:r>
      <w:r w:rsidRPr="009E4FEF">
        <w:rPr>
          <w:rFonts w:ascii="David" w:hAnsi="David" w:hint="cs"/>
          <w:rtl/>
        </w:rPr>
        <w:t>.</w:t>
      </w:r>
      <w:r w:rsidRPr="009E4FEF">
        <w:rPr>
          <w:rFonts w:ascii="David" w:hAnsi="David"/>
          <w:rtl/>
        </w:rPr>
        <w:tab/>
      </w:r>
      <w:r w:rsidRPr="009E4FEF">
        <w:rPr>
          <w:rFonts w:ascii="David" w:hAnsi="David" w:hint="cs"/>
          <w:rtl/>
        </w:rPr>
        <w:t xml:space="preserve">מאסר למשך 6 חודשים </w:t>
      </w:r>
      <w:r>
        <w:rPr>
          <w:rFonts w:ascii="David" w:hAnsi="David" w:hint="cs"/>
          <w:rtl/>
        </w:rPr>
        <w:t>אשר אותם לא ירצה הנאשם, א</w:t>
      </w:r>
      <w:r w:rsidRPr="009E4FEF">
        <w:rPr>
          <w:rFonts w:ascii="David" w:hAnsi="David" w:hint="cs"/>
          <w:rtl/>
        </w:rPr>
        <w:t xml:space="preserve">לא </w:t>
      </w:r>
      <w:r>
        <w:rPr>
          <w:rFonts w:ascii="David" w:hAnsi="David" w:hint="cs"/>
          <w:rtl/>
        </w:rPr>
        <w:t xml:space="preserve">אם </w:t>
      </w:r>
      <w:r w:rsidRPr="009E4FEF">
        <w:rPr>
          <w:rFonts w:ascii="David" w:hAnsi="David" w:hint="cs"/>
          <w:rtl/>
        </w:rPr>
        <w:t xml:space="preserve">יעבור </w:t>
      </w:r>
      <w:r>
        <w:rPr>
          <w:rFonts w:ascii="David" w:hAnsi="David" w:hint="cs"/>
          <w:rtl/>
        </w:rPr>
        <w:t>תוך שלוש שנים על כל עבירת פשע לפי פקודת הסמים</w:t>
      </w:r>
      <w:r w:rsidRPr="009E4FEF">
        <w:rPr>
          <w:rFonts w:ascii="David" w:hAnsi="David" w:hint="cs"/>
          <w:rtl/>
        </w:rPr>
        <w:t>.</w:t>
      </w:r>
    </w:p>
    <w:p w14:paraId="47A60EC0" w14:textId="77777777" w:rsidR="00987A4C" w:rsidRPr="009E4FEF" w:rsidRDefault="00987A4C" w:rsidP="00987A4C">
      <w:pPr>
        <w:spacing w:line="360" w:lineRule="auto"/>
        <w:ind w:left="720" w:right="142" w:hanging="360"/>
        <w:jc w:val="both"/>
        <w:rPr>
          <w:rFonts w:ascii="David" w:hAnsi="David"/>
          <w:rtl/>
        </w:rPr>
      </w:pPr>
      <w:r>
        <w:rPr>
          <w:rFonts w:ascii="David" w:hAnsi="David" w:hint="cs"/>
          <w:rtl/>
        </w:rPr>
        <w:t>2.</w:t>
      </w:r>
      <w:r w:rsidRPr="009E4FEF">
        <w:rPr>
          <w:rFonts w:hint="cs"/>
          <w:rtl/>
        </w:rPr>
        <w:tab/>
        <w:t xml:space="preserve">מאסר למשך 3 </w:t>
      </w:r>
      <w:r w:rsidRPr="009E4FEF">
        <w:rPr>
          <w:rtl/>
        </w:rPr>
        <w:t>חודשי</w:t>
      </w:r>
      <w:r w:rsidRPr="009E4FEF">
        <w:rPr>
          <w:rFonts w:hint="cs"/>
          <w:rtl/>
        </w:rPr>
        <w:t>ם</w:t>
      </w:r>
      <w:r w:rsidRPr="009E4FEF">
        <w:rPr>
          <w:rtl/>
        </w:rPr>
        <w:t xml:space="preserve"> אשר אותם לא ירצה הנאשם, אלא אם יעבור תוך שלוש שנים  מיום שחרורו ממאסרו על כל עבירת עוון לפי</w:t>
      </w:r>
      <w:r w:rsidRPr="009E4FEF">
        <w:rPr>
          <w:rFonts w:hint="cs"/>
          <w:rtl/>
        </w:rPr>
        <w:t xml:space="preserve"> פקודת הסמים</w:t>
      </w:r>
    </w:p>
    <w:p w14:paraId="4890B690" w14:textId="77777777" w:rsidR="00987A4C" w:rsidRPr="009E4FEF" w:rsidRDefault="00987A4C" w:rsidP="00987A4C">
      <w:pPr>
        <w:spacing w:line="360" w:lineRule="auto"/>
        <w:ind w:left="720" w:right="142" w:hanging="360"/>
        <w:jc w:val="both"/>
        <w:rPr>
          <w:rFonts w:ascii="David" w:hAnsi="David"/>
          <w:rtl/>
        </w:rPr>
      </w:pPr>
      <w:r>
        <w:rPr>
          <w:rFonts w:ascii="David" w:hAnsi="David" w:hint="cs"/>
          <w:rtl/>
        </w:rPr>
        <w:t>3.</w:t>
      </w:r>
      <w:r>
        <w:rPr>
          <w:rFonts w:ascii="David" w:hAnsi="David" w:hint="cs"/>
          <w:rtl/>
        </w:rPr>
        <w:tab/>
        <w:t>צו של"צ בהיקף 450 שעות במסגרת "בית הקהילה" בית אבות לנשים בירושלים, בתפקיד מדריך כושר ומורה להתעמלות. הפיקוח ייעשה על ידי שרות המבחן.</w:t>
      </w:r>
    </w:p>
    <w:p w14:paraId="72B891D8" w14:textId="77777777" w:rsidR="00987A4C" w:rsidRPr="009E4FEF" w:rsidRDefault="00987A4C" w:rsidP="00987A4C">
      <w:pPr>
        <w:spacing w:line="360" w:lineRule="auto"/>
        <w:ind w:left="720" w:right="142" w:hanging="360"/>
        <w:jc w:val="both"/>
        <w:rPr>
          <w:rFonts w:ascii="Calibri" w:hAnsi="Calibri"/>
        </w:rPr>
      </w:pPr>
      <w:r>
        <w:rPr>
          <w:rFonts w:ascii="David" w:hAnsi="David" w:hint="cs"/>
          <w:rtl/>
        </w:rPr>
        <w:t>4</w:t>
      </w:r>
      <w:r w:rsidRPr="009E4FEF">
        <w:rPr>
          <w:rFonts w:ascii="David" w:hAnsi="David" w:hint="cs"/>
          <w:rtl/>
        </w:rPr>
        <w:t>.</w:t>
      </w:r>
      <w:r w:rsidRPr="009E4FEF">
        <w:rPr>
          <w:rFonts w:ascii="David" w:hAnsi="David" w:hint="cs"/>
          <w:rtl/>
        </w:rPr>
        <w:tab/>
      </w:r>
      <w:r w:rsidRPr="009E4FEF">
        <w:rPr>
          <w:rFonts w:hint="cs"/>
          <w:rtl/>
        </w:rPr>
        <w:t>קנס בסך 20</w:t>
      </w:r>
      <w:r w:rsidRPr="009E4FEF">
        <w:rPr>
          <w:rtl/>
        </w:rPr>
        <w:t xml:space="preserve">00 ₪ </w:t>
      </w:r>
      <w:r>
        <w:rPr>
          <w:rFonts w:hint="cs"/>
          <w:rtl/>
        </w:rPr>
        <w:t xml:space="preserve">אשר ישולם עד ליום 6.9.19 </w:t>
      </w:r>
      <w:r w:rsidRPr="009E4FEF">
        <w:rPr>
          <w:rtl/>
        </w:rPr>
        <w:t xml:space="preserve">או 10 ימי מאסר תמורתו. </w:t>
      </w:r>
    </w:p>
    <w:p w14:paraId="2DBFFC03" w14:textId="77777777" w:rsidR="00987A4C" w:rsidRDefault="00987A4C" w:rsidP="00987A4C">
      <w:pPr>
        <w:spacing w:line="360" w:lineRule="auto"/>
        <w:ind w:left="720" w:right="142" w:hanging="360"/>
        <w:jc w:val="both"/>
        <w:rPr>
          <w:rtl/>
        </w:rPr>
      </w:pPr>
      <w:r w:rsidRPr="001568FA">
        <w:rPr>
          <w:rFonts w:hint="cs"/>
          <w:rtl/>
        </w:rPr>
        <w:t>5.</w:t>
      </w:r>
      <w:r w:rsidRPr="001568FA">
        <w:rPr>
          <w:rFonts w:hint="cs"/>
          <w:rtl/>
        </w:rPr>
        <w:tab/>
      </w:r>
      <w:r>
        <w:rPr>
          <w:rFonts w:hint="cs"/>
          <w:rtl/>
        </w:rPr>
        <w:t>צו מבחן למשך שנה.</w:t>
      </w:r>
    </w:p>
    <w:p w14:paraId="3933D256" w14:textId="77777777" w:rsidR="00987A4C" w:rsidRPr="001568FA" w:rsidRDefault="00987A4C" w:rsidP="00987A4C">
      <w:pPr>
        <w:spacing w:line="360" w:lineRule="auto"/>
        <w:ind w:left="720" w:right="142" w:hanging="360"/>
        <w:jc w:val="both"/>
        <w:rPr>
          <w:rFonts w:ascii="David" w:hAnsi="David"/>
          <w:rtl/>
        </w:rPr>
      </w:pPr>
      <w:r>
        <w:rPr>
          <w:rFonts w:hint="cs"/>
          <w:rtl/>
        </w:rPr>
        <w:t>6.</w:t>
      </w:r>
      <w:r>
        <w:rPr>
          <w:rFonts w:hint="cs"/>
          <w:rtl/>
        </w:rPr>
        <w:tab/>
      </w:r>
      <w:r w:rsidRPr="001568FA">
        <w:rPr>
          <w:rtl/>
        </w:rPr>
        <w:t xml:space="preserve">שישה חודשי פסילה מלהחזיק ברישיון נהיגה או מלהוציא רישיון אשר אותם לא ירצה הנאשם, אלא אם יעבור תוך שנתיים  מיום שחרורו ממאסרו על כל עבירת סמים המנויה </w:t>
      </w:r>
      <w:r>
        <w:rPr>
          <w:rFonts w:hint="cs"/>
          <w:rtl/>
        </w:rPr>
        <w:t>ב</w:t>
      </w:r>
      <w:hyperlink r:id="rId42" w:history="1">
        <w:r w:rsidR="00B3264F" w:rsidRPr="00B3264F">
          <w:rPr>
            <w:color w:val="0000FF"/>
            <w:u w:val="single"/>
            <w:rtl/>
          </w:rPr>
          <w:t>פקודת הסמים המסוכנים</w:t>
        </w:r>
      </w:hyperlink>
      <w:r>
        <w:rPr>
          <w:rFonts w:ascii="David" w:hAnsi="David" w:hint="cs"/>
          <w:rtl/>
        </w:rPr>
        <w:t>, ו/או ב</w:t>
      </w:r>
      <w:hyperlink r:id="rId43" w:history="1">
        <w:r w:rsidR="00B3264F" w:rsidRPr="00B3264F">
          <w:rPr>
            <w:rFonts w:ascii="David" w:hAnsi="David"/>
            <w:color w:val="0000FF"/>
            <w:u w:val="single"/>
            <w:rtl/>
          </w:rPr>
          <w:t>פקודת התעבורה</w:t>
        </w:r>
      </w:hyperlink>
      <w:r>
        <w:rPr>
          <w:rFonts w:ascii="David" w:hAnsi="David" w:hint="cs"/>
          <w:rtl/>
        </w:rPr>
        <w:t>.</w:t>
      </w:r>
      <w:r w:rsidRPr="001568FA">
        <w:rPr>
          <w:rFonts w:ascii="David" w:hAnsi="David"/>
          <w:rtl/>
        </w:rPr>
        <w:t xml:space="preserve"> </w:t>
      </w:r>
    </w:p>
    <w:p w14:paraId="1418FF84" w14:textId="77777777" w:rsidR="00987A4C" w:rsidRPr="001568FA" w:rsidRDefault="00987A4C" w:rsidP="00987A4C">
      <w:pPr>
        <w:spacing w:line="360" w:lineRule="auto"/>
        <w:ind w:left="720" w:right="142" w:hanging="360"/>
        <w:jc w:val="both"/>
        <w:rPr>
          <w:rFonts w:ascii="David" w:hAnsi="David"/>
          <w:rtl/>
        </w:rPr>
      </w:pPr>
    </w:p>
    <w:p w14:paraId="1E0F2F5D" w14:textId="77777777" w:rsidR="00987A4C" w:rsidRPr="00C772D5" w:rsidRDefault="00987A4C" w:rsidP="00987A4C">
      <w:pPr>
        <w:spacing w:line="360" w:lineRule="auto"/>
        <w:ind w:left="720" w:right="142" w:hanging="360"/>
        <w:jc w:val="both"/>
        <w:rPr>
          <w:rFonts w:ascii="David" w:hAnsi="David"/>
          <w:b/>
          <w:bCs/>
          <w:rtl/>
        </w:rPr>
      </w:pPr>
      <w:r w:rsidRPr="00C772D5">
        <w:rPr>
          <w:rFonts w:ascii="David" w:hAnsi="David" w:hint="cs"/>
          <w:b/>
          <w:bCs/>
          <w:rtl/>
        </w:rPr>
        <w:t>זכות ערעור לבית המשפט המחוזי בתוך 45 יום.</w:t>
      </w:r>
    </w:p>
    <w:p w14:paraId="4798D668" w14:textId="77777777" w:rsidR="00987A4C" w:rsidRDefault="00987A4C" w:rsidP="00987A4C">
      <w:pPr>
        <w:spacing w:line="360" w:lineRule="auto"/>
        <w:ind w:left="360" w:right="142"/>
        <w:jc w:val="both"/>
        <w:rPr>
          <w:rFonts w:ascii="David" w:hAnsi="David"/>
          <w:rtl/>
        </w:rPr>
      </w:pPr>
      <w:r>
        <w:rPr>
          <w:rFonts w:ascii="David" w:hAnsi="David" w:hint="cs"/>
          <w:rtl/>
        </w:rPr>
        <w:t xml:space="preserve"> </w:t>
      </w:r>
    </w:p>
    <w:p w14:paraId="4D662288" w14:textId="77777777" w:rsidR="00987A4C" w:rsidRPr="00B3264F" w:rsidRDefault="00B3264F" w:rsidP="00987A4C">
      <w:pPr>
        <w:spacing w:line="360" w:lineRule="auto"/>
        <w:ind w:left="360" w:right="142"/>
        <w:jc w:val="both"/>
        <w:rPr>
          <w:rFonts w:ascii="David" w:hAnsi="David"/>
          <w:color w:val="FFFFFF"/>
          <w:sz w:val="2"/>
          <w:szCs w:val="2"/>
          <w:rtl/>
        </w:rPr>
      </w:pPr>
      <w:r w:rsidRPr="00B3264F">
        <w:rPr>
          <w:rFonts w:ascii="David" w:hAnsi="David"/>
          <w:color w:val="FFFFFF"/>
          <w:sz w:val="2"/>
          <w:szCs w:val="2"/>
          <w:rtl/>
        </w:rPr>
        <w:t>5129371</w:t>
      </w:r>
    </w:p>
    <w:p w14:paraId="62479192" w14:textId="77777777" w:rsidR="00987A4C" w:rsidRPr="000643A2" w:rsidRDefault="00B3264F" w:rsidP="00987A4C">
      <w:pPr>
        <w:rPr>
          <w:sz w:val="28"/>
          <w:szCs w:val="28"/>
          <w:rtl/>
        </w:rPr>
      </w:pPr>
      <w:bookmarkStart w:id="7" w:name="Nitan"/>
      <w:r w:rsidRPr="00B3264F">
        <w:rPr>
          <w:rFonts w:ascii="Arial" w:hAnsi="Arial"/>
          <w:color w:val="FFFFFF"/>
          <w:sz w:val="2"/>
          <w:szCs w:val="2"/>
          <w:rtl/>
        </w:rPr>
        <w:t>54678313</w:t>
      </w:r>
      <w:r>
        <w:rPr>
          <w:rFonts w:ascii="Arial" w:hAnsi="Arial"/>
          <w:rtl/>
        </w:rPr>
        <w:t xml:space="preserve">ניתן היום,  ד' תמוז תשע"ט, 07 יולי 2019, בנוכחות הצדדים. </w:t>
      </w:r>
      <w:bookmarkEnd w:id="7"/>
    </w:p>
    <w:p w14:paraId="6EA889E5" w14:textId="77777777" w:rsidR="00987A4C" w:rsidRPr="000643A2" w:rsidRDefault="00987A4C" w:rsidP="00B3264F">
      <w:pPr>
        <w:jc w:val="center"/>
      </w:pPr>
      <w:r w:rsidRPr="000643A2">
        <w:rPr>
          <w:rFonts w:hint="cs"/>
          <w:rtl/>
        </w:rPr>
        <w:t xml:space="preserve">   </w:t>
      </w:r>
      <w:r w:rsidRPr="000643A2">
        <w:rPr>
          <w:rFonts w:hint="cs"/>
          <w:rtl/>
        </w:rPr>
        <w:tab/>
      </w:r>
      <w:r w:rsidRPr="000643A2">
        <w:rPr>
          <w:rFonts w:hint="cs"/>
          <w:rtl/>
        </w:rPr>
        <w:tab/>
      </w:r>
      <w:r w:rsidRPr="000643A2">
        <w:rPr>
          <w:rFonts w:hint="cs"/>
          <w:rtl/>
        </w:rPr>
        <w:tab/>
      </w:r>
      <w:r w:rsidRPr="000643A2">
        <w:rPr>
          <w:rFonts w:hint="cs"/>
          <w:rtl/>
        </w:rPr>
        <w:tab/>
      </w:r>
      <w:r w:rsidRPr="000643A2">
        <w:rPr>
          <w:rFonts w:hint="cs"/>
          <w:rtl/>
        </w:rPr>
        <w:tab/>
      </w:r>
    </w:p>
    <w:p w14:paraId="52BEF9B2" w14:textId="77777777" w:rsidR="00987A4C" w:rsidRPr="000643A2" w:rsidRDefault="00987A4C" w:rsidP="00987A4C">
      <w:pPr>
        <w:jc w:val="center"/>
        <w:rPr>
          <w:rFonts w:ascii="Arial" w:hAnsi="Arial"/>
          <w:sz w:val="28"/>
          <w:szCs w:val="28"/>
          <w:rtl/>
        </w:rPr>
      </w:pPr>
    </w:p>
    <w:p w14:paraId="037E03E6" w14:textId="77777777" w:rsidR="00987A4C" w:rsidRPr="000643A2" w:rsidRDefault="00987A4C" w:rsidP="00987A4C">
      <w:pPr>
        <w:rPr>
          <w:sz w:val="28"/>
          <w:szCs w:val="28"/>
          <w:rtl/>
        </w:rPr>
      </w:pPr>
    </w:p>
    <w:p w14:paraId="1468470E" w14:textId="77777777" w:rsidR="00987A4C" w:rsidRPr="002044AD" w:rsidRDefault="002044AD" w:rsidP="00987A4C">
      <w:pPr>
        <w:pStyle w:val="a3"/>
        <w:jc w:val="center"/>
        <w:rPr>
          <w:color w:val="FFFFFF"/>
          <w:sz w:val="2"/>
          <w:szCs w:val="2"/>
          <w:rtl/>
        </w:rPr>
      </w:pPr>
      <w:r w:rsidRPr="002044AD">
        <w:rPr>
          <w:color w:val="FFFFFF"/>
          <w:sz w:val="2"/>
          <w:szCs w:val="2"/>
          <w:rtl/>
        </w:rPr>
        <w:t>5129371</w:t>
      </w:r>
    </w:p>
    <w:p w14:paraId="7F7A95E9" w14:textId="77777777" w:rsidR="008128C3" w:rsidRPr="002044AD" w:rsidRDefault="002044AD" w:rsidP="00B3264F">
      <w:pPr>
        <w:keepNext/>
        <w:rPr>
          <w:rFonts w:ascii="David" w:hAnsi="David"/>
          <w:color w:val="FFFFFF"/>
          <w:sz w:val="2"/>
          <w:szCs w:val="2"/>
          <w:rtl/>
        </w:rPr>
      </w:pPr>
      <w:r w:rsidRPr="002044AD">
        <w:rPr>
          <w:rFonts w:ascii="David" w:hAnsi="David"/>
          <w:color w:val="FFFFFF"/>
          <w:sz w:val="2"/>
          <w:szCs w:val="2"/>
          <w:rtl/>
        </w:rPr>
        <w:t>54678313</w:t>
      </w:r>
    </w:p>
    <w:p w14:paraId="1CD603D5" w14:textId="77777777" w:rsidR="00B3264F" w:rsidRPr="00B3264F" w:rsidRDefault="00B3264F" w:rsidP="00B3264F">
      <w:pPr>
        <w:keepNext/>
        <w:rPr>
          <w:rFonts w:ascii="David" w:hAnsi="David"/>
          <w:color w:val="000000"/>
          <w:sz w:val="22"/>
          <w:szCs w:val="22"/>
          <w:rtl/>
        </w:rPr>
      </w:pPr>
      <w:r w:rsidRPr="00B3264F">
        <w:rPr>
          <w:rFonts w:ascii="David" w:hAnsi="David"/>
          <w:color w:val="000000"/>
          <w:sz w:val="22"/>
          <w:szCs w:val="22"/>
          <w:rtl/>
        </w:rPr>
        <w:t>ארנון איתן 54678313</w:t>
      </w:r>
    </w:p>
    <w:p w14:paraId="595DC357" w14:textId="77777777" w:rsidR="00B3264F" w:rsidRDefault="00B3264F" w:rsidP="00B3264F">
      <w:r w:rsidRPr="00B3264F">
        <w:rPr>
          <w:color w:val="000000"/>
          <w:rtl/>
        </w:rPr>
        <w:t>נוסח מסמך זה כפוף לשינויי ניסוח ועריכה</w:t>
      </w:r>
    </w:p>
    <w:p w14:paraId="7D1BCCF3" w14:textId="77777777" w:rsidR="00B3264F" w:rsidRDefault="00B3264F" w:rsidP="00B3264F">
      <w:pPr>
        <w:rPr>
          <w:rtl/>
        </w:rPr>
      </w:pPr>
    </w:p>
    <w:p w14:paraId="2E927925" w14:textId="77777777" w:rsidR="00B3264F" w:rsidRDefault="00B3264F" w:rsidP="00B3264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43E4573" w14:textId="77777777" w:rsidR="00B3264F" w:rsidRPr="00B3264F" w:rsidRDefault="00B3264F" w:rsidP="002044AD">
      <w:pPr>
        <w:rPr>
          <w:color w:val="0000FF"/>
          <w:u w:val="single"/>
        </w:rPr>
      </w:pPr>
    </w:p>
    <w:sectPr w:rsidR="00B3264F" w:rsidRPr="00B3264F" w:rsidSect="002044AD">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0821E" w14:textId="77777777" w:rsidR="00BB1456" w:rsidRDefault="00BB1456" w:rsidP="007A7308">
      <w:r>
        <w:separator/>
      </w:r>
    </w:p>
  </w:endnote>
  <w:endnote w:type="continuationSeparator" w:id="0">
    <w:p w14:paraId="28D66EA6" w14:textId="77777777" w:rsidR="00BB1456" w:rsidRDefault="00BB1456" w:rsidP="007A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8D449" w14:textId="77777777" w:rsidR="002044AD" w:rsidRDefault="002044AD" w:rsidP="002044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E4BB2D" w14:textId="77777777" w:rsidR="00245DA6" w:rsidRPr="002044AD" w:rsidRDefault="002044AD" w:rsidP="002044AD">
    <w:pPr>
      <w:pStyle w:val="a5"/>
      <w:pBdr>
        <w:top w:val="single" w:sz="4" w:space="1" w:color="auto"/>
        <w:between w:val="single" w:sz="4" w:space="0" w:color="auto"/>
      </w:pBdr>
      <w:spacing w:after="60"/>
      <w:jc w:val="center"/>
      <w:rPr>
        <w:rFonts w:ascii="FrankRuehl" w:hAnsi="FrankRuehl" w:cs="FrankRuehl"/>
        <w:color w:val="000000"/>
      </w:rPr>
    </w:pPr>
    <w:r w:rsidRPr="002044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E9B19" w14:textId="77777777" w:rsidR="002044AD" w:rsidRDefault="002044AD" w:rsidP="002044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7BE2">
      <w:rPr>
        <w:rFonts w:ascii="FrankRuehl" w:hAnsi="FrankRuehl" w:cs="FrankRuehl"/>
        <w:noProof/>
        <w:rtl/>
      </w:rPr>
      <w:t>1</w:t>
    </w:r>
    <w:r>
      <w:rPr>
        <w:rFonts w:ascii="FrankRuehl" w:hAnsi="FrankRuehl" w:cs="FrankRuehl"/>
        <w:rtl/>
      </w:rPr>
      <w:fldChar w:fldCharType="end"/>
    </w:r>
  </w:p>
  <w:p w14:paraId="6860EF90" w14:textId="77777777" w:rsidR="00245DA6" w:rsidRPr="002044AD" w:rsidRDefault="002044AD" w:rsidP="002044AD">
    <w:pPr>
      <w:pStyle w:val="a5"/>
      <w:pBdr>
        <w:top w:val="single" w:sz="4" w:space="1" w:color="auto"/>
        <w:between w:val="single" w:sz="4" w:space="0" w:color="auto"/>
      </w:pBdr>
      <w:spacing w:after="60"/>
      <w:jc w:val="center"/>
      <w:rPr>
        <w:rFonts w:ascii="FrankRuehl" w:hAnsi="FrankRuehl" w:cs="FrankRuehl"/>
        <w:color w:val="000000"/>
      </w:rPr>
    </w:pPr>
    <w:r w:rsidRPr="002044AD">
      <w:rPr>
        <w:rFonts w:ascii="FrankRuehl" w:hAnsi="FrankRuehl" w:cs="FrankRuehl"/>
        <w:color w:val="000000"/>
      </w:rPr>
      <w:pict w14:anchorId="1D2E1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199CC" w14:textId="77777777" w:rsidR="00BB1456" w:rsidRDefault="00BB1456" w:rsidP="007A7308">
      <w:r>
        <w:separator/>
      </w:r>
    </w:p>
  </w:footnote>
  <w:footnote w:type="continuationSeparator" w:id="0">
    <w:p w14:paraId="67E51B0C" w14:textId="77777777" w:rsidR="00BB1456" w:rsidRDefault="00BB1456" w:rsidP="007A7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F82F9" w14:textId="77777777" w:rsidR="00B3264F" w:rsidRPr="002044AD" w:rsidRDefault="002044AD" w:rsidP="002044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10324-07-17</w:t>
    </w:r>
    <w:r>
      <w:rPr>
        <w:rFonts w:ascii="David" w:hAnsi="David"/>
        <w:color w:val="000000"/>
        <w:sz w:val="22"/>
        <w:szCs w:val="22"/>
        <w:rtl/>
      </w:rPr>
      <w:tab/>
      <w:t xml:space="preserve"> מדינת ישראל נ' דוד משה ריץ'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6A20F" w14:textId="77777777" w:rsidR="00B3264F" w:rsidRPr="002044AD" w:rsidRDefault="002044AD" w:rsidP="002044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10324-07-17</w:t>
    </w:r>
    <w:r>
      <w:rPr>
        <w:rFonts w:ascii="David" w:hAnsi="David"/>
        <w:color w:val="000000"/>
        <w:sz w:val="22"/>
        <w:szCs w:val="22"/>
        <w:rtl/>
      </w:rPr>
      <w:tab/>
      <w:t xml:space="preserve"> מדינת ישראל נ' דוד משה ריץ'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7A4C"/>
    <w:rsid w:val="002044AD"/>
    <w:rsid w:val="00245DA6"/>
    <w:rsid w:val="00381020"/>
    <w:rsid w:val="006D7621"/>
    <w:rsid w:val="007A7308"/>
    <w:rsid w:val="008128C3"/>
    <w:rsid w:val="00987A4C"/>
    <w:rsid w:val="0099210E"/>
    <w:rsid w:val="00B3264F"/>
    <w:rsid w:val="00BB1456"/>
    <w:rsid w:val="00FE7B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8AA2F3"/>
  <w15:chartTrackingRefBased/>
  <w15:docId w15:val="{3783D127-4243-4B34-9741-7203AC13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7A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7A4C"/>
    <w:pPr>
      <w:tabs>
        <w:tab w:val="center" w:pos="4153"/>
        <w:tab w:val="right" w:pos="8306"/>
      </w:tabs>
    </w:pPr>
  </w:style>
  <w:style w:type="character" w:customStyle="1" w:styleId="a4">
    <w:name w:val="כותרת עליונה תו"/>
    <w:link w:val="a3"/>
    <w:rsid w:val="00987A4C"/>
    <w:rPr>
      <w:rFonts w:ascii="Times New Roman" w:eastAsia="Times New Roman" w:hAnsi="Times New Roman" w:cs="David"/>
      <w:sz w:val="24"/>
      <w:szCs w:val="24"/>
    </w:rPr>
  </w:style>
  <w:style w:type="paragraph" w:styleId="a5">
    <w:name w:val="footer"/>
    <w:basedOn w:val="a"/>
    <w:link w:val="a6"/>
    <w:rsid w:val="00987A4C"/>
    <w:pPr>
      <w:tabs>
        <w:tab w:val="center" w:pos="4153"/>
        <w:tab w:val="right" w:pos="8306"/>
      </w:tabs>
    </w:pPr>
  </w:style>
  <w:style w:type="character" w:customStyle="1" w:styleId="a6">
    <w:name w:val="כותרת תחתונה תו"/>
    <w:link w:val="a5"/>
    <w:rsid w:val="00987A4C"/>
    <w:rPr>
      <w:rFonts w:ascii="Times New Roman" w:eastAsia="Times New Roman" w:hAnsi="Times New Roman" w:cs="David"/>
      <w:sz w:val="24"/>
      <w:szCs w:val="24"/>
    </w:rPr>
  </w:style>
  <w:style w:type="table" w:styleId="a7">
    <w:name w:val="Table Grid"/>
    <w:basedOn w:val="a1"/>
    <w:rsid w:val="00987A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7A4C"/>
  </w:style>
  <w:style w:type="paragraph" w:styleId="a9">
    <w:name w:val="List Paragraph"/>
    <w:basedOn w:val="a"/>
    <w:qFormat/>
    <w:rsid w:val="00987A4C"/>
    <w:pPr>
      <w:spacing w:after="200" w:line="276" w:lineRule="auto"/>
      <w:ind w:left="720"/>
      <w:contextualSpacing/>
    </w:pPr>
    <w:rPr>
      <w:rFonts w:ascii="Calibri" w:eastAsia="Calibri" w:hAnsi="Calibri" w:cs="Arial"/>
      <w:sz w:val="22"/>
      <w:szCs w:val="22"/>
    </w:rPr>
  </w:style>
  <w:style w:type="paragraph" w:customStyle="1" w:styleId="ruller5">
    <w:name w:val="ruller5"/>
    <w:basedOn w:val="a"/>
    <w:rsid w:val="00987A4C"/>
    <w:pPr>
      <w:bidi w:val="0"/>
      <w:spacing w:before="100" w:beforeAutospacing="1" w:after="100" w:afterAutospacing="1"/>
    </w:pPr>
    <w:rPr>
      <w:rFonts w:cs="Times New Roman"/>
    </w:rPr>
  </w:style>
  <w:style w:type="paragraph" w:customStyle="1" w:styleId="1">
    <w:name w:val="ציטוט1"/>
    <w:basedOn w:val="a"/>
    <w:rsid w:val="00987A4C"/>
    <w:pPr>
      <w:bidi w:val="0"/>
      <w:spacing w:before="100" w:beforeAutospacing="1" w:after="100" w:afterAutospacing="1"/>
    </w:pPr>
    <w:rPr>
      <w:rFonts w:cs="Times New Roman"/>
    </w:rPr>
  </w:style>
  <w:style w:type="character" w:styleId="Hyperlink">
    <w:name w:val="Hyperlink"/>
    <w:rsid w:val="00B3264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810781" TargetMode="External"/><Relationship Id="rId39" Type="http://schemas.openxmlformats.org/officeDocument/2006/relationships/hyperlink" Target="http://www.nevo.co.il/case/5587746" TargetMode="External"/><Relationship Id="rId21" Type="http://schemas.openxmlformats.org/officeDocument/2006/relationships/hyperlink" Target="http://www.nevo.co.il/law/4216/19" TargetMode="External"/><Relationship Id="rId34" Type="http://schemas.openxmlformats.org/officeDocument/2006/relationships/hyperlink" Target="http://www.nevo.co.il/case/18107527"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7%7ba%7d;7%7bc%7d" TargetMode="External"/><Relationship Id="rId29" Type="http://schemas.openxmlformats.org/officeDocument/2006/relationships/hyperlink" Target="http://www.nevo.co.il/case/20111708"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99%7ba%7d%7b1%7d" TargetMode="External"/><Relationship Id="rId32" Type="http://schemas.openxmlformats.org/officeDocument/2006/relationships/hyperlink" Target="http://www.nevo.co.il/case/21477472" TargetMode="External"/><Relationship Id="rId37" Type="http://schemas.openxmlformats.org/officeDocument/2006/relationships/hyperlink" Target="http://www.nevo.co.il/case/22805685" TargetMode="External"/><Relationship Id="rId40" Type="http://schemas.openxmlformats.org/officeDocument/2006/relationships/hyperlink" Target="http://www.nevo.co.il/case/17942910"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062217" TargetMode="External"/><Relationship Id="rId36" Type="http://schemas.openxmlformats.org/officeDocument/2006/relationships/hyperlink" Target="http://www.nevo.co.il/case/18119161" TargetMode="External"/><Relationship Id="rId49" Type="http://schemas.openxmlformats.org/officeDocument/2006/relationships/fontTable" Target="fontTable.xml"/><Relationship Id="rId10" Type="http://schemas.openxmlformats.org/officeDocument/2006/relationships/hyperlink" Target="http://www.nevo.co.il/law/4216/7%7bc%7d" TargetMode="External"/><Relationship Id="rId19" Type="http://schemas.openxmlformats.org/officeDocument/2006/relationships/hyperlink" Target="http://www.nevo.co.il/law/4216/19" TargetMode="External"/><Relationship Id="rId31" Type="http://schemas.openxmlformats.org/officeDocument/2006/relationships/hyperlink" Target="http://www.nevo.co.il/case/20770504"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7ba%7d" TargetMode="External"/><Relationship Id="rId14" Type="http://schemas.openxmlformats.org/officeDocument/2006/relationships/hyperlink" Target="http://www.nevo.co.il/law/70301/499%7ba%7d%7b1%7d"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4213217"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0811885" TargetMode="External"/><Relationship Id="rId43" Type="http://schemas.openxmlformats.org/officeDocument/2006/relationships/hyperlink" Target="http://www.nevo.co.il/law/5227" TargetMode="External"/><Relationship Id="rId48" Type="http://schemas.openxmlformats.org/officeDocument/2006/relationships/footer" Target="footer2.xml"/><Relationship Id="rId8" Type="http://schemas.openxmlformats.org/officeDocument/2006/relationships/hyperlink" Target="http://www.nevo.co.il/law/4216/19"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7943750" TargetMode="External"/><Relationship Id="rId33" Type="http://schemas.openxmlformats.org/officeDocument/2006/relationships/hyperlink" Target="http://www.nevo.co.il/case/20111708" TargetMode="External"/><Relationship Id="rId38" Type="http://schemas.openxmlformats.org/officeDocument/2006/relationships/hyperlink" Target="http://www.nevo.co.il/case/13104267" TargetMode="External"/><Relationship Id="rId46"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law/70301/40ja"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2918</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17478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8323175</vt:i4>
      </vt:variant>
      <vt:variant>
        <vt:i4>111</vt:i4>
      </vt:variant>
      <vt:variant>
        <vt:i4>0</vt:i4>
      </vt:variant>
      <vt:variant>
        <vt:i4>5</vt:i4>
      </vt:variant>
      <vt:variant>
        <vt:lpwstr>http://www.nevo.co.il/law/5227</vt:lpwstr>
      </vt:variant>
      <vt:variant>
        <vt:lpwstr/>
      </vt:variant>
      <vt:variant>
        <vt:i4>8257637</vt:i4>
      </vt:variant>
      <vt:variant>
        <vt:i4>108</vt:i4>
      </vt:variant>
      <vt:variant>
        <vt:i4>0</vt:i4>
      </vt:variant>
      <vt:variant>
        <vt:i4>5</vt:i4>
      </vt:variant>
      <vt:variant>
        <vt:lpwstr>http://www.nevo.co.il/law/4216</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3866750</vt:i4>
      </vt:variant>
      <vt:variant>
        <vt:i4>102</vt:i4>
      </vt:variant>
      <vt:variant>
        <vt:i4>0</vt:i4>
      </vt:variant>
      <vt:variant>
        <vt:i4>5</vt:i4>
      </vt:variant>
      <vt:variant>
        <vt:lpwstr>http://www.nevo.co.il/case/17942910</vt:lpwstr>
      </vt:variant>
      <vt:variant>
        <vt:lpwstr/>
      </vt:variant>
      <vt:variant>
        <vt:i4>3932274</vt:i4>
      </vt:variant>
      <vt:variant>
        <vt:i4>99</vt:i4>
      </vt:variant>
      <vt:variant>
        <vt:i4>0</vt:i4>
      </vt:variant>
      <vt:variant>
        <vt:i4>5</vt:i4>
      </vt:variant>
      <vt:variant>
        <vt:lpwstr>http://www.nevo.co.il/case/5587746</vt:lpwstr>
      </vt:variant>
      <vt:variant>
        <vt:lpwstr/>
      </vt:variant>
      <vt:variant>
        <vt:i4>3276917</vt:i4>
      </vt:variant>
      <vt:variant>
        <vt:i4>96</vt:i4>
      </vt:variant>
      <vt:variant>
        <vt:i4>0</vt:i4>
      </vt:variant>
      <vt:variant>
        <vt:i4>5</vt:i4>
      </vt:variant>
      <vt:variant>
        <vt:lpwstr>http://www.nevo.co.il/case/13104267</vt:lpwstr>
      </vt:variant>
      <vt:variant>
        <vt:lpwstr/>
      </vt:variant>
      <vt:variant>
        <vt:i4>3604592</vt:i4>
      </vt:variant>
      <vt:variant>
        <vt:i4>93</vt:i4>
      </vt:variant>
      <vt:variant>
        <vt:i4>0</vt:i4>
      </vt:variant>
      <vt:variant>
        <vt:i4>5</vt:i4>
      </vt:variant>
      <vt:variant>
        <vt:lpwstr>http://www.nevo.co.il/case/22805685</vt:lpwstr>
      </vt:variant>
      <vt:variant>
        <vt:lpwstr/>
      </vt:variant>
      <vt:variant>
        <vt:i4>4128892</vt:i4>
      </vt:variant>
      <vt:variant>
        <vt:i4>90</vt:i4>
      </vt:variant>
      <vt:variant>
        <vt:i4>0</vt:i4>
      </vt:variant>
      <vt:variant>
        <vt:i4>5</vt:i4>
      </vt:variant>
      <vt:variant>
        <vt:lpwstr>http://www.nevo.co.il/case/18119161</vt:lpwstr>
      </vt:variant>
      <vt:variant>
        <vt:lpwstr/>
      </vt:variant>
      <vt:variant>
        <vt:i4>3342461</vt:i4>
      </vt:variant>
      <vt:variant>
        <vt:i4>87</vt:i4>
      </vt:variant>
      <vt:variant>
        <vt:i4>0</vt:i4>
      </vt:variant>
      <vt:variant>
        <vt:i4>5</vt:i4>
      </vt:variant>
      <vt:variant>
        <vt:lpwstr>http://www.nevo.co.il/case/20811885</vt:lpwstr>
      </vt:variant>
      <vt:variant>
        <vt:lpwstr/>
      </vt:variant>
      <vt:variant>
        <vt:i4>3473529</vt:i4>
      </vt:variant>
      <vt:variant>
        <vt:i4>84</vt:i4>
      </vt:variant>
      <vt:variant>
        <vt:i4>0</vt:i4>
      </vt:variant>
      <vt:variant>
        <vt:i4>5</vt:i4>
      </vt:variant>
      <vt:variant>
        <vt:lpwstr>http://www.nevo.co.il/case/18107527</vt:lpwstr>
      </vt:variant>
      <vt:variant>
        <vt:lpwstr/>
      </vt:variant>
      <vt:variant>
        <vt:i4>3276914</vt:i4>
      </vt:variant>
      <vt:variant>
        <vt:i4>81</vt:i4>
      </vt:variant>
      <vt:variant>
        <vt:i4>0</vt:i4>
      </vt:variant>
      <vt:variant>
        <vt:i4>5</vt:i4>
      </vt:variant>
      <vt:variant>
        <vt:lpwstr>http://www.nevo.co.il/case/20111708</vt:lpwstr>
      </vt:variant>
      <vt:variant>
        <vt:lpwstr/>
      </vt:variant>
      <vt:variant>
        <vt:i4>3539062</vt:i4>
      </vt:variant>
      <vt:variant>
        <vt:i4>78</vt:i4>
      </vt:variant>
      <vt:variant>
        <vt:i4>0</vt:i4>
      </vt:variant>
      <vt:variant>
        <vt:i4>5</vt:i4>
      </vt:variant>
      <vt:variant>
        <vt:lpwstr>http://www.nevo.co.il/case/21477472</vt:lpwstr>
      </vt:variant>
      <vt:variant>
        <vt:lpwstr/>
      </vt:variant>
      <vt:variant>
        <vt:i4>3473526</vt:i4>
      </vt:variant>
      <vt:variant>
        <vt:i4>75</vt:i4>
      </vt:variant>
      <vt:variant>
        <vt:i4>0</vt:i4>
      </vt:variant>
      <vt:variant>
        <vt:i4>5</vt:i4>
      </vt:variant>
      <vt:variant>
        <vt:lpwstr>http://www.nevo.co.il/case/20770504</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3473527</vt:i4>
      </vt:variant>
      <vt:variant>
        <vt:i4>66</vt:i4>
      </vt:variant>
      <vt:variant>
        <vt:i4>0</vt:i4>
      </vt:variant>
      <vt:variant>
        <vt:i4>5</vt:i4>
      </vt:variant>
      <vt:variant>
        <vt:lpwstr>http://www.nevo.co.il/case/6062217</vt:lpwstr>
      </vt:variant>
      <vt:variant>
        <vt:lpwstr/>
      </vt:variant>
      <vt:variant>
        <vt:i4>3145844</vt:i4>
      </vt:variant>
      <vt:variant>
        <vt:i4>63</vt:i4>
      </vt:variant>
      <vt:variant>
        <vt:i4>0</vt:i4>
      </vt:variant>
      <vt:variant>
        <vt:i4>5</vt:i4>
      </vt:variant>
      <vt:variant>
        <vt:lpwstr>http://www.nevo.co.il/case/4213217</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4063344</vt:i4>
      </vt:variant>
      <vt:variant>
        <vt:i4>57</vt:i4>
      </vt:variant>
      <vt:variant>
        <vt:i4>0</vt:i4>
      </vt:variant>
      <vt:variant>
        <vt:i4>5</vt:i4>
      </vt:variant>
      <vt:variant>
        <vt:lpwstr>http://www.nevo.co.il/case/17943750</vt:lpwstr>
      </vt:variant>
      <vt:variant>
        <vt:lpwstr/>
      </vt:variant>
      <vt:variant>
        <vt:i4>5963842</vt:i4>
      </vt:variant>
      <vt:variant>
        <vt:i4>54</vt:i4>
      </vt:variant>
      <vt:variant>
        <vt:i4>0</vt:i4>
      </vt:variant>
      <vt:variant>
        <vt:i4>5</vt:i4>
      </vt:variant>
      <vt:variant>
        <vt:lpwstr>http://www.nevo.co.il/law/70301/499{a}{1}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5177418</vt:i4>
      </vt:variant>
      <vt:variant>
        <vt:i4>45</vt:i4>
      </vt:variant>
      <vt:variant>
        <vt:i4>0</vt:i4>
      </vt:variant>
      <vt:variant>
        <vt:i4>5</vt:i4>
      </vt:variant>
      <vt:variant>
        <vt:lpwstr>http://www.nevo.co.il/law/4216/19</vt:lpwstr>
      </vt:variant>
      <vt:variant>
        <vt:lpwstr/>
      </vt:variant>
      <vt:variant>
        <vt:i4>5177418</vt:i4>
      </vt:variant>
      <vt:variant>
        <vt:i4>42</vt:i4>
      </vt:variant>
      <vt:variant>
        <vt:i4>0</vt:i4>
      </vt:variant>
      <vt:variant>
        <vt:i4>5</vt:i4>
      </vt:variant>
      <vt:variant>
        <vt:lpwstr>http://www.nevo.co.il/law/4216/13</vt:lpwstr>
      </vt:variant>
      <vt:variant>
        <vt:lpwstr/>
      </vt:variant>
      <vt:variant>
        <vt:i4>5177418</vt:i4>
      </vt:variant>
      <vt:variant>
        <vt:i4>39</vt:i4>
      </vt:variant>
      <vt:variant>
        <vt:i4>0</vt:i4>
      </vt:variant>
      <vt:variant>
        <vt:i4>5</vt:i4>
      </vt:variant>
      <vt:variant>
        <vt:lpwstr>http://www.nevo.co.il/law/4216/19</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1376280</vt:i4>
      </vt:variant>
      <vt:variant>
        <vt:i4>30</vt:i4>
      </vt:variant>
      <vt:variant>
        <vt:i4>0</vt:i4>
      </vt:variant>
      <vt:variant>
        <vt:i4>5</vt:i4>
      </vt:variant>
      <vt:variant>
        <vt:lpwstr>http://www.nevo.co.il/law/4216/7{a};7{c}</vt:lpwstr>
      </vt:variant>
      <vt:variant>
        <vt:lpwstr/>
      </vt:variant>
      <vt:variant>
        <vt:i4>8323175</vt:i4>
      </vt:variant>
      <vt:variant>
        <vt:i4>27</vt:i4>
      </vt:variant>
      <vt:variant>
        <vt:i4>0</vt:i4>
      </vt:variant>
      <vt:variant>
        <vt:i4>5</vt:i4>
      </vt:variant>
      <vt:variant>
        <vt:lpwstr>http://www.nevo.co.il/law/5227</vt:lpwstr>
      </vt:variant>
      <vt:variant>
        <vt:lpwstr/>
      </vt:variant>
      <vt:variant>
        <vt:i4>5963842</vt:i4>
      </vt:variant>
      <vt:variant>
        <vt:i4>24</vt:i4>
      </vt:variant>
      <vt:variant>
        <vt:i4>0</vt:i4>
      </vt:variant>
      <vt:variant>
        <vt:i4>5</vt:i4>
      </vt:variant>
      <vt:variant>
        <vt:lpwstr>http://www.nevo.co.il/law/70301/499{a}{1}</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2752561</vt:i4>
      </vt:variant>
      <vt:variant>
        <vt:i4>12</vt:i4>
      </vt:variant>
      <vt:variant>
        <vt:i4>0</vt:i4>
      </vt:variant>
      <vt:variant>
        <vt:i4>5</vt:i4>
      </vt:variant>
      <vt:variant>
        <vt:lpwstr>http://www.nevo.co.il/law/4216/7{c}</vt:lpwstr>
      </vt:variant>
      <vt:variant>
        <vt:lpwstr/>
      </vt:variant>
      <vt:variant>
        <vt:i4>2621489</vt:i4>
      </vt:variant>
      <vt:variant>
        <vt:i4>9</vt:i4>
      </vt:variant>
      <vt:variant>
        <vt:i4>0</vt:i4>
      </vt:variant>
      <vt:variant>
        <vt:i4>5</vt:i4>
      </vt:variant>
      <vt:variant>
        <vt:lpwstr>http://www.nevo.co.il/law/4216/7{a}</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10324</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משה ריץ' </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20190707</vt:lpwstr>
  </property>
  <property fmtid="{D5CDD505-2E9C-101B-9397-08002B2CF9AE}" pid="13" name="TYPE_N_DATE">
    <vt:lpwstr>38020190707</vt:lpwstr>
  </property>
  <property fmtid="{D5CDD505-2E9C-101B-9397-08002B2CF9AE}" pid="14" name="CASESLISTTMP1">
    <vt:lpwstr>17943750;5810781;4213217;6062217;20111708:2;20881083;20770504;21477472;18107527;20811885;18119161;22805685;13104267;5587746;17942910</vt:lpwstr>
  </property>
  <property fmtid="{D5CDD505-2E9C-101B-9397-08002B2CF9AE}" pid="15" name="WORDNUMPAGES">
    <vt:lpwstr>9</vt:lpwstr>
  </property>
  <property fmtid="{D5CDD505-2E9C-101B-9397-08002B2CF9AE}" pid="16" name="TYPE_ABS_DATE">
    <vt:lpwstr>380020190707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4216/7{a}:2;7{c}:2;013:3;019:3</vt:lpwstr>
  </property>
  <property fmtid="{D5CDD505-2E9C-101B-9397-08002B2CF9AE}" pid="37" name="LAWLISTTMP2">
    <vt:lpwstr>70301/025:2;499{a}{1}:2;40ja:2</vt:lpwstr>
  </property>
  <property fmtid="{D5CDD505-2E9C-101B-9397-08002B2CF9AE}" pid="38" name="LAWLISTTMP3">
    <vt:lpwstr>5227:2</vt:lpwstr>
  </property>
</Properties>
</file>