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22512" w:rsidRPr="00E5008B" w14:paraId="0B343D2F" w14:textId="77777777" w:rsidTr="00216DE9">
        <w:trPr>
          <w:trHeight w:hRule="exact" w:val="418"/>
          <w:jc w:val="center"/>
        </w:trPr>
        <w:tc>
          <w:tcPr>
            <w:tcW w:w="8721" w:type="dxa"/>
            <w:gridSpan w:val="2"/>
          </w:tcPr>
          <w:p w14:paraId="53AF67F6" w14:textId="77777777" w:rsidR="00522512" w:rsidRPr="00E5008B" w:rsidRDefault="00522512" w:rsidP="002F398D">
            <w:pPr>
              <w:pStyle w:val="a3"/>
              <w:jc w:val="center"/>
              <w:rPr>
                <w:rFonts w:ascii="Tahoma" w:hAnsi="Tahoma"/>
                <w:color w:val="000080"/>
                <w:sz w:val="32"/>
                <w:szCs w:val="32"/>
                <w:rtl/>
              </w:rPr>
            </w:pPr>
            <w:r w:rsidRPr="00E5008B">
              <w:rPr>
                <w:rFonts w:ascii="Tahoma" w:hAnsi="Tahoma"/>
                <w:b/>
                <w:bCs/>
                <w:color w:val="000080"/>
                <w:sz w:val="32"/>
                <w:szCs w:val="32"/>
                <w:rtl/>
              </w:rPr>
              <w:t>בית משפט השלום בתל אביב - יפו</w:t>
            </w:r>
          </w:p>
        </w:tc>
      </w:tr>
      <w:tr w:rsidR="00522512" w:rsidRPr="00E5008B" w14:paraId="19EB17B5" w14:textId="77777777" w:rsidTr="00216DE9">
        <w:trPr>
          <w:trHeight w:val="337"/>
          <w:jc w:val="center"/>
        </w:trPr>
        <w:tc>
          <w:tcPr>
            <w:tcW w:w="5054" w:type="dxa"/>
          </w:tcPr>
          <w:p w14:paraId="6E1BEE5E" w14:textId="77777777" w:rsidR="00522512" w:rsidRPr="00E5008B" w:rsidRDefault="00522512" w:rsidP="002F398D">
            <w:pPr>
              <w:rPr>
                <w:sz w:val="26"/>
                <w:szCs w:val="26"/>
                <w:rtl/>
              </w:rPr>
            </w:pPr>
            <w:r w:rsidRPr="00E5008B">
              <w:rPr>
                <w:sz w:val="26"/>
                <w:szCs w:val="26"/>
                <w:rtl/>
              </w:rPr>
              <w:t>ת"פ</w:t>
            </w:r>
            <w:r w:rsidRPr="00E5008B">
              <w:rPr>
                <w:rFonts w:hint="cs"/>
                <w:sz w:val="26"/>
                <w:szCs w:val="26"/>
                <w:rtl/>
              </w:rPr>
              <w:t xml:space="preserve"> </w:t>
            </w:r>
            <w:r w:rsidRPr="00E5008B">
              <w:rPr>
                <w:sz w:val="26"/>
                <w:szCs w:val="26"/>
                <w:rtl/>
              </w:rPr>
              <w:t>23198-07-17</w:t>
            </w:r>
            <w:r w:rsidRPr="00E5008B">
              <w:rPr>
                <w:rFonts w:hint="cs"/>
                <w:sz w:val="26"/>
                <w:szCs w:val="26"/>
                <w:rtl/>
              </w:rPr>
              <w:t xml:space="preserve"> </w:t>
            </w:r>
            <w:r w:rsidRPr="00E5008B">
              <w:rPr>
                <w:sz w:val="26"/>
                <w:szCs w:val="26"/>
                <w:rtl/>
              </w:rPr>
              <w:t>מדינת ישראל נ' נעים</w:t>
            </w:r>
          </w:p>
        </w:tc>
        <w:tc>
          <w:tcPr>
            <w:tcW w:w="3667" w:type="dxa"/>
          </w:tcPr>
          <w:p w14:paraId="40947220" w14:textId="77777777" w:rsidR="00522512" w:rsidRPr="00E5008B" w:rsidRDefault="00522512" w:rsidP="002F398D">
            <w:pPr>
              <w:pStyle w:val="a3"/>
              <w:jc w:val="right"/>
              <w:rPr>
                <w:rFonts w:cs="FrankRuehl"/>
                <w:sz w:val="28"/>
                <w:szCs w:val="28"/>
                <w:rtl/>
              </w:rPr>
            </w:pPr>
          </w:p>
        </w:tc>
      </w:tr>
    </w:tbl>
    <w:p w14:paraId="6AF94BAD" w14:textId="77777777" w:rsidR="00522512" w:rsidRPr="00E5008B" w:rsidRDefault="00522512" w:rsidP="00522512">
      <w:pPr>
        <w:pStyle w:val="a3"/>
        <w:rPr>
          <w:rtl/>
        </w:rPr>
      </w:pPr>
      <w:r w:rsidRPr="00E5008B">
        <w:rPr>
          <w:rFonts w:hint="cs"/>
          <w:rtl/>
        </w:rPr>
        <w:t xml:space="preserve"> </w:t>
      </w:r>
    </w:p>
    <w:p w14:paraId="78D90C47" w14:textId="77777777" w:rsidR="00522512" w:rsidRPr="00E5008B" w:rsidRDefault="00522512" w:rsidP="0052251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22512" w:rsidRPr="00E5008B" w14:paraId="07F43A64" w14:textId="77777777" w:rsidTr="00522512">
        <w:trPr>
          <w:trHeight w:val="295"/>
          <w:jc w:val="center"/>
        </w:trPr>
        <w:tc>
          <w:tcPr>
            <w:tcW w:w="8820" w:type="dxa"/>
            <w:tcBorders>
              <w:top w:val="nil"/>
              <w:left w:val="nil"/>
              <w:bottom w:val="nil"/>
              <w:right w:val="nil"/>
            </w:tcBorders>
            <w:shd w:val="clear" w:color="auto" w:fill="auto"/>
          </w:tcPr>
          <w:p w14:paraId="39B8F74E" w14:textId="77777777" w:rsidR="00522512" w:rsidRPr="00E5008B" w:rsidRDefault="00522512" w:rsidP="00522512">
            <w:pPr>
              <w:jc w:val="both"/>
              <w:rPr>
                <w:rFonts w:ascii="Arial" w:hAnsi="Arial"/>
                <w:b/>
                <w:bCs/>
                <w:sz w:val="26"/>
                <w:szCs w:val="26"/>
              </w:rPr>
            </w:pPr>
            <w:r w:rsidRPr="00E5008B">
              <w:rPr>
                <w:rFonts w:ascii="Arial" w:hAnsi="Arial" w:hint="cs"/>
                <w:b/>
                <w:bCs/>
                <w:sz w:val="26"/>
                <w:szCs w:val="26"/>
                <w:rtl/>
              </w:rPr>
              <w:t>ל</w:t>
            </w:r>
            <w:r w:rsidRPr="00E5008B">
              <w:rPr>
                <w:rFonts w:ascii="Arial" w:hAnsi="Arial"/>
                <w:b/>
                <w:bCs/>
                <w:sz w:val="26"/>
                <w:szCs w:val="26"/>
                <w:rtl/>
              </w:rPr>
              <w:t xml:space="preserve">פני </w:t>
            </w:r>
            <w:r w:rsidRPr="00E5008B">
              <w:rPr>
                <w:rFonts w:ascii="Arial" w:hAnsi="Arial" w:hint="cs"/>
                <w:b/>
                <w:bCs/>
                <w:sz w:val="26"/>
                <w:szCs w:val="26"/>
                <w:rtl/>
              </w:rPr>
              <w:t>כבוד ה</w:t>
            </w:r>
            <w:r w:rsidRPr="00E5008B">
              <w:rPr>
                <w:rFonts w:ascii="Arial" w:hAnsi="Arial"/>
                <w:b/>
                <w:bCs/>
                <w:sz w:val="26"/>
                <w:szCs w:val="26"/>
                <w:rtl/>
              </w:rPr>
              <w:t>שופטת בכירה</w:t>
            </w:r>
            <w:r w:rsidRPr="00E5008B">
              <w:rPr>
                <w:rFonts w:ascii="Arial" w:hAnsi="Arial" w:hint="cs"/>
                <w:b/>
                <w:bCs/>
                <w:sz w:val="26"/>
                <w:szCs w:val="26"/>
                <w:rtl/>
              </w:rPr>
              <w:t xml:space="preserve">  </w:t>
            </w:r>
            <w:r w:rsidRPr="00E5008B">
              <w:rPr>
                <w:rFonts w:ascii="Arial" w:hAnsi="Arial"/>
                <w:b/>
                <w:bCs/>
                <w:sz w:val="26"/>
                <w:szCs w:val="26"/>
                <w:rtl/>
              </w:rPr>
              <w:t>יעל פרדלסקי</w:t>
            </w:r>
          </w:p>
        </w:tc>
      </w:tr>
    </w:tbl>
    <w:p w14:paraId="3F70B3A5" w14:textId="77777777" w:rsidR="00522512" w:rsidRPr="00E5008B" w:rsidRDefault="00522512" w:rsidP="00522512">
      <w:pPr>
        <w:spacing w:line="360" w:lineRule="auto"/>
        <w:rPr>
          <w:rFonts w:ascii="Arial" w:hAnsi="Arial"/>
          <w:rtl/>
        </w:rPr>
      </w:pPr>
      <w:bookmarkStart w:id="0" w:name="LastJudge"/>
      <w:bookmarkEnd w:id="0"/>
    </w:p>
    <w:tbl>
      <w:tblPr>
        <w:bidiVisual/>
        <w:tblW w:w="8802" w:type="dxa"/>
        <w:tblInd w:w="-28" w:type="dxa"/>
        <w:tblLook w:val="01E0" w:firstRow="1" w:lastRow="1" w:firstColumn="1" w:lastColumn="1" w:noHBand="0" w:noVBand="0"/>
      </w:tblPr>
      <w:tblGrid>
        <w:gridCol w:w="2880"/>
        <w:gridCol w:w="5838"/>
        <w:gridCol w:w="84"/>
      </w:tblGrid>
      <w:tr w:rsidR="00522512" w:rsidRPr="00E5008B" w14:paraId="1927A049" w14:textId="77777777" w:rsidTr="00522512">
        <w:trPr>
          <w:gridAfter w:val="1"/>
          <w:wAfter w:w="56" w:type="dxa"/>
        </w:trPr>
        <w:tc>
          <w:tcPr>
            <w:tcW w:w="8718" w:type="dxa"/>
            <w:gridSpan w:val="2"/>
            <w:shd w:val="clear" w:color="auto" w:fill="auto"/>
          </w:tcPr>
          <w:p w14:paraId="61A885F3" w14:textId="77777777" w:rsidR="00522512" w:rsidRPr="00E5008B" w:rsidRDefault="00522512" w:rsidP="002F398D">
            <w:pPr>
              <w:pStyle w:val="a3"/>
              <w:rPr>
                <w:b/>
                <w:bCs/>
                <w:sz w:val="26"/>
                <w:szCs w:val="26"/>
                <w:rtl/>
              </w:rPr>
            </w:pPr>
            <w:r w:rsidRPr="00E5008B">
              <w:rPr>
                <w:rFonts w:hint="cs"/>
                <w:b/>
                <w:bCs/>
                <w:sz w:val="26"/>
                <w:szCs w:val="26"/>
                <w:rtl/>
              </w:rPr>
              <w:t>מספר פל"א</w:t>
            </w:r>
            <w:r w:rsidRPr="00E5008B">
              <w:rPr>
                <w:rFonts w:cs="Times New Roman" w:hint="cs"/>
                <w:b/>
                <w:bCs/>
                <w:sz w:val="26"/>
                <w:szCs w:val="26"/>
                <w:rtl/>
              </w:rPr>
              <w:t xml:space="preserve"> </w:t>
            </w:r>
            <w:r w:rsidRPr="00E5008B">
              <w:rPr>
                <w:rFonts w:cs="Times New Roman" w:hint="cs"/>
                <w:b/>
                <w:bCs/>
                <w:sz w:val="26"/>
                <w:szCs w:val="26"/>
              </w:rPr>
              <w:t>293880/2017</w:t>
            </w:r>
            <w:r w:rsidRPr="00E5008B">
              <w:rPr>
                <w:rFonts w:cs="Times New Roman" w:hint="cs"/>
                <w:b/>
                <w:bCs/>
                <w:sz w:val="26"/>
                <w:szCs w:val="26"/>
                <w:rtl/>
              </w:rPr>
              <w:t xml:space="preserve">  </w:t>
            </w:r>
          </w:p>
        </w:tc>
      </w:tr>
      <w:tr w:rsidR="00522512" w:rsidRPr="00E5008B" w14:paraId="555D6923" w14:textId="77777777" w:rsidTr="00522512">
        <w:trPr>
          <w:gridAfter w:val="1"/>
          <w:wAfter w:w="56" w:type="dxa"/>
        </w:trPr>
        <w:tc>
          <w:tcPr>
            <w:tcW w:w="8718" w:type="dxa"/>
            <w:gridSpan w:val="2"/>
            <w:shd w:val="clear" w:color="auto" w:fill="auto"/>
          </w:tcPr>
          <w:p w14:paraId="203CBE4E" w14:textId="77777777" w:rsidR="00522512" w:rsidRPr="00E5008B" w:rsidRDefault="00522512" w:rsidP="002F398D">
            <w:pPr>
              <w:rPr>
                <w:rFonts w:cs="Times New Roman"/>
                <w:b/>
                <w:bCs/>
                <w:sz w:val="12"/>
                <w:szCs w:val="12"/>
                <w:rtl/>
              </w:rPr>
            </w:pPr>
          </w:p>
        </w:tc>
      </w:tr>
      <w:tr w:rsidR="00522512" w:rsidRPr="00E5008B" w14:paraId="7501782B" w14:textId="77777777" w:rsidTr="00522512">
        <w:trPr>
          <w:gridAfter w:val="1"/>
          <w:wAfter w:w="56" w:type="dxa"/>
        </w:trPr>
        <w:tc>
          <w:tcPr>
            <w:tcW w:w="8718" w:type="dxa"/>
            <w:gridSpan w:val="2"/>
            <w:shd w:val="clear" w:color="auto" w:fill="auto"/>
          </w:tcPr>
          <w:p w14:paraId="7B974365" w14:textId="77777777" w:rsidR="00522512" w:rsidRPr="00E5008B" w:rsidRDefault="00522512" w:rsidP="002F398D">
            <w:pPr>
              <w:rPr>
                <w:rFonts w:cs="Times New Roman"/>
                <w:b/>
                <w:bCs/>
                <w:sz w:val="26"/>
                <w:szCs w:val="26"/>
                <w:rtl/>
              </w:rPr>
            </w:pPr>
            <w:r w:rsidRPr="00E5008B">
              <w:rPr>
                <w:rFonts w:hint="cs"/>
                <w:b/>
                <w:bCs/>
                <w:sz w:val="26"/>
                <w:szCs w:val="26"/>
                <w:rtl/>
              </w:rPr>
              <w:t>לפני כבוד השופטת בכירה יעל פרדלסקי</w:t>
            </w:r>
          </w:p>
        </w:tc>
      </w:tr>
      <w:tr w:rsidR="00522512" w:rsidRPr="00E5008B" w14:paraId="4600475D" w14:textId="77777777" w:rsidTr="00522512">
        <w:trPr>
          <w:cantSplit/>
          <w:trHeight w:val="724"/>
        </w:trPr>
        <w:tc>
          <w:tcPr>
            <w:tcW w:w="2880" w:type="dxa"/>
            <w:shd w:val="clear" w:color="auto" w:fill="auto"/>
          </w:tcPr>
          <w:p w14:paraId="546BFAD6" w14:textId="77777777" w:rsidR="00522512" w:rsidRPr="00E5008B" w:rsidRDefault="00522512" w:rsidP="00522512">
            <w:pPr>
              <w:ind w:left="26"/>
              <w:rPr>
                <w:b/>
                <w:bCs/>
                <w:sz w:val="26"/>
                <w:szCs w:val="26"/>
                <w:rtl/>
              </w:rPr>
            </w:pPr>
            <w:bookmarkStart w:id="1" w:name="FirstAppellant"/>
          </w:p>
          <w:p w14:paraId="4D82CF44" w14:textId="77777777" w:rsidR="00522512" w:rsidRPr="00E5008B" w:rsidRDefault="00522512" w:rsidP="00522512">
            <w:pPr>
              <w:ind w:left="26"/>
              <w:rPr>
                <w:b/>
                <w:bCs/>
                <w:sz w:val="26"/>
                <w:szCs w:val="26"/>
                <w:rtl/>
              </w:rPr>
            </w:pPr>
            <w:r w:rsidRPr="00E5008B">
              <w:rPr>
                <w:rFonts w:hint="cs"/>
                <w:b/>
                <w:bCs/>
                <w:sz w:val="26"/>
                <w:szCs w:val="26"/>
                <w:rtl/>
              </w:rPr>
              <w:t>המאשימה</w:t>
            </w:r>
          </w:p>
        </w:tc>
        <w:tc>
          <w:tcPr>
            <w:tcW w:w="5922" w:type="dxa"/>
            <w:gridSpan w:val="2"/>
            <w:shd w:val="clear" w:color="auto" w:fill="auto"/>
          </w:tcPr>
          <w:p w14:paraId="2E563048" w14:textId="77777777" w:rsidR="00522512" w:rsidRPr="00E5008B" w:rsidRDefault="00522512" w:rsidP="002F398D">
            <w:pPr>
              <w:rPr>
                <w:sz w:val="26"/>
                <w:szCs w:val="26"/>
                <w:rtl/>
              </w:rPr>
            </w:pPr>
          </w:p>
          <w:p w14:paraId="3B87060F" w14:textId="77777777" w:rsidR="00522512" w:rsidRPr="00E5008B" w:rsidRDefault="00522512" w:rsidP="002F398D">
            <w:pPr>
              <w:rPr>
                <w:b/>
                <w:bCs/>
                <w:sz w:val="26"/>
                <w:szCs w:val="26"/>
                <w:rtl/>
              </w:rPr>
            </w:pPr>
            <w:r w:rsidRPr="00E5008B">
              <w:rPr>
                <w:rFonts w:hint="cs"/>
                <w:sz w:val="26"/>
                <w:szCs w:val="26"/>
                <w:rtl/>
              </w:rPr>
              <w:t xml:space="preserve"> </w:t>
            </w:r>
            <w:r w:rsidRPr="00E5008B">
              <w:rPr>
                <w:rFonts w:hint="cs"/>
                <w:b/>
                <w:bCs/>
                <w:sz w:val="26"/>
                <w:szCs w:val="26"/>
                <w:rtl/>
              </w:rPr>
              <w:t>מדינת ישראל</w:t>
            </w:r>
          </w:p>
        </w:tc>
      </w:tr>
      <w:bookmarkEnd w:id="1"/>
      <w:tr w:rsidR="00522512" w:rsidRPr="00E5008B" w14:paraId="681E1F7B" w14:textId="77777777" w:rsidTr="00522512">
        <w:tc>
          <w:tcPr>
            <w:tcW w:w="8802" w:type="dxa"/>
            <w:gridSpan w:val="3"/>
            <w:shd w:val="clear" w:color="auto" w:fill="auto"/>
            <w:vAlign w:val="center"/>
          </w:tcPr>
          <w:p w14:paraId="13BE936E" w14:textId="77777777" w:rsidR="00522512" w:rsidRPr="00E5008B" w:rsidRDefault="00522512" w:rsidP="00522512">
            <w:pPr>
              <w:jc w:val="center"/>
              <w:rPr>
                <w:rFonts w:ascii="Arial" w:hAnsi="Arial"/>
                <w:b/>
                <w:bCs/>
                <w:sz w:val="26"/>
                <w:szCs w:val="26"/>
                <w:rtl/>
              </w:rPr>
            </w:pPr>
          </w:p>
          <w:p w14:paraId="112A91DF" w14:textId="77777777" w:rsidR="00522512" w:rsidRPr="00E5008B" w:rsidRDefault="00522512" w:rsidP="00522512">
            <w:pPr>
              <w:jc w:val="center"/>
              <w:rPr>
                <w:rFonts w:ascii="Arial" w:hAnsi="Arial"/>
                <w:b/>
                <w:bCs/>
                <w:sz w:val="26"/>
                <w:szCs w:val="26"/>
                <w:rtl/>
              </w:rPr>
            </w:pPr>
            <w:r w:rsidRPr="00E5008B">
              <w:rPr>
                <w:rFonts w:ascii="Arial" w:hAnsi="Arial" w:hint="cs"/>
                <w:b/>
                <w:bCs/>
                <w:sz w:val="26"/>
                <w:szCs w:val="26"/>
                <w:rtl/>
              </w:rPr>
              <w:t>נגד</w:t>
            </w:r>
          </w:p>
          <w:p w14:paraId="292AC040" w14:textId="77777777" w:rsidR="00522512" w:rsidRPr="00E5008B" w:rsidRDefault="00522512" w:rsidP="002F398D">
            <w:pPr>
              <w:rPr>
                <w:rFonts w:ascii="Arial" w:hAnsi="Arial"/>
                <w:b/>
                <w:bCs/>
                <w:sz w:val="22"/>
                <w:szCs w:val="22"/>
                <w:rtl/>
              </w:rPr>
            </w:pPr>
          </w:p>
        </w:tc>
      </w:tr>
      <w:tr w:rsidR="00522512" w:rsidRPr="00E5008B" w14:paraId="78058965" w14:textId="77777777" w:rsidTr="00522512">
        <w:tc>
          <w:tcPr>
            <w:tcW w:w="2880" w:type="dxa"/>
            <w:shd w:val="clear" w:color="auto" w:fill="auto"/>
          </w:tcPr>
          <w:p w14:paraId="66AA8F6B" w14:textId="77777777" w:rsidR="00522512" w:rsidRPr="00E5008B" w:rsidRDefault="00522512" w:rsidP="00522512">
            <w:pPr>
              <w:ind w:left="26"/>
              <w:rPr>
                <w:b/>
                <w:bCs/>
                <w:sz w:val="26"/>
                <w:szCs w:val="26"/>
              </w:rPr>
            </w:pPr>
            <w:r w:rsidRPr="00E5008B">
              <w:rPr>
                <w:rFonts w:hint="cs"/>
                <w:b/>
                <w:bCs/>
                <w:sz w:val="26"/>
                <w:szCs w:val="26"/>
                <w:rtl/>
              </w:rPr>
              <w:t>הנאשם</w:t>
            </w:r>
          </w:p>
        </w:tc>
        <w:tc>
          <w:tcPr>
            <w:tcW w:w="5922" w:type="dxa"/>
            <w:gridSpan w:val="2"/>
            <w:shd w:val="clear" w:color="auto" w:fill="auto"/>
          </w:tcPr>
          <w:p w14:paraId="384CDEA1" w14:textId="77777777" w:rsidR="00522512" w:rsidRPr="00E5008B" w:rsidRDefault="00522512" w:rsidP="002F398D">
            <w:pPr>
              <w:rPr>
                <w:b/>
                <w:bCs/>
                <w:sz w:val="26"/>
                <w:szCs w:val="26"/>
                <w:rtl/>
              </w:rPr>
            </w:pPr>
            <w:r w:rsidRPr="00E5008B">
              <w:rPr>
                <w:rFonts w:hint="cs"/>
                <w:sz w:val="26"/>
                <w:szCs w:val="26"/>
                <w:rtl/>
              </w:rPr>
              <w:t xml:space="preserve"> </w:t>
            </w:r>
            <w:r w:rsidRPr="00E5008B">
              <w:rPr>
                <w:rFonts w:hint="cs"/>
                <w:b/>
                <w:bCs/>
                <w:sz w:val="26"/>
                <w:szCs w:val="26"/>
                <w:rtl/>
              </w:rPr>
              <w:t>רפאל ויקטור נעים</w:t>
            </w:r>
            <w:r w:rsidRPr="00E5008B">
              <w:rPr>
                <w:rFonts w:hint="cs"/>
                <w:sz w:val="26"/>
                <w:szCs w:val="26"/>
                <w:rtl/>
              </w:rPr>
              <w:t xml:space="preserve"> </w:t>
            </w:r>
            <w:r w:rsidRPr="00E5008B">
              <w:rPr>
                <w:rFonts w:hint="cs"/>
                <w:b/>
                <w:bCs/>
                <w:sz w:val="26"/>
                <w:szCs w:val="26"/>
                <w:rtl/>
              </w:rPr>
              <w:t xml:space="preserve">ת.ז.  </w:t>
            </w:r>
            <w:r w:rsidR="00E5008B">
              <w:rPr>
                <w:b/>
                <w:bCs/>
                <w:sz w:val="26"/>
                <w:szCs w:val="26"/>
              </w:rPr>
              <w:t>xxxxxxxxxx</w:t>
            </w:r>
          </w:p>
        </w:tc>
      </w:tr>
      <w:tr w:rsidR="00522512" w:rsidRPr="00E5008B" w14:paraId="378F1F32" w14:textId="77777777" w:rsidTr="00522512">
        <w:trPr>
          <w:trHeight w:val="811"/>
        </w:trPr>
        <w:tc>
          <w:tcPr>
            <w:tcW w:w="2880" w:type="dxa"/>
            <w:shd w:val="clear" w:color="auto" w:fill="auto"/>
          </w:tcPr>
          <w:p w14:paraId="0774EFC4" w14:textId="77777777" w:rsidR="00522512" w:rsidRPr="00E5008B" w:rsidRDefault="00522512" w:rsidP="002F398D">
            <w:pPr>
              <w:rPr>
                <w:rFonts w:ascii="David" w:eastAsia="David" w:hAnsi="David"/>
                <w:sz w:val="26"/>
                <w:szCs w:val="26"/>
                <w:rtl/>
              </w:rPr>
            </w:pPr>
          </w:p>
        </w:tc>
        <w:tc>
          <w:tcPr>
            <w:tcW w:w="5922" w:type="dxa"/>
            <w:gridSpan w:val="2"/>
            <w:shd w:val="clear" w:color="auto" w:fill="auto"/>
          </w:tcPr>
          <w:p w14:paraId="2C1EE049" w14:textId="77777777" w:rsidR="00522512" w:rsidRPr="00E5008B" w:rsidRDefault="00522512" w:rsidP="002F398D">
            <w:pPr>
              <w:rPr>
                <w:sz w:val="26"/>
                <w:szCs w:val="26"/>
              </w:rPr>
            </w:pPr>
          </w:p>
        </w:tc>
      </w:tr>
    </w:tbl>
    <w:p w14:paraId="08AC905E" w14:textId="77777777" w:rsidR="00522512" w:rsidRPr="00E5008B" w:rsidRDefault="00522512" w:rsidP="00522512">
      <w:pPr>
        <w:suppressLineNumbers/>
        <w:spacing w:line="360" w:lineRule="auto"/>
        <w:rPr>
          <w:rFonts w:ascii="Arial" w:hAnsi="Arial"/>
        </w:rPr>
      </w:pPr>
      <w:r w:rsidRPr="00E5008B">
        <w:rPr>
          <w:rFonts w:ascii="Arial" w:hAnsi="Arial" w:hint="cs"/>
          <w:rtl/>
        </w:rPr>
        <w:t>נוכחים:</w:t>
      </w:r>
    </w:p>
    <w:p w14:paraId="5F2B1966" w14:textId="77777777" w:rsidR="00522512" w:rsidRPr="00E5008B" w:rsidRDefault="00522512" w:rsidP="00522512">
      <w:pPr>
        <w:suppressLineNumbers/>
        <w:spacing w:line="360" w:lineRule="auto"/>
        <w:rPr>
          <w:rFonts w:ascii="Arial" w:hAnsi="Arial"/>
          <w:rtl/>
        </w:rPr>
      </w:pPr>
      <w:bookmarkStart w:id="2" w:name="FirstLawyer"/>
      <w:r w:rsidRPr="00E5008B">
        <w:rPr>
          <w:rFonts w:ascii="Arial" w:hAnsi="Arial" w:hint="cs"/>
          <w:rtl/>
        </w:rPr>
        <w:t>ב"כ</w:t>
      </w:r>
      <w:bookmarkEnd w:id="2"/>
      <w:r w:rsidRPr="00E5008B">
        <w:rPr>
          <w:rFonts w:ascii="Arial" w:hAnsi="Arial" w:hint="cs"/>
          <w:rtl/>
        </w:rPr>
        <w:t xml:space="preserve"> המאשימה: מתמחה מר רביב מרגלית</w:t>
      </w:r>
    </w:p>
    <w:p w14:paraId="137A4130" w14:textId="77777777" w:rsidR="00522512" w:rsidRPr="00E5008B" w:rsidRDefault="00522512" w:rsidP="00522512">
      <w:pPr>
        <w:spacing w:line="360" w:lineRule="auto"/>
        <w:jc w:val="both"/>
        <w:rPr>
          <w:rFonts w:ascii="David" w:hAnsi="David"/>
          <w:rtl/>
        </w:rPr>
      </w:pPr>
      <w:r w:rsidRPr="00E5008B">
        <w:rPr>
          <w:rFonts w:hint="cs"/>
          <w:rtl/>
        </w:rPr>
        <w:t>ב"כ הנאשם: עו"ד מירב בן שבת</w:t>
      </w:r>
    </w:p>
    <w:p w14:paraId="54238DD3" w14:textId="77777777" w:rsidR="00522512" w:rsidRPr="00E5008B" w:rsidRDefault="00522512" w:rsidP="00522512">
      <w:pPr>
        <w:spacing w:line="360" w:lineRule="auto"/>
        <w:jc w:val="both"/>
        <w:rPr>
          <w:rtl/>
        </w:rPr>
      </w:pPr>
      <w:r w:rsidRPr="00E5008B">
        <w:rPr>
          <w:rFonts w:hint="cs"/>
          <w:rtl/>
        </w:rPr>
        <w:t>הנאשם בעצמו</w:t>
      </w:r>
    </w:p>
    <w:p w14:paraId="7304CB1D" w14:textId="77777777" w:rsidR="00E67194" w:rsidRDefault="00522512" w:rsidP="00216DE9">
      <w:pPr>
        <w:spacing w:after="120" w:line="240" w:lineRule="exact"/>
        <w:ind w:left="283" w:hanging="283"/>
        <w:jc w:val="both"/>
        <w:rPr>
          <w:sz w:val="6"/>
          <w:szCs w:val="6"/>
          <w:rtl/>
        </w:rPr>
      </w:pPr>
      <w:r w:rsidRPr="00E5008B">
        <w:rPr>
          <w:rFonts w:hint="cs"/>
          <w:sz w:val="6"/>
          <w:szCs w:val="6"/>
          <w:rtl/>
        </w:rPr>
        <w:t>&lt;#1#</w:t>
      </w:r>
      <w:bookmarkStart w:id="3" w:name="LawTable"/>
      <w:bookmarkEnd w:id="3"/>
    </w:p>
    <w:p w14:paraId="19F11438" w14:textId="77777777" w:rsidR="00E67194" w:rsidRPr="00E67194" w:rsidRDefault="00E67194" w:rsidP="00E67194">
      <w:pPr>
        <w:spacing w:after="120" w:line="240" w:lineRule="exact"/>
        <w:ind w:left="283" w:hanging="283"/>
        <w:jc w:val="both"/>
        <w:rPr>
          <w:rFonts w:ascii="FrankRuehl" w:hAnsi="FrankRuehl" w:cs="FrankRuehl"/>
          <w:rtl/>
        </w:rPr>
      </w:pPr>
    </w:p>
    <w:p w14:paraId="50A16569" w14:textId="77777777" w:rsidR="00E67194" w:rsidRPr="00E67194" w:rsidRDefault="00E67194" w:rsidP="00E67194">
      <w:pPr>
        <w:spacing w:after="120" w:line="240" w:lineRule="exact"/>
        <w:ind w:left="283" w:hanging="283"/>
        <w:jc w:val="both"/>
        <w:rPr>
          <w:rFonts w:ascii="FrankRuehl" w:hAnsi="FrankRuehl" w:cs="FrankRuehl"/>
          <w:rtl/>
        </w:rPr>
      </w:pPr>
      <w:r w:rsidRPr="00E67194">
        <w:rPr>
          <w:rFonts w:ascii="FrankRuehl" w:hAnsi="FrankRuehl" w:cs="FrankRuehl"/>
          <w:rtl/>
        </w:rPr>
        <w:t xml:space="preserve">חקיקה שאוזכרה: </w:t>
      </w:r>
    </w:p>
    <w:p w14:paraId="5ABC4868" w14:textId="77777777" w:rsidR="00E67194" w:rsidRPr="00E67194" w:rsidRDefault="00E67194" w:rsidP="00E67194">
      <w:pPr>
        <w:spacing w:after="120" w:line="240" w:lineRule="exact"/>
        <w:ind w:left="283" w:hanging="283"/>
        <w:jc w:val="both"/>
        <w:rPr>
          <w:rFonts w:ascii="FrankRuehl" w:hAnsi="FrankRuehl" w:cs="FrankRuehl"/>
          <w:rtl/>
        </w:rPr>
      </w:pPr>
      <w:hyperlink r:id="rId7" w:history="1">
        <w:r w:rsidRPr="00E67194">
          <w:rPr>
            <w:rFonts w:ascii="FrankRuehl" w:hAnsi="FrankRuehl" w:cs="FrankRuehl"/>
            <w:color w:val="0000FF"/>
            <w:u w:val="single"/>
            <w:rtl/>
          </w:rPr>
          <w:t>חוק העונשין, תשל"ז-1977</w:t>
        </w:r>
      </w:hyperlink>
      <w:r w:rsidRPr="00E67194">
        <w:rPr>
          <w:rFonts w:ascii="FrankRuehl" w:hAnsi="FrankRuehl" w:cs="FrankRuehl"/>
          <w:rtl/>
        </w:rPr>
        <w:t xml:space="preserve">: סע'  </w:t>
      </w:r>
      <w:hyperlink r:id="rId8" w:history="1">
        <w:r w:rsidRPr="00E67194">
          <w:rPr>
            <w:rFonts w:ascii="FrankRuehl" w:hAnsi="FrankRuehl" w:cs="FrankRuehl"/>
            <w:color w:val="0000FF"/>
            <w:u w:val="single"/>
            <w:rtl/>
          </w:rPr>
          <w:t>447(א)(1)</w:t>
        </w:r>
      </w:hyperlink>
      <w:r w:rsidRPr="00E67194">
        <w:rPr>
          <w:rFonts w:ascii="FrankRuehl" w:hAnsi="FrankRuehl" w:cs="FrankRuehl"/>
          <w:rtl/>
        </w:rPr>
        <w:t xml:space="preserve">, </w:t>
      </w:r>
      <w:hyperlink r:id="rId9" w:history="1">
        <w:r w:rsidRPr="00E67194">
          <w:rPr>
            <w:rFonts w:ascii="FrankRuehl" w:hAnsi="FrankRuehl" w:cs="FrankRuehl"/>
            <w:color w:val="0000FF"/>
            <w:u w:val="single"/>
            <w:rtl/>
          </w:rPr>
          <w:t>452</w:t>
        </w:r>
      </w:hyperlink>
      <w:r w:rsidRPr="00E67194">
        <w:rPr>
          <w:rFonts w:ascii="FrankRuehl" w:hAnsi="FrankRuehl" w:cs="FrankRuehl"/>
          <w:rtl/>
        </w:rPr>
        <w:t xml:space="preserve">, </w:t>
      </w:r>
      <w:hyperlink r:id="rId10" w:history="1">
        <w:r w:rsidRPr="00E67194">
          <w:rPr>
            <w:rFonts w:ascii="FrankRuehl" w:hAnsi="FrankRuehl" w:cs="FrankRuehl"/>
            <w:color w:val="0000FF"/>
            <w:u w:val="single"/>
            <w:rtl/>
          </w:rPr>
          <w:t>453(ב)(1)</w:t>
        </w:r>
      </w:hyperlink>
    </w:p>
    <w:p w14:paraId="0432A0C4" w14:textId="77777777" w:rsidR="00E67194" w:rsidRPr="00E67194" w:rsidRDefault="00E67194" w:rsidP="00E67194">
      <w:pPr>
        <w:spacing w:after="120" w:line="240" w:lineRule="exact"/>
        <w:ind w:left="283" w:hanging="283"/>
        <w:jc w:val="both"/>
        <w:rPr>
          <w:rFonts w:ascii="FrankRuehl" w:hAnsi="FrankRuehl" w:cs="FrankRuehl"/>
          <w:rtl/>
        </w:rPr>
      </w:pPr>
    </w:p>
    <w:p w14:paraId="254E30A8" w14:textId="77777777" w:rsidR="00E67194" w:rsidRPr="00E67194" w:rsidRDefault="00E67194" w:rsidP="00216DE9">
      <w:pPr>
        <w:spacing w:after="120" w:line="240" w:lineRule="exact"/>
        <w:ind w:left="283" w:hanging="283"/>
        <w:jc w:val="both"/>
        <w:rPr>
          <w:sz w:val="6"/>
          <w:szCs w:val="6"/>
          <w:rtl/>
        </w:rPr>
      </w:pPr>
      <w:bookmarkStart w:id="4" w:name="LawTable_End"/>
      <w:bookmarkEnd w:id="4"/>
    </w:p>
    <w:p w14:paraId="43AD7260" w14:textId="77777777" w:rsidR="00E67194" w:rsidRPr="00E67194" w:rsidRDefault="00E67194" w:rsidP="00216DE9">
      <w:pPr>
        <w:spacing w:after="120" w:line="240" w:lineRule="exact"/>
        <w:ind w:left="283" w:hanging="283"/>
        <w:jc w:val="both"/>
        <w:rPr>
          <w:sz w:val="6"/>
          <w:szCs w:val="6"/>
          <w:rtl/>
        </w:rPr>
      </w:pPr>
    </w:p>
    <w:p w14:paraId="7009A271" w14:textId="77777777" w:rsidR="00216DE9" w:rsidRPr="00216DE9" w:rsidRDefault="00522512" w:rsidP="00216DE9">
      <w:pPr>
        <w:spacing w:after="120" w:line="240" w:lineRule="exact"/>
        <w:ind w:left="283" w:hanging="283"/>
        <w:jc w:val="both"/>
        <w:rPr>
          <w:rFonts w:ascii="FrankRuehl" w:hAnsi="FrankRuehl" w:cs="FrankRuehl"/>
          <w:rtl/>
        </w:rPr>
      </w:pPr>
      <w:r w:rsidRPr="00E67194">
        <w:rPr>
          <w:rFonts w:hint="cs"/>
          <w:sz w:val="6"/>
          <w:szCs w:val="6"/>
          <w:rtl/>
        </w:rPr>
        <w:t>&gt;</w:t>
      </w:r>
    </w:p>
    <w:p w14:paraId="3CA9B386" w14:textId="77777777" w:rsidR="00E5008B" w:rsidRPr="00E5008B" w:rsidRDefault="00E5008B" w:rsidP="00216DE9">
      <w:pPr>
        <w:suppressLineNumbers/>
        <w:spacing w:before="120" w:after="120" w:line="360" w:lineRule="auto"/>
        <w:ind w:left="426"/>
        <w:jc w:val="center"/>
        <w:rPr>
          <w:b/>
          <w:bCs/>
          <w:sz w:val="28"/>
          <w:szCs w:val="28"/>
          <w:rtl/>
        </w:rPr>
      </w:pPr>
      <w:bookmarkStart w:id="5" w:name="PsakDin"/>
      <w:r w:rsidRPr="00E5008B">
        <w:rPr>
          <w:b/>
          <w:bCs/>
          <w:sz w:val="28"/>
          <w:szCs w:val="28"/>
          <w:rtl/>
        </w:rPr>
        <w:t>גזר דין</w:t>
      </w:r>
    </w:p>
    <w:bookmarkEnd w:id="5"/>
    <w:p w14:paraId="5558F9DD" w14:textId="77777777" w:rsidR="00522512" w:rsidRDefault="00522512" w:rsidP="00522512">
      <w:pPr>
        <w:numPr>
          <w:ilvl w:val="0"/>
          <w:numId w:val="1"/>
        </w:numPr>
        <w:suppressLineNumbers/>
        <w:spacing w:before="120" w:after="120" w:line="360" w:lineRule="auto"/>
        <w:jc w:val="both"/>
        <w:rPr>
          <w:rtl/>
        </w:rPr>
      </w:pPr>
      <w:r>
        <w:rPr>
          <w:rFonts w:hint="cs"/>
          <w:rtl/>
        </w:rPr>
        <w:t xml:space="preserve">הנאשם הורשע לאחר שמיעת ראיות בביצוע עבירה של הסגת גבול, עבירה לפי </w:t>
      </w:r>
      <w:hyperlink r:id="rId11" w:history="1">
        <w:r w:rsidR="00216DE9" w:rsidRPr="00216DE9">
          <w:rPr>
            <w:color w:val="0000FF"/>
            <w:u w:val="single"/>
            <w:rtl/>
          </w:rPr>
          <w:t>סעיף 447(א)(1)</w:t>
        </w:r>
      </w:hyperlink>
      <w:r>
        <w:rPr>
          <w:rFonts w:hint="cs"/>
          <w:rtl/>
        </w:rPr>
        <w:t xml:space="preserve"> ל</w:t>
      </w:r>
      <w:hyperlink r:id="rId12" w:history="1">
        <w:r w:rsidR="00E5008B" w:rsidRPr="00E5008B">
          <w:rPr>
            <w:color w:val="0000FF"/>
            <w:u w:val="single"/>
            <w:rtl/>
          </w:rPr>
          <w:t>חוק העונשין</w:t>
        </w:r>
      </w:hyperlink>
      <w:r>
        <w:rPr>
          <w:rFonts w:hint="cs"/>
          <w:rtl/>
        </w:rPr>
        <w:t>, התשל"ז- 1977 (להלן: "</w:t>
      </w:r>
      <w:r>
        <w:rPr>
          <w:rFonts w:hint="cs"/>
          <w:b/>
          <w:bCs/>
          <w:rtl/>
        </w:rPr>
        <w:t>חוק העונשין</w:t>
      </w:r>
      <w:r>
        <w:rPr>
          <w:rFonts w:hint="cs"/>
          <w:rtl/>
        </w:rPr>
        <w:t xml:space="preserve">"), ובעבירה של היזקים מיוחדים, עבירה לפי </w:t>
      </w:r>
      <w:hyperlink r:id="rId13" w:history="1">
        <w:r w:rsidR="00216DE9" w:rsidRPr="00216DE9">
          <w:rPr>
            <w:color w:val="0000FF"/>
            <w:u w:val="single"/>
            <w:rtl/>
          </w:rPr>
          <w:t>סעיף 452</w:t>
        </w:r>
      </w:hyperlink>
      <w:r>
        <w:rPr>
          <w:rFonts w:hint="cs"/>
          <w:rtl/>
        </w:rPr>
        <w:t xml:space="preserve"> + </w:t>
      </w:r>
      <w:hyperlink r:id="rId14" w:history="1">
        <w:r w:rsidR="00216DE9" w:rsidRPr="00216DE9">
          <w:rPr>
            <w:color w:val="0000FF"/>
            <w:u w:val="single"/>
            <w:rtl/>
          </w:rPr>
          <w:t>453(ב)(1)</w:t>
        </w:r>
      </w:hyperlink>
      <w:r>
        <w:rPr>
          <w:rFonts w:hint="cs"/>
          <w:rtl/>
        </w:rPr>
        <w:t xml:space="preserve"> לחוק העונשין. </w:t>
      </w:r>
    </w:p>
    <w:p w14:paraId="5176797D" w14:textId="77777777" w:rsidR="00522512" w:rsidRDefault="00522512" w:rsidP="00522512">
      <w:pPr>
        <w:numPr>
          <w:ilvl w:val="0"/>
          <w:numId w:val="1"/>
        </w:numPr>
        <w:suppressLineNumbers/>
        <w:spacing w:before="120" w:after="120" w:line="360" w:lineRule="auto"/>
        <w:jc w:val="both"/>
      </w:pPr>
      <w:r>
        <w:rPr>
          <w:rFonts w:hint="cs"/>
          <w:rtl/>
        </w:rPr>
        <w:t>בקליפת אגוז אציין, כי בהכרעת הדין קבעתי כי הוכח בפניי שביום 5.7.17 בשעה 16:20 לערך, הגיע הנאשם לבניין ברחוב אליהו חכים 10 בתל אביב (להלן: "</w:t>
      </w:r>
      <w:r>
        <w:rPr>
          <w:rFonts w:hint="cs"/>
          <w:b/>
          <w:bCs/>
          <w:rtl/>
        </w:rPr>
        <w:t>הבניין"</w:t>
      </w:r>
      <w:r>
        <w:rPr>
          <w:rFonts w:hint="cs"/>
          <w:rtl/>
        </w:rPr>
        <w:t>), בו התגוררה</w:t>
      </w:r>
      <w:r>
        <w:rPr>
          <w:rFonts w:hint="cs"/>
          <w:b/>
          <w:bCs/>
          <w:rtl/>
        </w:rPr>
        <w:t xml:space="preserve"> </w:t>
      </w:r>
      <w:r>
        <w:rPr>
          <w:rFonts w:hint="cs"/>
          <w:rtl/>
        </w:rPr>
        <w:t>בקומה 4</w:t>
      </w:r>
      <w:r>
        <w:rPr>
          <w:rFonts w:hint="cs"/>
          <w:b/>
          <w:bCs/>
          <w:rtl/>
        </w:rPr>
        <w:t xml:space="preserve"> </w:t>
      </w:r>
      <w:r>
        <w:rPr>
          <w:rFonts w:hint="cs"/>
          <w:rtl/>
        </w:rPr>
        <w:t>בת זוגו לשעבר- הגברת אלה מיסוצ'ניק (להלן: "</w:t>
      </w:r>
      <w:r>
        <w:rPr>
          <w:rFonts w:hint="cs"/>
          <w:b/>
          <w:bCs/>
          <w:rtl/>
        </w:rPr>
        <w:t>המתלוננת</w:t>
      </w:r>
      <w:r>
        <w:rPr>
          <w:rFonts w:hint="cs"/>
          <w:rtl/>
        </w:rPr>
        <w:t xml:space="preserve">"). הנאשם צלצל מספר פעמים באינטרקום של הבניין, ולאחר שהמתלוננת סירבה לפתוח לו את דלת </w:t>
      </w:r>
      <w:r>
        <w:rPr>
          <w:rFonts w:hint="cs"/>
          <w:rtl/>
        </w:rPr>
        <w:lastRenderedPageBreak/>
        <w:t>הכניסה לבניין, נכנס הנאשם לבניין, לאחר שאחרת פתחה את דלת הכניסה לבניין באמצעות קוד ונכנסה לבניין, והנאשם נכנס אחריה. הנאשם עלה לקומה 4 בבניין, דפק בחוזקה על דלת הכניסה לדירה של המתלוננת (להלן: "</w:t>
      </w:r>
      <w:r>
        <w:rPr>
          <w:rFonts w:hint="cs"/>
          <w:b/>
          <w:bCs/>
          <w:rtl/>
        </w:rPr>
        <w:t>הדירה</w:t>
      </w:r>
      <w:r>
        <w:rPr>
          <w:rFonts w:hint="cs"/>
          <w:rtl/>
        </w:rPr>
        <w:t>"), אשר לא פתחה לו את הדלת וביקשה ממנו ללכת, אולם הנאשם  המשיך לדפוק בחוזקה על הדלת. עוד קבעתי בהכרעת הדין, כי הנאשם חתך את הצינור  הראשי של דוד המים השייך לדירה, ובנסיבות אלו חדר הדודים בקומה 4 בבניין הוצף, וקומה 4 בבניין הוצפה במים. בנוסף קבעתי בהכרעת הדין, כי הנאשם ניתק את צנרת הגז של הדירה מהחיבורים בקיר ומהשעון, ובנסיבות אלו התפשט גז, וכשהגיעו לוחמי האש לקומה 4 בבניין, גלאי הגז התריע שכמות נכבדה של גז דלפה, ולוחמי האש סגרו את הגז בבניין ופינו את דיירי קומות 3-5 מהבניין, בשל חשש לפיצוץ.</w:t>
      </w:r>
    </w:p>
    <w:p w14:paraId="491F80F5" w14:textId="77777777" w:rsidR="00522512" w:rsidRDefault="00522512" w:rsidP="00522512">
      <w:pPr>
        <w:numPr>
          <w:ilvl w:val="0"/>
          <w:numId w:val="1"/>
        </w:numPr>
        <w:suppressLineNumbers/>
        <w:spacing w:before="120" w:after="120" w:line="360" w:lineRule="auto"/>
        <w:contextualSpacing/>
        <w:jc w:val="both"/>
      </w:pPr>
      <w:r>
        <w:rPr>
          <w:rFonts w:hint="cs"/>
          <w:rtl/>
        </w:rPr>
        <w:t>במסגרת ראיות לעונש הגיש ב"כ המאשימה גיליון הרשעות קודמות של הנאשם ממנו עולה, כי לנאשם 2 הרשעות קודמות- הרשעה משנת 2018</w:t>
      </w:r>
      <w:r>
        <w:rPr>
          <w:rFonts w:hint="cs"/>
          <w:rtl/>
          <w:lang w:eastAsia="he-IL"/>
        </w:rPr>
        <w:t xml:space="preserve"> בגין ביצוע עבירה של החזקת סם מסוכן  לצריכה עצמית בשנת 2016, והרשעה משנת 2013 בגין ביצוע עבירה של פציעה כשהעבריין מזויין משנת 2009</w:t>
      </w:r>
      <w:r>
        <w:rPr>
          <w:rFonts w:hint="cs"/>
          <w:rtl/>
        </w:rPr>
        <w:t>, בגינה נידון לחודשיים מאסר בעבודות שירות ולעונשים נלווים.</w:t>
      </w:r>
    </w:p>
    <w:p w14:paraId="58A31AF5" w14:textId="77777777" w:rsidR="00522512" w:rsidRDefault="00522512" w:rsidP="00522512">
      <w:pPr>
        <w:suppressLineNumbers/>
        <w:spacing w:before="120" w:after="120" w:line="360" w:lineRule="auto"/>
        <w:ind w:left="786"/>
        <w:jc w:val="both"/>
        <w:rPr>
          <w:b/>
          <w:bCs/>
        </w:rPr>
      </w:pPr>
      <w:r>
        <w:rPr>
          <w:rFonts w:hint="cs"/>
          <w:rtl/>
        </w:rPr>
        <w:t>מטעם ההגנה העידה אמו של הנאשם, אשר העידה, כי היא בת 80, הנאשם מתגורר איתה ועם אביו בן התשעים, ומסייע לה בטיפול באביו הסובל מבעיות בריאותיות. כן העידה, כי באם ישלח בנה למאסר, לא יהיה מי שיסייע לה בטיפול באביו של הנאשם</w:t>
      </w:r>
      <w:r>
        <w:rPr>
          <w:rFonts w:hint="cs"/>
          <w:b/>
          <w:bCs/>
          <w:rtl/>
        </w:rPr>
        <w:t>.</w:t>
      </w:r>
    </w:p>
    <w:p w14:paraId="044E0EB0" w14:textId="77777777" w:rsidR="00522512" w:rsidRDefault="00522512" w:rsidP="00522512">
      <w:pPr>
        <w:numPr>
          <w:ilvl w:val="0"/>
          <w:numId w:val="1"/>
        </w:numPr>
        <w:suppressLineNumbers/>
        <w:spacing w:before="120" w:after="120" w:line="360" w:lineRule="auto"/>
        <w:contextualSpacing/>
        <w:jc w:val="both"/>
      </w:pPr>
      <w:r>
        <w:rPr>
          <w:rFonts w:hint="cs"/>
          <w:b/>
          <w:bCs/>
          <w:rtl/>
        </w:rPr>
        <w:t>תמצית טיעוני ב"כ הצדדים לעונש:</w:t>
      </w:r>
    </w:p>
    <w:p w14:paraId="419615B5" w14:textId="77777777" w:rsidR="00522512" w:rsidRDefault="00522512" w:rsidP="00522512">
      <w:pPr>
        <w:numPr>
          <w:ilvl w:val="0"/>
          <w:numId w:val="2"/>
        </w:numPr>
        <w:suppressLineNumbers/>
        <w:spacing w:before="120" w:after="120" w:line="360" w:lineRule="auto"/>
        <w:contextualSpacing/>
        <w:jc w:val="both"/>
      </w:pPr>
      <w:r>
        <w:rPr>
          <w:rFonts w:hint="cs"/>
          <w:rtl/>
        </w:rPr>
        <w:t xml:space="preserve">ב"כ המאשימה עתר להטיל על הנאשם עונש שלא יפחת מ-28 חודשי מאסר, מאסר על תנאי ארוך ומשמעותי, קנס שייתן ביטוי להוצאות הרבות שנפלו על כתפי הציבור, ופיצוי  למתלוננת ולכלל  דיירי הבניין, ולכל הפחות לאלה שפונו מדירותיהם. לחילופין עתר להטיל פיצוי כולל לוועד הבניין.    </w:t>
      </w:r>
    </w:p>
    <w:p w14:paraId="35CB9B31" w14:textId="77777777" w:rsidR="00522512" w:rsidRDefault="00522512" w:rsidP="00522512">
      <w:pPr>
        <w:suppressLineNumbers/>
        <w:spacing w:before="120" w:after="120" w:line="360" w:lineRule="auto"/>
        <w:ind w:left="786"/>
        <w:contextualSpacing/>
        <w:jc w:val="both"/>
        <w:rPr>
          <w:b/>
          <w:bCs/>
        </w:rPr>
      </w:pPr>
      <w:r>
        <w:rPr>
          <w:rFonts w:hint="cs"/>
          <w:rtl/>
        </w:rPr>
        <w:t>ב"כ המאשימה טען, כי הערכים המוגנים שנפגעו כתוצאה מביצוע העבירות בגינן הורשע הנאשם עניינם זכותו של אדם לפרטיותו, לשלוות נפשו, לשלמות גופו ולהיותו מוגן בביתו,    כשהנאשם פגע בערכים המוגנים  ברף העליון</w:t>
      </w:r>
      <w:r>
        <w:rPr>
          <w:rFonts w:hint="cs"/>
          <w:b/>
          <w:bCs/>
          <w:rtl/>
        </w:rPr>
        <w:t xml:space="preserve">. </w:t>
      </w:r>
    </w:p>
    <w:p w14:paraId="5F0D89DB" w14:textId="77777777" w:rsidR="00522512" w:rsidRDefault="00522512" w:rsidP="00522512">
      <w:pPr>
        <w:suppressLineNumbers/>
        <w:spacing w:before="120" w:after="120" w:line="360" w:lineRule="auto"/>
        <w:ind w:left="786"/>
        <w:contextualSpacing/>
        <w:jc w:val="both"/>
        <w:rPr>
          <w:rtl/>
        </w:rPr>
      </w:pPr>
      <w:r>
        <w:rPr>
          <w:rFonts w:hint="cs"/>
          <w:rtl/>
        </w:rPr>
        <w:t>עוד טען, כי הנזק הצפוי ממעשיו של הנאשם שחתך צינור גז  גדול מאד , שכן ניצוץ קטן יכול היה לפוצץ את הבניין, כעולה מעדותו של עד התביעה מר תומר קשרי. ב"כ המאשימה הפנה לפסיקה, בהם נאשמים העמידו את הציבור בסיכון דומה וטען, כי מתחם העונש ההולם נע בין 24 חודשי מאסר ל-36 חודשי מאסר. בנוסף טען, כי</w:t>
      </w:r>
      <w:r>
        <w:rPr>
          <w:rFonts w:hint="cs"/>
          <w:b/>
          <w:bCs/>
          <w:rtl/>
        </w:rPr>
        <w:t xml:space="preserve"> </w:t>
      </w:r>
      <w:r>
        <w:rPr>
          <w:rFonts w:hint="cs"/>
          <w:rtl/>
        </w:rPr>
        <w:t>יש להטיל על הנאשם ענישה מוחשית ומשמעותית, שכן הנאשם סיכן את כלל דיירי הבניין</w:t>
      </w:r>
      <w:r>
        <w:rPr>
          <w:rFonts w:hint="cs"/>
          <w:b/>
          <w:bCs/>
          <w:rtl/>
        </w:rPr>
        <w:t xml:space="preserve">, </w:t>
      </w:r>
      <w:r>
        <w:rPr>
          <w:rFonts w:hint="cs"/>
          <w:rtl/>
        </w:rPr>
        <w:t>לא לקח אחריות, ולחובתו 2 הרשעות קודמות</w:t>
      </w:r>
      <w:r>
        <w:rPr>
          <w:rFonts w:hint="cs"/>
          <w:b/>
          <w:bCs/>
          <w:rtl/>
        </w:rPr>
        <w:t xml:space="preserve"> </w:t>
      </w:r>
      <w:r>
        <w:rPr>
          <w:rFonts w:hint="cs"/>
          <w:rtl/>
        </w:rPr>
        <w:t xml:space="preserve">אשר לא הרתיעו את הנאשם לחזור ולבצע עבירות.      </w:t>
      </w:r>
    </w:p>
    <w:p w14:paraId="256E7558" w14:textId="77777777" w:rsidR="00522512" w:rsidRDefault="00522512" w:rsidP="00522512">
      <w:pPr>
        <w:numPr>
          <w:ilvl w:val="0"/>
          <w:numId w:val="2"/>
        </w:numPr>
        <w:suppressLineNumbers/>
        <w:spacing w:before="120" w:after="120" w:line="360" w:lineRule="auto"/>
        <w:contextualSpacing/>
        <w:jc w:val="both"/>
        <w:rPr>
          <w:rtl/>
        </w:rPr>
      </w:pPr>
      <w:r>
        <w:rPr>
          <w:rFonts w:hint="cs"/>
          <w:rtl/>
        </w:rPr>
        <w:t xml:space="preserve">ב"כ הנאשם   עתרה להטיל על הנאשם עונש מאסר שירוצה עבודות שירות ועונשים כספיים.   ב"כ הנאשם טענה, כי יש להתחשב בכך שלא נגרם נזק, בכך שהנאשם מנהל אורח חיים </w:t>
      </w:r>
      <w:r>
        <w:rPr>
          <w:rFonts w:hint="cs"/>
          <w:rtl/>
        </w:rPr>
        <w:lastRenderedPageBreak/>
        <w:t xml:space="preserve">נורמטיבי, עובד, מתפקד, ועברו הפלילי כולל עבירה משנת 2009 שאינה מענייננו   ועבירה של גידול סם. עוד טענה, כי יש להתחשב בכך שהרקע למעשיו לכאורה של הנאשם העולה מעדות המתלוננת עניינו בכך שהתלה במעשיה בנאשם. כן עולה מעדותה  שהנאשם אדם טוב שאינו מסוגל לפגוע באחר, ולא יצר איתה קשר מאז האירוע נשוא גזר הדין. מעדות אמו של הנאשם עולה, שהנאשם אשר אומץ על ידי הוריו הינו בן טוב, מטפל באביו והיא אינה יודעת כיצד תתפקד בבית אם הנאשם לא יוכל לעזור לה. עוד טענה, כי הנאשם משוחרר ללא כל תנאי ואינו מסוכן. כמו כן טענה, כי הפסיקה שהגיש ב"כ המאשימה אינה דומה למעשים שביצע הנאשם, שכן מעשיו לא גרמו לנזק ולא בוצעו בשל בצע כסף ועברו הפלילי של הנאשם אינו מכביד.   </w:t>
      </w:r>
    </w:p>
    <w:p w14:paraId="19988232" w14:textId="77777777" w:rsidR="00522512" w:rsidRDefault="00522512" w:rsidP="00522512">
      <w:pPr>
        <w:numPr>
          <w:ilvl w:val="0"/>
          <w:numId w:val="1"/>
        </w:numPr>
        <w:suppressLineNumbers/>
        <w:spacing w:before="120" w:after="120" w:line="360" w:lineRule="auto"/>
        <w:contextualSpacing/>
        <w:jc w:val="both"/>
        <w:rPr>
          <w:b/>
          <w:bCs/>
        </w:rPr>
      </w:pPr>
      <w:r>
        <w:rPr>
          <w:rFonts w:hint="cs"/>
          <w:b/>
          <w:bCs/>
          <w:rtl/>
        </w:rPr>
        <w:t xml:space="preserve">מתחם העונש ההולם:   </w:t>
      </w:r>
    </w:p>
    <w:p w14:paraId="0AC767BF" w14:textId="77777777" w:rsidR="00522512" w:rsidRDefault="00522512" w:rsidP="00522512">
      <w:pPr>
        <w:numPr>
          <w:ilvl w:val="0"/>
          <w:numId w:val="3"/>
        </w:numPr>
        <w:suppressLineNumbers/>
        <w:spacing w:before="120" w:after="120" w:line="360" w:lineRule="auto"/>
        <w:contextualSpacing/>
        <w:jc w:val="both"/>
        <w:rPr>
          <w:b/>
          <w:bCs/>
        </w:rPr>
      </w:pPr>
      <w:r>
        <w:rPr>
          <w:rFonts w:hint="cs"/>
          <w:rtl/>
        </w:rPr>
        <w:t xml:space="preserve">הנאשם הורשע  בביצוע עבירות   של הסגת גבול ושל היזקים מיוחדים. הערכים  המוגנים  שנפגעו מביצוע עבירה של הסגת גבול עניינם </w:t>
      </w:r>
      <w:r>
        <w:rPr>
          <w:rFonts w:ascii="Calibri" w:hAnsi="Calibri" w:hint="cs"/>
          <w:rtl/>
          <w:lang w:eastAsia="he-IL"/>
        </w:rPr>
        <w:t xml:space="preserve">הגנה על שלוות נפשו של הפרט,קניינו   ופרטיותו. </w:t>
      </w:r>
      <w:r>
        <w:rPr>
          <w:rFonts w:ascii="Arial" w:hAnsi="Arial" w:hint="cs"/>
          <w:rtl/>
        </w:rPr>
        <w:t xml:space="preserve">הערכים  המוגנים שנפגעו  מביצוע  עבירה של היזקים מיוחדים  </w:t>
      </w:r>
      <w:r>
        <w:rPr>
          <w:rFonts w:hint="cs"/>
          <w:rtl/>
        </w:rPr>
        <w:t xml:space="preserve">  עניינם </w:t>
      </w:r>
      <w:r>
        <w:rPr>
          <w:rFonts w:ascii="Arial" w:hAnsi="Arial" w:hint="cs"/>
          <w:rtl/>
        </w:rPr>
        <w:t xml:space="preserve">שמירה על בטחון הציבור, בריאותו ,חייו וקניינו . </w:t>
      </w:r>
      <w:r>
        <w:rPr>
          <w:rFonts w:ascii="Arial" w:hAnsi="Arial" w:cs="Arial"/>
          <w:sz w:val="22"/>
          <w:szCs w:val="22"/>
          <w:rtl/>
        </w:rPr>
        <w:t xml:space="preserve">  </w:t>
      </w:r>
    </w:p>
    <w:p w14:paraId="1EE3CAFA" w14:textId="77777777" w:rsidR="00522512" w:rsidRPr="00522512" w:rsidRDefault="00522512" w:rsidP="00522512">
      <w:pPr>
        <w:numPr>
          <w:ilvl w:val="0"/>
          <w:numId w:val="3"/>
        </w:numPr>
        <w:suppressLineNumbers/>
        <w:spacing w:after="160" w:line="360" w:lineRule="auto"/>
        <w:contextualSpacing/>
        <w:jc w:val="both"/>
        <w:rPr>
          <w:rFonts w:ascii="Calibri" w:hAnsi="Calibri"/>
        </w:rPr>
      </w:pPr>
      <w:r w:rsidRPr="00522512">
        <w:rPr>
          <w:rFonts w:ascii="Calibri" w:hAnsi="Calibri" w:hint="cs"/>
          <w:rtl/>
        </w:rPr>
        <w:t xml:space="preserve">המחוקק הביע עמדתו לחומרה שבביצוע עבירה של היזקים מיוחדים בכך שבידל את העבירה מעבירה של היזק בזדון ,עבירה לפי </w:t>
      </w:r>
      <w:hyperlink r:id="rId15" w:history="1">
        <w:r w:rsidR="00216DE9" w:rsidRPr="00216DE9">
          <w:rPr>
            <w:rFonts w:ascii="Calibri" w:hAnsi="Calibri" w:hint="eastAsia"/>
            <w:color w:val="0000FF"/>
            <w:u w:val="single"/>
            <w:rtl/>
          </w:rPr>
          <w:t>סעיף</w:t>
        </w:r>
        <w:r w:rsidR="00216DE9" w:rsidRPr="00216DE9">
          <w:rPr>
            <w:rFonts w:ascii="Calibri" w:hAnsi="Calibri"/>
            <w:color w:val="0000FF"/>
            <w:u w:val="single"/>
            <w:rtl/>
          </w:rPr>
          <w:t xml:space="preserve"> 452</w:t>
        </w:r>
      </w:hyperlink>
      <w:r w:rsidRPr="00522512">
        <w:rPr>
          <w:rFonts w:ascii="Calibri" w:hAnsi="Calibri" w:hint="cs"/>
          <w:rtl/>
        </w:rPr>
        <w:t xml:space="preserve"> ל</w:t>
      </w:r>
      <w:hyperlink r:id="rId16" w:history="1">
        <w:r w:rsidR="00E5008B" w:rsidRPr="00E5008B">
          <w:rPr>
            <w:rFonts w:ascii="Calibri" w:hAnsi="Calibri" w:hint="eastAsia"/>
            <w:color w:val="0000FF"/>
            <w:u w:val="single"/>
            <w:rtl/>
          </w:rPr>
          <w:t>חוק</w:t>
        </w:r>
        <w:r w:rsidR="00E5008B" w:rsidRPr="00E5008B">
          <w:rPr>
            <w:rFonts w:ascii="Calibri" w:hAnsi="Calibri"/>
            <w:color w:val="0000FF"/>
            <w:u w:val="single"/>
            <w:rtl/>
          </w:rPr>
          <w:t xml:space="preserve"> </w:t>
        </w:r>
        <w:r w:rsidR="00E5008B" w:rsidRPr="00E5008B">
          <w:rPr>
            <w:rFonts w:ascii="Calibri" w:hAnsi="Calibri" w:hint="eastAsia"/>
            <w:color w:val="0000FF"/>
            <w:u w:val="single"/>
            <w:rtl/>
          </w:rPr>
          <w:t>העונשין</w:t>
        </w:r>
      </w:hyperlink>
      <w:r w:rsidRPr="00522512">
        <w:rPr>
          <w:rFonts w:ascii="Calibri" w:hAnsi="Calibri" w:hint="cs"/>
          <w:rtl/>
        </w:rPr>
        <w:t xml:space="preserve"> שהינה עבירה מסוג עוון וקבע שמדובר בעבירה מסוג פשע שלצידה עונש של 4 שנות מאסר.  </w:t>
      </w:r>
    </w:p>
    <w:p w14:paraId="23EEA254" w14:textId="77777777" w:rsidR="00522512" w:rsidRPr="00522512" w:rsidRDefault="00522512" w:rsidP="00522512">
      <w:pPr>
        <w:numPr>
          <w:ilvl w:val="0"/>
          <w:numId w:val="3"/>
        </w:numPr>
        <w:suppressLineNumbers/>
        <w:spacing w:after="160" w:line="360" w:lineRule="auto"/>
        <w:contextualSpacing/>
        <w:jc w:val="both"/>
        <w:rPr>
          <w:rFonts w:ascii="Calibri" w:hAnsi="Calibri"/>
        </w:rPr>
      </w:pPr>
      <w:r w:rsidRPr="00522512">
        <w:rPr>
          <w:rFonts w:ascii="Calibri" w:hAnsi="Calibri" w:hint="cs"/>
          <w:rtl/>
          <w:lang w:eastAsia="he-IL"/>
        </w:rPr>
        <w:t xml:space="preserve">בעת קביעת מתחם העונש, עמדו לנגד עיניי נסיבות הקשורות לביצוע העבירות,  הנזק שנגרם מביצוע העבירות והנזק שהיה צפוי להיגרם לכלל דיירי הבניין, כשלנגד עיני עדויות עדי התביעה    ובפרט  עדות </w:t>
      </w:r>
      <w:r>
        <w:rPr>
          <w:rFonts w:hint="cs"/>
          <w:rtl/>
        </w:rPr>
        <w:t xml:space="preserve">מפקד צוות לוחמי האש- מר תומר קשרי, אשר העיד שגלאי הגז  בעת שהגיעו לוחמי האש לקומה 4 בבניין התריע, שכמות נכבדה של גז דלפה והיה חשש לפיצוץ. </w:t>
      </w:r>
      <w:r w:rsidRPr="00522512">
        <w:rPr>
          <w:rFonts w:ascii="Calibri" w:hAnsi="Calibri" w:hint="cs"/>
          <w:rtl/>
          <w:lang w:eastAsia="he-IL"/>
        </w:rPr>
        <w:t xml:space="preserve">   ברי מעדותו שלמרבה המזל לא התרחש פיצוץ שיכול היה לגרום לנזקים פיסיים  נפשיים לכלל דיירי הבנין ולאורחים של דיירי הבנין  ולגרום לקיפוח חייהם , וכן לגרום לנזק לרכושם של דיירי הבנין ולבעלי החיים בבנין.   </w:t>
      </w:r>
    </w:p>
    <w:p w14:paraId="14D62B43" w14:textId="77777777" w:rsidR="00522512" w:rsidRPr="00522512" w:rsidRDefault="00522512" w:rsidP="00522512">
      <w:pPr>
        <w:numPr>
          <w:ilvl w:val="0"/>
          <w:numId w:val="3"/>
        </w:numPr>
        <w:suppressLineNumbers/>
        <w:spacing w:after="160" w:line="360" w:lineRule="auto"/>
        <w:contextualSpacing/>
        <w:jc w:val="both"/>
        <w:rPr>
          <w:rFonts w:ascii="Calibri" w:hAnsi="Calibri"/>
        </w:rPr>
      </w:pPr>
      <w:r>
        <w:rPr>
          <w:rFonts w:hint="cs"/>
          <w:b/>
          <w:bCs/>
          <w:rtl/>
        </w:rPr>
        <w:t xml:space="preserve">מידת הפגיעה בערכים המוגנים: </w:t>
      </w:r>
    </w:p>
    <w:p w14:paraId="77466C66" w14:textId="77777777" w:rsidR="00522512" w:rsidRPr="00522512" w:rsidRDefault="00522512" w:rsidP="00522512">
      <w:pPr>
        <w:suppressLineNumbers/>
        <w:spacing w:after="160" w:line="360" w:lineRule="auto"/>
        <w:ind w:left="786"/>
        <w:contextualSpacing/>
        <w:jc w:val="both"/>
        <w:rPr>
          <w:rFonts w:ascii="Calibri" w:hAnsi="Calibri"/>
        </w:rPr>
      </w:pPr>
      <w:r w:rsidRPr="00522512">
        <w:rPr>
          <w:rFonts w:ascii="Calibri" w:hAnsi="Calibri" w:hint="cs"/>
          <w:rtl/>
        </w:rPr>
        <w:t xml:space="preserve">לאחר שבחנתי את נסיבות ביצוע העבירות ובפרט  נסיבות ביצוע  עבירה של היזקים מיוחדים אני סבורה, כי מידת פגיעת הנאשם בערכים המוגנים גבוהה.    </w:t>
      </w:r>
      <w:r>
        <w:rPr>
          <w:rFonts w:ascii="Arial" w:hAnsi="Arial" w:hint="cs"/>
          <w:rtl/>
        </w:rPr>
        <w:t xml:space="preserve"> </w:t>
      </w:r>
    </w:p>
    <w:p w14:paraId="63B974B2" w14:textId="77777777" w:rsidR="00522512" w:rsidRDefault="00522512" w:rsidP="00522512">
      <w:pPr>
        <w:numPr>
          <w:ilvl w:val="0"/>
          <w:numId w:val="4"/>
        </w:numPr>
        <w:suppressLineNumbers/>
        <w:spacing w:before="120" w:after="120" w:line="360" w:lineRule="auto"/>
        <w:contextualSpacing/>
        <w:jc w:val="both"/>
        <w:rPr>
          <w:b/>
          <w:bCs/>
        </w:rPr>
      </w:pPr>
      <w:r>
        <w:rPr>
          <w:rFonts w:hint="cs"/>
          <w:b/>
          <w:bCs/>
          <w:rtl/>
        </w:rPr>
        <w:t xml:space="preserve">מדיניות הענישה הנוהגת: </w:t>
      </w:r>
    </w:p>
    <w:p w14:paraId="5CBEC361" w14:textId="77777777" w:rsidR="00522512" w:rsidRPr="00522512" w:rsidRDefault="00522512" w:rsidP="00522512">
      <w:pPr>
        <w:suppressLineNumbers/>
        <w:spacing w:before="120" w:after="120" w:line="360" w:lineRule="auto"/>
        <w:ind w:left="785"/>
        <w:contextualSpacing/>
        <w:jc w:val="both"/>
        <w:rPr>
          <w:rFonts w:ascii="Calibri" w:hAnsi="Calibri"/>
        </w:rPr>
      </w:pPr>
      <w:r w:rsidRPr="00522512">
        <w:rPr>
          <w:rFonts w:ascii="Calibri" w:hAnsi="Calibri" w:hint="cs"/>
          <w:rtl/>
        </w:rPr>
        <w:t>בחינת פסקי דין בעבירה של הסגת גבול מעלה כי מתחם העונש ההולם נע בין מאסר על תנאי ועד מספר חודשי מאסר.</w:t>
      </w:r>
      <w:r w:rsidRPr="00522512">
        <w:rPr>
          <w:rFonts w:ascii="Calibri" w:hAnsi="Calibri" w:hint="cs"/>
          <w:b/>
          <w:bCs/>
          <w:rtl/>
        </w:rPr>
        <w:t xml:space="preserve"> </w:t>
      </w:r>
      <w:r w:rsidRPr="00522512">
        <w:rPr>
          <w:rFonts w:ascii="Calibri" w:hAnsi="Calibri" w:hint="cs"/>
          <w:rtl/>
        </w:rPr>
        <w:t>ראה לדוגמה</w:t>
      </w:r>
      <w:r w:rsidRPr="00522512">
        <w:rPr>
          <w:rFonts w:ascii="Calibri" w:hAnsi="Calibri" w:hint="cs"/>
          <w:b/>
          <w:bCs/>
          <w:rtl/>
        </w:rPr>
        <w:t xml:space="preserve"> </w:t>
      </w:r>
      <w:hyperlink r:id="rId17" w:history="1">
        <w:r w:rsidR="00E5008B" w:rsidRPr="00E5008B">
          <w:rPr>
            <w:rFonts w:ascii="Calibri" w:hAnsi="Calibri" w:hint="eastAsia"/>
            <w:color w:val="0000FF"/>
            <w:u w:val="single"/>
            <w:rtl/>
          </w:rPr>
          <w:t>ת</w:t>
        </w:r>
        <w:r w:rsidR="00E5008B" w:rsidRPr="00E5008B">
          <w:rPr>
            <w:rFonts w:ascii="Calibri" w:hAnsi="Calibri"/>
            <w:color w:val="0000FF"/>
            <w:u w:val="single"/>
            <w:rtl/>
          </w:rPr>
          <w:t>"</w:t>
        </w:r>
        <w:r w:rsidR="00E5008B" w:rsidRPr="00E5008B">
          <w:rPr>
            <w:rFonts w:ascii="Calibri" w:hAnsi="Calibri" w:hint="eastAsia"/>
            <w:color w:val="0000FF"/>
            <w:u w:val="single"/>
            <w:rtl/>
          </w:rPr>
          <w:t>פ</w:t>
        </w:r>
        <w:r w:rsidR="00E5008B" w:rsidRPr="00E5008B">
          <w:rPr>
            <w:rFonts w:ascii="Calibri" w:hAnsi="Calibri"/>
            <w:color w:val="0000FF"/>
            <w:u w:val="single"/>
            <w:rtl/>
          </w:rPr>
          <w:t xml:space="preserve"> (</w:t>
        </w:r>
        <w:r w:rsidR="00E5008B" w:rsidRPr="00E5008B">
          <w:rPr>
            <w:rFonts w:ascii="Calibri" w:hAnsi="Calibri" w:hint="eastAsia"/>
            <w:color w:val="0000FF"/>
            <w:u w:val="single"/>
            <w:rtl/>
          </w:rPr>
          <w:t>שלום</w:t>
        </w:r>
        <w:r w:rsidR="00E5008B" w:rsidRPr="00E5008B">
          <w:rPr>
            <w:rFonts w:ascii="Calibri" w:hAnsi="Calibri"/>
            <w:color w:val="0000FF"/>
            <w:u w:val="single"/>
            <w:rtl/>
          </w:rPr>
          <w:t xml:space="preserve"> </w:t>
        </w:r>
        <w:r w:rsidR="00E5008B" w:rsidRPr="00E5008B">
          <w:rPr>
            <w:rFonts w:ascii="Calibri" w:hAnsi="Calibri" w:hint="eastAsia"/>
            <w:color w:val="0000FF"/>
            <w:u w:val="single"/>
            <w:rtl/>
          </w:rPr>
          <w:t>אילת</w:t>
        </w:r>
        <w:r w:rsidR="00E5008B" w:rsidRPr="00E5008B">
          <w:rPr>
            <w:rFonts w:ascii="Calibri" w:hAnsi="Calibri"/>
            <w:color w:val="0000FF"/>
            <w:u w:val="single"/>
            <w:rtl/>
          </w:rPr>
          <w:t>) 2660-08-13</w:t>
        </w:r>
      </w:hyperlink>
      <w:r w:rsidRPr="00522512">
        <w:rPr>
          <w:rFonts w:ascii="Calibri" w:hAnsi="Calibri" w:hint="cs"/>
          <w:rtl/>
        </w:rPr>
        <w:t xml:space="preserve"> </w:t>
      </w:r>
      <w:r w:rsidRPr="00522512">
        <w:rPr>
          <w:rFonts w:ascii="Calibri" w:hAnsi="Calibri" w:hint="cs"/>
          <w:b/>
          <w:bCs/>
          <w:rtl/>
        </w:rPr>
        <w:t xml:space="preserve">מדינת ישראל נ' אל טופחי </w:t>
      </w:r>
      <w:r w:rsidRPr="00522512">
        <w:rPr>
          <w:rFonts w:ascii="Calibri" w:hAnsi="Calibri" w:hint="cs"/>
          <w:rtl/>
        </w:rPr>
        <w:t xml:space="preserve">(10.6.14).  </w:t>
      </w:r>
    </w:p>
    <w:p w14:paraId="1D5A3D9A" w14:textId="77777777" w:rsidR="00522512" w:rsidRPr="00522512" w:rsidRDefault="00522512" w:rsidP="00522512">
      <w:pPr>
        <w:suppressLineNumbers/>
        <w:spacing w:after="160" w:line="360" w:lineRule="auto"/>
        <w:ind w:left="786"/>
        <w:contextualSpacing/>
        <w:jc w:val="both"/>
        <w:rPr>
          <w:rFonts w:ascii="Calibri" w:hAnsi="Calibri"/>
          <w:rtl/>
        </w:rPr>
      </w:pPr>
      <w:r w:rsidRPr="00522512">
        <w:rPr>
          <w:rFonts w:ascii="Calibri" w:hAnsi="Calibri" w:hint="cs"/>
          <w:rtl/>
        </w:rPr>
        <w:t xml:space="preserve">מעיון באתרים משפטיים לא מצאתי פסיקה  העוסקת בעבירה  של היזקים מיוחדים לפי   </w:t>
      </w:r>
      <w:hyperlink r:id="rId18" w:history="1">
        <w:r w:rsidR="00216DE9" w:rsidRPr="00216DE9">
          <w:rPr>
            <w:rFonts w:ascii="Calibri" w:hAnsi="Calibri" w:hint="eastAsia"/>
            <w:color w:val="0000FF"/>
            <w:u w:val="single"/>
            <w:rtl/>
          </w:rPr>
          <w:t>סעיף</w:t>
        </w:r>
        <w:r w:rsidR="00216DE9" w:rsidRPr="00216DE9">
          <w:rPr>
            <w:rFonts w:ascii="Calibri" w:hAnsi="Calibri"/>
            <w:color w:val="0000FF"/>
            <w:u w:val="single"/>
            <w:rtl/>
          </w:rPr>
          <w:t xml:space="preserve"> 452</w:t>
        </w:r>
      </w:hyperlink>
      <w:r>
        <w:rPr>
          <w:rFonts w:hint="cs"/>
          <w:rtl/>
        </w:rPr>
        <w:t xml:space="preserve"> + </w:t>
      </w:r>
      <w:hyperlink r:id="rId19" w:history="1">
        <w:r w:rsidR="00216DE9" w:rsidRPr="00216DE9">
          <w:rPr>
            <w:color w:val="0000FF"/>
            <w:u w:val="single"/>
            <w:rtl/>
          </w:rPr>
          <w:t>453(ב)(1)</w:t>
        </w:r>
      </w:hyperlink>
      <w:r>
        <w:rPr>
          <w:rFonts w:hint="cs"/>
          <w:rtl/>
        </w:rPr>
        <w:t xml:space="preserve"> ל</w:t>
      </w:r>
      <w:hyperlink r:id="rId20" w:history="1">
        <w:r w:rsidR="00E5008B" w:rsidRPr="00E5008B">
          <w:rPr>
            <w:color w:val="0000FF"/>
            <w:u w:val="single"/>
            <w:rtl/>
          </w:rPr>
          <w:t>חוק העונשין</w:t>
        </w:r>
      </w:hyperlink>
      <w:r w:rsidRPr="00522512">
        <w:rPr>
          <w:rFonts w:ascii="Calibri" w:hAnsi="Calibri" w:hint="cs"/>
          <w:rtl/>
        </w:rPr>
        <w:t>. עוד עולה מעיון באתרים משפטיים ומהפסיקה שהגיש ב"כ המאשימה, כי על מורשעים בעבירות של מעשה פזיזות ורשלנות בחומר לקיח וגניבה בנסיבות מיוחדות , אשר במעשיהם יצרו סיכון פוטנציאלי לפגיעה בחיי אדם בשל דליפת גז או חשש לדליפת גז, יש להטיל עונשי מאסר על מנת להרתיע את הציבור מלבצע  עבירות שיש בהן סיכון פוטנציאלי לחיי האדם. להלן אפרט מספר דוגמאות:</w:t>
      </w:r>
    </w:p>
    <w:p w14:paraId="29F9FCDC" w14:textId="77777777" w:rsidR="00522512" w:rsidRPr="00522512" w:rsidRDefault="00522512" w:rsidP="00522512">
      <w:pPr>
        <w:suppressLineNumbers/>
        <w:spacing w:after="160" w:line="360" w:lineRule="auto"/>
        <w:ind w:left="786"/>
        <w:contextualSpacing/>
        <w:jc w:val="both"/>
        <w:rPr>
          <w:rFonts w:ascii="Calibri" w:hAnsi="Calibri"/>
          <w:rtl/>
        </w:rPr>
      </w:pPr>
      <w:r w:rsidRPr="00522512">
        <w:rPr>
          <w:rFonts w:ascii="Calibri" w:hAnsi="Calibri" w:hint="cs"/>
          <w:rtl/>
        </w:rPr>
        <w:t>ב</w:t>
      </w:r>
      <w:hyperlink r:id="rId21" w:history="1">
        <w:r w:rsidR="00E5008B" w:rsidRPr="00E5008B">
          <w:rPr>
            <w:rFonts w:ascii="Calibri" w:hAnsi="Calibri" w:hint="eastAsia"/>
            <w:color w:val="0000FF"/>
            <w:u w:val="single"/>
            <w:rtl/>
          </w:rPr>
          <w:t>ת</w:t>
        </w:r>
        <w:r w:rsidR="00E5008B" w:rsidRPr="00E5008B">
          <w:rPr>
            <w:rFonts w:ascii="Calibri" w:hAnsi="Calibri"/>
            <w:color w:val="0000FF"/>
            <w:u w:val="single"/>
            <w:rtl/>
          </w:rPr>
          <w:t>"</w:t>
        </w:r>
        <w:r w:rsidR="00E5008B" w:rsidRPr="00E5008B">
          <w:rPr>
            <w:rFonts w:ascii="Calibri" w:hAnsi="Calibri" w:hint="eastAsia"/>
            <w:color w:val="0000FF"/>
            <w:u w:val="single"/>
            <w:rtl/>
          </w:rPr>
          <w:t>פ</w:t>
        </w:r>
        <w:r w:rsidR="00E5008B" w:rsidRPr="00E5008B">
          <w:rPr>
            <w:rFonts w:ascii="Calibri" w:hAnsi="Calibri"/>
            <w:color w:val="0000FF"/>
            <w:u w:val="single"/>
            <w:rtl/>
          </w:rPr>
          <w:t xml:space="preserve"> (</w:t>
        </w:r>
        <w:r w:rsidR="00E5008B" w:rsidRPr="00E5008B">
          <w:rPr>
            <w:rFonts w:ascii="Calibri" w:hAnsi="Calibri" w:hint="eastAsia"/>
            <w:color w:val="0000FF"/>
            <w:u w:val="single"/>
            <w:rtl/>
          </w:rPr>
          <w:t>שלום</w:t>
        </w:r>
        <w:r w:rsidR="00E5008B" w:rsidRPr="00E5008B">
          <w:rPr>
            <w:rFonts w:ascii="Calibri" w:hAnsi="Calibri"/>
            <w:color w:val="0000FF"/>
            <w:u w:val="single"/>
            <w:rtl/>
          </w:rPr>
          <w:t xml:space="preserve"> </w:t>
        </w:r>
        <w:r w:rsidR="00E5008B" w:rsidRPr="00E5008B">
          <w:rPr>
            <w:rFonts w:ascii="Calibri" w:hAnsi="Calibri" w:hint="eastAsia"/>
            <w:color w:val="0000FF"/>
            <w:u w:val="single"/>
            <w:rtl/>
          </w:rPr>
          <w:t>ת</w:t>
        </w:r>
        <w:r w:rsidR="00E5008B" w:rsidRPr="00E5008B">
          <w:rPr>
            <w:rFonts w:ascii="Calibri" w:hAnsi="Calibri"/>
            <w:color w:val="0000FF"/>
            <w:u w:val="single"/>
            <w:rtl/>
          </w:rPr>
          <w:t>"</w:t>
        </w:r>
        <w:r w:rsidR="00E5008B" w:rsidRPr="00E5008B">
          <w:rPr>
            <w:rFonts w:ascii="Calibri" w:hAnsi="Calibri" w:hint="eastAsia"/>
            <w:color w:val="0000FF"/>
            <w:u w:val="single"/>
            <w:rtl/>
          </w:rPr>
          <w:t>א</w:t>
        </w:r>
        <w:r w:rsidR="00E5008B" w:rsidRPr="00E5008B">
          <w:rPr>
            <w:rFonts w:ascii="Calibri" w:hAnsi="Calibri"/>
            <w:color w:val="0000FF"/>
            <w:u w:val="single"/>
            <w:rtl/>
          </w:rPr>
          <w:t>) 3348-04-10</w:t>
        </w:r>
      </w:hyperlink>
      <w:r w:rsidRPr="00522512">
        <w:rPr>
          <w:rFonts w:ascii="Calibri" w:hAnsi="Calibri" w:hint="cs"/>
          <w:rtl/>
        </w:rPr>
        <w:t xml:space="preserve"> </w:t>
      </w:r>
      <w:r w:rsidRPr="00522512">
        <w:rPr>
          <w:rFonts w:ascii="Calibri" w:hAnsi="Calibri" w:hint="cs"/>
          <w:b/>
          <w:bCs/>
          <w:rtl/>
        </w:rPr>
        <w:t>מדינת ישראל נגד  מקסים ספיבק</w:t>
      </w:r>
      <w:r w:rsidRPr="00522512">
        <w:rPr>
          <w:rFonts w:ascii="Calibri" w:hAnsi="Calibri" w:hint="cs"/>
          <w:rtl/>
        </w:rPr>
        <w:t xml:space="preserve"> (20.12.10) הורשע נאשם לאחר שמיעת ראיות בביצוע עבירות של גניבה בנסיבות מיוחדות, מעשה פזיזות ורשלנות והחזקת סכין, בכך שגנב רכיבי מערכת גז מעמדת גז בבניין מגורים, תוך שהוא מותיר את עמדת הגז כאשר גז דולף ממנה. הנאשם נדון ל-38 חודשי מאסר בפועל, כשהופעלו 12 חודשי מאסר על תנאי שהיו תלויים כנגדו מהם 8 חודשים הופעלו במצטבר ל- 30 חודשי מהאסר שהוטלו עליו ו-4 חודשים בחופף, וכן הוטל מאסר על תנאי. </w:t>
      </w:r>
    </w:p>
    <w:p w14:paraId="76665B6F" w14:textId="77777777" w:rsidR="00522512" w:rsidRPr="00522512" w:rsidRDefault="00522512" w:rsidP="00522512">
      <w:pPr>
        <w:suppressLineNumbers/>
        <w:spacing w:after="160" w:line="360" w:lineRule="auto"/>
        <w:ind w:left="786"/>
        <w:contextualSpacing/>
        <w:jc w:val="both"/>
        <w:rPr>
          <w:rFonts w:ascii="Calibri" w:hAnsi="Calibri"/>
          <w:rtl/>
        </w:rPr>
      </w:pPr>
      <w:r w:rsidRPr="00522512">
        <w:rPr>
          <w:rFonts w:ascii="Calibri" w:hAnsi="Calibri" w:hint="cs"/>
          <w:rtl/>
        </w:rPr>
        <w:t>ב</w:t>
      </w:r>
      <w:hyperlink r:id="rId22" w:history="1">
        <w:r w:rsidR="00E5008B" w:rsidRPr="00E5008B">
          <w:rPr>
            <w:rFonts w:ascii="Calibri" w:hAnsi="Calibri" w:hint="eastAsia"/>
            <w:color w:val="0000FF"/>
            <w:u w:val="single"/>
            <w:rtl/>
          </w:rPr>
          <w:t>ת</w:t>
        </w:r>
        <w:r w:rsidR="00E5008B" w:rsidRPr="00E5008B">
          <w:rPr>
            <w:rFonts w:ascii="Calibri" w:hAnsi="Calibri"/>
            <w:color w:val="0000FF"/>
            <w:u w:val="single"/>
            <w:rtl/>
          </w:rPr>
          <w:t>"</w:t>
        </w:r>
        <w:r w:rsidR="00E5008B" w:rsidRPr="00E5008B">
          <w:rPr>
            <w:rFonts w:ascii="Calibri" w:hAnsi="Calibri" w:hint="eastAsia"/>
            <w:color w:val="0000FF"/>
            <w:u w:val="single"/>
            <w:rtl/>
          </w:rPr>
          <w:t>פ</w:t>
        </w:r>
        <w:r w:rsidR="00E5008B" w:rsidRPr="00E5008B">
          <w:rPr>
            <w:rFonts w:ascii="Calibri" w:hAnsi="Calibri"/>
            <w:color w:val="0000FF"/>
            <w:u w:val="single"/>
            <w:rtl/>
          </w:rPr>
          <w:t xml:space="preserve"> (</w:t>
        </w:r>
        <w:r w:rsidR="00E5008B" w:rsidRPr="00E5008B">
          <w:rPr>
            <w:rFonts w:ascii="Calibri" w:hAnsi="Calibri" w:hint="eastAsia"/>
            <w:color w:val="0000FF"/>
            <w:u w:val="single"/>
            <w:rtl/>
          </w:rPr>
          <w:t>שלום</w:t>
        </w:r>
        <w:r w:rsidR="00E5008B" w:rsidRPr="00E5008B">
          <w:rPr>
            <w:rFonts w:ascii="Calibri" w:hAnsi="Calibri"/>
            <w:color w:val="0000FF"/>
            <w:u w:val="single"/>
            <w:rtl/>
          </w:rPr>
          <w:t xml:space="preserve"> </w:t>
        </w:r>
        <w:r w:rsidR="00E5008B" w:rsidRPr="00E5008B">
          <w:rPr>
            <w:rFonts w:ascii="Calibri" w:hAnsi="Calibri" w:hint="eastAsia"/>
            <w:color w:val="0000FF"/>
            <w:u w:val="single"/>
            <w:rtl/>
          </w:rPr>
          <w:t>ירושלים</w:t>
        </w:r>
        <w:r w:rsidR="00E5008B" w:rsidRPr="00E5008B">
          <w:rPr>
            <w:rFonts w:ascii="Calibri" w:hAnsi="Calibri"/>
            <w:color w:val="0000FF"/>
            <w:u w:val="single"/>
            <w:rtl/>
          </w:rPr>
          <w:t>) 3514-01-11</w:t>
        </w:r>
      </w:hyperlink>
      <w:r w:rsidRPr="00522512">
        <w:rPr>
          <w:rFonts w:ascii="Calibri" w:hAnsi="Calibri" w:hint="cs"/>
          <w:b/>
          <w:bCs/>
          <w:i/>
          <w:iCs/>
          <w:rtl/>
        </w:rPr>
        <w:t xml:space="preserve"> </w:t>
      </w:r>
      <w:r w:rsidRPr="00522512">
        <w:rPr>
          <w:rFonts w:ascii="Calibri" w:hAnsi="Calibri" w:hint="cs"/>
          <w:b/>
          <w:bCs/>
          <w:rtl/>
        </w:rPr>
        <w:t xml:space="preserve">מדינת ישראל נגד דאוד אבו אלחג </w:t>
      </w:r>
      <w:r w:rsidRPr="00522512">
        <w:rPr>
          <w:rFonts w:ascii="Calibri" w:hAnsi="Calibri" w:hint="cs"/>
          <w:rtl/>
        </w:rPr>
        <w:t xml:space="preserve">(06.7.11) הנאשם הורשע לאחר שמיעת ראיות בביצוע 2 עבירות של גניבה בנסיבות מיוחדות , החזקת סכין שלא כדין, ופזיזות ורשלנות בחומר לקיח, בכך שגנב צינורות נחושת מקווי גז ביתיים, ונגזרו עליו 27 חודשי מאסר בפועל ועונשים נלווים. </w:t>
      </w:r>
    </w:p>
    <w:p w14:paraId="4FCEB785" w14:textId="77777777" w:rsidR="00522512" w:rsidRPr="00522512" w:rsidRDefault="00522512" w:rsidP="00522512">
      <w:pPr>
        <w:suppressLineNumbers/>
        <w:spacing w:after="160" w:line="360" w:lineRule="auto"/>
        <w:ind w:left="786"/>
        <w:contextualSpacing/>
        <w:jc w:val="both"/>
        <w:rPr>
          <w:rFonts w:ascii="Calibri" w:hAnsi="Calibri"/>
          <w:rtl/>
        </w:rPr>
      </w:pPr>
      <w:r w:rsidRPr="00522512">
        <w:rPr>
          <w:rFonts w:ascii="Calibri" w:hAnsi="Calibri" w:hint="cs"/>
          <w:rtl/>
        </w:rPr>
        <w:t xml:space="preserve"> </w:t>
      </w:r>
    </w:p>
    <w:p w14:paraId="48634F72" w14:textId="77777777" w:rsidR="00522512" w:rsidRPr="00522512" w:rsidRDefault="00522512" w:rsidP="00522512">
      <w:pPr>
        <w:suppressLineNumbers/>
        <w:spacing w:after="160" w:line="360" w:lineRule="auto"/>
        <w:ind w:left="786"/>
        <w:contextualSpacing/>
        <w:jc w:val="both"/>
        <w:rPr>
          <w:rFonts w:ascii="Calibri" w:hAnsi="Calibri"/>
          <w:b/>
          <w:bCs/>
          <w:rtl/>
        </w:rPr>
      </w:pPr>
      <w:r w:rsidRPr="00522512">
        <w:rPr>
          <w:rFonts w:ascii="Calibri" w:hAnsi="Calibri" w:hint="cs"/>
          <w:rtl/>
        </w:rPr>
        <w:t>ב</w:t>
      </w:r>
      <w:hyperlink r:id="rId23" w:history="1">
        <w:r w:rsidR="00E5008B" w:rsidRPr="00E5008B">
          <w:rPr>
            <w:rFonts w:ascii="Calibri" w:hAnsi="Calibri" w:hint="eastAsia"/>
            <w:color w:val="0000FF"/>
            <w:u w:val="single"/>
            <w:rtl/>
          </w:rPr>
          <w:t>ת</w:t>
        </w:r>
        <w:r w:rsidR="00E5008B" w:rsidRPr="00E5008B">
          <w:rPr>
            <w:rFonts w:ascii="Calibri" w:hAnsi="Calibri"/>
            <w:color w:val="0000FF"/>
            <w:u w:val="single"/>
            <w:rtl/>
          </w:rPr>
          <w:t>"</w:t>
        </w:r>
        <w:r w:rsidR="00E5008B" w:rsidRPr="00E5008B">
          <w:rPr>
            <w:rFonts w:ascii="Calibri" w:hAnsi="Calibri" w:hint="eastAsia"/>
            <w:color w:val="0000FF"/>
            <w:u w:val="single"/>
            <w:rtl/>
          </w:rPr>
          <w:t>פ</w:t>
        </w:r>
        <w:r w:rsidR="00E5008B" w:rsidRPr="00E5008B">
          <w:rPr>
            <w:rFonts w:ascii="Calibri" w:hAnsi="Calibri"/>
            <w:color w:val="0000FF"/>
            <w:u w:val="single"/>
            <w:rtl/>
          </w:rPr>
          <w:t xml:space="preserve"> (</w:t>
        </w:r>
        <w:r w:rsidR="00E5008B" w:rsidRPr="00E5008B">
          <w:rPr>
            <w:rFonts w:ascii="Calibri" w:hAnsi="Calibri" w:hint="eastAsia"/>
            <w:color w:val="0000FF"/>
            <w:u w:val="single"/>
            <w:rtl/>
          </w:rPr>
          <w:t>שלום</w:t>
        </w:r>
        <w:r w:rsidR="00E5008B" w:rsidRPr="00E5008B">
          <w:rPr>
            <w:rFonts w:ascii="Calibri" w:hAnsi="Calibri"/>
            <w:color w:val="0000FF"/>
            <w:u w:val="single"/>
            <w:rtl/>
          </w:rPr>
          <w:t xml:space="preserve"> </w:t>
        </w:r>
        <w:r w:rsidR="00E5008B" w:rsidRPr="00E5008B">
          <w:rPr>
            <w:rFonts w:ascii="Calibri" w:hAnsi="Calibri" w:hint="eastAsia"/>
            <w:color w:val="0000FF"/>
            <w:u w:val="single"/>
            <w:rtl/>
          </w:rPr>
          <w:t>ת</w:t>
        </w:r>
        <w:r w:rsidR="00E5008B" w:rsidRPr="00E5008B">
          <w:rPr>
            <w:rFonts w:ascii="Calibri" w:hAnsi="Calibri"/>
            <w:color w:val="0000FF"/>
            <w:u w:val="single"/>
            <w:rtl/>
          </w:rPr>
          <w:t>"</w:t>
        </w:r>
        <w:r w:rsidR="00E5008B" w:rsidRPr="00E5008B">
          <w:rPr>
            <w:rFonts w:ascii="Calibri" w:hAnsi="Calibri" w:hint="eastAsia"/>
            <w:color w:val="0000FF"/>
            <w:u w:val="single"/>
            <w:rtl/>
          </w:rPr>
          <w:t>א</w:t>
        </w:r>
        <w:r w:rsidR="00E5008B" w:rsidRPr="00E5008B">
          <w:rPr>
            <w:rFonts w:ascii="Calibri" w:hAnsi="Calibri"/>
            <w:color w:val="0000FF"/>
            <w:u w:val="single"/>
            <w:rtl/>
          </w:rPr>
          <w:t>) 28021-05-16</w:t>
        </w:r>
      </w:hyperlink>
      <w:r w:rsidRPr="00522512">
        <w:rPr>
          <w:rFonts w:ascii="Calibri" w:hAnsi="Calibri" w:hint="cs"/>
          <w:rtl/>
        </w:rPr>
        <w:t xml:space="preserve"> </w:t>
      </w:r>
      <w:r w:rsidRPr="00522512">
        <w:rPr>
          <w:rFonts w:ascii="Calibri" w:hAnsi="Calibri" w:hint="cs"/>
          <w:b/>
          <w:bCs/>
          <w:rtl/>
        </w:rPr>
        <w:t>מדינת ישראל נ' רדואן דכה</w:t>
      </w:r>
      <w:r w:rsidRPr="00522512">
        <w:rPr>
          <w:rFonts w:ascii="Calibri" w:hAnsi="Calibri" w:hint="cs"/>
          <w:rtl/>
        </w:rPr>
        <w:t xml:space="preserve"> (17.9.18) הורשע הנאשם לאחר שמיעת ראיות בביצוע עבירה של ניסיון לגניבה והסגת גבול, בכך שהנאשם נכנס לחצר בבניין בבת ים, פירק שני בלוני גז מחיבוריהם ועסק בפירוק בלון שלישי בכוונה לנגבם, ונתפס בכף על ידי עוברי אורח. בית המשפט קבע כי מתחם העונש ההולם נע בין מספר חודשי מאסר שניתן לרצותם בעבודות שירות ועד 9 חודשי מאסר בפועל. </w:t>
      </w:r>
      <w:r w:rsidRPr="00522512">
        <w:rPr>
          <w:rFonts w:ascii="Calibri" w:hAnsi="Calibri" w:hint="cs"/>
          <w:b/>
          <w:bCs/>
          <w:rtl/>
        </w:rPr>
        <w:t xml:space="preserve"> </w:t>
      </w:r>
    </w:p>
    <w:p w14:paraId="24EB91FF" w14:textId="77777777" w:rsidR="00522512" w:rsidRPr="00522512" w:rsidRDefault="00522512" w:rsidP="00522512">
      <w:pPr>
        <w:numPr>
          <w:ilvl w:val="0"/>
          <w:numId w:val="4"/>
        </w:numPr>
        <w:suppressLineNumbers/>
        <w:spacing w:after="160" w:line="360" w:lineRule="auto"/>
        <w:contextualSpacing/>
        <w:jc w:val="both"/>
        <w:rPr>
          <w:rFonts w:ascii="Calibri" w:hAnsi="Calibri"/>
          <w:rtl/>
        </w:rPr>
      </w:pPr>
      <w:r>
        <w:rPr>
          <w:rFonts w:hint="cs"/>
          <w:rtl/>
          <w:lang w:eastAsia="he-IL"/>
        </w:rPr>
        <w:t xml:space="preserve">לאחר ששקלתי את כלל נסיבות ביצוע העבירות, כשלנגד עיניי אדישות הנאשם לסכנה הרבה הכרוכה  בהיזק לתשתית הגז, בעוצמת הפגיעה בערכים המוגנים ובמדיניות הענישה, ממנה </w:t>
      </w:r>
      <w:r>
        <w:rPr>
          <w:rFonts w:ascii="Arial" w:hAnsi="Arial" w:hint="cs"/>
          <w:rtl/>
        </w:rPr>
        <w:t xml:space="preserve">  עולה כי על בתי המשפט ליתן ענישה שיהיה בה כדי להרתיע ולמנוע ממבצעים פוטנציאליים  ליצור מצבי סיכון, ולזלזל בחיי אדם, </w:t>
      </w:r>
      <w:r w:rsidRPr="00522512">
        <w:rPr>
          <w:rFonts w:ascii="Calibri" w:hAnsi="Calibri" w:hint="cs"/>
          <w:rtl/>
        </w:rPr>
        <w:t xml:space="preserve">אני קובעת כי מתחם העונש ההולם נע בין 8 חודשי  מאסר </w:t>
      </w:r>
      <w:r>
        <w:rPr>
          <w:rFonts w:hint="cs"/>
          <w:rtl/>
          <w:lang w:eastAsia="he-IL"/>
        </w:rPr>
        <w:t>ועד 24 חודשי מאסר.</w:t>
      </w:r>
    </w:p>
    <w:p w14:paraId="7C4CA558" w14:textId="77777777" w:rsidR="00522512" w:rsidRPr="00522512" w:rsidRDefault="00522512" w:rsidP="00522512">
      <w:pPr>
        <w:numPr>
          <w:ilvl w:val="0"/>
          <w:numId w:val="1"/>
        </w:numPr>
        <w:suppressLineNumbers/>
        <w:spacing w:line="360" w:lineRule="auto"/>
        <w:contextualSpacing/>
        <w:jc w:val="both"/>
        <w:rPr>
          <w:rFonts w:ascii="Calibri" w:hAnsi="Calibri"/>
        </w:rPr>
      </w:pPr>
      <w:r>
        <w:rPr>
          <w:rFonts w:hint="cs"/>
          <w:rtl/>
          <w:lang w:eastAsia="he-IL"/>
        </w:rPr>
        <w:t>בבואי לגזור את דינו של הנאשם עמדו לנגד עיניי בנוסף למתחם העונש ההולם, טיעוני ב"כ הצדדים, גיליון הרשעותיו  הקודמות של הנאשם ממנו עולה כי לנאשם 2 הרשעות קודמות הרשעה בעבירה על פי פקודת הסמים והרשעה בעבירה של פציעה כשהעברין מזוין  ועדות  אמו של הנאשם.    עוד עמדו לנגד עיניי</w:t>
      </w:r>
      <w:r>
        <w:rPr>
          <w:rFonts w:hint="cs"/>
          <w:sz w:val="26"/>
          <w:rtl/>
        </w:rPr>
        <w:t xml:space="preserve"> </w:t>
      </w:r>
      <w:r w:rsidRPr="00522512">
        <w:rPr>
          <w:rFonts w:ascii="Calibri" w:hAnsi="Calibri" w:hint="cs"/>
          <w:rtl/>
        </w:rPr>
        <w:t xml:space="preserve">  נסיבותיו  האישיות של הנאשם והפגיעה בנאשם שמעולם לא ריצה עונש מאסר בפועל מאחורי סורג ובריח והפגיעה בהוריו של הנאשם, באם אגזור על הנאשם  עונש של מאסר בפועל מאחורי סורג ובריח. </w:t>
      </w:r>
    </w:p>
    <w:p w14:paraId="23702CA3" w14:textId="77777777" w:rsidR="00522512" w:rsidRPr="00522512" w:rsidRDefault="00522512" w:rsidP="00522512">
      <w:pPr>
        <w:numPr>
          <w:ilvl w:val="0"/>
          <w:numId w:val="1"/>
        </w:numPr>
        <w:suppressLineNumbers/>
        <w:spacing w:line="360" w:lineRule="auto"/>
        <w:contextualSpacing/>
        <w:jc w:val="both"/>
        <w:rPr>
          <w:rFonts w:ascii="Calibri" w:hAnsi="Calibri"/>
          <w:rtl/>
        </w:rPr>
      </w:pPr>
      <w:r w:rsidRPr="00522512">
        <w:rPr>
          <w:rFonts w:ascii="Calibri" w:hAnsi="Calibri" w:hint="cs"/>
          <w:rtl/>
          <w:lang w:eastAsia="he-IL"/>
        </w:rPr>
        <w:t>לאחר ששקלתי את מכלול השיקולים, כשלנגד עיניי תיקון 113 ל</w:t>
      </w:r>
      <w:hyperlink r:id="rId24" w:history="1">
        <w:r w:rsidR="00E5008B" w:rsidRPr="00E5008B">
          <w:rPr>
            <w:rFonts w:ascii="Calibri" w:hAnsi="Calibri" w:hint="eastAsia"/>
            <w:color w:val="0000FF"/>
            <w:u w:val="single"/>
            <w:rtl/>
            <w:lang w:eastAsia="he-IL"/>
          </w:rPr>
          <w:t>חוק</w:t>
        </w:r>
        <w:r w:rsidR="00E5008B" w:rsidRPr="00E5008B">
          <w:rPr>
            <w:rFonts w:ascii="Calibri" w:hAnsi="Calibri"/>
            <w:color w:val="0000FF"/>
            <w:u w:val="single"/>
            <w:rtl/>
            <w:lang w:eastAsia="he-IL"/>
          </w:rPr>
          <w:t xml:space="preserve"> </w:t>
        </w:r>
        <w:r w:rsidR="00E5008B" w:rsidRPr="00E5008B">
          <w:rPr>
            <w:rFonts w:ascii="Calibri" w:hAnsi="Calibri" w:hint="eastAsia"/>
            <w:color w:val="0000FF"/>
            <w:u w:val="single"/>
            <w:rtl/>
            <w:lang w:eastAsia="he-IL"/>
          </w:rPr>
          <w:t>העונשין</w:t>
        </w:r>
      </w:hyperlink>
      <w:r w:rsidRPr="00522512">
        <w:rPr>
          <w:rFonts w:ascii="Calibri" w:hAnsi="Calibri" w:hint="cs"/>
          <w:rtl/>
          <w:lang w:eastAsia="he-IL"/>
        </w:rPr>
        <w:t xml:space="preserve">, וכשלא מצאתי כי יש לחרוג ממתחם העונש לקולא משיקולי שיקום או לחומרה, החלטתי לגזור על הנאשם את העונשים הבאים:      </w:t>
      </w:r>
    </w:p>
    <w:p w14:paraId="216D32DF" w14:textId="77777777" w:rsidR="00522512" w:rsidRDefault="00522512" w:rsidP="00522512">
      <w:pPr>
        <w:numPr>
          <w:ilvl w:val="0"/>
          <w:numId w:val="5"/>
        </w:numPr>
        <w:suppressLineNumbers/>
        <w:spacing w:before="120" w:after="120" w:line="360" w:lineRule="auto"/>
        <w:contextualSpacing/>
        <w:jc w:val="both"/>
        <w:rPr>
          <w:b/>
          <w:bCs/>
          <w:rtl/>
        </w:rPr>
      </w:pPr>
      <w:r>
        <w:rPr>
          <w:rFonts w:hint="cs"/>
          <w:rtl/>
        </w:rPr>
        <w:t xml:space="preserve">14 חודשי מאסר בפועל. </w:t>
      </w:r>
    </w:p>
    <w:p w14:paraId="75455DB0" w14:textId="77777777" w:rsidR="00522512" w:rsidRDefault="00522512" w:rsidP="00522512">
      <w:pPr>
        <w:numPr>
          <w:ilvl w:val="0"/>
          <w:numId w:val="5"/>
        </w:numPr>
        <w:suppressLineNumbers/>
        <w:spacing w:before="120" w:after="120" w:line="360" w:lineRule="auto"/>
        <w:contextualSpacing/>
        <w:jc w:val="both"/>
        <w:rPr>
          <w:b/>
          <w:bCs/>
        </w:rPr>
      </w:pPr>
      <w:r>
        <w:rPr>
          <w:rFonts w:hint="cs"/>
          <w:rtl/>
        </w:rPr>
        <w:t xml:space="preserve">6 חודשי מאסר על תנאי לתקופה של 3 שנים, והתנאי הוא שלא יעבור על העבירות בגינן הורשע.  </w:t>
      </w:r>
    </w:p>
    <w:p w14:paraId="0128307D" w14:textId="77777777" w:rsidR="00522512" w:rsidRDefault="00522512" w:rsidP="00522512">
      <w:pPr>
        <w:numPr>
          <w:ilvl w:val="0"/>
          <w:numId w:val="5"/>
        </w:numPr>
        <w:suppressLineNumbers/>
        <w:spacing w:before="120" w:after="120" w:line="360" w:lineRule="auto"/>
        <w:contextualSpacing/>
        <w:jc w:val="both"/>
        <w:rPr>
          <w:rFonts w:ascii="David" w:hAnsi="David"/>
        </w:rPr>
      </w:pPr>
      <w:r>
        <w:rPr>
          <w:rFonts w:hint="cs"/>
          <w:rtl/>
        </w:rPr>
        <w:t xml:space="preserve">הנאשם יפקיד בקופת בית משפט השלום בת"א, פיצוי בסך 2,000 ₪ למתלוננת ופיצוי  בסך 3,000 ש"ח לוועד הבניין ב- 5 תשלומים חודשיים שווים ורצופים, בכל ראשון בחודש, החל מיום 1.3.19. אי תשלום שיעור אחד במועדו יעמיד את היתרה לפרעון מידי. </w:t>
      </w:r>
    </w:p>
    <w:p w14:paraId="7DD8CF26" w14:textId="77777777" w:rsidR="00522512" w:rsidRDefault="00522512" w:rsidP="00522512">
      <w:pPr>
        <w:suppressLineNumbers/>
        <w:spacing w:before="120" w:after="120" w:line="360" w:lineRule="auto"/>
        <w:ind w:left="1076"/>
        <w:contextualSpacing/>
        <w:jc w:val="both"/>
      </w:pPr>
      <w:r>
        <w:rPr>
          <w:rFonts w:hint="cs"/>
          <w:rtl/>
        </w:rPr>
        <w:t xml:space="preserve">המאשימה תעביר למזכירות בית משפט בתוך 10 ימים את פרטי המתלוננת ואת פרטי חשבון ועד הבניין. </w:t>
      </w:r>
    </w:p>
    <w:p w14:paraId="018FD74D" w14:textId="77777777" w:rsidR="00522512" w:rsidRDefault="00522512" w:rsidP="00522512">
      <w:pPr>
        <w:suppressLineNumbers/>
        <w:spacing w:before="120" w:after="120" w:line="360" w:lineRule="auto"/>
        <w:ind w:left="1076"/>
        <w:contextualSpacing/>
        <w:jc w:val="both"/>
        <w:rPr>
          <w:rtl/>
        </w:rPr>
      </w:pPr>
    </w:p>
    <w:p w14:paraId="0643529C" w14:textId="77777777" w:rsidR="00522512" w:rsidRDefault="00522512" w:rsidP="00522512">
      <w:pPr>
        <w:suppressLineNumbers/>
        <w:spacing w:before="120" w:after="120" w:line="360" w:lineRule="auto"/>
        <w:rPr>
          <w:b/>
          <w:bCs/>
        </w:rPr>
      </w:pPr>
    </w:p>
    <w:p w14:paraId="5FC4CF89" w14:textId="77777777" w:rsidR="00522512" w:rsidRDefault="00522512" w:rsidP="00522512">
      <w:pPr>
        <w:suppressLineNumbers/>
        <w:spacing w:before="120" w:after="120" w:line="360" w:lineRule="auto"/>
        <w:rPr>
          <w:b/>
          <w:bCs/>
          <w:rtl/>
        </w:rPr>
      </w:pPr>
      <w:r>
        <w:rPr>
          <w:rFonts w:hint="cs"/>
          <w:b/>
          <w:bCs/>
          <w:rtl/>
        </w:rPr>
        <w:t>זכות ערעור תוך 45 יום לביהמ"ש המחוזי.</w:t>
      </w:r>
    </w:p>
    <w:p w14:paraId="1C5AAE32" w14:textId="77777777" w:rsidR="00522512" w:rsidRDefault="00522512" w:rsidP="00522512">
      <w:pPr>
        <w:suppressLineNumbers/>
        <w:spacing w:before="120" w:after="120" w:line="360" w:lineRule="auto"/>
        <w:rPr>
          <w:b/>
          <w:bCs/>
          <w:rtl/>
        </w:rPr>
      </w:pPr>
      <w:r>
        <w:rPr>
          <w:rFonts w:hint="cs"/>
          <w:b/>
          <w:bCs/>
          <w:rtl/>
        </w:rPr>
        <w:t>מזכירות תשלח עותק של גזר הדין לשב"ס.</w:t>
      </w:r>
    </w:p>
    <w:p w14:paraId="5DD96C35" w14:textId="77777777" w:rsidR="00522512" w:rsidRPr="00E5008B" w:rsidRDefault="00E5008B" w:rsidP="00522512">
      <w:pPr>
        <w:suppressLineNumbers/>
        <w:spacing w:before="120" w:after="120" w:line="360" w:lineRule="auto"/>
        <w:rPr>
          <w:b/>
          <w:bCs/>
          <w:color w:val="FFFFFF"/>
          <w:sz w:val="2"/>
          <w:szCs w:val="2"/>
          <w:rtl/>
        </w:rPr>
      </w:pPr>
      <w:r w:rsidRPr="00E5008B">
        <w:rPr>
          <w:b/>
          <w:bCs/>
          <w:color w:val="FFFFFF"/>
          <w:sz w:val="2"/>
          <w:szCs w:val="2"/>
          <w:rtl/>
        </w:rPr>
        <w:t>5129371</w:t>
      </w:r>
    </w:p>
    <w:p w14:paraId="7919285C" w14:textId="77777777" w:rsidR="00522512" w:rsidRDefault="00E5008B" w:rsidP="00522512">
      <w:pPr>
        <w:suppressLineNumbers/>
        <w:spacing w:before="120" w:after="120" w:line="360" w:lineRule="auto"/>
        <w:rPr>
          <w:b/>
          <w:bCs/>
          <w:sz w:val="6"/>
          <w:szCs w:val="6"/>
          <w:rtl/>
        </w:rPr>
      </w:pPr>
      <w:r w:rsidRPr="00E5008B">
        <w:rPr>
          <w:b/>
          <w:bCs/>
          <w:color w:val="FFFFFF"/>
          <w:sz w:val="2"/>
          <w:szCs w:val="2"/>
          <w:rtl/>
        </w:rPr>
        <w:t>54678313</w:t>
      </w:r>
      <w:r w:rsidR="00522512">
        <w:rPr>
          <w:rFonts w:hint="cs"/>
          <w:b/>
          <w:bCs/>
          <w:sz w:val="6"/>
          <w:szCs w:val="6"/>
          <w:rtl/>
        </w:rPr>
        <w:t>&lt;#4#&gt;</w:t>
      </w:r>
    </w:p>
    <w:p w14:paraId="552E3BF8" w14:textId="77777777" w:rsidR="00522512" w:rsidRDefault="00522512" w:rsidP="00522512">
      <w:pPr>
        <w:rPr>
          <w:rFonts w:eastAsia="David"/>
          <w:rtl/>
        </w:rPr>
      </w:pPr>
    </w:p>
    <w:p w14:paraId="69BF7E52" w14:textId="77777777" w:rsidR="00522512" w:rsidRDefault="00E5008B" w:rsidP="00522512">
      <w:pPr>
        <w:rPr>
          <w:rtl/>
        </w:rPr>
      </w:pPr>
      <w:r>
        <w:rPr>
          <w:b/>
          <w:bCs/>
          <w:rtl/>
        </w:rPr>
        <w:t xml:space="preserve">ניתנה והודעה היום כ"ה טבת תשע"ט, 02/01/2019 במעמד הנוכחים. </w:t>
      </w:r>
    </w:p>
    <w:p w14:paraId="725DF8D6" w14:textId="77777777" w:rsidR="00E5008B" w:rsidRDefault="00E5008B" w:rsidP="00E5008B">
      <w:pPr>
        <w:rPr>
          <w:rtl/>
        </w:rPr>
      </w:pPr>
    </w:p>
    <w:p w14:paraId="1A201CE9" w14:textId="77777777" w:rsidR="00E5008B" w:rsidRDefault="00E5008B" w:rsidP="00E5008B">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r w:rsidR="00073B74">
        <w:rPr>
          <w:rFonts w:hint="cs"/>
          <w:color w:val="0000FF"/>
          <w:u w:val="single"/>
          <w:rtl/>
        </w:rPr>
        <w:t xml:space="preserve"> </w:t>
      </w:r>
    </w:p>
    <w:p w14:paraId="5D01D129" w14:textId="77777777" w:rsidR="00216DE9" w:rsidRPr="00216DE9" w:rsidRDefault="00216DE9" w:rsidP="00216DE9">
      <w:pPr>
        <w:keepNext/>
        <w:rPr>
          <w:rFonts w:ascii="David" w:hAnsi="David"/>
          <w:color w:val="000000"/>
          <w:sz w:val="22"/>
          <w:szCs w:val="22"/>
          <w:rtl/>
        </w:rPr>
      </w:pPr>
    </w:p>
    <w:p w14:paraId="29C20CC7" w14:textId="77777777" w:rsidR="00216DE9" w:rsidRPr="00216DE9" w:rsidRDefault="00216DE9" w:rsidP="00216DE9">
      <w:pPr>
        <w:keepNext/>
        <w:rPr>
          <w:rFonts w:ascii="David" w:hAnsi="David"/>
          <w:color w:val="000000"/>
          <w:sz w:val="22"/>
          <w:szCs w:val="22"/>
          <w:rtl/>
        </w:rPr>
      </w:pPr>
      <w:r w:rsidRPr="00216DE9">
        <w:rPr>
          <w:rFonts w:ascii="David" w:hAnsi="David"/>
          <w:color w:val="000000"/>
          <w:sz w:val="22"/>
          <w:szCs w:val="22"/>
          <w:rtl/>
        </w:rPr>
        <w:t>יעל פרדלסקי 54678313-/</w:t>
      </w:r>
    </w:p>
    <w:p w14:paraId="147103F0" w14:textId="77777777" w:rsidR="00E5008B" w:rsidRPr="00E5008B" w:rsidRDefault="00216DE9" w:rsidP="00216DE9">
      <w:pPr>
        <w:rPr>
          <w:color w:val="0000FF"/>
          <w:u w:val="single"/>
        </w:rPr>
      </w:pPr>
      <w:r w:rsidRPr="00216DE9">
        <w:rPr>
          <w:color w:val="000000"/>
          <w:u w:val="single"/>
          <w:rtl/>
        </w:rPr>
        <w:t>נוסח מסמך זה כפוף לשינויי ניסוח ועריכה</w:t>
      </w:r>
    </w:p>
    <w:sectPr w:rsidR="00E5008B" w:rsidRPr="00E5008B" w:rsidSect="00216DE9">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86AEA" w14:textId="77777777" w:rsidR="00757CD9" w:rsidRDefault="00757CD9" w:rsidP="00F02C34">
      <w:r>
        <w:separator/>
      </w:r>
    </w:p>
  </w:endnote>
  <w:endnote w:type="continuationSeparator" w:id="0">
    <w:p w14:paraId="457D4D21" w14:textId="77777777" w:rsidR="00757CD9" w:rsidRDefault="00757CD9" w:rsidP="00F0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22009" w14:textId="77777777" w:rsidR="00757CD9" w:rsidRDefault="00757CD9" w:rsidP="00216DE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B53C206" w14:textId="77777777" w:rsidR="00757CD9" w:rsidRPr="00216DE9" w:rsidRDefault="00757CD9" w:rsidP="00216DE9">
    <w:pPr>
      <w:pStyle w:val="a5"/>
      <w:pBdr>
        <w:top w:val="single" w:sz="4" w:space="1" w:color="auto"/>
        <w:between w:val="single" w:sz="4" w:space="0" w:color="auto"/>
      </w:pBdr>
      <w:spacing w:after="60"/>
      <w:jc w:val="center"/>
      <w:rPr>
        <w:rFonts w:ascii="FrankRuehl" w:hAnsi="FrankRuehl" w:cs="FrankRuehl"/>
        <w:color w:val="000000"/>
      </w:rPr>
    </w:pPr>
    <w:r w:rsidRPr="00216DE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EAAC9" w14:textId="77777777" w:rsidR="00757CD9" w:rsidRDefault="00757CD9" w:rsidP="00216DE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D0AAE">
      <w:rPr>
        <w:rFonts w:ascii="FrankRuehl" w:hAnsi="FrankRuehl" w:cs="FrankRuehl"/>
        <w:noProof/>
        <w:rtl/>
      </w:rPr>
      <w:t>1</w:t>
    </w:r>
    <w:r>
      <w:rPr>
        <w:rFonts w:ascii="FrankRuehl" w:hAnsi="FrankRuehl" w:cs="FrankRuehl"/>
        <w:rtl/>
      </w:rPr>
      <w:fldChar w:fldCharType="end"/>
    </w:r>
  </w:p>
  <w:p w14:paraId="7BDACCEA" w14:textId="77777777" w:rsidR="00757CD9" w:rsidRPr="00216DE9" w:rsidRDefault="00757CD9" w:rsidP="00216DE9">
    <w:pPr>
      <w:pStyle w:val="a5"/>
      <w:pBdr>
        <w:top w:val="single" w:sz="4" w:space="1" w:color="auto"/>
        <w:between w:val="single" w:sz="4" w:space="0" w:color="auto"/>
      </w:pBdr>
      <w:spacing w:after="60"/>
      <w:jc w:val="center"/>
      <w:rPr>
        <w:rFonts w:ascii="FrankRuehl" w:hAnsi="FrankRuehl" w:cs="FrankRuehl"/>
        <w:color w:val="000000"/>
      </w:rPr>
    </w:pPr>
    <w:r w:rsidRPr="00216DE9">
      <w:rPr>
        <w:rFonts w:ascii="FrankRuehl" w:hAnsi="FrankRuehl" w:cs="FrankRuehl"/>
        <w:color w:val="000000"/>
      </w:rPr>
      <w:pict w14:anchorId="119D22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BDFB0" w14:textId="77777777" w:rsidR="00757CD9" w:rsidRDefault="00757CD9" w:rsidP="00F02C34">
      <w:r>
        <w:separator/>
      </w:r>
    </w:p>
  </w:footnote>
  <w:footnote w:type="continuationSeparator" w:id="0">
    <w:p w14:paraId="1CF283CB" w14:textId="77777777" w:rsidR="00757CD9" w:rsidRDefault="00757CD9" w:rsidP="00F02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C7CD4" w14:textId="77777777" w:rsidR="00757CD9" w:rsidRPr="00216DE9" w:rsidRDefault="00757CD9" w:rsidP="00216DE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23198-07-17</w:t>
    </w:r>
    <w:r>
      <w:rPr>
        <w:rFonts w:ascii="David" w:hAnsi="David"/>
        <w:color w:val="000000"/>
        <w:sz w:val="22"/>
        <w:szCs w:val="22"/>
        <w:rtl/>
      </w:rPr>
      <w:tab/>
      <w:t xml:space="preserve"> מדינת ישראל נ' רפאל ויקטור נעים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3E8BD" w14:textId="77777777" w:rsidR="00757CD9" w:rsidRPr="00216DE9" w:rsidRDefault="00757CD9" w:rsidP="00216DE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23198-07-17</w:t>
    </w:r>
    <w:r>
      <w:rPr>
        <w:rFonts w:ascii="David" w:hAnsi="David"/>
        <w:color w:val="000000"/>
        <w:sz w:val="22"/>
        <w:szCs w:val="22"/>
        <w:rtl/>
      </w:rPr>
      <w:tab/>
      <w:t xml:space="preserve"> מדינת ישראל נ' רפאל ויקטור נעים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4091D"/>
    <w:multiLevelType w:val="hybridMultilevel"/>
    <w:tmpl w:val="72A00864"/>
    <w:lvl w:ilvl="0" w:tplc="5030C5AC">
      <w:start w:val="5"/>
      <w:numFmt w:val="hebrew1"/>
      <w:lvlText w:val="%1."/>
      <w:lvlJc w:val="left"/>
      <w:pPr>
        <w:ind w:left="785" w:hanging="360"/>
      </w:pPr>
      <w:rPr>
        <w:rFonts w:cs="Times New Roman"/>
      </w:rPr>
    </w:lvl>
    <w:lvl w:ilvl="1" w:tplc="04090019">
      <w:start w:val="1"/>
      <w:numFmt w:val="lowerLetter"/>
      <w:lvlText w:val="%2."/>
      <w:lvlJc w:val="left"/>
      <w:pPr>
        <w:ind w:left="1506" w:hanging="360"/>
      </w:pPr>
      <w:rPr>
        <w:rFonts w:cs="Times New Roman"/>
      </w:rPr>
    </w:lvl>
    <w:lvl w:ilvl="2" w:tplc="0409001B">
      <w:start w:val="1"/>
      <w:numFmt w:val="lowerRoman"/>
      <w:lvlText w:val="%3."/>
      <w:lvlJc w:val="right"/>
      <w:pPr>
        <w:ind w:left="2226" w:hanging="180"/>
      </w:pPr>
      <w:rPr>
        <w:rFonts w:cs="Times New Roman"/>
      </w:rPr>
    </w:lvl>
    <w:lvl w:ilvl="3" w:tplc="0409000F">
      <w:start w:val="1"/>
      <w:numFmt w:val="decimal"/>
      <w:lvlText w:val="%4."/>
      <w:lvlJc w:val="left"/>
      <w:pPr>
        <w:ind w:left="2946" w:hanging="360"/>
      </w:pPr>
      <w:rPr>
        <w:rFonts w:cs="Times New Roman"/>
      </w:rPr>
    </w:lvl>
    <w:lvl w:ilvl="4" w:tplc="04090019">
      <w:start w:val="1"/>
      <w:numFmt w:val="lowerLetter"/>
      <w:lvlText w:val="%5."/>
      <w:lvlJc w:val="left"/>
      <w:pPr>
        <w:ind w:left="3666" w:hanging="360"/>
      </w:pPr>
      <w:rPr>
        <w:rFonts w:cs="Times New Roman"/>
      </w:rPr>
    </w:lvl>
    <w:lvl w:ilvl="5" w:tplc="0409001B">
      <w:start w:val="1"/>
      <w:numFmt w:val="lowerRoman"/>
      <w:lvlText w:val="%6."/>
      <w:lvlJc w:val="right"/>
      <w:pPr>
        <w:ind w:left="4386" w:hanging="180"/>
      </w:pPr>
      <w:rPr>
        <w:rFonts w:cs="Times New Roman"/>
      </w:rPr>
    </w:lvl>
    <w:lvl w:ilvl="6" w:tplc="0409000F">
      <w:start w:val="1"/>
      <w:numFmt w:val="decimal"/>
      <w:lvlText w:val="%7."/>
      <w:lvlJc w:val="left"/>
      <w:pPr>
        <w:ind w:left="5106" w:hanging="360"/>
      </w:pPr>
      <w:rPr>
        <w:rFonts w:cs="Times New Roman"/>
      </w:rPr>
    </w:lvl>
    <w:lvl w:ilvl="7" w:tplc="04090019">
      <w:start w:val="1"/>
      <w:numFmt w:val="lowerLetter"/>
      <w:lvlText w:val="%8."/>
      <w:lvlJc w:val="left"/>
      <w:pPr>
        <w:ind w:left="5826" w:hanging="360"/>
      </w:pPr>
      <w:rPr>
        <w:rFonts w:cs="Times New Roman"/>
      </w:rPr>
    </w:lvl>
    <w:lvl w:ilvl="8" w:tplc="0409001B">
      <w:start w:val="1"/>
      <w:numFmt w:val="lowerRoman"/>
      <w:lvlText w:val="%9."/>
      <w:lvlJc w:val="right"/>
      <w:pPr>
        <w:ind w:left="6546" w:hanging="180"/>
      </w:pPr>
      <w:rPr>
        <w:rFonts w:cs="Times New Roman"/>
      </w:rPr>
    </w:lvl>
  </w:abstractNum>
  <w:abstractNum w:abstractNumId="1" w15:restartNumberingAfterBreak="0">
    <w:nsid w:val="0CF70D65"/>
    <w:multiLevelType w:val="hybridMultilevel"/>
    <w:tmpl w:val="5BC61B5C"/>
    <w:lvl w:ilvl="0" w:tplc="088C4822">
      <w:start w:val="1"/>
      <w:numFmt w:val="decimal"/>
      <w:lvlText w:val="%1."/>
      <w:lvlJc w:val="left"/>
      <w:pPr>
        <w:ind w:left="786" w:hanging="36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172D5CC4"/>
    <w:multiLevelType w:val="hybridMultilevel"/>
    <w:tmpl w:val="2A94F1BA"/>
    <w:lvl w:ilvl="0" w:tplc="F23C76C4">
      <w:start w:val="1"/>
      <w:numFmt w:val="hebrew1"/>
      <w:lvlText w:val="%1."/>
      <w:lvlJc w:val="center"/>
      <w:pPr>
        <w:tabs>
          <w:tab w:val="num" w:pos="1076"/>
        </w:tabs>
        <w:ind w:left="1076" w:hanging="360"/>
      </w:pPr>
      <w:rPr>
        <w:rFonts w:cs="David"/>
        <w:b w:val="0"/>
        <w:bCs w:val="0"/>
      </w:rPr>
    </w:lvl>
    <w:lvl w:ilvl="1" w:tplc="04090019">
      <w:start w:val="1"/>
      <w:numFmt w:val="decimal"/>
      <w:lvlText w:val="%2."/>
      <w:lvlJc w:val="left"/>
      <w:pPr>
        <w:tabs>
          <w:tab w:val="num" w:pos="1872"/>
        </w:tabs>
        <w:ind w:left="1872" w:hanging="360"/>
      </w:pPr>
      <w:rPr>
        <w:rFonts w:cs="Times New Roman"/>
      </w:rPr>
    </w:lvl>
    <w:lvl w:ilvl="2" w:tplc="0409001B">
      <w:start w:val="1"/>
      <w:numFmt w:val="decimal"/>
      <w:lvlText w:val="%3."/>
      <w:lvlJc w:val="left"/>
      <w:pPr>
        <w:tabs>
          <w:tab w:val="num" w:pos="2592"/>
        </w:tabs>
        <w:ind w:left="2592" w:hanging="360"/>
      </w:pPr>
      <w:rPr>
        <w:rFonts w:cs="Times New Roman"/>
      </w:rPr>
    </w:lvl>
    <w:lvl w:ilvl="3" w:tplc="0409000F">
      <w:start w:val="1"/>
      <w:numFmt w:val="decimal"/>
      <w:lvlText w:val="%4."/>
      <w:lvlJc w:val="left"/>
      <w:pPr>
        <w:tabs>
          <w:tab w:val="num" w:pos="3312"/>
        </w:tabs>
        <w:ind w:left="3312" w:hanging="360"/>
      </w:pPr>
      <w:rPr>
        <w:rFonts w:cs="Times New Roman"/>
      </w:rPr>
    </w:lvl>
    <w:lvl w:ilvl="4" w:tplc="04090019">
      <w:start w:val="1"/>
      <w:numFmt w:val="decimal"/>
      <w:lvlText w:val="%5."/>
      <w:lvlJc w:val="left"/>
      <w:pPr>
        <w:tabs>
          <w:tab w:val="num" w:pos="4032"/>
        </w:tabs>
        <w:ind w:left="4032" w:hanging="360"/>
      </w:pPr>
      <w:rPr>
        <w:rFonts w:cs="Times New Roman"/>
      </w:rPr>
    </w:lvl>
    <w:lvl w:ilvl="5" w:tplc="0409001B">
      <w:start w:val="1"/>
      <w:numFmt w:val="decimal"/>
      <w:lvlText w:val="%6."/>
      <w:lvlJc w:val="left"/>
      <w:pPr>
        <w:tabs>
          <w:tab w:val="num" w:pos="4752"/>
        </w:tabs>
        <w:ind w:left="4752" w:hanging="360"/>
      </w:pPr>
      <w:rPr>
        <w:rFonts w:cs="Times New Roman"/>
      </w:rPr>
    </w:lvl>
    <w:lvl w:ilvl="6" w:tplc="0409000F">
      <w:start w:val="1"/>
      <w:numFmt w:val="decimal"/>
      <w:lvlText w:val="%7."/>
      <w:lvlJc w:val="left"/>
      <w:pPr>
        <w:tabs>
          <w:tab w:val="num" w:pos="5472"/>
        </w:tabs>
        <w:ind w:left="5472" w:hanging="360"/>
      </w:pPr>
      <w:rPr>
        <w:rFonts w:cs="Times New Roman"/>
      </w:rPr>
    </w:lvl>
    <w:lvl w:ilvl="7" w:tplc="04090019">
      <w:start w:val="1"/>
      <w:numFmt w:val="decimal"/>
      <w:lvlText w:val="%8."/>
      <w:lvlJc w:val="left"/>
      <w:pPr>
        <w:tabs>
          <w:tab w:val="num" w:pos="6192"/>
        </w:tabs>
        <w:ind w:left="6192" w:hanging="360"/>
      </w:pPr>
      <w:rPr>
        <w:rFonts w:cs="Times New Roman"/>
      </w:rPr>
    </w:lvl>
    <w:lvl w:ilvl="8" w:tplc="0409001B">
      <w:start w:val="1"/>
      <w:numFmt w:val="decimal"/>
      <w:lvlText w:val="%9."/>
      <w:lvlJc w:val="left"/>
      <w:pPr>
        <w:tabs>
          <w:tab w:val="num" w:pos="6912"/>
        </w:tabs>
        <w:ind w:left="6912" w:hanging="360"/>
      </w:pPr>
      <w:rPr>
        <w:rFonts w:cs="Times New Roman"/>
      </w:rPr>
    </w:lvl>
  </w:abstractNum>
  <w:abstractNum w:abstractNumId="3" w15:restartNumberingAfterBreak="0">
    <w:nsid w:val="56485BB9"/>
    <w:multiLevelType w:val="hybridMultilevel"/>
    <w:tmpl w:val="F3F48500"/>
    <w:lvl w:ilvl="0" w:tplc="EA902720">
      <w:start w:val="1"/>
      <w:numFmt w:val="hebrew1"/>
      <w:lvlText w:val="%1."/>
      <w:lvlJc w:val="left"/>
      <w:pPr>
        <w:ind w:left="786" w:hanging="360"/>
      </w:pPr>
      <w:rPr>
        <w:rFonts w:cs="David"/>
        <w:b w:val="0"/>
        <w:bCs w:val="0"/>
      </w:rPr>
    </w:lvl>
    <w:lvl w:ilvl="1" w:tplc="04090019">
      <w:start w:val="1"/>
      <w:numFmt w:val="lowerLetter"/>
      <w:lvlText w:val="%2."/>
      <w:lvlJc w:val="left"/>
      <w:pPr>
        <w:ind w:left="1506" w:hanging="360"/>
      </w:pPr>
      <w:rPr>
        <w:rFonts w:cs="Times New Roman"/>
      </w:rPr>
    </w:lvl>
    <w:lvl w:ilvl="2" w:tplc="0409001B">
      <w:start w:val="1"/>
      <w:numFmt w:val="lowerRoman"/>
      <w:lvlText w:val="%3."/>
      <w:lvlJc w:val="right"/>
      <w:pPr>
        <w:ind w:left="2226" w:hanging="180"/>
      </w:pPr>
      <w:rPr>
        <w:rFonts w:cs="Times New Roman"/>
      </w:rPr>
    </w:lvl>
    <w:lvl w:ilvl="3" w:tplc="0409000F">
      <w:start w:val="1"/>
      <w:numFmt w:val="decimal"/>
      <w:lvlText w:val="%4."/>
      <w:lvlJc w:val="left"/>
      <w:pPr>
        <w:ind w:left="2946" w:hanging="360"/>
      </w:pPr>
      <w:rPr>
        <w:rFonts w:cs="Times New Roman"/>
      </w:rPr>
    </w:lvl>
    <w:lvl w:ilvl="4" w:tplc="04090019">
      <w:start w:val="1"/>
      <w:numFmt w:val="lowerLetter"/>
      <w:lvlText w:val="%5."/>
      <w:lvlJc w:val="left"/>
      <w:pPr>
        <w:ind w:left="3666" w:hanging="360"/>
      </w:pPr>
      <w:rPr>
        <w:rFonts w:cs="Times New Roman"/>
      </w:rPr>
    </w:lvl>
    <w:lvl w:ilvl="5" w:tplc="0409001B">
      <w:start w:val="1"/>
      <w:numFmt w:val="lowerRoman"/>
      <w:lvlText w:val="%6."/>
      <w:lvlJc w:val="right"/>
      <w:pPr>
        <w:ind w:left="4386" w:hanging="180"/>
      </w:pPr>
      <w:rPr>
        <w:rFonts w:cs="Times New Roman"/>
      </w:rPr>
    </w:lvl>
    <w:lvl w:ilvl="6" w:tplc="0409000F">
      <w:start w:val="1"/>
      <w:numFmt w:val="decimal"/>
      <w:lvlText w:val="%7."/>
      <w:lvlJc w:val="left"/>
      <w:pPr>
        <w:ind w:left="5106" w:hanging="360"/>
      </w:pPr>
      <w:rPr>
        <w:rFonts w:cs="Times New Roman"/>
      </w:rPr>
    </w:lvl>
    <w:lvl w:ilvl="7" w:tplc="04090019">
      <w:start w:val="1"/>
      <w:numFmt w:val="lowerLetter"/>
      <w:lvlText w:val="%8."/>
      <w:lvlJc w:val="left"/>
      <w:pPr>
        <w:ind w:left="5826" w:hanging="360"/>
      </w:pPr>
      <w:rPr>
        <w:rFonts w:cs="Times New Roman"/>
      </w:rPr>
    </w:lvl>
    <w:lvl w:ilvl="8" w:tplc="0409001B">
      <w:start w:val="1"/>
      <w:numFmt w:val="lowerRoman"/>
      <w:lvlText w:val="%9."/>
      <w:lvlJc w:val="right"/>
      <w:pPr>
        <w:ind w:left="6546" w:hanging="180"/>
      </w:pPr>
      <w:rPr>
        <w:rFonts w:cs="Times New Roman"/>
      </w:rPr>
    </w:lvl>
  </w:abstractNum>
  <w:abstractNum w:abstractNumId="4" w15:restartNumberingAfterBreak="0">
    <w:nsid w:val="7F8B4340"/>
    <w:multiLevelType w:val="hybridMultilevel"/>
    <w:tmpl w:val="9CF27534"/>
    <w:lvl w:ilvl="0" w:tplc="BEDC97E4">
      <w:start w:val="1"/>
      <w:numFmt w:val="hebrew1"/>
      <w:lvlText w:val="%1."/>
      <w:lvlJc w:val="left"/>
      <w:pPr>
        <w:ind w:left="786" w:hanging="360"/>
      </w:pPr>
      <w:rPr>
        <w:rFonts w:cs="Times New Roman"/>
        <w:b/>
      </w:rPr>
    </w:lvl>
    <w:lvl w:ilvl="1" w:tplc="04090019">
      <w:start w:val="1"/>
      <w:numFmt w:val="lowerLetter"/>
      <w:lvlText w:val="%2."/>
      <w:lvlJc w:val="left"/>
      <w:pPr>
        <w:ind w:left="1506" w:hanging="360"/>
      </w:pPr>
      <w:rPr>
        <w:rFonts w:cs="Times New Roman"/>
      </w:rPr>
    </w:lvl>
    <w:lvl w:ilvl="2" w:tplc="0409001B">
      <w:start w:val="1"/>
      <w:numFmt w:val="lowerRoman"/>
      <w:lvlText w:val="%3."/>
      <w:lvlJc w:val="right"/>
      <w:pPr>
        <w:ind w:left="2226" w:hanging="180"/>
      </w:pPr>
      <w:rPr>
        <w:rFonts w:cs="Times New Roman"/>
      </w:rPr>
    </w:lvl>
    <w:lvl w:ilvl="3" w:tplc="0409000F">
      <w:start w:val="1"/>
      <w:numFmt w:val="decimal"/>
      <w:lvlText w:val="%4."/>
      <w:lvlJc w:val="left"/>
      <w:pPr>
        <w:ind w:left="2946" w:hanging="360"/>
      </w:pPr>
      <w:rPr>
        <w:rFonts w:cs="Times New Roman"/>
      </w:rPr>
    </w:lvl>
    <w:lvl w:ilvl="4" w:tplc="04090019">
      <w:start w:val="1"/>
      <w:numFmt w:val="lowerLetter"/>
      <w:lvlText w:val="%5."/>
      <w:lvlJc w:val="left"/>
      <w:pPr>
        <w:ind w:left="3666" w:hanging="360"/>
      </w:pPr>
      <w:rPr>
        <w:rFonts w:cs="Times New Roman"/>
      </w:rPr>
    </w:lvl>
    <w:lvl w:ilvl="5" w:tplc="0409001B">
      <w:start w:val="1"/>
      <w:numFmt w:val="lowerRoman"/>
      <w:lvlText w:val="%6."/>
      <w:lvlJc w:val="right"/>
      <w:pPr>
        <w:ind w:left="4386" w:hanging="180"/>
      </w:pPr>
      <w:rPr>
        <w:rFonts w:cs="Times New Roman"/>
      </w:rPr>
    </w:lvl>
    <w:lvl w:ilvl="6" w:tplc="0409000F">
      <w:start w:val="1"/>
      <w:numFmt w:val="decimal"/>
      <w:lvlText w:val="%7."/>
      <w:lvlJc w:val="left"/>
      <w:pPr>
        <w:ind w:left="5106" w:hanging="360"/>
      </w:pPr>
      <w:rPr>
        <w:rFonts w:cs="Times New Roman"/>
      </w:rPr>
    </w:lvl>
    <w:lvl w:ilvl="7" w:tplc="04090019">
      <w:start w:val="1"/>
      <w:numFmt w:val="lowerLetter"/>
      <w:lvlText w:val="%8."/>
      <w:lvlJc w:val="left"/>
      <w:pPr>
        <w:ind w:left="5826" w:hanging="360"/>
      </w:pPr>
      <w:rPr>
        <w:rFonts w:cs="Times New Roman"/>
      </w:rPr>
    </w:lvl>
    <w:lvl w:ilvl="8" w:tplc="0409001B">
      <w:start w:val="1"/>
      <w:numFmt w:val="lowerRoman"/>
      <w:lvlText w:val="%9."/>
      <w:lvlJc w:val="right"/>
      <w:pPr>
        <w:ind w:left="6546" w:hanging="180"/>
      </w:pPr>
      <w:rPr>
        <w:rFonts w:cs="Times New Roman"/>
      </w:rPr>
    </w:lvl>
  </w:abstractNum>
  <w:num w:numId="1" w16cid:durableId="432140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54177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165318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92411097">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67041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22512"/>
    <w:rsid w:val="00073B74"/>
    <w:rsid w:val="000C2F66"/>
    <w:rsid w:val="00216DE9"/>
    <w:rsid w:val="002328EB"/>
    <w:rsid w:val="002D69BA"/>
    <w:rsid w:val="002F398D"/>
    <w:rsid w:val="00381020"/>
    <w:rsid w:val="004118A0"/>
    <w:rsid w:val="00522512"/>
    <w:rsid w:val="005D0AAE"/>
    <w:rsid w:val="00686C6A"/>
    <w:rsid w:val="00757CD9"/>
    <w:rsid w:val="00BB0D11"/>
    <w:rsid w:val="00E5008B"/>
    <w:rsid w:val="00E67194"/>
    <w:rsid w:val="00F02C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12DCF55"/>
  <w15:chartTrackingRefBased/>
  <w15:docId w15:val="{E484F0D2-8BC3-4E71-BCF3-9C534D01E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251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22512"/>
    <w:pPr>
      <w:tabs>
        <w:tab w:val="center" w:pos="4153"/>
        <w:tab w:val="right" w:pos="8306"/>
      </w:tabs>
    </w:pPr>
  </w:style>
  <w:style w:type="character" w:customStyle="1" w:styleId="a4">
    <w:name w:val="כותרת עליונה תו"/>
    <w:link w:val="a3"/>
    <w:rsid w:val="00522512"/>
    <w:rPr>
      <w:rFonts w:ascii="Times New Roman" w:eastAsia="Times New Roman" w:hAnsi="Times New Roman" w:cs="David"/>
      <w:sz w:val="24"/>
      <w:szCs w:val="24"/>
    </w:rPr>
  </w:style>
  <w:style w:type="paragraph" w:styleId="a5">
    <w:name w:val="footer"/>
    <w:basedOn w:val="a"/>
    <w:link w:val="a6"/>
    <w:rsid w:val="00522512"/>
    <w:pPr>
      <w:tabs>
        <w:tab w:val="center" w:pos="4153"/>
        <w:tab w:val="right" w:pos="8306"/>
      </w:tabs>
    </w:pPr>
  </w:style>
  <w:style w:type="character" w:customStyle="1" w:styleId="a6">
    <w:name w:val="כותרת תחתונה תו"/>
    <w:link w:val="a5"/>
    <w:rsid w:val="00522512"/>
    <w:rPr>
      <w:rFonts w:ascii="Times New Roman" w:eastAsia="Times New Roman" w:hAnsi="Times New Roman" w:cs="David"/>
      <w:sz w:val="24"/>
      <w:szCs w:val="24"/>
    </w:rPr>
  </w:style>
  <w:style w:type="table" w:styleId="a7">
    <w:name w:val="Table Grid"/>
    <w:basedOn w:val="a1"/>
    <w:rsid w:val="0052251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22512"/>
  </w:style>
  <w:style w:type="character" w:styleId="Hyperlink">
    <w:name w:val="Hyperlink"/>
    <w:rsid w:val="00E5008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47.a.1" TargetMode="External"/><Relationship Id="rId13" Type="http://schemas.openxmlformats.org/officeDocument/2006/relationships/hyperlink" Target="http://www.nevo.co.il/law/70301/452" TargetMode="External"/><Relationship Id="rId18" Type="http://schemas.openxmlformats.org/officeDocument/2006/relationships/hyperlink" Target="http://www.nevo.co.il/law/70301/452"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3789042"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7871472"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47.a.1" TargetMode="External"/><Relationship Id="rId24"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law/70301/452" TargetMode="External"/><Relationship Id="rId23" Type="http://schemas.openxmlformats.org/officeDocument/2006/relationships/hyperlink" Target="http://www.nevo.co.il/case/21607604" TargetMode="External"/><Relationship Id="rId28" Type="http://schemas.openxmlformats.org/officeDocument/2006/relationships/footer" Target="footer1.xml"/><Relationship Id="rId10" Type="http://schemas.openxmlformats.org/officeDocument/2006/relationships/hyperlink" Target="http://www.nevo.co.il/law/70301/453.b.1" TargetMode="External"/><Relationship Id="rId19" Type="http://schemas.openxmlformats.org/officeDocument/2006/relationships/hyperlink" Target="http://www.nevo.co.il/law/70301/453.b.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52" TargetMode="External"/><Relationship Id="rId14" Type="http://schemas.openxmlformats.org/officeDocument/2006/relationships/hyperlink" Target="http://www.nevo.co.il/law/70301/453.b.1" TargetMode="External"/><Relationship Id="rId22" Type="http://schemas.openxmlformats.org/officeDocument/2006/relationships/hyperlink" Target="http://www.nevo.co.il/case/2883768"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1591</Words>
  <Characters>7958</Characters>
  <Application>Microsoft Office Word</Application>
  <DocSecurity>0</DocSecurity>
  <Lines>66</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9530</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7995492</vt:i4>
      </vt:variant>
      <vt:variant>
        <vt:i4>51</vt:i4>
      </vt:variant>
      <vt:variant>
        <vt:i4>0</vt:i4>
      </vt:variant>
      <vt:variant>
        <vt:i4>5</vt:i4>
      </vt:variant>
      <vt:variant>
        <vt:lpwstr>http://www.nevo.co.il/law/70301</vt:lpwstr>
      </vt:variant>
      <vt:variant>
        <vt:lpwstr/>
      </vt:variant>
      <vt:variant>
        <vt:i4>3342451</vt:i4>
      </vt:variant>
      <vt:variant>
        <vt:i4>48</vt:i4>
      </vt:variant>
      <vt:variant>
        <vt:i4>0</vt:i4>
      </vt:variant>
      <vt:variant>
        <vt:i4>5</vt:i4>
      </vt:variant>
      <vt:variant>
        <vt:lpwstr>http://www.nevo.co.il/case/21607604</vt:lpwstr>
      </vt:variant>
      <vt:variant>
        <vt:lpwstr/>
      </vt:variant>
      <vt:variant>
        <vt:i4>3473529</vt:i4>
      </vt:variant>
      <vt:variant>
        <vt:i4>45</vt:i4>
      </vt:variant>
      <vt:variant>
        <vt:i4>0</vt:i4>
      </vt:variant>
      <vt:variant>
        <vt:i4>5</vt:i4>
      </vt:variant>
      <vt:variant>
        <vt:lpwstr>http://www.nevo.co.il/case/2883768</vt:lpwstr>
      </vt:variant>
      <vt:variant>
        <vt:lpwstr/>
      </vt:variant>
      <vt:variant>
        <vt:i4>3735678</vt:i4>
      </vt:variant>
      <vt:variant>
        <vt:i4>42</vt:i4>
      </vt:variant>
      <vt:variant>
        <vt:i4>0</vt:i4>
      </vt:variant>
      <vt:variant>
        <vt:i4>5</vt:i4>
      </vt:variant>
      <vt:variant>
        <vt:lpwstr>http://www.nevo.co.il/case/3789042</vt:lpwstr>
      </vt:variant>
      <vt:variant>
        <vt:lpwstr/>
      </vt:variant>
      <vt:variant>
        <vt:i4>7995492</vt:i4>
      </vt:variant>
      <vt:variant>
        <vt:i4>39</vt:i4>
      </vt:variant>
      <vt:variant>
        <vt:i4>0</vt:i4>
      </vt:variant>
      <vt:variant>
        <vt:i4>5</vt:i4>
      </vt:variant>
      <vt:variant>
        <vt:lpwstr>http://www.nevo.co.il/law/70301</vt:lpwstr>
      </vt:variant>
      <vt:variant>
        <vt:lpwstr/>
      </vt:variant>
      <vt:variant>
        <vt:i4>6291504</vt:i4>
      </vt:variant>
      <vt:variant>
        <vt:i4>36</vt:i4>
      </vt:variant>
      <vt:variant>
        <vt:i4>0</vt:i4>
      </vt:variant>
      <vt:variant>
        <vt:i4>5</vt:i4>
      </vt:variant>
      <vt:variant>
        <vt:lpwstr>http://www.nevo.co.il/law/70301/453.b.1</vt:lpwstr>
      </vt:variant>
      <vt:variant>
        <vt:lpwstr/>
      </vt:variant>
      <vt:variant>
        <vt:i4>6291553</vt:i4>
      </vt:variant>
      <vt:variant>
        <vt:i4>33</vt:i4>
      </vt:variant>
      <vt:variant>
        <vt:i4>0</vt:i4>
      </vt:variant>
      <vt:variant>
        <vt:i4>5</vt:i4>
      </vt:variant>
      <vt:variant>
        <vt:lpwstr>http://www.nevo.co.il/law/70301/452</vt:lpwstr>
      </vt:variant>
      <vt:variant>
        <vt:lpwstr/>
      </vt:variant>
      <vt:variant>
        <vt:i4>3539066</vt:i4>
      </vt:variant>
      <vt:variant>
        <vt:i4>30</vt:i4>
      </vt:variant>
      <vt:variant>
        <vt:i4>0</vt:i4>
      </vt:variant>
      <vt:variant>
        <vt:i4>5</vt:i4>
      </vt:variant>
      <vt:variant>
        <vt:lpwstr>http://www.nevo.co.il/case/7871472</vt:lpwstr>
      </vt:variant>
      <vt:variant>
        <vt:lpwstr/>
      </vt:variant>
      <vt:variant>
        <vt:i4>7995492</vt:i4>
      </vt:variant>
      <vt:variant>
        <vt:i4>27</vt:i4>
      </vt:variant>
      <vt:variant>
        <vt:i4>0</vt:i4>
      </vt:variant>
      <vt:variant>
        <vt:i4>5</vt:i4>
      </vt:variant>
      <vt:variant>
        <vt:lpwstr>http://www.nevo.co.il/law/70301</vt:lpwstr>
      </vt:variant>
      <vt:variant>
        <vt:lpwstr/>
      </vt:variant>
      <vt:variant>
        <vt:i4>6291553</vt:i4>
      </vt:variant>
      <vt:variant>
        <vt:i4>24</vt:i4>
      </vt:variant>
      <vt:variant>
        <vt:i4>0</vt:i4>
      </vt:variant>
      <vt:variant>
        <vt:i4>5</vt:i4>
      </vt:variant>
      <vt:variant>
        <vt:lpwstr>http://www.nevo.co.il/law/70301/452</vt:lpwstr>
      </vt:variant>
      <vt:variant>
        <vt:lpwstr/>
      </vt:variant>
      <vt:variant>
        <vt:i4>6291504</vt:i4>
      </vt:variant>
      <vt:variant>
        <vt:i4>21</vt:i4>
      </vt:variant>
      <vt:variant>
        <vt:i4>0</vt:i4>
      </vt:variant>
      <vt:variant>
        <vt:i4>5</vt:i4>
      </vt:variant>
      <vt:variant>
        <vt:lpwstr>http://www.nevo.co.il/law/70301/453.b.1</vt:lpwstr>
      </vt:variant>
      <vt:variant>
        <vt:lpwstr/>
      </vt:variant>
      <vt:variant>
        <vt:i4>6291553</vt:i4>
      </vt:variant>
      <vt:variant>
        <vt:i4>18</vt:i4>
      </vt:variant>
      <vt:variant>
        <vt:i4>0</vt:i4>
      </vt:variant>
      <vt:variant>
        <vt:i4>5</vt:i4>
      </vt:variant>
      <vt:variant>
        <vt:lpwstr>http://www.nevo.co.il/law/70301/452</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6357047</vt:i4>
      </vt:variant>
      <vt:variant>
        <vt:i4>12</vt:i4>
      </vt:variant>
      <vt:variant>
        <vt:i4>0</vt:i4>
      </vt:variant>
      <vt:variant>
        <vt:i4>5</vt:i4>
      </vt:variant>
      <vt:variant>
        <vt:lpwstr>http://www.nevo.co.il/law/70301/447.a.1</vt:lpwstr>
      </vt:variant>
      <vt:variant>
        <vt:lpwstr/>
      </vt:variant>
      <vt:variant>
        <vt:i4>6291504</vt:i4>
      </vt:variant>
      <vt:variant>
        <vt:i4>9</vt:i4>
      </vt:variant>
      <vt:variant>
        <vt:i4>0</vt:i4>
      </vt:variant>
      <vt:variant>
        <vt:i4>5</vt:i4>
      </vt:variant>
      <vt:variant>
        <vt:lpwstr>http://www.nevo.co.il/law/70301/453.b.1</vt:lpwstr>
      </vt:variant>
      <vt:variant>
        <vt:lpwstr/>
      </vt:variant>
      <vt:variant>
        <vt:i4>6291553</vt:i4>
      </vt:variant>
      <vt:variant>
        <vt:i4>6</vt:i4>
      </vt:variant>
      <vt:variant>
        <vt:i4>0</vt:i4>
      </vt:variant>
      <vt:variant>
        <vt:i4>5</vt:i4>
      </vt:variant>
      <vt:variant>
        <vt:lpwstr>http://www.nevo.co.il/law/70301/452</vt:lpwstr>
      </vt:variant>
      <vt:variant>
        <vt:lpwstr/>
      </vt:variant>
      <vt:variant>
        <vt:i4>6357047</vt:i4>
      </vt:variant>
      <vt:variant>
        <vt:i4>3</vt:i4>
      </vt:variant>
      <vt:variant>
        <vt:i4>0</vt:i4>
      </vt:variant>
      <vt:variant>
        <vt:i4>5</vt:i4>
      </vt:variant>
      <vt:variant>
        <vt:lpwstr>http://www.nevo.co.il/law/70301/447.a.1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2025-04-22T23:28:00Z</dcterms:created>
  <dcterms:modified xsi:type="dcterms:W3CDTF">2025-04-22T23:28:00Z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23198</vt:lpwstr>
  </property>
  <property fmtid="{D5CDD505-2E9C-101B-9397-08002B2CF9AE}" pid="6" name="NEWPARTB">
    <vt:lpwstr>07</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רפאל ויקטור נעים </vt:lpwstr>
  </property>
  <property fmtid="{D5CDD505-2E9C-101B-9397-08002B2CF9AE}" pid="10" name="LAWYER">
    <vt:lpwstr>רביב מרגלית;מירב בן שבת</vt:lpwstr>
  </property>
  <property fmtid="{D5CDD505-2E9C-101B-9397-08002B2CF9AE}" pid="11" name="JUDGE">
    <vt:lpwstr>יעל פרדלסקי</vt:lpwstr>
  </property>
  <property fmtid="{D5CDD505-2E9C-101B-9397-08002B2CF9AE}" pid="12" name="CITY">
    <vt:lpwstr>ת"א</vt:lpwstr>
  </property>
  <property fmtid="{D5CDD505-2E9C-101B-9397-08002B2CF9AE}" pid="13" name="DATE">
    <vt:lpwstr>20190102</vt:lpwstr>
  </property>
  <property fmtid="{D5CDD505-2E9C-101B-9397-08002B2CF9AE}" pid="14" name="TYPE_N_DATE">
    <vt:lpwstr>38020190102</vt:lpwstr>
  </property>
  <property fmtid="{D5CDD505-2E9C-101B-9397-08002B2CF9AE}" pid="15" name="WORDNUMPAGES">
    <vt:lpwstr>5</vt:lpwstr>
  </property>
  <property fmtid="{D5CDD505-2E9C-101B-9397-08002B2CF9AE}" pid="16" name="TYPE_ABS_DATE">
    <vt:lpwstr>380020190102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CASESLISTTMP1">
    <vt:lpwstr>7871472;3789042;2883768;21607604</vt:lpwstr>
  </property>
  <property fmtid="{D5CDD505-2E9C-101B-9397-08002B2CF9AE}" pid="35" name="LAWLISTTMP1">
    <vt:lpwstr>70301/447.a.1;452:3;453.b.1:2</vt:lpwstr>
  </property>
</Properties>
</file>