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9"/>
        <w:gridCol w:w="3574"/>
      </w:tblGrid>
      <w:tr w:rsidR="0050544C" w:rsidRPr="00FB68D2" w14:paraId="06EC10A9" w14:textId="77777777" w:rsidTr="000F3929">
        <w:trPr>
          <w:trHeight w:hRule="exact" w:val="418"/>
          <w:jc w:val="center"/>
        </w:trPr>
        <w:tc>
          <w:tcPr>
            <w:tcW w:w="8523" w:type="dxa"/>
            <w:gridSpan w:val="2"/>
          </w:tcPr>
          <w:p w14:paraId="6ED1EFDE" w14:textId="77777777" w:rsidR="0050544C" w:rsidRPr="00FB68D2" w:rsidRDefault="0050544C" w:rsidP="00416008">
            <w:pPr>
              <w:pStyle w:val="a3"/>
              <w:jc w:val="center"/>
              <w:rPr>
                <w:rFonts w:ascii="Tahoma" w:hAnsi="Tahoma"/>
                <w:color w:val="000080"/>
                <w:sz w:val="32"/>
                <w:szCs w:val="32"/>
                <w:rtl/>
              </w:rPr>
            </w:pPr>
            <w:bookmarkStart w:id="0" w:name="LastJudge"/>
            <w:r w:rsidRPr="00FB68D2">
              <w:rPr>
                <w:rFonts w:ascii="Tahoma" w:hAnsi="Tahoma"/>
                <w:b/>
                <w:bCs/>
                <w:color w:val="000080"/>
                <w:sz w:val="32"/>
                <w:szCs w:val="32"/>
                <w:rtl/>
              </w:rPr>
              <w:t>בית משפט השלום בתל אביב - יפו</w:t>
            </w:r>
          </w:p>
        </w:tc>
      </w:tr>
      <w:tr w:rsidR="0050544C" w:rsidRPr="00FB68D2" w14:paraId="7DC25948" w14:textId="77777777" w:rsidTr="000F3929">
        <w:trPr>
          <w:trHeight w:val="337"/>
          <w:jc w:val="center"/>
        </w:trPr>
        <w:tc>
          <w:tcPr>
            <w:tcW w:w="4949" w:type="dxa"/>
          </w:tcPr>
          <w:p w14:paraId="2947E45C" w14:textId="77777777" w:rsidR="0050544C" w:rsidRPr="00FB68D2" w:rsidRDefault="0050544C" w:rsidP="00416008">
            <w:pPr>
              <w:rPr>
                <w:sz w:val="26"/>
                <w:szCs w:val="26"/>
                <w:rtl/>
              </w:rPr>
            </w:pPr>
            <w:r w:rsidRPr="00FB68D2">
              <w:rPr>
                <w:sz w:val="26"/>
                <w:szCs w:val="26"/>
                <w:rtl/>
              </w:rPr>
              <w:t>ת"פ</w:t>
            </w:r>
            <w:r w:rsidRPr="00FB68D2">
              <w:rPr>
                <w:rFonts w:hint="cs"/>
                <w:sz w:val="26"/>
                <w:szCs w:val="26"/>
                <w:rtl/>
              </w:rPr>
              <w:t xml:space="preserve"> </w:t>
            </w:r>
            <w:r w:rsidRPr="00FB68D2">
              <w:rPr>
                <w:sz w:val="26"/>
                <w:szCs w:val="26"/>
                <w:rtl/>
              </w:rPr>
              <w:t>36782-07-17</w:t>
            </w:r>
            <w:r w:rsidRPr="00FB68D2">
              <w:rPr>
                <w:rFonts w:hint="cs"/>
                <w:sz w:val="26"/>
                <w:szCs w:val="26"/>
                <w:rtl/>
              </w:rPr>
              <w:t xml:space="preserve"> </w:t>
            </w:r>
            <w:r w:rsidRPr="00FB68D2">
              <w:rPr>
                <w:sz w:val="26"/>
                <w:szCs w:val="26"/>
                <w:rtl/>
              </w:rPr>
              <w:t>מדינת ישראל נ' אייניסמן</w:t>
            </w:r>
          </w:p>
        </w:tc>
        <w:tc>
          <w:tcPr>
            <w:tcW w:w="3574" w:type="dxa"/>
          </w:tcPr>
          <w:p w14:paraId="46106368" w14:textId="77777777" w:rsidR="0050544C" w:rsidRPr="00FB68D2" w:rsidRDefault="0050544C" w:rsidP="00416008">
            <w:pPr>
              <w:pStyle w:val="a3"/>
              <w:jc w:val="right"/>
              <w:rPr>
                <w:rFonts w:cs="FrankRuehl"/>
                <w:sz w:val="28"/>
                <w:szCs w:val="28"/>
                <w:rtl/>
              </w:rPr>
            </w:pPr>
          </w:p>
        </w:tc>
      </w:tr>
    </w:tbl>
    <w:p w14:paraId="23E80A75" w14:textId="77777777" w:rsidR="0050544C" w:rsidRPr="00FB68D2" w:rsidRDefault="0050544C" w:rsidP="0050544C">
      <w:pPr>
        <w:pStyle w:val="a3"/>
        <w:rPr>
          <w:rtl/>
        </w:rPr>
      </w:pPr>
      <w:r w:rsidRPr="00FB68D2">
        <w:rPr>
          <w:rFonts w:hint="cs"/>
          <w:rtl/>
        </w:rPr>
        <w:t xml:space="preserve"> </w:t>
      </w:r>
    </w:p>
    <w:p w14:paraId="17E5E22E" w14:textId="77777777" w:rsidR="0050544C" w:rsidRPr="00FB68D2" w:rsidRDefault="0050544C" w:rsidP="0050544C">
      <w:pPr>
        <w:rPr>
          <w:rtl/>
        </w:rPr>
      </w:pPr>
    </w:p>
    <w:p w14:paraId="6922B09C" w14:textId="77777777" w:rsidR="0050544C" w:rsidRPr="00FB68D2" w:rsidRDefault="0050544C" w:rsidP="0050544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2"/>
        <w:gridCol w:w="4162"/>
        <w:gridCol w:w="3326"/>
      </w:tblGrid>
      <w:tr w:rsidR="0050544C" w:rsidRPr="00FB68D2" w14:paraId="55A934DB" w14:textId="77777777" w:rsidTr="0050544C">
        <w:trPr>
          <w:trHeight w:val="295"/>
          <w:jc w:val="center"/>
        </w:trPr>
        <w:tc>
          <w:tcPr>
            <w:tcW w:w="8820" w:type="dxa"/>
            <w:gridSpan w:val="3"/>
            <w:tcBorders>
              <w:top w:val="nil"/>
              <w:left w:val="nil"/>
              <w:bottom w:val="nil"/>
              <w:right w:val="nil"/>
            </w:tcBorders>
            <w:shd w:val="clear" w:color="auto" w:fill="auto"/>
          </w:tcPr>
          <w:p w14:paraId="72DE4FD3" w14:textId="77777777" w:rsidR="0050544C" w:rsidRPr="00FB68D2" w:rsidRDefault="0050544C" w:rsidP="0050544C">
            <w:pPr>
              <w:jc w:val="both"/>
              <w:rPr>
                <w:rFonts w:ascii="Arial" w:hAnsi="Arial"/>
                <w:b/>
                <w:bCs/>
                <w:sz w:val="26"/>
                <w:szCs w:val="26"/>
              </w:rPr>
            </w:pPr>
            <w:r w:rsidRPr="00FB68D2">
              <w:rPr>
                <w:rFonts w:ascii="Arial" w:hAnsi="Arial" w:hint="cs"/>
                <w:b/>
                <w:bCs/>
                <w:sz w:val="26"/>
                <w:szCs w:val="26"/>
                <w:rtl/>
              </w:rPr>
              <w:t>ל</w:t>
            </w:r>
            <w:r w:rsidRPr="00FB68D2">
              <w:rPr>
                <w:rFonts w:ascii="Arial" w:hAnsi="Arial"/>
                <w:b/>
                <w:bCs/>
                <w:sz w:val="26"/>
                <w:szCs w:val="26"/>
                <w:rtl/>
              </w:rPr>
              <w:t xml:space="preserve">פני </w:t>
            </w:r>
            <w:r w:rsidRPr="00FB68D2">
              <w:rPr>
                <w:rFonts w:ascii="Arial" w:hAnsi="Arial" w:hint="cs"/>
                <w:b/>
                <w:bCs/>
                <w:sz w:val="26"/>
                <w:szCs w:val="26"/>
                <w:rtl/>
              </w:rPr>
              <w:t>כבוד ה</w:t>
            </w:r>
            <w:r w:rsidRPr="00FB68D2">
              <w:rPr>
                <w:rFonts w:ascii="Arial" w:hAnsi="Arial"/>
                <w:b/>
                <w:bCs/>
                <w:sz w:val="26"/>
                <w:szCs w:val="26"/>
                <w:rtl/>
              </w:rPr>
              <w:t>שופט</w:t>
            </w:r>
            <w:r w:rsidRPr="00FB68D2">
              <w:rPr>
                <w:rFonts w:ascii="Arial" w:hAnsi="Arial" w:hint="cs"/>
                <w:b/>
                <w:bCs/>
                <w:sz w:val="26"/>
                <w:szCs w:val="26"/>
                <w:rtl/>
              </w:rPr>
              <w:t xml:space="preserve">  </w:t>
            </w:r>
            <w:r w:rsidRPr="00FB68D2">
              <w:rPr>
                <w:rFonts w:ascii="Arial" w:hAnsi="Arial"/>
                <w:b/>
                <w:bCs/>
                <w:sz w:val="26"/>
                <w:szCs w:val="26"/>
                <w:rtl/>
              </w:rPr>
              <w:t>רועי פרי</w:t>
            </w:r>
          </w:p>
        </w:tc>
      </w:tr>
      <w:tr w:rsidR="0050544C" w:rsidRPr="00FB68D2" w14:paraId="28E41022" w14:textId="77777777" w:rsidTr="0050544C">
        <w:trPr>
          <w:trHeight w:val="355"/>
          <w:jc w:val="center"/>
        </w:trPr>
        <w:tc>
          <w:tcPr>
            <w:tcW w:w="885" w:type="dxa"/>
            <w:tcBorders>
              <w:top w:val="nil"/>
              <w:left w:val="nil"/>
              <w:bottom w:val="nil"/>
              <w:right w:val="nil"/>
            </w:tcBorders>
            <w:shd w:val="clear" w:color="auto" w:fill="auto"/>
          </w:tcPr>
          <w:p w14:paraId="575DA247" w14:textId="77777777" w:rsidR="0050544C" w:rsidRPr="00FB68D2" w:rsidRDefault="0050544C" w:rsidP="0050544C">
            <w:pPr>
              <w:jc w:val="both"/>
              <w:rPr>
                <w:rFonts w:ascii="Arial" w:hAnsi="Arial"/>
                <w:b/>
                <w:bCs/>
                <w:sz w:val="26"/>
                <w:szCs w:val="26"/>
                <w:rtl/>
              </w:rPr>
            </w:pPr>
            <w:bookmarkStart w:id="1" w:name="FirstAppellant"/>
            <w:bookmarkStart w:id="2" w:name="FirstLawyer"/>
          </w:p>
          <w:p w14:paraId="3E276D23" w14:textId="77777777" w:rsidR="0050544C" w:rsidRPr="00FB68D2" w:rsidRDefault="0050544C" w:rsidP="0050544C">
            <w:pPr>
              <w:jc w:val="both"/>
              <w:rPr>
                <w:rFonts w:ascii="Arial" w:hAnsi="Arial"/>
                <w:b/>
                <w:bCs/>
                <w:sz w:val="26"/>
                <w:szCs w:val="26"/>
              </w:rPr>
            </w:pPr>
            <w:r w:rsidRPr="00FB68D2">
              <w:rPr>
                <w:rFonts w:ascii="Arial" w:hAnsi="Arial" w:hint="cs"/>
                <w:b/>
                <w:bCs/>
                <w:sz w:val="26"/>
                <w:szCs w:val="26"/>
                <w:rtl/>
              </w:rPr>
              <w:t>ה</w:t>
            </w:r>
            <w:r w:rsidRPr="00FB68D2">
              <w:rPr>
                <w:rFonts w:ascii="Arial" w:hAnsi="Arial"/>
                <w:b/>
                <w:bCs/>
                <w:sz w:val="26"/>
                <w:szCs w:val="26"/>
                <w:rtl/>
              </w:rPr>
              <w:t>מאשימ</w:t>
            </w:r>
            <w:r w:rsidRPr="00FB68D2">
              <w:rPr>
                <w:rFonts w:ascii="Arial" w:hAnsi="Arial" w:hint="cs"/>
                <w:b/>
                <w:bCs/>
                <w:sz w:val="26"/>
                <w:szCs w:val="26"/>
                <w:rtl/>
              </w:rPr>
              <w:t>ה:</w:t>
            </w:r>
          </w:p>
        </w:tc>
        <w:tc>
          <w:tcPr>
            <w:tcW w:w="4384" w:type="dxa"/>
            <w:tcBorders>
              <w:top w:val="nil"/>
              <w:left w:val="nil"/>
              <w:bottom w:val="nil"/>
              <w:right w:val="nil"/>
            </w:tcBorders>
            <w:shd w:val="clear" w:color="auto" w:fill="auto"/>
          </w:tcPr>
          <w:p w14:paraId="0992AE69" w14:textId="77777777" w:rsidR="0050544C" w:rsidRPr="00FB68D2" w:rsidRDefault="0050544C" w:rsidP="00416008">
            <w:pPr>
              <w:rPr>
                <w:b/>
                <w:bCs/>
                <w:sz w:val="26"/>
                <w:szCs w:val="26"/>
                <w:rtl/>
              </w:rPr>
            </w:pPr>
            <w:r w:rsidRPr="00FB68D2">
              <w:rPr>
                <w:rFonts w:ascii="Arial" w:hAnsi="Arial"/>
                <w:b/>
                <w:bCs/>
                <w:sz w:val="26"/>
                <w:szCs w:val="26"/>
                <w:rtl/>
              </w:rPr>
              <w:br/>
              <w:t>מדינת ישראל</w:t>
            </w:r>
          </w:p>
          <w:p w14:paraId="5B39ABB0" w14:textId="77777777" w:rsidR="0050544C" w:rsidRPr="00FB68D2" w:rsidRDefault="0050544C" w:rsidP="00416008">
            <w:pPr>
              <w:rPr>
                <w:b/>
                <w:bCs/>
                <w:sz w:val="26"/>
                <w:szCs w:val="26"/>
                <w:rtl/>
              </w:rPr>
            </w:pPr>
            <w:r w:rsidRPr="00FB68D2">
              <w:rPr>
                <w:rFonts w:hint="cs"/>
                <w:b/>
                <w:bCs/>
                <w:sz w:val="26"/>
                <w:szCs w:val="26"/>
                <w:rtl/>
              </w:rPr>
              <w:t>באמצעות תביעות תל אביב</w:t>
            </w:r>
          </w:p>
          <w:p w14:paraId="4E7C6BF5" w14:textId="77777777" w:rsidR="0050544C" w:rsidRPr="00FB68D2" w:rsidRDefault="0050544C" w:rsidP="00416008">
            <w:pPr>
              <w:rPr>
                <w:b/>
                <w:bCs/>
                <w:sz w:val="26"/>
                <w:szCs w:val="26"/>
              </w:rPr>
            </w:pPr>
            <w:r w:rsidRPr="00FB68D2">
              <w:rPr>
                <w:rFonts w:hint="cs"/>
                <w:b/>
                <w:bCs/>
                <w:sz w:val="26"/>
                <w:szCs w:val="26"/>
                <w:rtl/>
              </w:rPr>
              <w:t>ע"י ב"כ עו"ד שחר לדובסקי</w:t>
            </w:r>
          </w:p>
        </w:tc>
        <w:tc>
          <w:tcPr>
            <w:tcW w:w="3551" w:type="dxa"/>
            <w:tcBorders>
              <w:top w:val="nil"/>
              <w:left w:val="nil"/>
              <w:bottom w:val="nil"/>
              <w:right w:val="nil"/>
            </w:tcBorders>
            <w:shd w:val="clear" w:color="auto" w:fill="auto"/>
          </w:tcPr>
          <w:p w14:paraId="16467ADC" w14:textId="77777777" w:rsidR="0050544C" w:rsidRPr="00FB68D2" w:rsidRDefault="0050544C" w:rsidP="0050544C">
            <w:pPr>
              <w:jc w:val="both"/>
              <w:rPr>
                <w:rFonts w:ascii="Arial" w:hAnsi="Arial"/>
                <w:b/>
                <w:bCs/>
                <w:sz w:val="26"/>
                <w:szCs w:val="26"/>
              </w:rPr>
            </w:pPr>
          </w:p>
        </w:tc>
      </w:tr>
      <w:bookmarkEnd w:id="1"/>
      <w:bookmarkEnd w:id="2"/>
      <w:tr w:rsidR="0050544C" w:rsidRPr="00FB68D2" w14:paraId="7BB5D68B" w14:textId="77777777" w:rsidTr="0050544C">
        <w:trPr>
          <w:trHeight w:val="373"/>
          <w:jc w:val="center"/>
        </w:trPr>
        <w:tc>
          <w:tcPr>
            <w:tcW w:w="885" w:type="dxa"/>
            <w:tcBorders>
              <w:top w:val="nil"/>
              <w:left w:val="nil"/>
              <w:bottom w:val="nil"/>
              <w:right w:val="nil"/>
            </w:tcBorders>
            <w:shd w:val="clear" w:color="auto" w:fill="auto"/>
          </w:tcPr>
          <w:p w14:paraId="504BA365" w14:textId="77777777" w:rsidR="0050544C" w:rsidRPr="00FB68D2" w:rsidRDefault="0050544C" w:rsidP="0050544C">
            <w:pPr>
              <w:jc w:val="both"/>
              <w:rPr>
                <w:rFonts w:ascii="Arial" w:hAnsi="Arial"/>
                <w:b/>
                <w:bCs/>
                <w:sz w:val="26"/>
                <w:szCs w:val="26"/>
                <w:rtl/>
              </w:rPr>
            </w:pPr>
          </w:p>
        </w:tc>
        <w:tc>
          <w:tcPr>
            <w:tcW w:w="7935" w:type="dxa"/>
            <w:gridSpan w:val="2"/>
            <w:tcBorders>
              <w:top w:val="nil"/>
              <w:left w:val="nil"/>
              <w:bottom w:val="nil"/>
              <w:right w:val="nil"/>
            </w:tcBorders>
            <w:shd w:val="clear" w:color="auto" w:fill="auto"/>
          </w:tcPr>
          <w:p w14:paraId="00C838A1" w14:textId="77777777" w:rsidR="0050544C" w:rsidRPr="00FB68D2" w:rsidRDefault="0050544C" w:rsidP="0050544C">
            <w:pPr>
              <w:jc w:val="center"/>
              <w:rPr>
                <w:rFonts w:ascii="Arial" w:hAnsi="Arial"/>
                <w:b/>
                <w:bCs/>
                <w:sz w:val="26"/>
                <w:szCs w:val="26"/>
                <w:rtl/>
              </w:rPr>
            </w:pPr>
          </w:p>
          <w:p w14:paraId="1C313149" w14:textId="77777777" w:rsidR="0050544C" w:rsidRPr="00FB68D2" w:rsidRDefault="0050544C" w:rsidP="0050544C">
            <w:pPr>
              <w:jc w:val="center"/>
              <w:rPr>
                <w:rFonts w:ascii="Arial" w:hAnsi="Arial"/>
                <w:b/>
                <w:bCs/>
                <w:sz w:val="26"/>
                <w:szCs w:val="26"/>
                <w:rtl/>
              </w:rPr>
            </w:pPr>
            <w:r w:rsidRPr="00FB68D2">
              <w:rPr>
                <w:rFonts w:ascii="Arial" w:hAnsi="Arial"/>
                <w:b/>
                <w:bCs/>
                <w:sz w:val="26"/>
                <w:szCs w:val="26"/>
                <w:rtl/>
              </w:rPr>
              <w:t>נגד</w:t>
            </w:r>
          </w:p>
          <w:p w14:paraId="263C8B39" w14:textId="77777777" w:rsidR="0050544C" w:rsidRPr="00FB68D2" w:rsidRDefault="0050544C" w:rsidP="0050544C">
            <w:pPr>
              <w:jc w:val="both"/>
              <w:rPr>
                <w:rFonts w:ascii="Arial" w:hAnsi="Arial"/>
                <w:b/>
                <w:bCs/>
                <w:sz w:val="26"/>
                <w:szCs w:val="26"/>
              </w:rPr>
            </w:pPr>
          </w:p>
        </w:tc>
      </w:tr>
      <w:tr w:rsidR="0050544C" w:rsidRPr="00FB68D2" w14:paraId="60A68DB9" w14:textId="77777777" w:rsidTr="0050544C">
        <w:trPr>
          <w:trHeight w:val="355"/>
          <w:jc w:val="center"/>
        </w:trPr>
        <w:tc>
          <w:tcPr>
            <w:tcW w:w="885" w:type="dxa"/>
            <w:tcBorders>
              <w:top w:val="nil"/>
              <w:left w:val="nil"/>
              <w:bottom w:val="nil"/>
              <w:right w:val="nil"/>
            </w:tcBorders>
            <w:shd w:val="clear" w:color="auto" w:fill="auto"/>
          </w:tcPr>
          <w:p w14:paraId="09F489F9" w14:textId="77777777" w:rsidR="0050544C" w:rsidRPr="00FB68D2" w:rsidRDefault="0050544C" w:rsidP="00416008">
            <w:pPr>
              <w:rPr>
                <w:rFonts w:ascii="Arial" w:hAnsi="Arial"/>
                <w:b/>
                <w:bCs/>
                <w:sz w:val="26"/>
                <w:szCs w:val="26"/>
                <w:rtl/>
              </w:rPr>
            </w:pPr>
            <w:r w:rsidRPr="00FB68D2">
              <w:rPr>
                <w:rFonts w:ascii="Arial" w:hAnsi="Arial" w:hint="cs"/>
                <w:b/>
                <w:bCs/>
                <w:sz w:val="26"/>
                <w:szCs w:val="26"/>
                <w:rtl/>
              </w:rPr>
              <w:t>ה</w:t>
            </w:r>
            <w:r w:rsidRPr="00FB68D2">
              <w:rPr>
                <w:rFonts w:ascii="Arial" w:hAnsi="Arial"/>
                <w:b/>
                <w:bCs/>
                <w:sz w:val="26"/>
                <w:szCs w:val="26"/>
                <w:rtl/>
              </w:rPr>
              <w:t>נאש</w:t>
            </w:r>
            <w:r w:rsidRPr="00FB68D2">
              <w:rPr>
                <w:rFonts w:ascii="Arial" w:hAnsi="Arial" w:hint="cs"/>
                <w:b/>
                <w:bCs/>
                <w:sz w:val="26"/>
                <w:szCs w:val="26"/>
                <w:rtl/>
              </w:rPr>
              <w:t>מת:</w:t>
            </w:r>
          </w:p>
        </w:tc>
        <w:tc>
          <w:tcPr>
            <w:tcW w:w="4384" w:type="dxa"/>
            <w:tcBorders>
              <w:top w:val="nil"/>
              <w:left w:val="nil"/>
              <w:bottom w:val="nil"/>
              <w:right w:val="nil"/>
            </w:tcBorders>
            <w:shd w:val="clear" w:color="auto" w:fill="auto"/>
          </w:tcPr>
          <w:p w14:paraId="055DCDE2" w14:textId="77777777" w:rsidR="0050544C" w:rsidRPr="00FB68D2" w:rsidRDefault="0050544C" w:rsidP="00416008">
            <w:pPr>
              <w:rPr>
                <w:b/>
                <w:bCs/>
                <w:sz w:val="26"/>
                <w:szCs w:val="26"/>
                <w:rtl/>
              </w:rPr>
            </w:pPr>
            <w:r w:rsidRPr="00FB68D2">
              <w:rPr>
                <w:rFonts w:ascii="Arial" w:hAnsi="Arial"/>
                <w:b/>
                <w:bCs/>
                <w:sz w:val="26"/>
                <w:szCs w:val="26"/>
                <w:rtl/>
              </w:rPr>
              <w:t>אולגה אייניסמן</w:t>
            </w:r>
          </w:p>
          <w:p w14:paraId="7AB001F5" w14:textId="77777777" w:rsidR="0050544C" w:rsidRPr="00FB68D2" w:rsidRDefault="0050544C" w:rsidP="00416008">
            <w:pPr>
              <w:rPr>
                <w:b/>
                <w:bCs/>
                <w:sz w:val="26"/>
                <w:szCs w:val="26"/>
                <w:rtl/>
              </w:rPr>
            </w:pPr>
            <w:r w:rsidRPr="00FB68D2">
              <w:rPr>
                <w:rFonts w:hint="cs"/>
                <w:b/>
                <w:bCs/>
                <w:sz w:val="26"/>
                <w:szCs w:val="26"/>
                <w:rtl/>
              </w:rPr>
              <w:t>ע"י ב"כ עו"ד ירון ברזילי ועו"ד דניאל גרוביצקי</w:t>
            </w:r>
          </w:p>
        </w:tc>
        <w:tc>
          <w:tcPr>
            <w:tcW w:w="3551" w:type="dxa"/>
            <w:tcBorders>
              <w:top w:val="nil"/>
              <w:left w:val="nil"/>
              <w:bottom w:val="nil"/>
              <w:right w:val="nil"/>
            </w:tcBorders>
            <w:shd w:val="clear" w:color="auto" w:fill="auto"/>
          </w:tcPr>
          <w:p w14:paraId="4D48104F" w14:textId="77777777" w:rsidR="0050544C" w:rsidRPr="00FB68D2" w:rsidRDefault="0050544C" w:rsidP="0050544C">
            <w:pPr>
              <w:jc w:val="right"/>
              <w:rPr>
                <w:rFonts w:ascii="Arial" w:hAnsi="Arial"/>
                <w:b/>
                <w:bCs/>
                <w:sz w:val="26"/>
                <w:szCs w:val="26"/>
              </w:rPr>
            </w:pPr>
          </w:p>
        </w:tc>
      </w:tr>
    </w:tbl>
    <w:p w14:paraId="7097E90A" w14:textId="77777777" w:rsidR="000F3929" w:rsidRPr="000F3929" w:rsidRDefault="000F3929" w:rsidP="000F3929">
      <w:pPr>
        <w:spacing w:before="120" w:after="120" w:line="240" w:lineRule="exact"/>
        <w:ind w:left="283" w:hanging="283"/>
        <w:jc w:val="both"/>
        <w:rPr>
          <w:rFonts w:ascii="FrankRuehl" w:hAnsi="FrankRuehl" w:cs="FrankRuehl"/>
          <w:rtl/>
        </w:rPr>
      </w:pPr>
      <w:bookmarkStart w:id="3" w:name="LawTable"/>
      <w:bookmarkEnd w:id="3"/>
    </w:p>
    <w:p w14:paraId="0ED427FC" w14:textId="77777777" w:rsidR="000F3929" w:rsidRPr="000F3929" w:rsidRDefault="000F3929" w:rsidP="000F3929">
      <w:pPr>
        <w:spacing w:before="120" w:after="120" w:line="240" w:lineRule="exact"/>
        <w:ind w:left="283" w:hanging="283"/>
        <w:jc w:val="both"/>
        <w:rPr>
          <w:rFonts w:ascii="FrankRuehl" w:hAnsi="FrankRuehl" w:cs="FrankRuehl"/>
          <w:rtl/>
        </w:rPr>
      </w:pPr>
      <w:r w:rsidRPr="000F3929">
        <w:rPr>
          <w:rFonts w:ascii="FrankRuehl" w:hAnsi="FrankRuehl" w:cs="FrankRuehl"/>
          <w:rtl/>
        </w:rPr>
        <w:t xml:space="preserve">חקיקה שאוזכרה: </w:t>
      </w:r>
    </w:p>
    <w:p w14:paraId="7C0EB20E" w14:textId="77777777" w:rsidR="000F3929" w:rsidRPr="000F3929" w:rsidRDefault="000F3929" w:rsidP="000F3929">
      <w:pPr>
        <w:spacing w:before="120" w:after="120" w:line="240" w:lineRule="exact"/>
        <w:ind w:left="283" w:hanging="283"/>
        <w:jc w:val="both"/>
        <w:rPr>
          <w:rFonts w:ascii="FrankRuehl" w:hAnsi="FrankRuehl" w:cs="FrankRuehl"/>
          <w:color w:val="0000FF"/>
          <w:rtl/>
        </w:rPr>
      </w:pPr>
      <w:hyperlink r:id="rId7" w:history="1">
        <w:r w:rsidRPr="000F3929">
          <w:rPr>
            <w:rStyle w:val="Hyperlink"/>
            <w:rFonts w:ascii="FrankRuehl" w:hAnsi="FrankRuehl" w:cs="FrankRuehl"/>
            <w:rtl/>
          </w:rPr>
          <w:t>פקודת הסמים המסוכנים [נוסח חדש], תשל"ג-1973</w:t>
        </w:r>
      </w:hyperlink>
      <w:r w:rsidRPr="000F3929">
        <w:rPr>
          <w:rFonts w:ascii="FrankRuehl" w:hAnsi="FrankRuehl" w:cs="FrankRuehl"/>
          <w:color w:val="0000FF"/>
          <w:u w:val="single"/>
          <w:rtl/>
        </w:rPr>
        <w:t xml:space="preserve">: סע'  </w:t>
      </w:r>
      <w:hyperlink r:id="rId8" w:history="1">
        <w:r w:rsidRPr="000F3929">
          <w:rPr>
            <w:rStyle w:val="Hyperlink"/>
            <w:rFonts w:ascii="FrankRuehl" w:hAnsi="FrankRuehl" w:cs="FrankRuehl"/>
          </w:rPr>
          <w:t>7</w:t>
        </w:r>
      </w:hyperlink>
      <w:r w:rsidRPr="000F3929">
        <w:rPr>
          <w:rFonts w:ascii="FrankRuehl" w:hAnsi="FrankRuehl" w:cs="FrankRuehl"/>
          <w:color w:val="0000FF"/>
          <w:rtl/>
        </w:rPr>
        <w:t xml:space="preserve">(א), </w:t>
      </w:r>
      <w:hyperlink r:id="rId9" w:history="1">
        <w:r w:rsidRPr="000F3929">
          <w:rPr>
            <w:rStyle w:val="Hyperlink"/>
            <w:rFonts w:ascii="FrankRuehl" w:hAnsi="FrankRuehl" w:cs="FrankRuehl"/>
          </w:rPr>
          <w:t>7</w:t>
        </w:r>
      </w:hyperlink>
      <w:r w:rsidRPr="000F3929">
        <w:rPr>
          <w:rFonts w:ascii="FrankRuehl" w:hAnsi="FrankRuehl" w:cs="FrankRuehl"/>
          <w:color w:val="0000FF"/>
          <w:rtl/>
        </w:rPr>
        <w:t xml:space="preserve">(ג), </w:t>
      </w:r>
      <w:hyperlink r:id="rId10" w:history="1">
        <w:r w:rsidRPr="000F3929">
          <w:rPr>
            <w:rStyle w:val="Hyperlink"/>
            <w:rFonts w:ascii="FrankRuehl" w:hAnsi="FrankRuehl" w:cs="FrankRuehl"/>
          </w:rPr>
          <w:t>13</w:t>
        </w:r>
      </w:hyperlink>
      <w:r w:rsidRPr="000F3929">
        <w:rPr>
          <w:rFonts w:ascii="FrankRuehl" w:hAnsi="FrankRuehl" w:cs="FrankRuehl"/>
          <w:color w:val="0000FF"/>
          <w:rtl/>
        </w:rPr>
        <w:t xml:space="preserve">, </w:t>
      </w:r>
      <w:hyperlink r:id="rId11" w:history="1">
        <w:r w:rsidRPr="000F3929">
          <w:rPr>
            <w:rStyle w:val="Hyperlink"/>
            <w:rFonts w:ascii="FrankRuehl" w:hAnsi="FrankRuehl" w:cs="FrankRuehl"/>
          </w:rPr>
          <w:t>19</w:t>
        </w:r>
        <w:r w:rsidRPr="000F3929">
          <w:rPr>
            <w:rStyle w:val="Hyperlink"/>
            <w:rFonts w:ascii="FrankRuehl" w:hAnsi="FrankRuehl" w:cs="FrankRuehl"/>
            <w:rtl/>
          </w:rPr>
          <w:t>א</w:t>
        </w:r>
      </w:hyperlink>
    </w:p>
    <w:p w14:paraId="5AD1B62D" w14:textId="77777777" w:rsidR="000F3929" w:rsidRPr="000F3929" w:rsidRDefault="000F3929" w:rsidP="000F3929">
      <w:pPr>
        <w:spacing w:before="120" w:after="120" w:line="240" w:lineRule="exact"/>
        <w:ind w:left="283" w:hanging="283"/>
        <w:jc w:val="both"/>
        <w:rPr>
          <w:rFonts w:ascii="FrankRuehl" w:hAnsi="FrankRuehl" w:cs="FrankRuehl"/>
          <w:color w:val="0000FF"/>
          <w:u w:val="single"/>
          <w:rtl/>
        </w:rPr>
      </w:pPr>
      <w:hyperlink r:id="rId12" w:history="1">
        <w:r w:rsidRPr="000F3929">
          <w:rPr>
            <w:rStyle w:val="Hyperlink"/>
            <w:rFonts w:ascii="FrankRuehl" w:hAnsi="FrankRuehl" w:cs="FrankRuehl"/>
            <w:rtl/>
          </w:rPr>
          <w:t>חוק העונשין, תשל"ז-1977</w:t>
        </w:r>
      </w:hyperlink>
    </w:p>
    <w:p w14:paraId="3A46B630" w14:textId="77777777" w:rsidR="0050544C" w:rsidRPr="000F3929" w:rsidRDefault="0050544C" w:rsidP="000F3929">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0544C" w14:paraId="21744A8A" w14:textId="77777777" w:rsidTr="0050544C">
        <w:trPr>
          <w:trHeight w:val="355"/>
          <w:jc w:val="center"/>
        </w:trPr>
        <w:tc>
          <w:tcPr>
            <w:tcW w:w="8820" w:type="dxa"/>
            <w:tcBorders>
              <w:top w:val="nil"/>
              <w:left w:val="nil"/>
              <w:bottom w:val="nil"/>
              <w:right w:val="nil"/>
            </w:tcBorders>
            <w:shd w:val="clear" w:color="auto" w:fill="auto"/>
          </w:tcPr>
          <w:p w14:paraId="45C8211C" w14:textId="77777777" w:rsidR="00FB68D2" w:rsidRPr="00FB68D2" w:rsidRDefault="00FB68D2" w:rsidP="00FB68D2">
            <w:pPr>
              <w:jc w:val="center"/>
              <w:rPr>
                <w:rFonts w:ascii="Arial" w:hAnsi="Arial"/>
                <w:b/>
                <w:bCs/>
                <w:sz w:val="28"/>
                <w:szCs w:val="28"/>
                <w:rtl/>
              </w:rPr>
            </w:pPr>
            <w:bookmarkStart w:id="5" w:name="PsakDin" w:colFirst="0" w:colLast="0"/>
            <w:bookmarkEnd w:id="0"/>
            <w:r w:rsidRPr="00FB68D2">
              <w:rPr>
                <w:rFonts w:ascii="Arial" w:hAnsi="Arial"/>
                <w:b/>
                <w:bCs/>
                <w:sz w:val="28"/>
                <w:szCs w:val="28"/>
                <w:rtl/>
              </w:rPr>
              <w:t>גזר דין</w:t>
            </w:r>
          </w:p>
          <w:p w14:paraId="29AB0890" w14:textId="77777777" w:rsidR="0050544C" w:rsidRPr="00FB68D2" w:rsidRDefault="0050544C" w:rsidP="00FB68D2">
            <w:pPr>
              <w:jc w:val="center"/>
              <w:rPr>
                <w:rFonts w:ascii="Arial" w:hAnsi="Arial"/>
                <w:bCs/>
                <w:sz w:val="28"/>
                <w:szCs w:val="28"/>
                <w:u w:val="single"/>
                <w:rtl/>
              </w:rPr>
            </w:pPr>
          </w:p>
        </w:tc>
      </w:tr>
      <w:bookmarkEnd w:id="5"/>
    </w:tbl>
    <w:p w14:paraId="055C5BE4" w14:textId="77777777" w:rsidR="0050544C" w:rsidRPr="00B05847" w:rsidRDefault="0050544C" w:rsidP="0050544C">
      <w:pPr>
        <w:rPr>
          <w:rFonts w:ascii="Arial" w:hAnsi="Arial"/>
          <w:rtl/>
        </w:rPr>
      </w:pPr>
    </w:p>
    <w:p w14:paraId="433DDF71" w14:textId="77777777" w:rsidR="0050544C" w:rsidRPr="008B4644" w:rsidRDefault="0050544C" w:rsidP="0050544C">
      <w:pPr>
        <w:numPr>
          <w:ilvl w:val="0"/>
          <w:numId w:val="1"/>
        </w:numPr>
        <w:spacing w:after="160" w:line="360" w:lineRule="auto"/>
        <w:contextualSpacing/>
        <w:jc w:val="both"/>
        <w:rPr>
          <w:rFonts w:ascii="David" w:hAnsi="David"/>
          <w:rtl/>
        </w:rPr>
      </w:pPr>
      <w:bookmarkStart w:id="6" w:name="ABSTRACT_START"/>
      <w:bookmarkEnd w:id="6"/>
      <w:r w:rsidRPr="008B4644">
        <w:rPr>
          <w:rFonts w:ascii="David" w:hAnsi="David"/>
          <w:rtl/>
        </w:rPr>
        <w:t>הנאשמת הורשעה עפ"י הודאתה, במסגרת הסדר טיעון דיוני</w:t>
      </w:r>
      <w:r>
        <w:rPr>
          <w:rFonts w:ascii="David" w:hAnsi="David" w:hint="cs"/>
          <w:rtl/>
        </w:rPr>
        <w:t>, בכתב אישום מתוקן</w:t>
      </w:r>
      <w:r w:rsidRPr="008B4644">
        <w:rPr>
          <w:rFonts w:ascii="David" w:hAnsi="David"/>
          <w:rtl/>
        </w:rPr>
        <w:t xml:space="preserve">, </w:t>
      </w:r>
      <w:r w:rsidRPr="008B4644">
        <w:rPr>
          <w:rFonts w:ascii="David" w:hAnsi="David"/>
          <w:b/>
          <w:bCs/>
          <w:rtl/>
        </w:rPr>
        <w:t>ב</w:t>
      </w:r>
      <w:r w:rsidRPr="008B4644">
        <w:rPr>
          <w:rFonts w:ascii="David" w:hAnsi="David" w:hint="cs"/>
          <w:b/>
          <w:bCs/>
          <w:rtl/>
        </w:rPr>
        <w:t>ארבע</w:t>
      </w:r>
      <w:r>
        <w:rPr>
          <w:rFonts w:ascii="David" w:hAnsi="David" w:hint="cs"/>
          <w:rtl/>
        </w:rPr>
        <w:t xml:space="preserve"> </w:t>
      </w:r>
      <w:r w:rsidRPr="008B4644">
        <w:rPr>
          <w:rFonts w:ascii="David" w:hAnsi="David"/>
          <w:rtl/>
        </w:rPr>
        <w:t xml:space="preserve">עבירות של </w:t>
      </w:r>
      <w:r>
        <w:rPr>
          <w:rFonts w:ascii="David" w:hAnsi="David" w:hint="cs"/>
          <w:rtl/>
        </w:rPr>
        <w:t>סחר בסמים, ל</w:t>
      </w:r>
      <w:r w:rsidRPr="008B4644">
        <w:rPr>
          <w:rFonts w:ascii="David" w:hAnsi="David"/>
          <w:rtl/>
        </w:rPr>
        <w:t xml:space="preserve">פי </w:t>
      </w:r>
      <w:hyperlink r:id="rId13" w:history="1">
        <w:r w:rsidR="000F3929" w:rsidRPr="000F3929">
          <w:rPr>
            <w:rStyle w:val="Hyperlink"/>
            <w:rFonts w:ascii="David" w:hAnsi="David"/>
            <w:color w:val="0000FF"/>
            <w:rtl/>
          </w:rPr>
          <w:t>סעיפים 13</w:t>
        </w:r>
      </w:hyperlink>
      <w:r w:rsidRPr="008B4644">
        <w:rPr>
          <w:rFonts w:ascii="David" w:hAnsi="David"/>
          <w:rtl/>
        </w:rPr>
        <w:t xml:space="preserve"> </w:t>
      </w:r>
      <w:r>
        <w:rPr>
          <w:rFonts w:ascii="David" w:hAnsi="David" w:hint="cs"/>
          <w:rtl/>
        </w:rPr>
        <w:t xml:space="preserve">ו- </w:t>
      </w:r>
      <w:hyperlink r:id="rId14" w:history="1">
        <w:r w:rsidR="000F3929" w:rsidRPr="000F3929">
          <w:rPr>
            <w:rStyle w:val="Hyperlink"/>
            <w:rFonts w:ascii="David" w:hAnsi="David"/>
            <w:color w:val="0000FF"/>
            <w:rtl/>
          </w:rPr>
          <w:t>19א</w:t>
        </w:r>
      </w:hyperlink>
      <w:r w:rsidRPr="008B4644">
        <w:rPr>
          <w:rFonts w:ascii="David" w:hAnsi="David"/>
          <w:rtl/>
        </w:rPr>
        <w:t xml:space="preserve"> ל</w:t>
      </w:r>
      <w:hyperlink r:id="rId15" w:history="1">
        <w:r w:rsidR="00FB68D2" w:rsidRPr="00FB68D2">
          <w:rPr>
            <w:rFonts w:ascii="David" w:hAnsi="David"/>
            <w:color w:val="0000FF"/>
            <w:u w:val="single"/>
            <w:rtl/>
          </w:rPr>
          <w:t>פקודת הסמים המסוכנים</w:t>
        </w:r>
      </w:hyperlink>
      <w:r w:rsidRPr="008B4644">
        <w:rPr>
          <w:rFonts w:ascii="David" w:hAnsi="David"/>
          <w:rtl/>
        </w:rPr>
        <w:t xml:space="preserve"> ו</w:t>
      </w:r>
      <w:r>
        <w:rPr>
          <w:rFonts w:ascii="David" w:hAnsi="David" w:hint="cs"/>
          <w:rtl/>
        </w:rPr>
        <w:t xml:space="preserve">עבירה של </w:t>
      </w:r>
      <w:r w:rsidRPr="008B4644">
        <w:rPr>
          <w:rFonts w:ascii="David" w:hAnsi="David"/>
          <w:rtl/>
        </w:rPr>
        <w:t>החזק</w:t>
      </w:r>
      <w:r>
        <w:rPr>
          <w:rFonts w:ascii="David" w:hAnsi="David" w:hint="cs"/>
          <w:rtl/>
        </w:rPr>
        <w:t xml:space="preserve">ת סם שלא </w:t>
      </w:r>
      <w:r w:rsidRPr="008B4644">
        <w:rPr>
          <w:rFonts w:ascii="David" w:hAnsi="David"/>
          <w:rtl/>
        </w:rPr>
        <w:t xml:space="preserve"> לצריכה עצמית, לפי </w:t>
      </w:r>
      <w:hyperlink r:id="rId16" w:history="1">
        <w:r w:rsidR="000F3929" w:rsidRPr="000F3929">
          <w:rPr>
            <w:rStyle w:val="Hyperlink"/>
            <w:rFonts w:ascii="David" w:hAnsi="David"/>
            <w:color w:val="0000FF"/>
            <w:rtl/>
          </w:rPr>
          <w:t>סעיפים 7(א)</w:t>
        </w:r>
      </w:hyperlink>
      <w:r>
        <w:rPr>
          <w:rFonts w:ascii="David" w:hAnsi="David" w:hint="cs"/>
          <w:rtl/>
        </w:rPr>
        <w:t xml:space="preserve"> ו-</w:t>
      </w:r>
      <w:hyperlink r:id="rId17" w:history="1">
        <w:r w:rsidR="000F3929" w:rsidRPr="000F3929">
          <w:rPr>
            <w:rStyle w:val="Hyperlink"/>
            <w:rFonts w:ascii="David" w:hAnsi="David"/>
            <w:color w:val="0000FF"/>
            <w:rtl/>
          </w:rPr>
          <w:t>7(ג)</w:t>
        </w:r>
      </w:hyperlink>
      <w:r w:rsidRPr="008B4644">
        <w:rPr>
          <w:rFonts w:ascii="David" w:hAnsi="David"/>
          <w:rtl/>
        </w:rPr>
        <w:t xml:space="preserve"> רישא לפקוד</w:t>
      </w:r>
      <w:r>
        <w:rPr>
          <w:rFonts w:ascii="David" w:hAnsi="David" w:hint="cs"/>
          <w:rtl/>
        </w:rPr>
        <w:t>ה</w:t>
      </w:r>
      <w:r w:rsidRPr="008B4644">
        <w:rPr>
          <w:rFonts w:ascii="David" w:hAnsi="David"/>
          <w:rtl/>
        </w:rPr>
        <w:t>.</w:t>
      </w:r>
    </w:p>
    <w:p w14:paraId="37B1D2EF" w14:textId="77777777" w:rsidR="0050544C" w:rsidRPr="008B4644" w:rsidRDefault="0050544C" w:rsidP="0050544C">
      <w:pPr>
        <w:spacing w:after="160" w:line="360" w:lineRule="auto"/>
        <w:ind w:left="720"/>
        <w:contextualSpacing/>
        <w:jc w:val="both"/>
        <w:rPr>
          <w:rFonts w:ascii="David" w:hAnsi="David"/>
        </w:rPr>
      </w:pPr>
      <w:bookmarkStart w:id="7" w:name="ABSTRACT_END"/>
      <w:bookmarkEnd w:id="7"/>
    </w:p>
    <w:p w14:paraId="3BF5EF58" w14:textId="77777777" w:rsidR="0050544C" w:rsidRDefault="0050544C" w:rsidP="0050544C">
      <w:pPr>
        <w:numPr>
          <w:ilvl w:val="0"/>
          <w:numId w:val="1"/>
        </w:numPr>
        <w:spacing w:after="160" w:line="360" w:lineRule="auto"/>
        <w:contextualSpacing/>
        <w:jc w:val="both"/>
        <w:rPr>
          <w:rFonts w:ascii="David" w:hAnsi="David"/>
        </w:rPr>
      </w:pPr>
      <w:r w:rsidRPr="008B4644">
        <w:rPr>
          <w:rFonts w:ascii="David" w:hAnsi="David"/>
          <w:rtl/>
        </w:rPr>
        <w:t>על פי עובדות כתב האישום המתוקן</w:t>
      </w:r>
      <w:r>
        <w:rPr>
          <w:rFonts w:ascii="David" w:hAnsi="David" w:hint="cs"/>
          <w:rtl/>
        </w:rPr>
        <w:t>, המונה 5 אישומים, במועד הרלוונטי לכתב האישום התגוררה הנאשמת ברחוב ירושלים בבת ים, בדירת קרקע.</w:t>
      </w:r>
    </w:p>
    <w:p w14:paraId="64EBD89C" w14:textId="77777777" w:rsidR="0050544C" w:rsidRDefault="0050544C" w:rsidP="0050544C">
      <w:pPr>
        <w:spacing w:after="160" w:line="360" w:lineRule="auto"/>
        <w:ind w:left="720"/>
        <w:contextualSpacing/>
        <w:jc w:val="both"/>
        <w:rPr>
          <w:rFonts w:ascii="David" w:hAnsi="David"/>
          <w:rtl/>
        </w:rPr>
      </w:pPr>
      <w:r>
        <w:rPr>
          <w:rFonts w:ascii="David" w:hAnsi="David" w:hint="cs"/>
          <w:rtl/>
        </w:rPr>
        <w:t>ביום 20.6.17, בשעת ליל, סחרה הנאשמת מחוץ לביתה בסם מסוכן מסוג חשיש, אותו מכרה לאלכסנדר לינצקי, במשקל של 1.99 גרם בתמורה ל- 100 ₪.</w:t>
      </w:r>
    </w:p>
    <w:p w14:paraId="46E1CA1D" w14:textId="77777777" w:rsidR="0050544C" w:rsidRDefault="0050544C" w:rsidP="0050544C">
      <w:pPr>
        <w:spacing w:after="160" w:line="360" w:lineRule="auto"/>
        <w:ind w:left="720"/>
        <w:contextualSpacing/>
        <w:jc w:val="both"/>
        <w:rPr>
          <w:rFonts w:ascii="David" w:hAnsi="David"/>
          <w:rtl/>
        </w:rPr>
      </w:pPr>
      <w:r>
        <w:rPr>
          <w:rFonts w:ascii="David" w:hAnsi="David" w:hint="cs"/>
          <w:rtl/>
        </w:rPr>
        <w:t>מספר חודשים עובר ליוני 2017, בהזדמנויות נוספות ורבות, בתדירות של כפעמיים בשבוע, סחרה הנאשמת בסם מסוג חשיש, עת מכרה אותו לאלכסנדר לינצקי, בכמויות שאינן ידועות למאשימה, בעבור 100 ₪ בכל פעם.</w:t>
      </w:r>
    </w:p>
    <w:p w14:paraId="5F139486" w14:textId="77777777" w:rsidR="0050544C" w:rsidRDefault="0050544C" w:rsidP="0050544C">
      <w:pPr>
        <w:spacing w:after="160" w:line="360" w:lineRule="auto"/>
        <w:ind w:left="720"/>
        <w:contextualSpacing/>
        <w:jc w:val="both"/>
        <w:rPr>
          <w:rFonts w:ascii="David" w:hAnsi="David"/>
          <w:rtl/>
        </w:rPr>
      </w:pPr>
      <w:r>
        <w:rPr>
          <w:rFonts w:ascii="David" w:hAnsi="David" w:hint="cs"/>
          <w:rtl/>
        </w:rPr>
        <w:t>ביום 30.6.17, בסמוך לחצות, סחרה הנאשמת מחוץ לביתה, בסם מסוג חשיש, עת מכרה 1.11 גרם מהסם לאיציק גבאי בתמורה ל- 50 ₪.</w:t>
      </w:r>
    </w:p>
    <w:p w14:paraId="0D35B84B" w14:textId="77777777" w:rsidR="0050544C" w:rsidRDefault="0050544C" w:rsidP="0050544C">
      <w:pPr>
        <w:spacing w:after="160" w:line="360" w:lineRule="auto"/>
        <w:ind w:left="720"/>
        <w:contextualSpacing/>
        <w:jc w:val="both"/>
        <w:rPr>
          <w:rFonts w:ascii="David" w:hAnsi="David"/>
          <w:rtl/>
        </w:rPr>
      </w:pPr>
      <w:r>
        <w:rPr>
          <w:rFonts w:ascii="David" w:hAnsi="David" w:hint="cs"/>
          <w:rtl/>
        </w:rPr>
        <w:t>ביום  6.7.17, בשעת ליל, סחרה הנאשמת, מחוץ לביתה, בסם מסוג חשיש, במשקל של 2.13 גרם, אותו מכרה לאלכס צ'רנוב, בתמורה ל- 100 ₪.</w:t>
      </w:r>
    </w:p>
    <w:p w14:paraId="60EBC007" w14:textId="77777777" w:rsidR="0050544C" w:rsidRDefault="0050544C" w:rsidP="0050544C">
      <w:pPr>
        <w:spacing w:after="160" w:line="360" w:lineRule="auto"/>
        <w:ind w:left="720"/>
        <w:contextualSpacing/>
        <w:jc w:val="both"/>
        <w:rPr>
          <w:rFonts w:ascii="David" w:hAnsi="David"/>
          <w:rtl/>
        </w:rPr>
      </w:pPr>
      <w:r>
        <w:rPr>
          <w:rFonts w:ascii="David" w:hAnsi="David" w:hint="cs"/>
          <w:rtl/>
        </w:rPr>
        <w:t>בחיפוש משטרתי שנערך ביום 9.7.17, בדירת הנאשמת, נתפסו משקל דיגיטלי, כסף מזומן, 14 אצבעות של סם מסוג חשיש במשקל 65.8 גרם, תיק שחור ובו סם מסוג חשיש, במשקל כולל 136.6 גרם, ובשולחן הסלון, נתפסה תפזורת טבק ובה סם מסוג חשיש במשקל כולל של 1.3 גרם.</w:t>
      </w:r>
    </w:p>
    <w:p w14:paraId="4F32C1E1" w14:textId="77777777" w:rsidR="0050544C" w:rsidRDefault="0050544C" w:rsidP="0050544C">
      <w:pPr>
        <w:spacing w:after="160" w:line="360" w:lineRule="auto"/>
        <w:ind w:left="720"/>
        <w:contextualSpacing/>
        <w:jc w:val="both"/>
        <w:rPr>
          <w:rFonts w:ascii="David" w:hAnsi="David"/>
          <w:rtl/>
        </w:rPr>
      </w:pPr>
    </w:p>
    <w:p w14:paraId="6944BFCF" w14:textId="77777777" w:rsidR="0050544C" w:rsidRPr="008B4644" w:rsidRDefault="0050544C" w:rsidP="0050544C">
      <w:pPr>
        <w:numPr>
          <w:ilvl w:val="0"/>
          <w:numId w:val="1"/>
        </w:numPr>
        <w:spacing w:after="160" w:line="360" w:lineRule="auto"/>
        <w:contextualSpacing/>
        <w:jc w:val="both"/>
        <w:rPr>
          <w:rFonts w:ascii="David" w:hAnsi="David"/>
          <w:rtl/>
        </w:rPr>
      </w:pPr>
      <w:r w:rsidRPr="008B4644">
        <w:rPr>
          <w:rFonts w:ascii="David" w:hAnsi="David"/>
          <w:rtl/>
        </w:rPr>
        <w:t>לא נקשר הסדר עונשי בין הצדדים והנאשמת נשלחה לקבלת תסקיר מאת שירות המבחן וחוו"ד הממונה על עבודות השירות.</w:t>
      </w:r>
    </w:p>
    <w:p w14:paraId="0D7F57B2" w14:textId="77777777" w:rsidR="0050544C" w:rsidRPr="008B4644" w:rsidRDefault="0050544C" w:rsidP="0050544C">
      <w:pPr>
        <w:spacing w:after="160" w:line="360" w:lineRule="auto"/>
        <w:ind w:left="720"/>
        <w:contextualSpacing/>
        <w:jc w:val="both"/>
        <w:rPr>
          <w:rFonts w:ascii="David" w:hAnsi="David"/>
        </w:rPr>
      </w:pPr>
    </w:p>
    <w:p w14:paraId="695405ED" w14:textId="77777777" w:rsidR="0050544C" w:rsidRDefault="0050544C" w:rsidP="0050544C">
      <w:pPr>
        <w:numPr>
          <w:ilvl w:val="0"/>
          <w:numId w:val="1"/>
        </w:numPr>
        <w:spacing w:after="160" w:line="360" w:lineRule="auto"/>
        <w:contextualSpacing/>
        <w:jc w:val="both"/>
        <w:rPr>
          <w:rFonts w:ascii="David" w:hAnsi="David"/>
        </w:rPr>
      </w:pPr>
      <w:r w:rsidRPr="008B4644">
        <w:rPr>
          <w:rFonts w:ascii="David" w:hAnsi="David"/>
          <w:b/>
          <w:bCs/>
          <w:rtl/>
        </w:rPr>
        <w:t xml:space="preserve">התובע המלומד, </w:t>
      </w:r>
      <w:r w:rsidRPr="008B4644">
        <w:rPr>
          <w:rFonts w:ascii="David" w:hAnsi="David"/>
          <w:rtl/>
        </w:rPr>
        <w:t>עמד על נסיבות ביצוע העבירות, הערכים המוגנים והפגיעה בהם.</w:t>
      </w:r>
      <w:r>
        <w:rPr>
          <w:rFonts w:ascii="David" w:hAnsi="David" w:hint="cs"/>
          <w:rtl/>
        </w:rPr>
        <w:t xml:space="preserve"> ציין כי המתחם לכל עבירת סחר נע בין 5-12 חודשי מאסר, עם זאת ביקש להשקיף על כלל מעשיה של הנאשמת כאירוע אחד כולל ועתר למתחם כולל שנע בין 12-24 חודשי מאסר לריצוי בפועל. הנאשמת נעדרת כל עבר פלילי, עברה הליך טיפולי במסגרת שירות המבחן אך הפסיקה אותו מיוזמתה. התביעה עתרה למקם את הנאשמת בתחתית המתחם הכולל ולהשית עליה מאסר בפועל, מאסר על תנאי וקנס.</w:t>
      </w:r>
    </w:p>
    <w:p w14:paraId="57745320" w14:textId="77777777" w:rsidR="0050544C" w:rsidRPr="00175A57" w:rsidRDefault="0050544C" w:rsidP="0050544C">
      <w:pPr>
        <w:pStyle w:val="a9"/>
        <w:rPr>
          <w:rFonts w:ascii="David" w:hAnsi="David"/>
          <w:rtl/>
        </w:rPr>
      </w:pPr>
    </w:p>
    <w:p w14:paraId="24A5E066" w14:textId="77777777" w:rsidR="0050544C" w:rsidRPr="008B4644" w:rsidRDefault="0050544C" w:rsidP="0050544C">
      <w:pPr>
        <w:numPr>
          <w:ilvl w:val="0"/>
          <w:numId w:val="1"/>
        </w:numPr>
        <w:spacing w:after="160" w:line="360" w:lineRule="auto"/>
        <w:contextualSpacing/>
        <w:jc w:val="both"/>
        <w:rPr>
          <w:rFonts w:ascii="David" w:hAnsi="David"/>
          <w:rtl/>
        </w:rPr>
      </w:pPr>
      <w:r w:rsidRPr="008B4644">
        <w:rPr>
          <w:rFonts w:ascii="David" w:hAnsi="David"/>
          <w:b/>
          <w:bCs/>
          <w:rtl/>
        </w:rPr>
        <w:t xml:space="preserve">הסנגור המלומד, </w:t>
      </w:r>
      <w:r w:rsidRPr="008B4644">
        <w:rPr>
          <w:rFonts w:ascii="David" w:hAnsi="David"/>
          <w:rtl/>
        </w:rPr>
        <w:t>עשה ככל שניתן לטובת מרש</w:t>
      </w:r>
      <w:r>
        <w:rPr>
          <w:rFonts w:ascii="David" w:hAnsi="David" w:hint="cs"/>
          <w:rtl/>
        </w:rPr>
        <w:t>ת</w:t>
      </w:r>
      <w:r w:rsidRPr="008B4644">
        <w:rPr>
          <w:rFonts w:ascii="David" w:hAnsi="David"/>
          <w:rtl/>
        </w:rPr>
        <w:t>ו תוך שלימד עלי</w:t>
      </w:r>
      <w:r>
        <w:rPr>
          <w:rFonts w:ascii="David" w:hAnsi="David" w:hint="cs"/>
          <w:rtl/>
        </w:rPr>
        <w:t>ה</w:t>
      </w:r>
      <w:r w:rsidRPr="008B4644">
        <w:rPr>
          <w:rFonts w:ascii="David" w:hAnsi="David"/>
          <w:rtl/>
        </w:rPr>
        <w:t xml:space="preserve"> סנגוריה רהוטה. הסנגור עמד על נסיבות ביצוע העבירות וטען כי מדובר </w:t>
      </w:r>
      <w:r>
        <w:rPr>
          <w:rFonts w:ascii="David" w:hAnsi="David"/>
          <w:rtl/>
        </w:rPr>
        <w:t xml:space="preserve">בעבירות סחר </w:t>
      </w:r>
      <w:r w:rsidRPr="008B4644">
        <w:rPr>
          <w:rFonts w:ascii="David" w:hAnsi="David"/>
          <w:rtl/>
        </w:rPr>
        <w:t xml:space="preserve">מהרף הנמוך, שכן מבלי להקל ראש בדבר, מדובר בתקופה קצרה ובתמורה למאות </w:t>
      </w:r>
      <w:r>
        <w:rPr>
          <w:rFonts w:ascii="David" w:hAnsi="David" w:hint="cs"/>
          <w:rtl/>
        </w:rPr>
        <w:t xml:space="preserve">בודדות של </w:t>
      </w:r>
      <w:r w:rsidRPr="008B4644">
        <w:rPr>
          <w:rFonts w:ascii="David" w:hAnsi="David"/>
          <w:rtl/>
        </w:rPr>
        <w:t>שקלים. הסנגור המלומד עמד</w:t>
      </w:r>
      <w:r>
        <w:rPr>
          <w:rFonts w:ascii="David" w:hAnsi="David" w:hint="cs"/>
          <w:rtl/>
        </w:rPr>
        <w:t xml:space="preserve"> על</w:t>
      </w:r>
      <w:r w:rsidRPr="008B4644">
        <w:rPr>
          <w:rFonts w:ascii="David" w:hAnsi="David"/>
          <w:rtl/>
        </w:rPr>
        <w:t xml:space="preserve"> נסיבותיה האישיות של הנאשמת, בת 33, שעלתה ארצה עם משפחתה בשנת 1995, נשואה ומתגוררת כיום עם בעלה. עוד עמד הסנגור על כך שהנאשמת הודתה במיוחס ל</w:t>
      </w:r>
      <w:r>
        <w:rPr>
          <w:rFonts w:ascii="David" w:hAnsi="David"/>
          <w:rtl/>
        </w:rPr>
        <w:t>ה בכתב האישום</w:t>
      </w:r>
      <w:r>
        <w:rPr>
          <w:rFonts w:ascii="David" w:hAnsi="David" w:hint="cs"/>
          <w:rtl/>
        </w:rPr>
        <w:t xml:space="preserve"> בפתח משפטה,</w:t>
      </w:r>
      <w:r w:rsidRPr="008B4644">
        <w:rPr>
          <w:rFonts w:ascii="David" w:hAnsi="David"/>
          <w:rtl/>
        </w:rPr>
        <w:t xml:space="preserve"> נטלה אחריות מלאה על מעשיה ונעדרת עבר פלילי.</w:t>
      </w:r>
    </w:p>
    <w:p w14:paraId="0A9E6081" w14:textId="77777777" w:rsidR="0050544C" w:rsidRPr="008B4644" w:rsidRDefault="0050544C" w:rsidP="0050544C">
      <w:pPr>
        <w:spacing w:after="160" w:line="256" w:lineRule="auto"/>
        <w:ind w:left="720"/>
        <w:contextualSpacing/>
        <w:rPr>
          <w:rFonts w:ascii="David" w:hAnsi="David"/>
        </w:rPr>
      </w:pPr>
    </w:p>
    <w:p w14:paraId="78E8F838" w14:textId="77777777" w:rsidR="0050544C" w:rsidRPr="008B4644" w:rsidRDefault="0050544C" w:rsidP="0050544C">
      <w:pPr>
        <w:spacing w:after="160" w:line="360" w:lineRule="auto"/>
        <w:ind w:left="720"/>
        <w:contextualSpacing/>
        <w:jc w:val="both"/>
        <w:rPr>
          <w:rFonts w:ascii="David" w:hAnsi="David"/>
          <w:rtl/>
        </w:rPr>
      </w:pPr>
      <w:r w:rsidRPr="008B4644">
        <w:rPr>
          <w:rFonts w:ascii="David" w:hAnsi="David"/>
          <w:rtl/>
        </w:rPr>
        <w:t>הסנגור המלומד פירט את הנסיבות שהובילו את הנאשמת בעברה לדרך רעה ולהתמכרותה לסם וציין כי הרקע לביצוע העבירות הוא בחירתה בעשיית רווח כספי קל בתקופה בה לא השתלבה במסגרת תעסוקתית, על כך מצרה כיום.</w:t>
      </w:r>
    </w:p>
    <w:p w14:paraId="1C8787DD" w14:textId="77777777" w:rsidR="0050544C" w:rsidRPr="008B4644" w:rsidRDefault="0050544C" w:rsidP="0050544C">
      <w:pPr>
        <w:spacing w:after="160" w:line="256" w:lineRule="auto"/>
        <w:ind w:left="720"/>
        <w:contextualSpacing/>
        <w:rPr>
          <w:rFonts w:ascii="David" w:hAnsi="David"/>
        </w:rPr>
      </w:pPr>
    </w:p>
    <w:p w14:paraId="1673E528" w14:textId="77777777" w:rsidR="0050544C" w:rsidRDefault="0050544C" w:rsidP="0050544C">
      <w:pPr>
        <w:spacing w:after="160" w:line="360" w:lineRule="auto"/>
        <w:ind w:left="720"/>
        <w:contextualSpacing/>
        <w:jc w:val="both"/>
        <w:rPr>
          <w:rFonts w:ascii="David" w:hAnsi="David"/>
          <w:rtl/>
        </w:rPr>
      </w:pPr>
      <w:r w:rsidRPr="008B4644">
        <w:rPr>
          <w:rFonts w:ascii="David" w:hAnsi="David"/>
          <w:rtl/>
        </w:rPr>
        <w:t>בנו</w:t>
      </w:r>
      <w:r>
        <w:rPr>
          <w:rFonts w:ascii="David" w:hAnsi="David"/>
          <w:rtl/>
        </w:rPr>
        <w:t>סף, הפנה לתסקירי שירות המבחן</w:t>
      </w:r>
      <w:r>
        <w:rPr>
          <w:rFonts w:ascii="David" w:hAnsi="David" w:hint="cs"/>
          <w:rtl/>
        </w:rPr>
        <w:t>, להליך הטיפולי שעברה הנאשמת, ועתר לאור היציבות התעסוקתית של הנאשמת להשית עליה ענישה הצופה פני עתיד.</w:t>
      </w:r>
    </w:p>
    <w:p w14:paraId="772AE806" w14:textId="77777777" w:rsidR="0050544C" w:rsidRDefault="0050544C" w:rsidP="0050544C">
      <w:pPr>
        <w:spacing w:after="160" w:line="360" w:lineRule="auto"/>
        <w:ind w:left="720"/>
        <w:contextualSpacing/>
        <w:jc w:val="both"/>
        <w:rPr>
          <w:rFonts w:ascii="David" w:hAnsi="David"/>
          <w:rtl/>
        </w:rPr>
      </w:pPr>
      <w:r>
        <w:rPr>
          <w:rFonts w:ascii="David" w:hAnsi="David" w:hint="cs"/>
          <w:rtl/>
        </w:rPr>
        <w:t>הפנה לפסיקה וטען כי מאסר בדרך של עבודות שירות יוביל לרגרסיה במצבה.</w:t>
      </w:r>
    </w:p>
    <w:p w14:paraId="44142CBC" w14:textId="77777777" w:rsidR="0050544C" w:rsidRPr="008B4644" w:rsidRDefault="0050544C" w:rsidP="0050544C">
      <w:pPr>
        <w:spacing w:after="160" w:line="360" w:lineRule="auto"/>
        <w:ind w:left="720"/>
        <w:contextualSpacing/>
        <w:jc w:val="both"/>
        <w:rPr>
          <w:rFonts w:ascii="David" w:hAnsi="David"/>
          <w:rtl/>
        </w:rPr>
      </w:pPr>
    </w:p>
    <w:p w14:paraId="5504FA31" w14:textId="77777777" w:rsidR="0050544C" w:rsidRPr="008B4644" w:rsidRDefault="0050544C" w:rsidP="0050544C">
      <w:pPr>
        <w:numPr>
          <w:ilvl w:val="0"/>
          <w:numId w:val="1"/>
        </w:numPr>
        <w:spacing w:after="160" w:line="360" w:lineRule="auto"/>
        <w:contextualSpacing/>
        <w:jc w:val="both"/>
        <w:rPr>
          <w:rFonts w:ascii="David" w:hAnsi="David"/>
          <w:rtl/>
        </w:rPr>
      </w:pPr>
      <w:r w:rsidRPr="008B4644">
        <w:rPr>
          <w:rFonts w:ascii="David" w:hAnsi="David"/>
          <w:b/>
          <w:bCs/>
          <w:rtl/>
        </w:rPr>
        <w:t xml:space="preserve">הנאשמת בדברה האחרון, </w:t>
      </w:r>
      <w:r w:rsidRPr="008B4644">
        <w:rPr>
          <w:rFonts w:ascii="David" w:hAnsi="David"/>
          <w:rtl/>
        </w:rPr>
        <w:t>הביעה צער וחרטה על מעשיה וטענה כי נמצאת כיום על דרך חדשה, התחתנה, מתגוררת עם בעלה ועובדת למחייתה בבית מלון.</w:t>
      </w:r>
    </w:p>
    <w:p w14:paraId="3AFF1819" w14:textId="77777777" w:rsidR="0050544C" w:rsidRPr="008B4644" w:rsidRDefault="0050544C" w:rsidP="0050544C">
      <w:pPr>
        <w:spacing w:after="160" w:line="360" w:lineRule="auto"/>
        <w:ind w:left="720"/>
        <w:contextualSpacing/>
        <w:jc w:val="both"/>
        <w:rPr>
          <w:rFonts w:ascii="David" w:hAnsi="David"/>
        </w:rPr>
      </w:pPr>
    </w:p>
    <w:p w14:paraId="674C38F1" w14:textId="77777777" w:rsidR="0050544C" w:rsidRPr="008B4644" w:rsidRDefault="0050544C" w:rsidP="0050544C">
      <w:pPr>
        <w:spacing w:after="160" w:line="360" w:lineRule="auto"/>
        <w:jc w:val="both"/>
        <w:rPr>
          <w:rFonts w:ascii="David" w:eastAsia="Calibri" w:hAnsi="David"/>
          <w:b/>
          <w:bCs/>
          <w:u w:val="single"/>
        </w:rPr>
      </w:pPr>
      <w:r w:rsidRPr="008B4644">
        <w:rPr>
          <w:rFonts w:ascii="David" w:eastAsia="Calibri" w:hAnsi="David"/>
          <w:b/>
          <w:bCs/>
          <w:u w:val="single"/>
          <w:rtl/>
        </w:rPr>
        <w:t>דיון והכרעה</w:t>
      </w:r>
    </w:p>
    <w:p w14:paraId="723168CA" w14:textId="77777777" w:rsidR="0050544C" w:rsidRPr="008B4644" w:rsidRDefault="0050544C" w:rsidP="0050544C">
      <w:pPr>
        <w:numPr>
          <w:ilvl w:val="0"/>
          <w:numId w:val="1"/>
        </w:numPr>
        <w:spacing w:after="160" w:line="360" w:lineRule="auto"/>
        <w:contextualSpacing/>
        <w:jc w:val="both"/>
        <w:rPr>
          <w:rFonts w:ascii="David" w:hAnsi="David"/>
          <w:rtl/>
        </w:rPr>
      </w:pPr>
      <w:r w:rsidRPr="008B4644">
        <w:rPr>
          <w:rFonts w:ascii="David" w:hAnsi="David"/>
          <w:rtl/>
        </w:rPr>
        <w:t>על פי תיקון 113 ל</w:t>
      </w:r>
      <w:hyperlink r:id="rId18" w:history="1">
        <w:r w:rsidR="00FB68D2" w:rsidRPr="00FB68D2">
          <w:rPr>
            <w:rFonts w:ascii="David" w:hAnsi="David"/>
            <w:color w:val="0000FF"/>
            <w:u w:val="single"/>
            <w:rtl/>
          </w:rPr>
          <w:t>חוק העונשין</w:t>
        </w:r>
      </w:hyperlink>
      <w:r w:rsidRPr="008B4644">
        <w:rPr>
          <w:rFonts w:ascii="David" w:hAnsi="David"/>
          <w:rtl/>
        </w:rPr>
        <w:t>, העיקרון המנחה בענישה הוא עיקרון ההלימה, אשר מכוון ליצירת יחס הולם בין חומרת מעשי העבירה בנסיבותיה ומידת אשמו של הנאשם, ובין סוג ומידת העונש שיוטל עליו.</w:t>
      </w:r>
    </w:p>
    <w:p w14:paraId="6C8DF528" w14:textId="77777777" w:rsidR="0050544C" w:rsidRPr="008B4644" w:rsidRDefault="0050544C" w:rsidP="0050544C">
      <w:pPr>
        <w:spacing w:after="160" w:line="360" w:lineRule="auto"/>
        <w:ind w:left="720"/>
        <w:contextualSpacing/>
        <w:jc w:val="both"/>
        <w:rPr>
          <w:rFonts w:ascii="David" w:hAnsi="David"/>
        </w:rPr>
      </w:pPr>
    </w:p>
    <w:p w14:paraId="1D02EF67" w14:textId="77777777" w:rsidR="0050544C" w:rsidRPr="008B4644" w:rsidRDefault="0050544C" w:rsidP="0050544C">
      <w:pPr>
        <w:spacing w:after="160" w:line="360" w:lineRule="auto"/>
        <w:ind w:left="720"/>
        <w:contextualSpacing/>
        <w:jc w:val="both"/>
        <w:rPr>
          <w:rFonts w:ascii="David" w:hAnsi="David"/>
          <w:rtl/>
        </w:rPr>
      </w:pPr>
      <w:r w:rsidRPr="008B4644">
        <w:rPr>
          <w:rFonts w:ascii="David" w:hAnsi="David"/>
          <w:rtl/>
        </w:rPr>
        <w:t>על בית המשפט, בקביעת מתחם העונש ההולם, להתייחס לנסיבות ביצוע העבירה, הערך המוגן שבבסיס העבירה ומידת הפגיעה בו, ובמדיניות הענישה הנוהגת.</w:t>
      </w:r>
    </w:p>
    <w:p w14:paraId="14A6FD3D" w14:textId="77777777" w:rsidR="0050544C" w:rsidRPr="008B4644" w:rsidRDefault="0050544C" w:rsidP="0050544C">
      <w:pPr>
        <w:spacing w:after="160" w:line="360" w:lineRule="auto"/>
        <w:ind w:left="720"/>
        <w:contextualSpacing/>
        <w:jc w:val="both"/>
        <w:rPr>
          <w:rFonts w:ascii="David" w:hAnsi="David"/>
          <w:rtl/>
        </w:rPr>
      </w:pPr>
    </w:p>
    <w:p w14:paraId="654DD730" w14:textId="77777777" w:rsidR="0050544C" w:rsidRDefault="0050544C" w:rsidP="0050544C">
      <w:pPr>
        <w:numPr>
          <w:ilvl w:val="0"/>
          <w:numId w:val="1"/>
        </w:numPr>
        <w:spacing w:after="160" w:line="360" w:lineRule="auto"/>
        <w:contextualSpacing/>
        <w:jc w:val="both"/>
        <w:rPr>
          <w:rFonts w:ascii="David" w:hAnsi="David"/>
        </w:rPr>
      </w:pPr>
      <w:r w:rsidRPr="008B4644">
        <w:rPr>
          <w:rFonts w:ascii="David" w:hAnsi="David"/>
          <w:rtl/>
        </w:rPr>
        <w:lastRenderedPageBreak/>
        <w:t>נסיבות ביצוע העבירות מושא תיקנו מלמדות על</w:t>
      </w:r>
      <w:r>
        <w:rPr>
          <w:rFonts w:ascii="David" w:hAnsi="David" w:hint="cs"/>
          <w:rtl/>
        </w:rPr>
        <w:t xml:space="preserve"> ביצוע ארבע </w:t>
      </w:r>
      <w:r w:rsidRPr="008B4644">
        <w:rPr>
          <w:rFonts w:ascii="David" w:hAnsi="David"/>
          <w:rtl/>
        </w:rPr>
        <w:t>עסקאות</w:t>
      </w:r>
      <w:r>
        <w:rPr>
          <w:rFonts w:ascii="David" w:hAnsi="David" w:hint="cs"/>
          <w:rtl/>
        </w:rPr>
        <w:t xml:space="preserve"> בסם מסוכן מסוג חשיש, בכמויות נמוכות ובתמורה למספר מאות בודדות של שקלים, בסך כולל. העסקאות בוצעו בעיקר בחודשים יוני-יולי 2017 ומספר חודשים עובר לכך.</w:t>
      </w:r>
    </w:p>
    <w:p w14:paraId="764537F5" w14:textId="77777777" w:rsidR="0050544C" w:rsidRDefault="0050544C" w:rsidP="0050544C">
      <w:pPr>
        <w:spacing w:after="160" w:line="360" w:lineRule="auto"/>
        <w:ind w:left="720"/>
        <w:contextualSpacing/>
        <w:jc w:val="both"/>
        <w:rPr>
          <w:rFonts w:ascii="David" w:hAnsi="David"/>
          <w:rtl/>
        </w:rPr>
      </w:pPr>
      <w:r>
        <w:rPr>
          <w:rFonts w:ascii="David" w:hAnsi="David" w:hint="cs"/>
          <w:rtl/>
        </w:rPr>
        <w:t>בנוסף החזיקה הנאשמת בביתה כ- 200 גרם מהסם, שלא לצריכה עצמית, לצד משקל אלקטרוני וכסף מזומן בסכום של 3520 ₪ וכן 201 דולר. הנאשמת סחרה בסמים מחוץ לבניין מגורים, דבר המלמד על חומרה לא מבוטלת.</w:t>
      </w:r>
    </w:p>
    <w:p w14:paraId="5880A4F1" w14:textId="77777777" w:rsidR="0050544C" w:rsidRDefault="0050544C" w:rsidP="0050544C">
      <w:pPr>
        <w:spacing w:after="160" w:line="360" w:lineRule="auto"/>
        <w:ind w:left="720"/>
        <w:contextualSpacing/>
        <w:jc w:val="both"/>
        <w:rPr>
          <w:rFonts w:ascii="David" w:hAnsi="David"/>
          <w:rtl/>
        </w:rPr>
      </w:pPr>
      <w:r>
        <w:rPr>
          <w:rFonts w:ascii="David" w:hAnsi="David" w:hint="cs"/>
          <w:rtl/>
        </w:rPr>
        <w:t>גם עת המדובר בסם "קל", אין להקל ראש בדברים.</w:t>
      </w:r>
    </w:p>
    <w:p w14:paraId="5A44A3F7" w14:textId="77777777" w:rsidR="0050544C" w:rsidRPr="008B4644" w:rsidRDefault="0050544C" w:rsidP="0050544C">
      <w:pPr>
        <w:spacing w:after="160" w:line="360" w:lineRule="auto"/>
        <w:ind w:left="720"/>
        <w:contextualSpacing/>
        <w:jc w:val="both"/>
        <w:rPr>
          <w:rFonts w:ascii="David" w:hAnsi="David"/>
          <w:rtl/>
        </w:rPr>
      </w:pPr>
    </w:p>
    <w:p w14:paraId="16532295" w14:textId="77777777" w:rsidR="0050544C" w:rsidRPr="008B4644" w:rsidRDefault="0050544C" w:rsidP="0050544C">
      <w:pPr>
        <w:numPr>
          <w:ilvl w:val="0"/>
          <w:numId w:val="1"/>
        </w:numPr>
        <w:spacing w:after="160" w:line="360" w:lineRule="auto"/>
        <w:contextualSpacing/>
        <w:jc w:val="both"/>
        <w:rPr>
          <w:rFonts w:ascii="David" w:hAnsi="David"/>
          <w:rtl/>
        </w:rPr>
      </w:pPr>
      <w:r w:rsidRPr="008B4644">
        <w:rPr>
          <w:rFonts w:ascii="David" w:hAnsi="David"/>
          <w:rtl/>
        </w:rPr>
        <w:t>הרקע לביצוע העבירות כפי שעולה מתסקיר שירות המבחן הוא שימושה של הנאשמת בסמים ובצע כסף, זאת לאור הקשיים הכלכליים אליהם נקלעה שנבעו בין היתר מהרצון לביסוס עצמאות ונפרדות מהוריה.</w:t>
      </w:r>
    </w:p>
    <w:p w14:paraId="0E627E88" w14:textId="77777777" w:rsidR="0050544C" w:rsidRPr="008B4644" w:rsidRDefault="0050544C" w:rsidP="0050544C">
      <w:pPr>
        <w:spacing w:after="160" w:line="360" w:lineRule="auto"/>
        <w:ind w:left="720"/>
        <w:contextualSpacing/>
        <w:jc w:val="both"/>
        <w:rPr>
          <w:rFonts w:ascii="David" w:hAnsi="David"/>
        </w:rPr>
      </w:pPr>
    </w:p>
    <w:p w14:paraId="739CD70F" w14:textId="77777777" w:rsidR="0050544C" w:rsidRPr="008B4644" w:rsidRDefault="0050544C" w:rsidP="0050544C">
      <w:pPr>
        <w:numPr>
          <w:ilvl w:val="0"/>
          <w:numId w:val="1"/>
        </w:numPr>
        <w:spacing w:after="160" w:line="360" w:lineRule="auto"/>
        <w:contextualSpacing/>
        <w:jc w:val="both"/>
        <w:rPr>
          <w:rFonts w:ascii="David" w:hAnsi="David"/>
        </w:rPr>
      </w:pPr>
      <w:r w:rsidRPr="008B4644">
        <w:rPr>
          <w:rFonts w:ascii="David" w:hAnsi="David"/>
          <w:rtl/>
        </w:rPr>
        <w:t xml:space="preserve">לעניין הערכים המוגנים, כידוע נזקי הסמים ופגיעתם בחברה, משתרעים על מרחבים </w:t>
      </w:r>
      <w:r>
        <w:rPr>
          <w:rFonts w:ascii="David" w:hAnsi="David" w:hint="cs"/>
          <w:rtl/>
        </w:rPr>
        <w:t>ניכרים</w:t>
      </w:r>
      <w:r w:rsidRPr="008B4644">
        <w:rPr>
          <w:rFonts w:ascii="David" w:hAnsi="David"/>
          <w:rtl/>
        </w:rPr>
        <w:t>. נראה כי עבירות הסם מכלות כל חלקה טובה בחברתנו.</w:t>
      </w:r>
    </w:p>
    <w:p w14:paraId="62F3485E" w14:textId="77777777" w:rsidR="0050544C" w:rsidRPr="008B4644" w:rsidRDefault="0050544C" w:rsidP="0050544C">
      <w:pPr>
        <w:spacing w:after="160" w:line="360" w:lineRule="auto"/>
        <w:ind w:left="720"/>
        <w:contextualSpacing/>
        <w:jc w:val="both"/>
        <w:rPr>
          <w:rFonts w:ascii="David" w:hAnsi="David"/>
          <w:rtl/>
        </w:rPr>
      </w:pPr>
    </w:p>
    <w:p w14:paraId="2A2C29F9" w14:textId="77777777" w:rsidR="0050544C" w:rsidRPr="008B4644" w:rsidRDefault="0050544C" w:rsidP="0050544C">
      <w:pPr>
        <w:spacing w:after="160" w:line="360" w:lineRule="auto"/>
        <w:ind w:left="720"/>
        <w:contextualSpacing/>
        <w:jc w:val="both"/>
        <w:rPr>
          <w:rFonts w:ascii="David" w:hAnsi="David"/>
          <w:rtl/>
        </w:rPr>
      </w:pPr>
      <w:r w:rsidRPr="008B4644">
        <w:rPr>
          <w:rFonts w:ascii="David" w:hAnsi="David"/>
          <w:rtl/>
        </w:rPr>
        <w:t>פגיעתם של הסמים בחברה רחב היקף, הן באשר למשתמש הבודד, משפחתו והמעגל הקרוב והן באשר לחברה כולה לאור הפעילות הפלילית של הצרכן המבקש לספק את הדחף לסם ומבצע על הדרך עבירות נוספות, בעיקר מתחום הרכוש. בנוסף – מעגלי הייצור והשיווק של הסם, מייצרים כשלעצמם פעילות עבריינית נרחבת</w:t>
      </w:r>
      <w:r>
        <w:rPr>
          <w:rFonts w:ascii="David" w:hAnsi="David" w:hint="cs"/>
          <w:rtl/>
        </w:rPr>
        <w:t>.</w:t>
      </w:r>
    </w:p>
    <w:p w14:paraId="7B52F78A" w14:textId="77777777" w:rsidR="0050544C" w:rsidRPr="008B4644" w:rsidRDefault="0050544C" w:rsidP="0050544C">
      <w:pPr>
        <w:spacing w:after="160" w:line="256" w:lineRule="auto"/>
        <w:ind w:left="720"/>
        <w:contextualSpacing/>
        <w:rPr>
          <w:rFonts w:ascii="David" w:hAnsi="David"/>
        </w:rPr>
      </w:pPr>
    </w:p>
    <w:p w14:paraId="38EF7147" w14:textId="77777777" w:rsidR="0050544C" w:rsidRPr="008B4644" w:rsidRDefault="0050544C" w:rsidP="0050544C">
      <w:pPr>
        <w:spacing w:after="160" w:line="256" w:lineRule="auto"/>
        <w:ind w:left="720"/>
        <w:contextualSpacing/>
        <w:rPr>
          <w:rFonts w:ascii="David" w:hAnsi="David"/>
        </w:rPr>
      </w:pPr>
    </w:p>
    <w:p w14:paraId="54D98C48" w14:textId="77777777" w:rsidR="0050544C" w:rsidRPr="008B4644" w:rsidRDefault="0050544C" w:rsidP="0050544C">
      <w:pPr>
        <w:numPr>
          <w:ilvl w:val="0"/>
          <w:numId w:val="1"/>
        </w:numPr>
        <w:spacing w:after="160" w:line="360" w:lineRule="auto"/>
        <w:contextualSpacing/>
        <w:jc w:val="both"/>
        <w:rPr>
          <w:rFonts w:ascii="David" w:hAnsi="David"/>
        </w:rPr>
      </w:pPr>
      <w:r w:rsidRPr="008B4644">
        <w:rPr>
          <w:rFonts w:ascii="David" w:hAnsi="David"/>
          <w:rtl/>
        </w:rPr>
        <w:t xml:space="preserve">לאור חומרת העבירות, בעניין </w:t>
      </w:r>
      <w:hyperlink r:id="rId19" w:history="1">
        <w:r w:rsidR="00FB68D2" w:rsidRPr="00FB68D2">
          <w:rPr>
            <w:rFonts w:ascii="David" w:hAnsi="David"/>
            <w:b/>
            <w:bCs/>
            <w:color w:val="0000FF"/>
            <w:u w:val="single"/>
            <w:rtl/>
          </w:rPr>
          <w:t>עפ"ג (תל-אביב) 13736-12-18</w:t>
        </w:r>
      </w:hyperlink>
      <w:r w:rsidRPr="008B4644">
        <w:rPr>
          <w:rFonts w:ascii="David" w:hAnsi="David"/>
          <w:b/>
          <w:bCs/>
          <w:rtl/>
        </w:rPr>
        <w:t xml:space="preserve"> מדינת ישראל נ' תומר אשכנזי</w:t>
      </w:r>
      <w:r w:rsidRPr="008B4644">
        <w:rPr>
          <w:rFonts w:ascii="David" w:hAnsi="David"/>
          <w:rtl/>
        </w:rPr>
        <w:t xml:space="preserve"> (25.3.19), ציין בית המשפט המחוזי </w:t>
      </w:r>
      <w:r>
        <w:rPr>
          <w:rFonts w:ascii="David" w:hAnsi="David" w:hint="cs"/>
          <w:rtl/>
        </w:rPr>
        <w:t xml:space="preserve">בתל אביב </w:t>
      </w:r>
      <w:r w:rsidRPr="008B4644">
        <w:rPr>
          <w:rFonts w:ascii="David" w:hAnsi="David"/>
          <w:rtl/>
        </w:rPr>
        <w:t>כי בעבירות סחר בסמים מסוג דא, הענישה חייבת לכלול בתוכה רכיב של מאסר, ולו כזה שירוצה בעבודות שירות – ראו סעיף 5 לפסק הדין.</w:t>
      </w:r>
    </w:p>
    <w:p w14:paraId="38E777AE" w14:textId="77777777" w:rsidR="0050544C" w:rsidRPr="008B4644" w:rsidRDefault="0050544C" w:rsidP="0050544C">
      <w:pPr>
        <w:spacing w:after="160" w:line="256" w:lineRule="auto"/>
        <w:ind w:left="720"/>
        <w:contextualSpacing/>
        <w:rPr>
          <w:rFonts w:ascii="David" w:hAnsi="David"/>
        </w:rPr>
      </w:pPr>
    </w:p>
    <w:p w14:paraId="22E719AA" w14:textId="77777777" w:rsidR="0050544C" w:rsidRPr="008B4644" w:rsidRDefault="0050544C" w:rsidP="0050544C">
      <w:pPr>
        <w:numPr>
          <w:ilvl w:val="0"/>
          <w:numId w:val="1"/>
        </w:numPr>
        <w:spacing w:after="160" w:line="360" w:lineRule="auto"/>
        <w:contextualSpacing/>
        <w:jc w:val="both"/>
        <w:rPr>
          <w:rFonts w:ascii="David" w:hAnsi="David"/>
          <w:rtl/>
        </w:rPr>
      </w:pPr>
      <w:r w:rsidRPr="008B4644">
        <w:rPr>
          <w:rFonts w:ascii="David" w:hAnsi="David"/>
          <w:rtl/>
        </w:rPr>
        <w:t>כידוע, על פי תיקון 113 מתחמי הענישה נקבעים על פי אירועים ולא על פי אישומים.</w:t>
      </w:r>
    </w:p>
    <w:p w14:paraId="16D0653A" w14:textId="77777777" w:rsidR="0050544C" w:rsidRPr="008B4644" w:rsidRDefault="0050544C" w:rsidP="0050544C">
      <w:pPr>
        <w:spacing w:after="160" w:line="256" w:lineRule="auto"/>
        <w:ind w:left="720"/>
        <w:contextualSpacing/>
        <w:rPr>
          <w:rFonts w:ascii="David" w:hAnsi="David"/>
        </w:rPr>
      </w:pPr>
    </w:p>
    <w:p w14:paraId="53C82D13" w14:textId="77777777" w:rsidR="0050544C" w:rsidRPr="008B4644" w:rsidRDefault="0050544C" w:rsidP="0050544C">
      <w:pPr>
        <w:spacing w:after="160" w:line="360" w:lineRule="auto"/>
        <w:ind w:left="720"/>
        <w:contextualSpacing/>
        <w:jc w:val="both"/>
        <w:rPr>
          <w:rFonts w:ascii="David" w:hAnsi="David"/>
          <w:rtl/>
        </w:rPr>
      </w:pPr>
      <w:r w:rsidRPr="008B4644">
        <w:rPr>
          <w:rFonts w:ascii="David" w:hAnsi="David"/>
          <w:rtl/>
        </w:rPr>
        <w:t>במקרה שלפנינו, מקובלות עליי עמדות הצדדים, כי יש להשקיף על מכ</w:t>
      </w:r>
      <w:r>
        <w:rPr>
          <w:rFonts w:ascii="David" w:hAnsi="David"/>
          <w:rtl/>
        </w:rPr>
        <w:t>לול מעשיה של הנאשמת</w:t>
      </w:r>
      <w:r>
        <w:rPr>
          <w:rFonts w:ascii="David" w:hAnsi="David" w:hint="cs"/>
          <w:rtl/>
        </w:rPr>
        <w:t>, כאירוע כולל אחד. המדובר בתקופה קצרה יחסית בה סחרה הנאשמת בסם מסוג חשיש, בהיקפים נמוכים ובעבור תמורה של מספר מאות בודדות של שקלים, לצד החזקת סם שלא לצריכה עצמית בהיקף של כ- 200 גרם בביתה.</w:t>
      </w:r>
      <w:r w:rsidRPr="008B4644">
        <w:rPr>
          <w:rFonts w:ascii="David" w:hAnsi="David"/>
          <w:rtl/>
        </w:rPr>
        <w:t xml:space="preserve"> </w:t>
      </w:r>
    </w:p>
    <w:p w14:paraId="417604EC" w14:textId="77777777" w:rsidR="0050544C" w:rsidRPr="008B4644" w:rsidRDefault="0050544C" w:rsidP="0050544C">
      <w:pPr>
        <w:spacing w:after="160" w:line="360" w:lineRule="auto"/>
        <w:ind w:left="720"/>
        <w:contextualSpacing/>
        <w:jc w:val="both"/>
        <w:rPr>
          <w:rFonts w:ascii="David" w:hAnsi="David"/>
          <w:rtl/>
        </w:rPr>
      </w:pPr>
    </w:p>
    <w:p w14:paraId="67A7B576" w14:textId="77777777" w:rsidR="0050544C" w:rsidRPr="008B4644" w:rsidRDefault="0050544C" w:rsidP="0050544C">
      <w:pPr>
        <w:spacing w:after="160" w:line="360" w:lineRule="auto"/>
        <w:ind w:left="720"/>
        <w:contextualSpacing/>
        <w:jc w:val="both"/>
        <w:rPr>
          <w:rFonts w:ascii="David" w:hAnsi="David"/>
          <w:rtl/>
        </w:rPr>
      </w:pPr>
      <w:r w:rsidRPr="008B4644">
        <w:rPr>
          <w:rFonts w:ascii="David" w:hAnsi="David"/>
          <w:rtl/>
        </w:rPr>
        <w:t xml:space="preserve">בהתחשב בנסיבות שציינתי, </w:t>
      </w:r>
      <w:r>
        <w:rPr>
          <w:rFonts w:ascii="David" w:hAnsi="David" w:hint="cs"/>
          <w:rtl/>
        </w:rPr>
        <w:t>סמיכות הזמנים, סוג הסם והתמורות, ועמדות הצדדים מצאתי לקבוע מתחם עונש כולל למעשי הנאשמת.</w:t>
      </w:r>
    </w:p>
    <w:p w14:paraId="27E96701" w14:textId="77777777" w:rsidR="0050544C" w:rsidRPr="008B4644" w:rsidRDefault="0050544C" w:rsidP="0050544C">
      <w:pPr>
        <w:spacing w:after="160" w:line="360" w:lineRule="auto"/>
        <w:ind w:left="720"/>
        <w:contextualSpacing/>
        <w:jc w:val="both"/>
        <w:rPr>
          <w:rFonts w:ascii="David" w:hAnsi="David"/>
        </w:rPr>
      </w:pPr>
    </w:p>
    <w:p w14:paraId="402163DC" w14:textId="77777777" w:rsidR="0050544C" w:rsidRDefault="0050544C" w:rsidP="0050544C">
      <w:pPr>
        <w:numPr>
          <w:ilvl w:val="0"/>
          <w:numId w:val="1"/>
        </w:numPr>
        <w:spacing w:after="160" w:line="360" w:lineRule="auto"/>
        <w:contextualSpacing/>
        <w:jc w:val="both"/>
        <w:rPr>
          <w:rFonts w:ascii="David" w:hAnsi="David"/>
        </w:rPr>
      </w:pPr>
      <w:r w:rsidRPr="008B4644">
        <w:rPr>
          <w:rFonts w:ascii="David" w:hAnsi="David"/>
          <w:rtl/>
        </w:rPr>
        <w:t xml:space="preserve">לאחר ששמעתי טיעוני הצדדים, עמדתי על נסיבות ביצוע העבירות, הערכים המוגנים והפגיעה בהם, בשים לב למדיניות הפסיקה הנוהגת, מצאתי לקבוע </w:t>
      </w:r>
      <w:r>
        <w:rPr>
          <w:rFonts w:ascii="David" w:hAnsi="David" w:hint="cs"/>
          <w:rtl/>
        </w:rPr>
        <w:t xml:space="preserve">מתחם עונשי כולל שנע בין </w:t>
      </w:r>
      <w:r w:rsidRPr="00E94112">
        <w:rPr>
          <w:rFonts w:ascii="David" w:hAnsi="David" w:hint="cs"/>
          <w:b/>
          <w:bCs/>
          <w:rtl/>
        </w:rPr>
        <w:t>6 חודשי מאסר ועד ל-</w:t>
      </w:r>
      <w:r>
        <w:rPr>
          <w:rFonts w:ascii="David" w:hAnsi="David" w:hint="cs"/>
          <w:b/>
          <w:bCs/>
          <w:rtl/>
        </w:rPr>
        <w:t xml:space="preserve"> 15</w:t>
      </w:r>
      <w:r w:rsidRPr="00E94112">
        <w:rPr>
          <w:rFonts w:ascii="David" w:hAnsi="David" w:hint="cs"/>
          <w:b/>
          <w:bCs/>
          <w:rtl/>
        </w:rPr>
        <w:t xml:space="preserve"> חודשי מאסר לצד ענישה נלווית.</w:t>
      </w:r>
    </w:p>
    <w:p w14:paraId="5C00C83C" w14:textId="77777777" w:rsidR="0050544C" w:rsidRPr="008B4644" w:rsidRDefault="0050544C" w:rsidP="0050544C">
      <w:pPr>
        <w:spacing w:after="160" w:line="256" w:lineRule="auto"/>
        <w:ind w:left="720"/>
        <w:contextualSpacing/>
        <w:rPr>
          <w:rFonts w:ascii="Calibri" w:hAnsi="Calibri" w:cs="Arial"/>
          <w:sz w:val="22"/>
          <w:szCs w:val="22"/>
        </w:rPr>
      </w:pPr>
    </w:p>
    <w:p w14:paraId="250E936B" w14:textId="77777777" w:rsidR="0050544C" w:rsidRPr="008B4644" w:rsidRDefault="0050544C" w:rsidP="0050544C">
      <w:pPr>
        <w:spacing w:after="160" w:line="360" w:lineRule="auto"/>
        <w:ind w:left="720"/>
        <w:contextualSpacing/>
        <w:jc w:val="both"/>
        <w:rPr>
          <w:rFonts w:ascii="David" w:hAnsi="David"/>
          <w:rtl/>
        </w:rPr>
      </w:pPr>
      <w:r w:rsidRPr="008B4644">
        <w:rPr>
          <w:rFonts w:ascii="David" w:hAnsi="David"/>
          <w:rtl/>
        </w:rPr>
        <w:t xml:space="preserve">ראו בין היתר: </w:t>
      </w:r>
      <w:hyperlink r:id="rId20" w:history="1">
        <w:r w:rsidR="00FB68D2" w:rsidRPr="00FB68D2">
          <w:rPr>
            <w:rFonts w:ascii="David" w:hAnsi="David"/>
            <w:color w:val="0000FF"/>
            <w:u w:val="single"/>
            <w:rtl/>
          </w:rPr>
          <w:t>רע"פ 4687/15</w:t>
        </w:r>
      </w:hyperlink>
      <w:r w:rsidRPr="008B4644">
        <w:rPr>
          <w:rFonts w:ascii="David" w:hAnsi="David"/>
          <w:rtl/>
        </w:rPr>
        <w:t xml:space="preserve"> </w:t>
      </w:r>
      <w:r w:rsidRPr="008B4644">
        <w:rPr>
          <w:rFonts w:ascii="David" w:hAnsi="David"/>
          <w:b/>
          <w:bCs/>
          <w:rtl/>
        </w:rPr>
        <w:t xml:space="preserve">אייל פלג נ' מדינת ישראל </w:t>
      </w:r>
      <w:r w:rsidRPr="008B4644">
        <w:rPr>
          <w:rFonts w:ascii="David" w:hAnsi="David"/>
          <w:rtl/>
        </w:rPr>
        <w:t xml:space="preserve">(13.8.15), </w:t>
      </w:r>
      <w:hyperlink r:id="rId21" w:history="1">
        <w:r w:rsidR="00FB68D2" w:rsidRPr="00FB68D2">
          <w:rPr>
            <w:rFonts w:ascii="David" w:hAnsi="David"/>
            <w:color w:val="0000FF"/>
            <w:u w:val="single"/>
            <w:rtl/>
          </w:rPr>
          <w:t>ת"פ (תל-אביב) 57774-02-16</w:t>
        </w:r>
      </w:hyperlink>
      <w:r w:rsidRPr="008B4644">
        <w:rPr>
          <w:rFonts w:ascii="David" w:hAnsi="David"/>
          <w:rtl/>
        </w:rPr>
        <w:t xml:space="preserve"> </w:t>
      </w:r>
      <w:r w:rsidRPr="008B4644">
        <w:rPr>
          <w:rFonts w:ascii="David" w:hAnsi="David"/>
          <w:b/>
          <w:bCs/>
          <w:rtl/>
        </w:rPr>
        <w:t xml:space="preserve">מדינת ישראל נ' אוסמן </w:t>
      </w:r>
      <w:r w:rsidRPr="008B4644">
        <w:rPr>
          <w:rFonts w:ascii="David" w:hAnsi="David"/>
          <w:rtl/>
        </w:rPr>
        <w:t xml:space="preserve">(26.5.19), </w:t>
      </w:r>
      <w:hyperlink r:id="rId22" w:history="1">
        <w:r w:rsidR="00FB68D2" w:rsidRPr="00FB68D2">
          <w:rPr>
            <w:rFonts w:ascii="David" w:hAnsi="David"/>
            <w:color w:val="0000FF"/>
            <w:u w:val="single"/>
            <w:rtl/>
          </w:rPr>
          <w:t>ת"פ 42937-08-17</w:t>
        </w:r>
      </w:hyperlink>
      <w:r w:rsidRPr="008B4644">
        <w:rPr>
          <w:rFonts w:ascii="David" w:hAnsi="David"/>
          <w:rtl/>
        </w:rPr>
        <w:t xml:space="preserve"> </w:t>
      </w:r>
      <w:r w:rsidRPr="008B4644">
        <w:rPr>
          <w:rFonts w:ascii="David" w:hAnsi="David"/>
          <w:b/>
          <w:bCs/>
          <w:rtl/>
        </w:rPr>
        <w:t xml:space="preserve">מדינת ישראל נ' מנדלסון </w:t>
      </w:r>
      <w:r w:rsidRPr="008B4644">
        <w:rPr>
          <w:rFonts w:ascii="David" w:hAnsi="David"/>
          <w:rtl/>
        </w:rPr>
        <w:t xml:space="preserve">(1.1.20), </w:t>
      </w:r>
      <w:hyperlink r:id="rId23" w:history="1">
        <w:r w:rsidR="00FB68D2" w:rsidRPr="00FB68D2">
          <w:rPr>
            <w:rFonts w:ascii="David" w:hAnsi="David"/>
            <w:color w:val="0000FF"/>
            <w:u w:val="single"/>
            <w:rtl/>
          </w:rPr>
          <w:t>ת"פ (תל-אביב) 24007-06-16</w:t>
        </w:r>
      </w:hyperlink>
      <w:r w:rsidRPr="008B4644">
        <w:rPr>
          <w:rFonts w:ascii="David" w:hAnsi="David"/>
          <w:rtl/>
        </w:rPr>
        <w:t xml:space="preserve"> </w:t>
      </w:r>
      <w:r w:rsidRPr="008B4644">
        <w:rPr>
          <w:rFonts w:ascii="David" w:hAnsi="David"/>
          <w:b/>
          <w:bCs/>
          <w:rtl/>
        </w:rPr>
        <w:t>מדינת ישראל נ' גיאת</w:t>
      </w:r>
      <w:r>
        <w:rPr>
          <w:rFonts w:ascii="David" w:hAnsi="David" w:hint="cs"/>
          <w:b/>
          <w:bCs/>
          <w:rtl/>
        </w:rPr>
        <w:t xml:space="preserve"> </w:t>
      </w:r>
      <w:r w:rsidRPr="008B4644">
        <w:rPr>
          <w:rFonts w:ascii="David" w:hAnsi="David"/>
          <w:rtl/>
        </w:rPr>
        <w:t xml:space="preserve">(18.7.19), </w:t>
      </w:r>
      <w:hyperlink r:id="rId24" w:history="1">
        <w:r w:rsidR="00FB68D2" w:rsidRPr="00FB68D2">
          <w:rPr>
            <w:rFonts w:ascii="David" w:hAnsi="David"/>
            <w:color w:val="0000FF"/>
            <w:u w:val="single"/>
            <w:rtl/>
          </w:rPr>
          <w:t>ת"פ (תל-אביב) 37634-03-15</w:t>
        </w:r>
      </w:hyperlink>
      <w:r w:rsidRPr="008B4644">
        <w:rPr>
          <w:rFonts w:ascii="David" w:hAnsi="David"/>
          <w:rtl/>
        </w:rPr>
        <w:t xml:space="preserve"> </w:t>
      </w:r>
      <w:r w:rsidRPr="008B4644">
        <w:rPr>
          <w:rFonts w:ascii="David" w:hAnsi="David"/>
          <w:b/>
          <w:bCs/>
          <w:rtl/>
        </w:rPr>
        <w:t xml:space="preserve">מדינת ישראל נ' כרמי </w:t>
      </w:r>
      <w:r w:rsidRPr="008B4644">
        <w:rPr>
          <w:rFonts w:ascii="David" w:hAnsi="David"/>
          <w:rtl/>
        </w:rPr>
        <w:t xml:space="preserve">(7.9.16), </w:t>
      </w:r>
      <w:hyperlink r:id="rId25" w:history="1">
        <w:r w:rsidR="00FB68D2" w:rsidRPr="00FB68D2">
          <w:rPr>
            <w:rFonts w:ascii="David" w:hAnsi="David"/>
            <w:color w:val="0000FF"/>
            <w:u w:val="single"/>
            <w:rtl/>
          </w:rPr>
          <w:t>עפ"ג (תל-אביב) 13736-12-18</w:t>
        </w:r>
      </w:hyperlink>
      <w:r>
        <w:rPr>
          <w:rFonts w:ascii="David" w:hAnsi="David" w:hint="cs"/>
          <w:b/>
          <w:bCs/>
          <w:rtl/>
        </w:rPr>
        <w:t xml:space="preserve"> מ</w:t>
      </w:r>
      <w:r w:rsidRPr="008B4644">
        <w:rPr>
          <w:rFonts w:ascii="David" w:hAnsi="David"/>
          <w:b/>
          <w:bCs/>
          <w:rtl/>
        </w:rPr>
        <w:t xml:space="preserve">דינת ישראל נ' תומר אשכנזי </w:t>
      </w:r>
      <w:r w:rsidRPr="008B4644">
        <w:rPr>
          <w:rFonts w:ascii="David" w:hAnsi="David"/>
          <w:rtl/>
        </w:rPr>
        <w:t>(25.3.19),</w:t>
      </w:r>
      <w:r>
        <w:rPr>
          <w:rFonts w:ascii="David" w:hAnsi="David" w:hint="cs"/>
          <w:rtl/>
        </w:rPr>
        <w:t xml:space="preserve"> </w:t>
      </w:r>
      <w:hyperlink r:id="rId26" w:history="1">
        <w:r w:rsidR="00FB68D2" w:rsidRPr="00FB68D2">
          <w:rPr>
            <w:rFonts w:ascii="David" w:hAnsi="David"/>
            <w:color w:val="0000FF"/>
            <w:u w:val="single"/>
            <w:rtl/>
          </w:rPr>
          <w:t>ת"פ (רחובות) 43875-08-17</w:t>
        </w:r>
      </w:hyperlink>
      <w:r w:rsidRPr="008B4644">
        <w:rPr>
          <w:rFonts w:ascii="David" w:hAnsi="David"/>
          <w:rtl/>
        </w:rPr>
        <w:t xml:space="preserve"> </w:t>
      </w:r>
      <w:r w:rsidRPr="008B4644">
        <w:rPr>
          <w:rFonts w:ascii="David" w:hAnsi="David"/>
          <w:b/>
          <w:bCs/>
          <w:rtl/>
        </w:rPr>
        <w:t xml:space="preserve">מדינת ישראל נ' חי מוריסון </w:t>
      </w:r>
      <w:r w:rsidRPr="008B4644">
        <w:rPr>
          <w:rFonts w:ascii="David" w:hAnsi="David"/>
          <w:rtl/>
        </w:rPr>
        <w:t>(25.2.19).</w:t>
      </w:r>
    </w:p>
    <w:p w14:paraId="3B3A3FBF" w14:textId="77777777" w:rsidR="0050544C" w:rsidRPr="008B4644" w:rsidRDefault="0050544C" w:rsidP="0050544C">
      <w:pPr>
        <w:spacing w:after="160" w:line="360" w:lineRule="auto"/>
        <w:ind w:left="720"/>
        <w:contextualSpacing/>
        <w:jc w:val="both"/>
        <w:rPr>
          <w:rFonts w:ascii="David" w:hAnsi="David"/>
          <w:rtl/>
        </w:rPr>
      </w:pPr>
    </w:p>
    <w:p w14:paraId="44AC4DFD" w14:textId="77777777" w:rsidR="0050544C" w:rsidRPr="008B4644" w:rsidRDefault="0050544C" w:rsidP="0050544C">
      <w:pPr>
        <w:spacing w:after="160" w:line="360" w:lineRule="auto"/>
        <w:jc w:val="both"/>
        <w:rPr>
          <w:rFonts w:ascii="David" w:eastAsia="Calibri" w:hAnsi="David"/>
          <w:b/>
          <w:bCs/>
          <w:u w:val="single"/>
          <w:rtl/>
        </w:rPr>
      </w:pPr>
      <w:r w:rsidRPr="008B4644">
        <w:rPr>
          <w:rFonts w:ascii="David" w:eastAsia="Calibri" w:hAnsi="David"/>
          <w:b/>
          <w:bCs/>
          <w:u w:val="single"/>
          <w:rtl/>
        </w:rPr>
        <w:t>מיקומ</w:t>
      </w:r>
      <w:r>
        <w:rPr>
          <w:rFonts w:ascii="David" w:eastAsia="Calibri" w:hAnsi="David" w:hint="cs"/>
          <w:b/>
          <w:bCs/>
          <w:u w:val="single"/>
          <w:rtl/>
        </w:rPr>
        <w:t>ה</w:t>
      </w:r>
      <w:r w:rsidRPr="008B4644">
        <w:rPr>
          <w:rFonts w:ascii="David" w:eastAsia="Calibri" w:hAnsi="David"/>
          <w:b/>
          <w:bCs/>
          <w:u w:val="single"/>
          <w:rtl/>
        </w:rPr>
        <w:t xml:space="preserve"> של הנאש</w:t>
      </w:r>
      <w:r>
        <w:rPr>
          <w:rFonts w:ascii="David" w:eastAsia="Calibri" w:hAnsi="David" w:hint="cs"/>
          <w:b/>
          <w:bCs/>
          <w:u w:val="single"/>
          <w:rtl/>
        </w:rPr>
        <w:t>מת</w:t>
      </w:r>
      <w:r w:rsidRPr="008B4644">
        <w:rPr>
          <w:rFonts w:ascii="David" w:eastAsia="Calibri" w:hAnsi="David"/>
          <w:b/>
          <w:bCs/>
          <w:u w:val="single"/>
          <w:rtl/>
        </w:rPr>
        <w:t xml:space="preserve"> בתוך המתחם</w:t>
      </w:r>
    </w:p>
    <w:p w14:paraId="2138C751" w14:textId="77777777" w:rsidR="0050544C" w:rsidRPr="008B4644" w:rsidRDefault="0050544C" w:rsidP="0050544C">
      <w:pPr>
        <w:numPr>
          <w:ilvl w:val="0"/>
          <w:numId w:val="1"/>
        </w:numPr>
        <w:spacing w:after="160" w:line="360" w:lineRule="auto"/>
        <w:contextualSpacing/>
        <w:jc w:val="both"/>
        <w:rPr>
          <w:rFonts w:ascii="David" w:hAnsi="David"/>
          <w:rtl/>
        </w:rPr>
      </w:pPr>
      <w:r w:rsidRPr="008B4644">
        <w:rPr>
          <w:rFonts w:ascii="David" w:hAnsi="David"/>
          <w:rtl/>
        </w:rPr>
        <w:t>הנאשמת בת</w:t>
      </w:r>
      <w:r>
        <w:rPr>
          <w:rFonts w:ascii="David" w:hAnsi="David" w:hint="cs"/>
          <w:rtl/>
        </w:rPr>
        <w:t xml:space="preserve"> 33</w:t>
      </w:r>
      <w:r w:rsidRPr="008B4644">
        <w:rPr>
          <w:rFonts w:ascii="David" w:hAnsi="David"/>
          <w:rtl/>
        </w:rPr>
        <w:t xml:space="preserve">, נשואה, מתגוררת כיום עם בעלה בתל-אביב ועובדת למחייתה בבית מלון. הנאשמת נעדרת עבר פלילי, הודתה בפתח משפטה וחסכה בזמן שיפוטי ניכר, בזמנה של התביעה ובזמנם של עדי התביעה. </w:t>
      </w:r>
    </w:p>
    <w:p w14:paraId="1A433131" w14:textId="77777777" w:rsidR="0050544C" w:rsidRPr="008B4644" w:rsidRDefault="0050544C" w:rsidP="0050544C">
      <w:pPr>
        <w:spacing w:after="160" w:line="360" w:lineRule="auto"/>
        <w:ind w:left="720"/>
        <w:contextualSpacing/>
        <w:jc w:val="both"/>
        <w:rPr>
          <w:rFonts w:ascii="David" w:hAnsi="David"/>
        </w:rPr>
      </w:pPr>
    </w:p>
    <w:p w14:paraId="1EC2D236" w14:textId="77777777" w:rsidR="0050544C" w:rsidRDefault="0050544C" w:rsidP="0050544C">
      <w:pPr>
        <w:numPr>
          <w:ilvl w:val="0"/>
          <w:numId w:val="1"/>
        </w:numPr>
        <w:spacing w:after="160" w:line="360" w:lineRule="auto"/>
        <w:contextualSpacing/>
        <w:jc w:val="both"/>
        <w:rPr>
          <w:rFonts w:ascii="David" w:hAnsi="David"/>
        </w:rPr>
      </w:pPr>
      <w:r w:rsidRPr="008B4644">
        <w:rPr>
          <w:rFonts w:ascii="David" w:hAnsi="David"/>
          <w:rtl/>
        </w:rPr>
        <w:t xml:space="preserve">לתיק הוגשו שלושה תסקירים מאת שירות המבחן, אשר סקרו את נסיבות חייה של הנאשמת ונסיבותיה המשפחתיות. </w:t>
      </w:r>
      <w:r>
        <w:rPr>
          <w:rFonts w:ascii="David" w:hAnsi="David" w:hint="cs"/>
          <w:rtl/>
        </w:rPr>
        <w:t xml:space="preserve">בתחילה נמצאה הנאשמת מתאימה להליך בבית המשפט הקהילתי, ובהמשך התקשתה לקחת חלק בתוכנית וביקשה לסיים את ההליך המשפטי. השתלבה בטיפול ביחידה להתמכרויות, עם זאת הטיפול הופסק על רקע מעצרה בחשד להפרת הוראה חוקית. שירות המבחן המליץ בתחילה על הטלת צו מבחן לצורך מעקב אחר הנאשמת במסגרת ההליך הטיפולי, אולם בעקבות ניתוק הקשר חזר בו מהמלצתו האמורה. </w:t>
      </w:r>
    </w:p>
    <w:p w14:paraId="330717F1" w14:textId="77777777" w:rsidR="0050544C" w:rsidRDefault="0050544C" w:rsidP="0050544C">
      <w:pPr>
        <w:spacing w:after="160" w:line="360" w:lineRule="auto"/>
        <w:ind w:left="720"/>
        <w:contextualSpacing/>
        <w:jc w:val="both"/>
        <w:rPr>
          <w:rFonts w:ascii="David" w:hAnsi="David"/>
        </w:rPr>
      </w:pPr>
      <w:r>
        <w:rPr>
          <w:rFonts w:ascii="David" w:hAnsi="David" w:hint="cs"/>
          <w:rtl/>
        </w:rPr>
        <w:t>הגם שהנאשמת התקשתה להתמיד בטיפול עם היחידה להתמכרויות, היא נעזרה בטיפול סביב מישורי חייה השונים ומסרה בדיקות שתן הנקיות משרידי סם, ונמנעה ממעורבות שולית. שירות המבחן מתרשם כי הסיכון במצבה לביצוע עבירות נוספות פחת. שירות המבחן ממליץ בסופו של יום על הטלת ענישה בדמות מאסר בדרך של עבודות שירות ולהימנע ממאסר לריצוי בפועל, אשר עשוי לגרום לרגרסיה במצבה.</w:t>
      </w:r>
    </w:p>
    <w:p w14:paraId="322E467A" w14:textId="77777777" w:rsidR="0050544C" w:rsidRPr="008B4644" w:rsidRDefault="0050544C" w:rsidP="0050544C">
      <w:pPr>
        <w:spacing w:after="160" w:line="360" w:lineRule="auto"/>
        <w:ind w:left="720"/>
        <w:contextualSpacing/>
        <w:jc w:val="both"/>
        <w:rPr>
          <w:rFonts w:ascii="David" w:hAnsi="David"/>
          <w:rtl/>
        </w:rPr>
      </w:pPr>
    </w:p>
    <w:p w14:paraId="34528C90" w14:textId="77777777" w:rsidR="0050544C" w:rsidRPr="008B4644" w:rsidRDefault="0050544C" w:rsidP="0050544C">
      <w:pPr>
        <w:spacing w:after="160"/>
        <w:ind w:left="720"/>
        <w:contextualSpacing/>
        <w:jc w:val="both"/>
        <w:rPr>
          <w:rFonts w:ascii="David" w:hAnsi="David"/>
          <w:rtl/>
        </w:rPr>
      </w:pPr>
    </w:p>
    <w:p w14:paraId="5DE74CC6" w14:textId="77777777" w:rsidR="0050544C" w:rsidRDefault="0050544C" w:rsidP="0050544C">
      <w:pPr>
        <w:numPr>
          <w:ilvl w:val="0"/>
          <w:numId w:val="1"/>
        </w:numPr>
        <w:spacing w:after="160" w:line="360" w:lineRule="auto"/>
        <w:contextualSpacing/>
        <w:jc w:val="both"/>
        <w:rPr>
          <w:rFonts w:ascii="David" w:hAnsi="David"/>
        </w:rPr>
      </w:pPr>
      <w:r w:rsidRPr="008B4644">
        <w:rPr>
          <w:rFonts w:ascii="David" w:hAnsi="David"/>
          <w:rtl/>
        </w:rPr>
        <w:t>ער אני לנסיבותיה האישיות של הנאשמת, חלוף הזמן והעדר עבר פלילי</w:t>
      </w:r>
      <w:r>
        <w:rPr>
          <w:rFonts w:ascii="David" w:hAnsi="David" w:hint="cs"/>
          <w:rtl/>
        </w:rPr>
        <w:t>, ובחלוף הזמן אי פתיחת הליכים חדשים. ער אני לטיפול שעברה הנאשמת במסגר</w:t>
      </w:r>
      <w:r>
        <w:rPr>
          <w:rFonts w:ascii="David" w:hAnsi="David" w:hint="eastAsia"/>
          <w:rtl/>
        </w:rPr>
        <w:t>ת</w:t>
      </w:r>
      <w:r>
        <w:rPr>
          <w:rFonts w:ascii="David" w:hAnsi="David" w:hint="cs"/>
          <w:rtl/>
        </w:rPr>
        <w:t xml:space="preserve"> היחידה להתמכרויות, גם אם ניתקה את הקשר ולא שמרה על עקביות בטיפול זה, עדיין יש לזכור כי הנאשמת מסרה לאורך תקופה בדיקות שתן נקיות משרידי סם וכיום שומרת על יציבות תעסוקתית, נישאה ושינתה מאורחות חייה לחיוב.</w:t>
      </w:r>
    </w:p>
    <w:p w14:paraId="0D792751" w14:textId="77777777" w:rsidR="0050544C" w:rsidRPr="00D74E7D" w:rsidRDefault="0050544C" w:rsidP="0050544C">
      <w:pPr>
        <w:spacing w:after="160" w:line="360" w:lineRule="auto"/>
        <w:ind w:left="720"/>
        <w:contextualSpacing/>
        <w:jc w:val="both"/>
        <w:rPr>
          <w:rFonts w:ascii="David" w:hAnsi="David"/>
        </w:rPr>
      </w:pPr>
      <w:r w:rsidRPr="00D74E7D">
        <w:rPr>
          <w:rFonts w:ascii="David" w:hAnsi="David" w:hint="cs"/>
          <w:rtl/>
        </w:rPr>
        <w:t>בהינתן כלל נסיבות אלה, ובתוך כך נסיבות שאינן קשורות בביצוע העבירות, מצאתי למקם את הנאשמת בתחתית המתחם העונשי שקבעתי לעיל.</w:t>
      </w:r>
      <w:r w:rsidRPr="00D74E7D">
        <w:rPr>
          <w:rFonts w:ascii="David" w:hAnsi="David"/>
          <w:rtl/>
        </w:rPr>
        <w:t xml:space="preserve"> </w:t>
      </w:r>
    </w:p>
    <w:p w14:paraId="7BE60AAA" w14:textId="77777777" w:rsidR="0050544C" w:rsidRPr="008B4644" w:rsidRDefault="0050544C" w:rsidP="0050544C">
      <w:pPr>
        <w:spacing w:after="160" w:line="360" w:lineRule="auto"/>
        <w:ind w:left="720"/>
        <w:contextualSpacing/>
        <w:jc w:val="both"/>
        <w:rPr>
          <w:rFonts w:ascii="David" w:hAnsi="David"/>
          <w:rtl/>
        </w:rPr>
      </w:pPr>
    </w:p>
    <w:p w14:paraId="43341D75" w14:textId="77777777" w:rsidR="0050544C" w:rsidRDefault="0050544C" w:rsidP="0050544C">
      <w:pPr>
        <w:spacing w:line="360" w:lineRule="auto"/>
        <w:jc w:val="both"/>
        <w:rPr>
          <w:b/>
          <w:bCs/>
        </w:rPr>
      </w:pPr>
      <w:r>
        <w:rPr>
          <w:b/>
          <w:bCs/>
          <w:rtl/>
        </w:rPr>
        <w:t>אשר על כן אני גוזר על הנאש</w:t>
      </w:r>
      <w:r>
        <w:rPr>
          <w:rFonts w:hint="cs"/>
          <w:b/>
          <w:bCs/>
          <w:rtl/>
        </w:rPr>
        <w:t>מת</w:t>
      </w:r>
      <w:r>
        <w:rPr>
          <w:b/>
          <w:bCs/>
          <w:rtl/>
        </w:rPr>
        <w:t xml:space="preserve"> את העונשים הבאים:</w:t>
      </w:r>
    </w:p>
    <w:p w14:paraId="415AFB87" w14:textId="77777777" w:rsidR="0050544C" w:rsidRDefault="0050544C" w:rsidP="0050544C">
      <w:pPr>
        <w:spacing w:line="360" w:lineRule="auto"/>
        <w:jc w:val="both"/>
        <w:rPr>
          <w:rtl/>
        </w:rPr>
      </w:pPr>
    </w:p>
    <w:p w14:paraId="5A7044B4" w14:textId="77777777" w:rsidR="0050544C" w:rsidRDefault="0050544C" w:rsidP="0050544C">
      <w:pPr>
        <w:numPr>
          <w:ilvl w:val="0"/>
          <w:numId w:val="2"/>
        </w:numPr>
        <w:spacing w:line="360" w:lineRule="auto"/>
        <w:jc w:val="both"/>
        <w:rPr>
          <w:rtl/>
        </w:rPr>
      </w:pPr>
      <w:r>
        <w:rPr>
          <w:rtl/>
        </w:rPr>
        <w:t>מאסר בפועל לתקופה של</w:t>
      </w:r>
      <w:r>
        <w:rPr>
          <w:rFonts w:hint="cs"/>
          <w:rtl/>
        </w:rPr>
        <w:t xml:space="preserve"> 6</w:t>
      </w:r>
      <w:r>
        <w:rPr>
          <w:rtl/>
        </w:rPr>
        <w:t xml:space="preserve"> חודשים שירוצה בדרך של עבודות שירות.</w:t>
      </w:r>
    </w:p>
    <w:p w14:paraId="2008A55A" w14:textId="77777777" w:rsidR="0050544C" w:rsidRDefault="0050544C" w:rsidP="0050544C">
      <w:pPr>
        <w:spacing w:line="360" w:lineRule="auto"/>
        <w:ind w:left="720"/>
        <w:contextualSpacing/>
        <w:jc w:val="both"/>
        <w:rPr>
          <w:rtl/>
        </w:rPr>
      </w:pPr>
      <w:r>
        <w:rPr>
          <w:rtl/>
        </w:rPr>
        <w:t>הנאש</w:t>
      </w:r>
      <w:r>
        <w:rPr>
          <w:rFonts w:hint="cs"/>
          <w:rtl/>
        </w:rPr>
        <w:t>מת</w:t>
      </w:r>
      <w:r>
        <w:rPr>
          <w:rtl/>
        </w:rPr>
        <w:t xml:space="preserve"> </w:t>
      </w:r>
      <w:r>
        <w:rPr>
          <w:rFonts w:hint="cs"/>
          <w:rtl/>
        </w:rPr>
        <w:t>תתייצב</w:t>
      </w:r>
      <w:r>
        <w:rPr>
          <w:rtl/>
        </w:rPr>
        <w:t xml:space="preserve"> לריצוי עבודות השירות ביום</w:t>
      </w:r>
      <w:r>
        <w:rPr>
          <w:rFonts w:hint="cs"/>
          <w:rtl/>
        </w:rPr>
        <w:t xml:space="preserve"> 16.3.20</w:t>
      </w:r>
      <w:r>
        <w:rPr>
          <w:rtl/>
        </w:rPr>
        <w:t xml:space="preserve"> עד השעה 08:30, במפקדת שב"ס, מחוז המרכז, רמלה, כשה</w:t>
      </w:r>
      <w:r>
        <w:rPr>
          <w:rFonts w:hint="cs"/>
          <w:rtl/>
        </w:rPr>
        <w:t>יא מצוידת</w:t>
      </w:r>
      <w:r>
        <w:rPr>
          <w:rtl/>
        </w:rPr>
        <w:t xml:space="preserve"> בתעודת זהות.</w:t>
      </w:r>
    </w:p>
    <w:p w14:paraId="06BC401F" w14:textId="77777777" w:rsidR="0050544C" w:rsidRDefault="0050544C" w:rsidP="0050544C">
      <w:pPr>
        <w:spacing w:line="360" w:lineRule="auto"/>
        <w:ind w:left="720"/>
        <w:contextualSpacing/>
        <w:jc w:val="both"/>
      </w:pPr>
    </w:p>
    <w:p w14:paraId="7EF4913E" w14:textId="77777777" w:rsidR="0050544C" w:rsidRDefault="0050544C" w:rsidP="0050544C">
      <w:pPr>
        <w:numPr>
          <w:ilvl w:val="0"/>
          <w:numId w:val="2"/>
        </w:numPr>
        <w:spacing w:line="360" w:lineRule="auto"/>
        <w:jc w:val="both"/>
      </w:pPr>
      <w:r>
        <w:rPr>
          <w:rtl/>
        </w:rPr>
        <w:t xml:space="preserve">מאסר על תנאי בן 6 חודשים למשך 3 שנים והתנאי שלא </w:t>
      </w:r>
      <w:r>
        <w:rPr>
          <w:rFonts w:hint="cs"/>
          <w:rtl/>
        </w:rPr>
        <w:t>ת</w:t>
      </w:r>
      <w:r>
        <w:rPr>
          <w:rtl/>
        </w:rPr>
        <w:t>עבור</w:t>
      </w:r>
      <w:r>
        <w:rPr>
          <w:rFonts w:hint="cs"/>
          <w:rtl/>
        </w:rPr>
        <w:t xml:space="preserve"> בתקופה זו, </w:t>
      </w:r>
      <w:r>
        <w:rPr>
          <w:rtl/>
        </w:rPr>
        <w:t xml:space="preserve"> כל עביר</w:t>
      </w:r>
      <w:r>
        <w:rPr>
          <w:rFonts w:hint="cs"/>
          <w:rtl/>
        </w:rPr>
        <w:t>ה על פקודת הסמים מסוג פשע.</w:t>
      </w:r>
    </w:p>
    <w:p w14:paraId="0774E945" w14:textId="77777777" w:rsidR="0050544C" w:rsidRDefault="0050544C" w:rsidP="0050544C">
      <w:pPr>
        <w:spacing w:line="360" w:lineRule="auto"/>
        <w:ind w:left="720"/>
        <w:jc w:val="both"/>
      </w:pPr>
    </w:p>
    <w:p w14:paraId="2B25A55A" w14:textId="77777777" w:rsidR="0050544C" w:rsidRDefault="0050544C" w:rsidP="0050544C">
      <w:pPr>
        <w:numPr>
          <w:ilvl w:val="0"/>
          <w:numId w:val="2"/>
        </w:numPr>
        <w:spacing w:line="360" w:lineRule="auto"/>
        <w:jc w:val="both"/>
        <w:rPr>
          <w:rtl/>
        </w:rPr>
      </w:pPr>
      <w:r>
        <w:rPr>
          <w:rFonts w:hint="cs"/>
          <w:rtl/>
        </w:rPr>
        <w:t>מאסר על תנאי לתקופה של חודשיים (2) למשך שנתיים, והתנאי שלא תעבור בתקופה זו כל עבירה על פקודת הסמים מסוג עוון.</w:t>
      </w:r>
    </w:p>
    <w:p w14:paraId="5E454AC1" w14:textId="77777777" w:rsidR="0050544C" w:rsidRDefault="0050544C" w:rsidP="0050544C">
      <w:pPr>
        <w:spacing w:line="360" w:lineRule="auto"/>
        <w:ind w:left="720"/>
        <w:contextualSpacing/>
        <w:jc w:val="both"/>
      </w:pPr>
    </w:p>
    <w:p w14:paraId="2351BEE2" w14:textId="77777777" w:rsidR="0050544C" w:rsidRDefault="0050544C" w:rsidP="0050544C">
      <w:pPr>
        <w:numPr>
          <w:ilvl w:val="0"/>
          <w:numId w:val="2"/>
        </w:numPr>
        <w:spacing w:line="360" w:lineRule="auto"/>
        <w:jc w:val="both"/>
      </w:pPr>
      <w:r>
        <w:rPr>
          <w:rFonts w:hint="cs"/>
          <w:rtl/>
        </w:rPr>
        <w:t>אני מחלט סכום של 3520 ₪ ו- 201 דולר, שנתפסו מהנאשמת לטובת קרן הסמים, וכן טלפון נייד מסוג נוקיה.</w:t>
      </w:r>
    </w:p>
    <w:p w14:paraId="1214A5BE" w14:textId="77777777" w:rsidR="0050544C" w:rsidRDefault="0050544C" w:rsidP="0050544C">
      <w:pPr>
        <w:pStyle w:val="a9"/>
        <w:rPr>
          <w:rtl/>
        </w:rPr>
      </w:pPr>
    </w:p>
    <w:p w14:paraId="3D2721FF" w14:textId="77777777" w:rsidR="0050544C" w:rsidRDefault="0050544C" w:rsidP="0050544C">
      <w:pPr>
        <w:numPr>
          <w:ilvl w:val="0"/>
          <w:numId w:val="2"/>
        </w:numPr>
        <w:spacing w:line="360" w:lineRule="auto"/>
        <w:jc w:val="both"/>
      </w:pPr>
      <w:r>
        <w:rPr>
          <w:rtl/>
        </w:rPr>
        <w:t>קנס בסך של 1</w:t>
      </w:r>
      <w:r>
        <w:rPr>
          <w:rFonts w:hint="cs"/>
          <w:rtl/>
        </w:rPr>
        <w:t>2</w:t>
      </w:r>
      <w:r>
        <w:rPr>
          <w:rtl/>
        </w:rPr>
        <w:t>00 ₪ א</w:t>
      </w:r>
      <w:r>
        <w:rPr>
          <w:rFonts w:hint="cs"/>
          <w:rtl/>
        </w:rPr>
        <w:t>ו 12</w:t>
      </w:r>
      <w:r>
        <w:rPr>
          <w:rtl/>
        </w:rPr>
        <w:t xml:space="preserve"> ימי מאסר תמורתם. הקנס ישולם עד ליום 15.3.20.</w:t>
      </w:r>
    </w:p>
    <w:p w14:paraId="2150016A" w14:textId="77777777" w:rsidR="0050544C" w:rsidRDefault="0050544C" w:rsidP="0050544C">
      <w:pPr>
        <w:spacing w:line="360" w:lineRule="auto"/>
        <w:ind w:left="720"/>
        <w:contextualSpacing/>
        <w:jc w:val="both"/>
      </w:pPr>
    </w:p>
    <w:p w14:paraId="155307D1" w14:textId="77777777" w:rsidR="0050544C" w:rsidRDefault="0050544C" w:rsidP="0050544C">
      <w:pPr>
        <w:spacing w:line="360" w:lineRule="auto"/>
        <w:jc w:val="both"/>
      </w:pPr>
    </w:p>
    <w:p w14:paraId="2D5F9B45" w14:textId="77777777" w:rsidR="0050544C" w:rsidRDefault="0050544C" w:rsidP="0050544C">
      <w:pPr>
        <w:spacing w:line="360" w:lineRule="auto"/>
        <w:jc w:val="both"/>
      </w:pPr>
    </w:p>
    <w:p w14:paraId="47D45E56" w14:textId="77777777" w:rsidR="0050544C" w:rsidRDefault="0050544C" w:rsidP="0050544C">
      <w:pPr>
        <w:spacing w:line="360" w:lineRule="auto"/>
        <w:jc w:val="both"/>
        <w:rPr>
          <w:b/>
          <w:bCs/>
          <w:rtl/>
        </w:rPr>
      </w:pPr>
      <w:r>
        <w:rPr>
          <w:b/>
          <w:bCs/>
          <w:rtl/>
        </w:rPr>
        <w:t>אני מזהיר את הנאש</w:t>
      </w:r>
      <w:r>
        <w:rPr>
          <w:rFonts w:hint="cs"/>
          <w:b/>
          <w:bCs/>
          <w:rtl/>
        </w:rPr>
        <w:t>מת</w:t>
      </w:r>
      <w:r>
        <w:rPr>
          <w:b/>
          <w:bCs/>
          <w:rtl/>
        </w:rPr>
        <w:t xml:space="preserve"> כי אי מילוי עבודות השירות עלול להוביל להפקעתן וריצוי יתרת התקופה מאחורי סורג ובריח.</w:t>
      </w:r>
    </w:p>
    <w:p w14:paraId="3933F2E4" w14:textId="77777777" w:rsidR="0050544C" w:rsidRDefault="0050544C" w:rsidP="0050544C">
      <w:pPr>
        <w:spacing w:line="360" w:lineRule="auto"/>
        <w:jc w:val="both"/>
        <w:rPr>
          <w:rtl/>
        </w:rPr>
      </w:pPr>
    </w:p>
    <w:p w14:paraId="18F9F304" w14:textId="77777777" w:rsidR="0050544C" w:rsidRDefault="0050544C" w:rsidP="0050544C">
      <w:pPr>
        <w:spacing w:line="360" w:lineRule="auto"/>
        <w:jc w:val="both"/>
        <w:rPr>
          <w:rFonts w:ascii="Arial" w:hAnsi="Arial"/>
          <w:rtl/>
        </w:rPr>
      </w:pPr>
      <w:r>
        <w:rPr>
          <w:rFonts w:ascii="Arial" w:hAnsi="Arial"/>
          <w:rtl/>
        </w:rPr>
        <w:t xml:space="preserve">צו כללי למוצגים – </w:t>
      </w:r>
      <w:r>
        <w:rPr>
          <w:rFonts w:ascii="Arial" w:hAnsi="Arial" w:hint="cs"/>
          <w:rtl/>
        </w:rPr>
        <w:t xml:space="preserve">סמים ומשקל יושמדו, </w:t>
      </w:r>
      <w:r>
        <w:rPr>
          <w:rFonts w:ascii="Arial" w:hAnsi="Arial"/>
          <w:rtl/>
        </w:rPr>
        <w:t>ככל שישנם מוצגים</w:t>
      </w:r>
      <w:r>
        <w:rPr>
          <w:rFonts w:ascii="Arial" w:hAnsi="Arial" w:hint="cs"/>
          <w:rtl/>
        </w:rPr>
        <w:t xml:space="preserve"> נוספים</w:t>
      </w:r>
      <w:r>
        <w:rPr>
          <w:rFonts w:ascii="Arial" w:hAnsi="Arial"/>
          <w:rtl/>
        </w:rPr>
        <w:t xml:space="preserve"> בתיק זה יטופלו בהתאם להחלטת קצין משטרה מוסמך.</w:t>
      </w:r>
    </w:p>
    <w:p w14:paraId="47ECA04B" w14:textId="77777777" w:rsidR="0050544C" w:rsidRDefault="0050544C" w:rsidP="0050544C">
      <w:pPr>
        <w:spacing w:line="360" w:lineRule="auto"/>
        <w:jc w:val="both"/>
        <w:rPr>
          <w:rFonts w:ascii="Arial" w:hAnsi="Arial"/>
          <w:rtl/>
        </w:rPr>
      </w:pPr>
    </w:p>
    <w:p w14:paraId="5BCE2DCB" w14:textId="77777777" w:rsidR="0050544C" w:rsidRDefault="0050544C" w:rsidP="0050544C">
      <w:pPr>
        <w:spacing w:line="360" w:lineRule="auto"/>
        <w:jc w:val="both"/>
        <w:rPr>
          <w:rFonts w:ascii="Arial" w:hAnsi="Arial"/>
          <w:rtl/>
        </w:rPr>
      </w:pPr>
      <w:r>
        <w:rPr>
          <w:rFonts w:ascii="Arial" w:hAnsi="Arial"/>
          <w:rtl/>
        </w:rPr>
        <w:t>ככל שקיימים פיקדונות בתיק זה או בתיקים קשורים – מ"י/מ"ת – הקנס יקוזז מההפקדה, בהסכמת ההגנה באולם, וככל שתיוותר יתרה תושב ל</w:t>
      </w:r>
      <w:r>
        <w:rPr>
          <w:rFonts w:ascii="Arial" w:hAnsi="Arial" w:hint="cs"/>
          <w:rtl/>
        </w:rPr>
        <w:t>נאשמת או למי מטעמה,</w:t>
      </w:r>
      <w:r>
        <w:rPr>
          <w:rFonts w:ascii="Arial" w:hAnsi="Arial"/>
          <w:rtl/>
        </w:rPr>
        <w:t xml:space="preserve"> בכפוף לכל דין או החלטה אחרת.</w:t>
      </w:r>
    </w:p>
    <w:p w14:paraId="0FBFA8B4" w14:textId="77777777" w:rsidR="0050544C" w:rsidRDefault="0050544C" w:rsidP="0050544C">
      <w:pPr>
        <w:spacing w:line="360" w:lineRule="auto"/>
        <w:jc w:val="both"/>
        <w:rPr>
          <w:rFonts w:ascii="Calibri" w:hAnsi="Calibri"/>
          <w:rtl/>
        </w:rPr>
      </w:pPr>
    </w:p>
    <w:p w14:paraId="46B7C0B4" w14:textId="77777777" w:rsidR="0050544C" w:rsidRDefault="0050544C" w:rsidP="0050544C">
      <w:pPr>
        <w:spacing w:line="360" w:lineRule="auto"/>
        <w:jc w:val="both"/>
        <w:rPr>
          <w:rFonts w:ascii="Arial" w:hAnsi="Arial"/>
          <w:sz w:val="22"/>
          <w:szCs w:val="22"/>
          <w:rtl/>
        </w:rPr>
      </w:pPr>
      <w:r>
        <w:rPr>
          <w:rFonts w:ascii="Arial" w:hAnsi="Arial"/>
          <w:b/>
          <w:bCs/>
          <w:rtl/>
        </w:rPr>
        <w:t>זכות ערעור לבית המשפט המחוזי בתל אביב בתוך 45 ימים מהיום</w:t>
      </w:r>
      <w:r>
        <w:rPr>
          <w:rFonts w:ascii="Arial" w:hAnsi="Arial"/>
          <w:rtl/>
        </w:rPr>
        <w:t>.</w:t>
      </w:r>
    </w:p>
    <w:p w14:paraId="1268A5E4" w14:textId="77777777" w:rsidR="0050544C" w:rsidRDefault="0050544C" w:rsidP="0050544C">
      <w:pPr>
        <w:spacing w:line="360" w:lineRule="auto"/>
        <w:jc w:val="both"/>
        <w:rPr>
          <w:color w:val="FFFFFF"/>
          <w:sz w:val="2"/>
          <w:szCs w:val="2"/>
          <w:rtl/>
        </w:rPr>
      </w:pPr>
      <w:r>
        <w:rPr>
          <w:rtl/>
        </w:rPr>
        <w:t>המזכירות תעביר העתק מגזר הדין לשירות המבחן ולממונה על עבודות השירות.</w:t>
      </w:r>
    </w:p>
    <w:p w14:paraId="53B0CFE7" w14:textId="77777777" w:rsidR="0050544C" w:rsidRDefault="0050544C" w:rsidP="0050544C">
      <w:pPr>
        <w:spacing w:line="360" w:lineRule="auto"/>
        <w:jc w:val="both"/>
        <w:rPr>
          <w:rtl/>
        </w:rPr>
      </w:pPr>
    </w:p>
    <w:p w14:paraId="4124B3F9" w14:textId="77777777" w:rsidR="0050544C" w:rsidRDefault="0050544C" w:rsidP="0050544C">
      <w:pPr>
        <w:spacing w:line="360" w:lineRule="auto"/>
        <w:rPr>
          <w:rtl/>
        </w:rPr>
      </w:pPr>
    </w:p>
    <w:p w14:paraId="3819363E" w14:textId="77777777" w:rsidR="0050544C" w:rsidRDefault="0050544C" w:rsidP="0050544C">
      <w:pPr>
        <w:spacing w:line="360" w:lineRule="auto"/>
        <w:rPr>
          <w:rtl/>
        </w:rPr>
      </w:pPr>
    </w:p>
    <w:p w14:paraId="3A42B9BF" w14:textId="77777777" w:rsidR="0050544C" w:rsidRPr="00B05847" w:rsidRDefault="0050544C" w:rsidP="0050544C">
      <w:pPr>
        <w:rPr>
          <w:rtl/>
        </w:rPr>
      </w:pPr>
    </w:p>
    <w:p w14:paraId="2CDCAA55" w14:textId="77777777" w:rsidR="0050544C" w:rsidRPr="00FB68D2" w:rsidRDefault="00FB68D2" w:rsidP="0050544C">
      <w:pPr>
        <w:rPr>
          <w:color w:val="FFFFFF"/>
          <w:sz w:val="2"/>
          <w:szCs w:val="2"/>
          <w:rtl/>
        </w:rPr>
      </w:pPr>
      <w:r w:rsidRPr="00FB68D2">
        <w:rPr>
          <w:color w:val="FFFFFF"/>
          <w:sz w:val="2"/>
          <w:szCs w:val="2"/>
          <w:rtl/>
        </w:rPr>
        <w:t>5129371</w:t>
      </w:r>
    </w:p>
    <w:p w14:paraId="287F3F78" w14:textId="77777777" w:rsidR="0050544C" w:rsidRPr="00FB68D2" w:rsidRDefault="00FB68D2" w:rsidP="0050544C">
      <w:pPr>
        <w:rPr>
          <w:color w:val="FFFFFF"/>
          <w:sz w:val="2"/>
          <w:szCs w:val="2"/>
          <w:rtl/>
        </w:rPr>
      </w:pPr>
      <w:r w:rsidRPr="00FB68D2">
        <w:rPr>
          <w:color w:val="FFFFFF"/>
          <w:sz w:val="2"/>
          <w:szCs w:val="2"/>
          <w:rtl/>
        </w:rPr>
        <w:t>54678313</w:t>
      </w:r>
    </w:p>
    <w:p w14:paraId="34B2A819" w14:textId="77777777" w:rsidR="0050544C" w:rsidRPr="00250B83" w:rsidRDefault="00FB68D2" w:rsidP="0050544C">
      <w:pPr>
        <w:rPr>
          <w:rtl/>
        </w:rPr>
      </w:pPr>
      <w:bookmarkStart w:id="8" w:name="Nitan"/>
      <w:r>
        <w:rPr>
          <w:rFonts w:ascii="Arial" w:hAnsi="Arial"/>
          <w:rtl/>
        </w:rPr>
        <w:t xml:space="preserve">ניתן היום,  י"א שבט תש"פ, 06 פברואר 2020, במעמד הצדדים. </w:t>
      </w:r>
      <w:bookmarkEnd w:id="8"/>
    </w:p>
    <w:p w14:paraId="44E7A830" w14:textId="77777777" w:rsidR="0050544C" w:rsidRPr="00250B83" w:rsidRDefault="0050544C" w:rsidP="00FB68D2">
      <w:pPr>
        <w:jc w:val="right"/>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062C22DE" w14:textId="77777777" w:rsidR="0050544C" w:rsidRPr="00250B83" w:rsidRDefault="0050544C" w:rsidP="0050544C">
      <w:pPr>
        <w:jc w:val="right"/>
        <w:rPr>
          <w:rFonts w:ascii="Arial" w:hAnsi="Arial"/>
          <w:rtl/>
        </w:rPr>
      </w:pPr>
    </w:p>
    <w:p w14:paraId="66424190" w14:textId="77777777" w:rsidR="0050544C" w:rsidRPr="00250B83" w:rsidRDefault="0050544C" w:rsidP="0050544C">
      <w:pPr>
        <w:rPr>
          <w:rtl/>
        </w:rPr>
      </w:pPr>
    </w:p>
    <w:p w14:paraId="16DA23E1" w14:textId="77777777" w:rsidR="001737C7" w:rsidRPr="00FB68D2" w:rsidRDefault="001737C7" w:rsidP="00FB68D2">
      <w:pPr>
        <w:keepNext/>
        <w:rPr>
          <w:rFonts w:ascii="David" w:hAnsi="David"/>
          <w:color w:val="000000"/>
          <w:sz w:val="22"/>
          <w:szCs w:val="22"/>
          <w:rtl/>
        </w:rPr>
      </w:pPr>
    </w:p>
    <w:p w14:paraId="499F3E29" w14:textId="77777777" w:rsidR="00FB68D2" w:rsidRPr="00FB68D2" w:rsidRDefault="00FB68D2" w:rsidP="00FB68D2">
      <w:pPr>
        <w:keepNext/>
        <w:rPr>
          <w:rFonts w:ascii="David" w:hAnsi="David"/>
          <w:color w:val="000000"/>
          <w:sz w:val="22"/>
          <w:szCs w:val="22"/>
          <w:rtl/>
        </w:rPr>
      </w:pPr>
      <w:r w:rsidRPr="00FB68D2">
        <w:rPr>
          <w:rFonts w:ascii="David" w:hAnsi="David"/>
          <w:color w:val="000000"/>
          <w:sz w:val="22"/>
          <w:szCs w:val="22"/>
          <w:rtl/>
        </w:rPr>
        <w:t>רועי פרי 54678313</w:t>
      </w:r>
    </w:p>
    <w:p w14:paraId="7D209969" w14:textId="77777777" w:rsidR="00FB68D2" w:rsidRDefault="00FB68D2" w:rsidP="00FB68D2">
      <w:r w:rsidRPr="00FB68D2">
        <w:rPr>
          <w:color w:val="000000"/>
          <w:rtl/>
        </w:rPr>
        <w:t>נוסח מסמך זה כפוף לשינויי ניסוח ועריכה</w:t>
      </w:r>
    </w:p>
    <w:p w14:paraId="66AA4E46" w14:textId="77777777" w:rsidR="00FB68D2" w:rsidRDefault="00FB68D2" w:rsidP="00FB68D2">
      <w:pPr>
        <w:rPr>
          <w:rtl/>
        </w:rPr>
      </w:pPr>
    </w:p>
    <w:p w14:paraId="2E89BA75" w14:textId="77777777" w:rsidR="00FB68D2" w:rsidRDefault="00FB68D2" w:rsidP="00FB68D2">
      <w:pPr>
        <w:jc w:val="center"/>
        <w:rPr>
          <w:color w:val="0000FF"/>
          <w:u w:val="single"/>
        </w:rPr>
      </w:pPr>
      <w:hyperlink r:id="rId27" w:history="1">
        <w:r>
          <w:rPr>
            <w:color w:val="0000FF"/>
            <w:u w:val="single"/>
            <w:rtl/>
          </w:rPr>
          <w:t>בעניין עריכה ושינויים במסמכי פסיקה, חקיקה ועוד באתר נבו – הקש כאן</w:t>
        </w:r>
      </w:hyperlink>
    </w:p>
    <w:p w14:paraId="74C2EAF9" w14:textId="77777777" w:rsidR="00FB68D2" w:rsidRPr="00FB68D2" w:rsidRDefault="00FB68D2" w:rsidP="00FB68D2">
      <w:pPr>
        <w:jc w:val="center"/>
        <w:rPr>
          <w:color w:val="0000FF"/>
          <w:u w:val="single"/>
        </w:rPr>
      </w:pPr>
    </w:p>
    <w:sectPr w:rsidR="00FB68D2" w:rsidRPr="00FB68D2" w:rsidSect="00FB68D2">
      <w:headerReference w:type="even" r:id="rId28"/>
      <w:headerReference w:type="default" r:id="rId29"/>
      <w:footerReference w:type="even" r:id="rId30"/>
      <w:footerReference w:type="default" r:id="rId31"/>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E7B91A" w14:textId="77777777" w:rsidR="00274B5E" w:rsidRDefault="00274B5E" w:rsidP="007568A4">
      <w:r>
        <w:separator/>
      </w:r>
    </w:p>
  </w:endnote>
  <w:endnote w:type="continuationSeparator" w:id="0">
    <w:p w14:paraId="53877E2D" w14:textId="77777777" w:rsidR="00274B5E" w:rsidRDefault="00274B5E" w:rsidP="00756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47B8A5" w14:textId="77777777" w:rsidR="00FB68D2" w:rsidRDefault="00FB68D2" w:rsidP="00FB68D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78350CF" w14:textId="77777777" w:rsidR="00416008" w:rsidRPr="00FB68D2" w:rsidRDefault="00FB68D2" w:rsidP="00FB68D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9EC45" w14:textId="77777777" w:rsidR="00FB68D2" w:rsidRDefault="00FB68D2" w:rsidP="00FB68D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21A32">
      <w:rPr>
        <w:rFonts w:ascii="FrankRuehl" w:hAnsi="FrankRuehl" w:cs="FrankRuehl"/>
        <w:noProof/>
        <w:rtl/>
      </w:rPr>
      <w:t>1</w:t>
    </w:r>
    <w:r>
      <w:rPr>
        <w:rFonts w:ascii="FrankRuehl" w:hAnsi="FrankRuehl" w:cs="FrankRuehl"/>
        <w:rtl/>
      </w:rPr>
      <w:fldChar w:fldCharType="end"/>
    </w:r>
  </w:p>
  <w:p w14:paraId="3A79CD83" w14:textId="77777777" w:rsidR="00416008" w:rsidRPr="00FB68D2" w:rsidRDefault="00FB68D2" w:rsidP="00FB68D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C674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91A9B6" w14:textId="77777777" w:rsidR="00274B5E" w:rsidRDefault="00274B5E" w:rsidP="007568A4">
      <w:r>
        <w:separator/>
      </w:r>
    </w:p>
  </w:footnote>
  <w:footnote w:type="continuationSeparator" w:id="0">
    <w:p w14:paraId="0C8D532F" w14:textId="77777777" w:rsidR="00274B5E" w:rsidRDefault="00274B5E" w:rsidP="007568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6991C5" w14:textId="77777777" w:rsidR="00FB68D2" w:rsidRPr="00FB68D2" w:rsidRDefault="00FB68D2" w:rsidP="00FB68D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36782-07-17</w:t>
    </w:r>
    <w:r>
      <w:rPr>
        <w:rFonts w:ascii="David" w:hAnsi="David"/>
        <w:color w:val="000000"/>
        <w:sz w:val="22"/>
        <w:szCs w:val="22"/>
        <w:rtl/>
      </w:rPr>
      <w:tab/>
      <w:t xml:space="preserve"> מדינת ישראל נ' אולגה אייניסמן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5B9519" w14:textId="77777777" w:rsidR="00FB68D2" w:rsidRPr="00FB68D2" w:rsidRDefault="00FB68D2" w:rsidP="00FB68D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36782-07-17</w:t>
    </w:r>
    <w:r>
      <w:rPr>
        <w:rFonts w:ascii="David" w:hAnsi="David"/>
        <w:color w:val="000000"/>
        <w:sz w:val="22"/>
        <w:szCs w:val="22"/>
        <w:rtl/>
      </w:rPr>
      <w:tab/>
      <w:t xml:space="preserve"> מדינת ישראל נ' אולגה אייניסמן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724637"/>
    <w:multiLevelType w:val="hybridMultilevel"/>
    <w:tmpl w:val="3B989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D452EAB"/>
    <w:multiLevelType w:val="hybridMultilevel"/>
    <w:tmpl w:val="CF3EF27C"/>
    <w:lvl w:ilvl="0" w:tplc="E98401A8">
      <w:start w:val="1"/>
      <w:numFmt w:val="decimal"/>
      <w:lvlText w:val="%1."/>
      <w:lvlJc w:val="left"/>
      <w:pPr>
        <w:ind w:left="720" w:hanging="360"/>
      </w:pPr>
    </w:lvl>
    <w:lvl w:ilvl="1" w:tplc="C5000E2A">
      <w:start w:val="1"/>
      <w:numFmt w:val="lowerLetter"/>
      <w:lvlText w:val="%2."/>
      <w:lvlJc w:val="left"/>
      <w:pPr>
        <w:ind w:left="1440" w:hanging="360"/>
      </w:pPr>
    </w:lvl>
    <w:lvl w:ilvl="2" w:tplc="CE868B48">
      <w:start w:val="1"/>
      <w:numFmt w:val="lowerRoman"/>
      <w:lvlText w:val="%3."/>
      <w:lvlJc w:val="right"/>
      <w:pPr>
        <w:ind w:left="2160" w:hanging="180"/>
      </w:pPr>
    </w:lvl>
    <w:lvl w:ilvl="3" w:tplc="AC724094">
      <w:start w:val="1"/>
      <w:numFmt w:val="decimal"/>
      <w:lvlText w:val="%4."/>
      <w:lvlJc w:val="left"/>
      <w:pPr>
        <w:ind w:left="2880" w:hanging="360"/>
      </w:pPr>
    </w:lvl>
    <w:lvl w:ilvl="4" w:tplc="F8D46D80">
      <w:start w:val="1"/>
      <w:numFmt w:val="lowerLetter"/>
      <w:lvlText w:val="%5."/>
      <w:lvlJc w:val="left"/>
      <w:pPr>
        <w:ind w:left="3600" w:hanging="360"/>
      </w:pPr>
    </w:lvl>
    <w:lvl w:ilvl="5" w:tplc="246242A6">
      <w:start w:val="1"/>
      <w:numFmt w:val="lowerRoman"/>
      <w:lvlText w:val="%6."/>
      <w:lvlJc w:val="right"/>
      <w:pPr>
        <w:ind w:left="4320" w:hanging="180"/>
      </w:pPr>
    </w:lvl>
    <w:lvl w:ilvl="6" w:tplc="5400FB3A">
      <w:start w:val="1"/>
      <w:numFmt w:val="decimal"/>
      <w:lvlText w:val="%7."/>
      <w:lvlJc w:val="left"/>
      <w:pPr>
        <w:ind w:left="5040" w:hanging="360"/>
      </w:pPr>
    </w:lvl>
    <w:lvl w:ilvl="7" w:tplc="7CB0CB0E">
      <w:start w:val="1"/>
      <w:numFmt w:val="lowerLetter"/>
      <w:lvlText w:val="%8."/>
      <w:lvlJc w:val="left"/>
      <w:pPr>
        <w:ind w:left="5760" w:hanging="360"/>
      </w:pPr>
    </w:lvl>
    <w:lvl w:ilvl="8" w:tplc="7BE0E366">
      <w:start w:val="1"/>
      <w:numFmt w:val="lowerRoman"/>
      <w:lvlText w:val="%9."/>
      <w:lvlJc w:val="right"/>
      <w:pPr>
        <w:ind w:left="6480" w:hanging="180"/>
      </w:pPr>
    </w:lvl>
  </w:abstractNum>
  <w:num w:numId="1" w16cid:durableId="9944585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62839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544C"/>
    <w:rsid w:val="00014CDD"/>
    <w:rsid w:val="000F3929"/>
    <w:rsid w:val="001737C7"/>
    <w:rsid w:val="00274B5E"/>
    <w:rsid w:val="00416008"/>
    <w:rsid w:val="00421A32"/>
    <w:rsid w:val="0050544C"/>
    <w:rsid w:val="005F2558"/>
    <w:rsid w:val="007568A4"/>
    <w:rsid w:val="00AE60AF"/>
    <w:rsid w:val="00FB68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51BE20"/>
  <w15:chartTrackingRefBased/>
  <w15:docId w15:val="{DFB634FA-274A-4340-9C13-EC0335F57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0544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0544C"/>
    <w:pPr>
      <w:tabs>
        <w:tab w:val="center" w:pos="4153"/>
        <w:tab w:val="right" w:pos="8306"/>
      </w:tabs>
    </w:pPr>
  </w:style>
  <w:style w:type="character" w:customStyle="1" w:styleId="a4">
    <w:name w:val="כותרת עליונה תו"/>
    <w:link w:val="a3"/>
    <w:rsid w:val="0050544C"/>
    <w:rPr>
      <w:rFonts w:ascii="Times New Roman" w:eastAsia="Times New Roman" w:hAnsi="Times New Roman" w:cs="David"/>
      <w:sz w:val="24"/>
      <w:szCs w:val="24"/>
    </w:rPr>
  </w:style>
  <w:style w:type="paragraph" w:styleId="a5">
    <w:name w:val="footer"/>
    <w:basedOn w:val="a"/>
    <w:link w:val="a6"/>
    <w:rsid w:val="0050544C"/>
    <w:pPr>
      <w:tabs>
        <w:tab w:val="center" w:pos="4153"/>
        <w:tab w:val="right" w:pos="8306"/>
      </w:tabs>
    </w:pPr>
  </w:style>
  <w:style w:type="character" w:customStyle="1" w:styleId="a6">
    <w:name w:val="כותרת תחתונה תו"/>
    <w:link w:val="a5"/>
    <w:rsid w:val="0050544C"/>
    <w:rPr>
      <w:rFonts w:ascii="Times New Roman" w:eastAsia="Times New Roman" w:hAnsi="Times New Roman" w:cs="David"/>
      <w:sz w:val="24"/>
      <w:szCs w:val="24"/>
    </w:rPr>
  </w:style>
  <w:style w:type="table" w:styleId="a7">
    <w:name w:val="Table Grid"/>
    <w:basedOn w:val="a1"/>
    <w:rsid w:val="0050544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0544C"/>
  </w:style>
  <w:style w:type="paragraph" w:styleId="a9">
    <w:name w:val="List Paragraph"/>
    <w:basedOn w:val="a"/>
    <w:qFormat/>
    <w:rsid w:val="0050544C"/>
    <w:pPr>
      <w:ind w:left="720"/>
      <w:contextualSpacing/>
    </w:pPr>
  </w:style>
  <w:style w:type="character" w:styleId="Hyperlink">
    <w:name w:val="Hyperlink"/>
    <w:rsid w:val="00FB68D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2931697" TargetMode="External"/><Relationship Id="rId3" Type="http://schemas.openxmlformats.org/officeDocument/2006/relationships/settings" Target="settings.xml"/><Relationship Id="rId21" Type="http://schemas.openxmlformats.org/officeDocument/2006/relationships/hyperlink" Target="http://www.nevo.co.il/case/20996674"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25207995"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4216/7.a" TargetMode="External"/><Relationship Id="rId20" Type="http://schemas.openxmlformats.org/officeDocument/2006/relationships/hyperlink" Target="http://www.nevo.co.il/case/20420496"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0126232"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1795811" TargetMode="External"/><Relationship Id="rId28" Type="http://schemas.openxmlformats.org/officeDocument/2006/relationships/header" Target="header1.xml"/><Relationship Id="rId10" Type="http://schemas.openxmlformats.org/officeDocument/2006/relationships/hyperlink" Target="http://www.nevo.co.il/law/4216/13" TargetMode="External"/><Relationship Id="rId19" Type="http://schemas.openxmlformats.org/officeDocument/2006/relationships/hyperlink" Target="http://www.nevo.co.il/case/25207995"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22930695" TargetMode="External"/><Relationship Id="rId27" Type="http://schemas.openxmlformats.org/officeDocument/2006/relationships/hyperlink" Target="http://www.nevo.co.il/advertisements/nevo-100.doc" TargetMode="External"/><Relationship Id="rId30" Type="http://schemas.openxmlformats.org/officeDocument/2006/relationships/footer" Target="footer1.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1595</Words>
  <Characters>7975</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9551</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3342451</vt:i4>
      </vt:variant>
      <vt:variant>
        <vt:i4>57</vt:i4>
      </vt:variant>
      <vt:variant>
        <vt:i4>0</vt:i4>
      </vt:variant>
      <vt:variant>
        <vt:i4>5</vt:i4>
      </vt:variant>
      <vt:variant>
        <vt:lpwstr>http://www.nevo.co.il/case/22931697</vt:lpwstr>
      </vt:variant>
      <vt:variant>
        <vt:lpwstr/>
      </vt:variant>
      <vt:variant>
        <vt:i4>4063352</vt:i4>
      </vt:variant>
      <vt:variant>
        <vt:i4>54</vt:i4>
      </vt:variant>
      <vt:variant>
        <vt:i4>0</vt:i4>
      </vt:variant>
      <vt:variant>
        <vt:i4>5</vt:i4>
      </vt:variant>
      <vt:variant>
        <vt:lpwstr>http://www.nevo.co.il/case/25207995</vt:lpwstr>
      </vt:variant>
      <vt:variant>
        <vt:lpwstr/>
      </vt:variant>
      <vt:variant>
        <vt:i4>3539060</vt:i4>
      </vt:variant>
      <vt:variant>
        <vt:i4>51</vt:i4>
      </vt:variant>
      <vt:variant>
        <vt:i4>0</vt:i4>
      </vt:variant>
      <vt:variant>
        <vt:i4>5</vt:i4>
      </vt:variant>
      <vt:variant>
        <vt:lpwstr>http://www.nevo.co.il/case/20126232</vt:lpwstr>
      </vt:variant>
      <vt:variant>
        <vt:lpwstr/>
      </vt:variant>
      <vt:variant>
        <vt:i4>3211380</vt:i4>
      </vt:variant>
      <vt:variant>
        <vt:i4>48</vt:i4>
      </vt:variant>
      <vt:variant>
        <vt:i4>0</vt:i4>
      </vt:variant>
      <vt:variant>
        <vt:i4>5</vt:i4>
      </vt:variant>
      <vt:variant>
        <vt:lpwstr>http://www.nevo.co.il/case/21795811</vt:lpwstr>
      </vt:variant>
      <vt:variant>
        <vt:lpwstr/>
      </vt:variant>
      <vt:variant>
        <vt:i4>3276915</vt:i4>
      </vt:variant>
      <vt:variant>
        <vt:i4>45</vt:i4>
      </vt:variant>
      <vt:variant>
        <vt:i4>0</vt:i4>
      </vt:variant>
      <vt:variant>
        <vt:i4>5</vt:i4>
      </vt:variant>
      <vt:variant>
        <vt:lpwstr>http://www.nevo.co.il/case/22930695</vt:lpwstr>
      </vt:variant>
      <vt:variant>
        <vt:lpwstr/>
      </vt:variant>
      <vt:variant>
        <vt:i4>3801211</vt:i4>
      </vt:variant>
      <vt:variant>
        <vt:i4>42</vt:i4>
      </vt:variant>
      <vt:variant>
        <vt:i4>0</vt:i4>
      </vt:variant>
      <vt:variant>
        <vt:i4>5</vt:i4>
      </vt:variant>
      <vt:variant>
        <vt:lpwstr>http://www.nevo.co.il/case/20996674</vt:lpwstr>
      </vt:variant>
      <vt:variant>
        <vt:lpwstr/>
      </vt:variant>
      <vt:variant>
        <vt:i4>4128882</vt:i4>
      </vt:variant>
      <vt:variant>
        <vt:i4>39</vt:i4>
      </vt:variant>
      <vt:variant>
        <vt:i4>0</vt:i4>
      </vt:variant>
      <vt:variant>
        <vt:i4>5</vt:i4>
      </vt:variant>
      <vt:variant>
        <vt:lpwstr>http://www.nevo.co.il/case/20420496</vt:lpwstr>
      </vt:variant>
      <vt:variant>
        <vt:lpwstr/>
      </vt:variant>
      <vt:variant>
        <vt:i4>4063352</vt:i4>
      </vt:variant>
      <vt:variant>
        <vt:i4>36</vt:i4>
      </vt:variant>
      <vt:variant>
        <vt:i4>0</vt:i4>
      </vt:variant>
      <vt:variant>
        <vt:i4>5</vt:i4>
      </vt:variant>
      <vt:variant>
        <vt:lpwstr>http://www.nevo.co.il/case/25207995</vt:lpwstr>
      </vt:variant>
      <vt:variant>
        <vt:lpwstr/>
      </vt:variant>
      <vt:variant>
        <vt:i4>7995492</vt:i4>
      </vt:variant>
      <vt:variant>
        <vt:i4>33</vt:i4>
      </vt:variant>
      <vt:variant>
        <vt:i4>0</vt:i4>
      </vt:variant>
      <vt:variant>
        <vt:i4>5</vt:i4>
      </vt:variant>
      <vt:variant>
        <vt:lpwstr>http://www.nevo.co.il/law/70301</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2025-04-22T23:29:00Z</dcterms:created>
  <dcterms:modified xsi:type="dcterms:W3CDTF">2025-04-22T23:29:00Z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36782</vt:lpwstr>
  </property>
  <property fmtid="{D5CDD505-2E9C-101B-9397-08002B2CF9AE}" pid="6" name="NEWPARTB">
    <vt:lpwstr>07</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אולגה אייניסמן</vt:lpwstr>
  </property>
  <property fmtid="{D5CDD505-2E9C-101B-9397-08002B2CF9AE}" pid="10" name="LAWYER">
    <vt:lpwstr>שחר לדובסקי;ירון ברזילי ;דניאל גרוביצקי</vt:lpwstr>
  </property>
  <property fmtid="{D5CDD505-2E9C-101B-9397-08002B2CF9AE}" pid="11" name="JUDGE">
    <vt:lpwstr>רועי פרי</vt:lpwstr>
  </property>
  <property fmtid="{D5CDD505-2E9C-101B-9397-08002B2CF9AE}" pid="12" name="CITY">
    <vt:lpwstr>ת"א</vt:lpwstr>
  </property>
  <property fmtid="{D5CDD505-2E9C-101B-9397-08002B2CF9AE}" pid="13" name="DATE">
    <vt:lpwstr>20200206</vt:lpwstr>
  </property>
  <property fmtid="{D5CDD505-2E9C-101B-9397-08002B2CF9AE}" pid="14" name="TYPE_N_DATE">
    <vt:lpwstr>38020200206</vt:lpwstr>
  </property>
  <property fmtid="{D5CDD505-2E9C-101B-9397-08002B2CF9AE}" pid="15" name="CASESLISTTMP1">
    <vt:lpwstr>25207995:2;20420496;20996674;22930695;21795811;20126232;22931697</vt:lpwstr>
  </property>
  <property fmtid="{D5CDD505-2E9C-101B-9397-08002B2CF9AE}" pid="16" name="WORDNUMPAGES">
    <vt:lpwstr>6</vt:lpwstr>
  </property>
  <property fmtid="{D5CDD505-2E9C-101B-9397-08002B2CF9AE}" pid="17" name="TYPE_ABS_DATE">
    <vt:lpwstr>380020200206</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4216/013;019a;007.a;007.c</vt:lpwstr>
  </property>
  <property fmtid="{D5CDD505-2E9C-101B-9397-08002B2CF9AE}" pid="37" name="LAWLISTTMP2">
    <vt:lpwstr>70301</vt:lpwstr>
  </property>
</Properties>
</file>