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DE6637" w:rsidRPr="006C0D88" w14:paraId="3A429FAB" w14:textId="77777777" w:rsidTr="00487860">
        <w:trPr>
          <w:trHeight w:hRule="exact" w:val="418"/>
          <w:jc w:val="center"/>
        </w:trPr>
        <w:tc>
          <w:tcPr>
            <w:tcW w:w="8721" w:type="dxa"/>
            <w:gridSpan w:val="2"/>
          </w:tcPr>
          <w:p w14:paraId="19BB1C8A" w14:textId="77777777" w:rsidR="00DE6637" w:rsidRPr="006C0D88" w:rsidRDefault="00DE6637" w:rsidP="00C02588">
            <w:pPr>
              <w:pStyle w:val="a3"/>
              <w:jc w:val="center"/>
              <w:rPr>
                <w:rFonts w:ascii="Tahoma" w:hAnsi="Tahoma" w:cs="Tahoma"/>
                <w:color w:val="000080"/>
                <w:rtl/>
              </w:rPr>
            </w:pPr>
            <w:bookmarkStart w:id="0" w:name="LastJudge"/>
            <w:r w:rsidRPr="006C0D88">
              <w:rPr>
                <w:rFonts w:ascii="Tahoma" w:hAnsi="Tahoma" w:cs="Tahoma"/>
                <w:b/>
                <w:bCs/>
                <w:color w:val="000080"/>
                <w:rtl/>
              </w:rPr>
              <w:t>בית משפט השלום בירושלים</w:t>
            </w:r>
          </w:p>
        </w:tc>
      </w:tr>
      <w:tr w:rsidR="00DE6637" w:rsidRPr="006C0D88" w14:paraId="568E6EFC" w14:textId="77777777" w:rsidTr="00487860">
        <w:trPr>
          <w:trHeight w:val="337"/>
          <w:jc w:val="center"/>
        </w:trPr>
        <w:tc>
          <w:tcPr>
            <w:tcW w:w="5060" w:type="dxa"/>
          </w:tcPr>
          <w:p w14:paraId="28F42C2E" w14:textId="77777777" w:rsidR="00DE6637" w:rsidRPr="006C0D88" w:rsidRDefault="00DE6637" w:rsidP="00C02588">
            <w:pPr>
              <w:rPr>
                <w:rFonts w:cs="FrankRuehl"/>
                <w:sz w:val="28"/>
                <w:szCs w:val="28"/>
                <w:rtl/>
              </w:rPr>
            </w:pPr>
            <w:r w:rsidRPr="006C0D88">
              <w:rPr>
                <w:rFonts w:cs="FrankRuehl"/>
                <w:sz w:val="28"/>
                <w:szCs w:val="28"/>
                <w:rtl/>
              </w:rPr>
              <w:t>ת"פ</w:t>
            </w:r>
            <w:r w:rsidRPr="006C0D88">
              <w:rPr>
                <w:rFonts w:cs="FrankRuehl" w:hint="cs"/>
                <w:sz w:val="28"/>
                <w:szCs w:val="28"/>
                <w:rtl/>
              </w:rPr>
              <w:t xml:space="preserve"> </w:t>
            </w:r>
            <w:r w:rsidRPr="006C0D88">
              <w:rPr>
                <w:rFonts w:cs="FrankRuehl"/>
                <w:sz w:val="28"/>
                <w:szCs w:val="28"/>
                <w:rtl/>
              </w:rPr>
              <w:t>45537-07-17</w:t>
            </w:r>
            <w:r w:rsidRPr="006C0D88">
              <w:rPr>
                <w:rFonts w:cs="FrankRuehl" w:hint="cs"/>
                <w:sz w:val="28"/>
                <w:szCs w:val="28"/>
                <w:rtl/>
              </w:rPr>
              <w:t xml:space="preserve"> </w:t>
            </w:r>
            <w:r w:rsidRPr="006C0D88">
              <w:rPr>
                <w:rFonts w:cs="FrankRuehl"/>
                <w:sz w:val="28"/>
                <w:szCs w:val="28"/>
                <w:rtl/>
              </w:rPr>
              <w:t>מדינת ישראל נ' גית(אחר/נוסף)</w:t>
            </w:r>
          </w:p>
          <w:p w14:paraId="3A4F9802" w14:textId="77777777" w:rsidR="00DE6637" w:rsidRPr="006C0D88" w:rsidRDefault="00DE6637" w:rsidP="00C02588">
            <w:pPr>
              <w:pStyle w:val="a3"/>
              <w:rPr>
                <w:rFonts w:cs="FrankRuehl"/>
                <w:sz w:val="28"/>
                <w:szCs w:val="28"/>
                <w:rtl/>
              </w:rPr>
            </w:pPr>
          </w:p>
        </w:tc>
        <w:tc>
          <w:tcPr>
            <w:tcW w:w="3661" w:type="dxa"/>
          </w:tcPr>
          <w:p w14:paraId="1A876084" w14:textId="77777777" w:rsidR="00DE6637" w:rsidRPr="006C0D88" w:rsidRDefault="00DE6637" w:rsidP="00C02588">
            <w:pPr>
              <w:pStyle w:val="a3"/>
              <w:jc w:val="right"/>
              <w:rPr>
                <w:rFonts w:cs="FrankRuehl"/>
                <w:sz w:val="28"/>
                <w:szCs w:val="28"/>
                <w:rtl/>
              </w:rPr>
            </w:pPr>
          </w:p>
        </w:tc>
      </w:tr>
    </w:tbl>
    <w:p w14:paraId="31449AE1" w14:textId="77777777" w:rsidR="00DE6637" w:rsidRPr="006C0D88" w:rsidRDefault="00DE6637" w:rsidP="00DE6637">
      <w:pPr>
        <w:pStyle w:val="a3"/>
        <w:rPr>
          <w:rtl/>
        </w:rPr>
      </w:pPr>
      <w:r w:rsidRPr="006C0D88">
        <w:rPr>
          <w:rFonts w:hint="cs"/>
          <w:rtl/>
        </w:rPr>
        <w:t xml:space="preserve"> </w:t>
      </w:r>
    </w:p>
    <w:p w14:paraId="2FF681B5" w14:textId="77777777" w:rsidR="00DE6637" w:rsidRPr="006C0D88" w:rsidRDefault="00DE6637" w:rsidP="00DE6637">
      <w:pPr>
        <w:rPr>
          <w:rtl/>
        </w:rPr>
      </w:pPr>
    </w:p>
    <w:p w14:paraId="1EDAB9AC" w14:textId="77777777" w:rsidR="00DE6637" w:rsidRPr="006C0D88" w:rsidRDefault="00DE6637" w:rsidP="00DE663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E6637" w:rsidRPr="006C0D88" w14:paraId="6CB11DA7" w14:textId="77777777" w:rsidTr="00DE6637">
        <w:trPr>
          <w:trHeight w:val="295"/>
          <w:jc w:val="center"/>
        </w:trPr>
        <w:tc>
          <w:tcPr>
            <w:tcW w:w="923" w:type="dxa"/>
            <w:tcBorders>
              <w:top w:val="nil"/>
              <w:left w:val="nil"/>
              <w:bottom w:val="nil"/>
              <w:right w:val="nil"/>
            </w:tcBorders>
            <w:shd w:val="clear" w:color="auto" w:fill="auto"/>
          </w:tcPr>
          <w:p w14:paraId="4811C8CF" w14:textId="77777777" w:rsidR="00DE6637" w:rsidRPr="006C0D88" w:rsidRDefault="00DE6637" w:rsidP="00DE6637">
            <w:pPr>
              <w:jc w:val="both"/>
              <w:rPr>
                <w:rFonts w:ascii="Arial" w:hAnsi="Arial" w:cs="FrankRuehl"/>
                <w:sz w:val="28"/>
                <w:szCs w:val="28"/>
              </w:rPr>
            </w:pPr>
            <w:r w:rsidRPr="006C0D88">
              <w:rPr>
                <w:rFonts w:ascii="Arial" w:hAnsi="Arial" w:cs="FrankRuehl" w:hint="cs"/>
                <w:sz w:val="28"/>
                <w:szCs w:val="28"/>
                <w:rtl/>
              </w:rPr>
              <w:t>ב</w:t>
            </w:r>
            <w:r w:rsidRPr="006C0D88">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D51986B" w14:textId="77777777" w:rsidR="00DE6637" w:rsidRPr="006C0D88" w:rsidRDefault="00DE6637" w:rsidP="00C02588">
            <w:pPr>
              <w:rPr>
                <w:rFonts w:ascii="Arial" w:hAnsi="Arial"/>
                <w:b/>
                <w:bCs/>
                <w:rtl/>
              </w:rPr>
            </w:pPr>
            <w:r w:rsidRPr="006C0D88">
              <w:rPr>
                <w:rFonts w:ascii="Arial" w:hAnsi="Arial" w:hint="cs"/>
                <w:b/>
                <w:bCs/>
                <w:rtl/>
              </w:rPr>
              <w:t>כבוד ה</w:t>
            </w:r>
            <w:r w:rsidRPr="006C0D88">
              <w:rPr>
                <w:rFonts w:ascii="Arial" w:hAnsi="Arial"/>
                <w:b/>
                <w:bCs/>
                <w:rtl/>
              </w:rPr>
              <w:t>שופטת בכירה</w:t>
            </w:r>
            <w:r w:rsidRPr="006C0D88">
              <w:rPr>
                <w:rFonts w:ascii="Arial" w:hAnsi="Arial" w:hint="cs"/>
                <w:b/>
                <w:bCs/>
                <w:rtl/>
              </w:rPr>
              <w:t xml:space="preserve">  </w:t>
            </w:r>
            <w:r w:rsidRPr="006C0D88">
              <w:rPr>
                <w:rFonts w:ascii="Arial" w:hAnsi="Arial"/>
                <w:b/>
                <w:bCs/>
                <w:rtl/>
              </w:rPr>
              <w:t>שרון לארי-בבלי</w:t>
            </w:r>
          </w:p>
          <w:p w14:paraId="6E513E4C" w14:textId="77777777" w:rsidR="00DE6637" w:rsidRPr="006C0D88" w:rsidRDefault="00DE6637" w:rsidP="00C02588">
            <w:pPr>
              <w:rPr>
                <w:rtl/>
              </w:rPr>
            </w:pPr>
          </w:p>
          <w:p w14:paraId="3DCFEC82" w14:textId="77777777" w:rsidR="00DE6637" w:rsidRPr="006C0D88" w:rsidRDefault="00DE6637" w:rsidP="00DE6637">
            <w:pPr>
              <w:jc w:val="both"/>
              <w:rPr>
                <w:rFonts w:ascii="Arial" w:hAnsi="Arial" w:cs="FrankRuehl"/>
                <w:sz w:val="28"/>
                <w:szCs w:val="28"/>
              </w:rPr>
            </w:pPr>
          </w:p>
        </w:tc>
      </w:tr>
      <w:tr w:rsidR="00DE6637" w:rsidRPr="006C0D88" w14:paraId="137B3E5A" w14:textId="77777777" w:rsidTr="00DE6637">
        <w:trPr>
          <w:trHeight w:val="355"/>
          <w:jc w:val="center"/>
        </w:trPr>
        <w:tc>
          <w:tcPr>
            <w:tcW w:w="923" w:type="dxa"/>
            <w:tcBorders>
              <w:top w:val="nil"/>
              <w:left w:val="nil"/>
              <w:bottom w:val="nil"/>
              <w:right w:val="nil"/>
            </w:tcBorders>
            <w:shd w:val="clear" w:color="auto" w:fill="auto"/>
          </w:tcPr>
          <w:p w14:paraId="61CB751F" w14:textId="77777777" w:rsidR="00DE6637" w:rsidRPr="006C0D88" w:rsidRDefault="00DE6637" w:rsidP="00DE6637">
            <w:pPr>
              <w:jc w:val="both"/>
              <w:rPr>
                <w:rFonts w:ascii="Arial" w:hAnsi="Arial" w:cs="FrankRuehl"/>
                <w:sz w:val="28"/>
                <w:szCs w:val="28"/>
              </w:rPr>
            </w:pPr>
            <w:bookmarkStart w:id="1" w:name="FirstAppellant"/>
            <w:r w:rsidRPr="006C0D88">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558FE00" w14:textId="77777777" w:rsidR="00DE6637" w:rsidRPr="006C0D88" w:rsidRDefault="00DE6637" w:rsidP="00C02588">
            <w:r w:rsidRPr="006C0D88">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52153ABD" w14:textId="77777777" w:rsidR="00DE6637" w:rsidRPr="006C0D88" w:rsidRDefault="00DE6637" w:rsidP="00DE6637">
            <w:pPr>
              <w:jc w:val="both"/>
              <w:rPr>
                <w:rFonts w:ascii="Arial" w:hAnsi="Arial" w:cs="FrankRuehl"/>
                <w:sz w:val="28"/>
                <w:szCs w:val="28"/>
              </w:rPr>
            </w:pPr>
          </w:p>
        </w:tc>
      </w:tr>
      <w:bookmarkEnd w:id="1"/>
      <w:tr w:rsidR="00DE6637" w:rsidRPr="006C0D88" w14:paraId="20D90655" w14:textId="77777777" w:rsidTr="00DE6637">
        <w:trPr>
          <w:trHeight w:val="355"/>
          <w:jc w:val="center"/>
        </w:trPr>
        <w:tc>
          <w:tcPr>
            <w:tcW w:w="923" w:type="dxa"/>
            <w:tcBorders>
              <w:top w:val="nil"/>
              <w:left w:val="nil"/>
              <w:bottom w:val="nil"/>
              <w:right w:val="nil"/>
            </w:tcBorders>
            <w:shd w:val="clear" w:color="auto" w:fill="auto"/>
          </w:tcPr>
          <w:p w14:paraId="7A13C66D" w14:textId="77777777" w:rsidR="00DE6637" w:rsidRPr="006C0D88" w:rsidRDefault="00DE6637" w:rsidP="00DE663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3B04B97" w14:textId="77777777" w:rsidR="00DE6637" w:rsidRPr="006C0D88" w:rsidRDefault="00DE6637" w:rsidP="00DE6637">
            <w:pPr>
              <w:jc w:val="both"/>
              <w:rPr>
                <w:rtl/>
              </w:rPr>
            </w:pPr>
          </w:p>
        </w:tc>
        <w:tc>
          <w:tcPr>
            <w:tcW w:w="3771" w:type="dxa"/>
            <w:tcBorders>
              <w:top w:val="nil"/>
              <w:left w:val="nil"/>
              <w:bottom w:val="nil"/>
              <w:right w:val="nil"/>
            </w:tcBorders>
            <w:shd w:val="clear" w:color="auto" w:fill="auto"/>
          </w:tcPr>
          <w:p w14:paraId="7D50D3C4" w14:textId="77777777" w:rsidR="00DE6637" w:rsidRPr="006C0D88" w:rsidRDefault="00DE6637" w:rsidP="00DE6637">
            <w:pPr>
              <w:jc w:val="right"/>
              <w:rPr>
                <w:rFonts w:ascii="Arial" w:hAnsi="Arial" w:cs="FrankRuehl"/>
                <w:sz w:val="28"/>
                <w:szCs w:val="28"/>
                <w:rtl/>
              </w:rPr>
            </w:pPr>
            <w:r w:rsidRPr="006C0D88">
              <w:rPr>
                <w:rFonts w:ascii="Arial" w:hAnsi="Arial" w:cs="FrankRuehl" w:hint="cs"/>
                <w:sz w:val="28"/>
                <w:szCs w:val="28"/>
                <w:rtl/>
              </w:rPr>
              <w:t>ה</w:t>
            </w:r>
            <w:r w:rsidRPr="006C0D88">
              <w:rPr>
                <w:rFonts w:ascii="Arial" w:hAnsi="Arial" w:cs="FrankRuehl"/>
                <w:sz w:val="28"/>
                <w:szCs w:val="28"/>
                <w:rtl/>
              </w:rPr>
              <w:t>מאשימה</w:t>
            </w:r>
          </w:p>
        </w:tc>
      </w:tr>
      <w:tr w:rsidR="00DE6637" w:rsidRPr="006C0D88" w14:paraId="2E86AF1E" w14:textId="77777777" w:rsidTr="00DE6637">
        <w:trPr>
          <w:trHeight w:val="355"/>
          <w:jc w:val="center"/>
        </w:trPr>
        <w:tc>
          <w:tcPr>
            <w:tcW w:w="923" w:type="dxa"/>
            <w:tcBorders>
              <w:top w:val="nil"/>
              <w:left w:val="nil"/>
              <w:bottom w:val="nil"/>
              <w:right w:val="nil"/>
            </w:tcBorders>
            <w:shd w:val="clear" w:color="auto" w:fill="auto"/>
          </w:tcPr>
          <w:p w14:paraId="40D4B5BC" w14:textId="77777777" w:rsidR="00DE6637" w:rsidRPr="006C0D88" w:rsidRDefault="00DE6637" w:rsidP="00DE6637">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B4CB262" w14:textId="77777777" w:rsidR="00DE6637" w:rsidRPr="006C0D88" w:rsidRDefault="00DE6637" w:rsidP="00DE6637">
            <w:pPr>
              <w:jc w:val="center"/>
              <w:rPr>
                <w:rFonts w:ascii="Arial" w:hAnsi="Arial" w:cs="FrankRuehl"/>
                <w:b/>
                <w:bCs/>
                <w:sz w:val="28"/>
                <w:szCs w:val="28"/>
                <w:rtl/>
              </w:rPr>
            </w:pPr>
          </w:p>
          <w:p w14:paraId="08641F37" w14:textId="77777777" w:rsidR="00DE6637" w:rsidRPr="006C0D88" w:rsidRDefault="00DE6637" w:rsidP="00DE6637">
            <w:pPr>
              <w:jc w:val="center"/>
              <w:rPr>
                <w:rFonts w:ascii="Arial" w:hAnsi="Arial" w:cs="FrankRuehl"/>
                <w:b/>
                <w:bCs/>
                <w:sz w:val="28"/>
                <w:szCs w:val="28"/>
                <w:rtl/>
              </w:rPr>
            </w:pPr>
            <w:r w:rsidRPr="006C0D88">
              <w:rPr>
                <w:rFonts w:ascii="Arial" w:hAnsi="Arial" w:cs="FrankRuehl"/>
                <w:b/>
                <w:bCs/>
                <w:sz w:val="28"/>
                <w:szCs w:val="28"/>
                <w:rtl/>
              </w:rPr>
              <w:t>נגד</w:t>
            </w:r>
          </w:p>
          <w:p w14:paraId="040E2AA5" w14:textId="77777777" w:rsidR="00DE6637" w:rsidRPr="006C0D88" w:rsidRDefault="00DE6637" w:rsidP="00DE6637">
            <w:pPr>
              <w:jc w:val="both"/>
              <w:rPr>
                <w:rFonts w:ascii="Arial" w:hAnsi="Arial" w:cs="FrankRuehl"/>
                <w:sz w:val="28"/>
                <w:szCs w:val="28"/>
              </w:rPr>
            </w:pPr>
          </w:p>
        </w:tc>
      </w:tr>
      <w:tr w:rsidR="00DE6637" w:rsidRPr="006C0D88" w14:paraId="5D3D1472" w14:textId="77777777" w:rsidTr="00DE6637">
        <w:trPr>
          <w:trHeight w:val="355"/>
          <w:jc w:val="center"/>
        </w:trPr>
        <w:tc>
          <w:tcPr>
            <w:tcW w:w="923" w:type="dxa"/>
            <w:tcBorders>
              <w:top w:val="nil"/>
              <w:left w:val="nil"/>
              <w:bottom w:val="nil"/>
              <w:right w:val="nil"/>
            </w:tcBorders>
            <w:shd w:val="clear" w:color="auto" w:fill="auto"/>
          </w:tcPr>
          <w:p w14:paraId="7FF8EE0F" w14:textId="77777777" w:rsidR="00DE6637" w:rsidRPr="006C0D88" w:rsidRDefault="00DE6637" w:rsidP="00C02588">
            <w:pPr>
              <w:rPr>
                <w:rFonts w:ascii="Arial" w:hAnsi="Arial" w:cs="FrankRuehl"/>
                <w:sz w:val="28"/>
                <w:szCs w:val="28"/>
                <w:rtl/>
              </w:rPr>
            </w:pPr>
          </w:p>
        </w:tc>
        <w:tc>
          <w:tcPr>
            <w:tcW w:w="4126" w:type="dxa"/>
            <w:tcBorders>
              <w:top w:val="nil"/>
              <w:left w:val="nil"/>
              <w:bottom w:val="nil"/>
              <w:right w:val="nil"/>
            </w:tcBorders>
            <w:shd w:val="clear" w:color="auto" w:fill="auto"/>
          </w:tcPr>
          <w:p w14:paraId="0BD19F54" w14:textId="77777777" w:rsidR="00DE6637" w:rsidRPr="006C0D88" w:rsidRDefault="00DE6637" w:rsidP="00C02588">
            <w:pPr>
              <w:rPr>
                <w:rtl/>
              </w:rPr>
            </w:pPr>
            <w:r w:rsidRPr="006C0D88">
              <w:rPr>
                <w:rFonts w:ascii="Arial" w:hAnsi="Arial" w:cs="FrankRuehl"/>
                <w:sz w:val="28"/>
                <w:szCs w:val="28"/>
                <w:rtl/>
              </w:rPr>
              <w:t>עבד אלנאסר גית (אחר/נוסף)</w:t>
            </w:r>
          </w:p>
        </w:tc>
        <w:tc>
          <w:tcPr>
            <w:tcW w:w="3771" w:type="dxa"/>
            <w:tcBorders>
              <w:top w:val="nil"/>
              <w:left w:val="nil"/>
              <w:bottom w:val="nil"/>
              <w:right w:val="nil"/>
            </w:tcBorders>
            <w:shd w:val="clear" w:color="auto" w:fill="auto"/>
          </w:tcPr>
          <w:p w14:paraId="03D9FFF5" w14:textId="77777777" w:rsidR="00DE6637" w:rsidRPr="006C0D88" w:rsidRDefault="00DE6637" w:rsidP="00DE6637">
            <w:pPr>
              <w:jc w:val="right"/>
              <w:rPr>
                <w:rFonts w:ascii="Arial" w:hAnsi="Arial" w:cs="FrankRuehl"/>
                <w:sz w:val="28"/>
                <w:szCs w:val="28"/>
              </w:rPr>
            </w:pPr>
          </w:p>
        </w:tc>
      </w:tr>
      <w:tr w:rsidR="00DE6637" w:rsidRPr="006C0D88" w14:paraId="2CE70A6F" w14:textId="77777777" w:rsidTr="00DE6637">
        <w:trPr>
          <w:trHeight w:val="355"/>
          <w:jc w:val="center"/>
        </w:trPr>
        <w:tc>
          <w:tcPr>
            <w:tcW w:w="923" w:type="dxa"/>
            <w:tcBorders>
              <w:top w:val="nil"/>
              <w:left w:val="nil"/>
              <w:bottom w:val="nil"/>
              <w:right w:val="nil"/>
            </w:tcBorders>
            <w:shd w:val="clear" w:color="auto" w:fill="auto"/>
          </w:tcPr>
          <w:p w14:paraId="0B464D55" w14:textId="77777777" w:rsidR="00DE6637" w:rsidRPr="006C0D88" w:rsidRDefault="00DE6637" w:rsidP="00DE663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3116948" w14:textId="77777777" w:rsidR="00DE6637" w:rsidRPr="006C0D88" w:rsidRDefault="00DE6637" w:rsidP="00DE6637">
            <w:pPr>
              <w:jc w:val="both"/>
              <w:rPr>
                <w:rtl/>
              </w:rPr>
            </w:pPr>
          </w:p>
        </w:tc>
        <w:tc>
          <w:tcPr>
            <w:tcW w:w="3771" w:type="dxa"/>
            <w:tcBorders>
              <w:top w:val="nil"/>
              <w:left w:val="nil"/>
              <w:bottom w:val="nil"/>
              <w:right w:val="nil"/>
            </w:tcBorders>
            <w:shd w:val="clear" w:color="auto" w:fill="auto"/>
          </w:tcPr>
          <w:p w14:paraId="6E00B9DB" w14:textId="77777777" w:rsidR="00DE6637" w:rsidRPr="006C0D88" w:rsidRDefault="00DE6637" w:rsidP="00DE6637">
            <w:pPr>
              <w:jc w:val="right"/>
              <w:rPr>
                <w:rFonts w:ascii="Arial" w:hAnsi="Arial" w:cs="FrankRuehl"/>
                <w:sz w:val="28"/>
                <w:szCs w:val="28"/>
              </w:rPr>
            </w:pPr>
            <w:r w:rsidRPr="006C0D88">
              <w:rPr>
                <w:rFonts w:ascii="Arial" w:hAnsi="Arial" w:cs="FrankRuehl" w:hint="cs"/>
                <w:sz w:val="28"/>
                <w:szCs w:val="28"/>
                <w:rtl/>
              </w:rPr>
              <w:t>ה</w:t>
            </w:r>
            <w:r w:rsidRPr="006C0D88">
              <w:rPr>
                <w:rFonts w:ascii="Arial" w:hAnsi="Arial" w:cs="FrankRuehl"/>
                <w:sz w:val="28"/>
                <w:szCs w:val="28"/>
                <w:rtl/>
              </w:rPr>
              <w:t>נאשמים</w:t>
            </w:r>
          </w:p>
        </w:tc>
      </w:tr>
    </w:tbl>
    <w:p w14:paraId="3688122D" w14:textId="77777777" w:rsidR="00487860" w:rsidRDefault="00487860" w:rsidP="00DE6637">
      <w:pPr>
        <w:rPr>
          <w:rtl/>
        </w:rPr>
      </w:pPr>
      <w:bookmarkStart w:id="2" w:name="LawTable"/>
      <w:bookmarkEnd w:id="2"/>
    </w:p>
    <w:p w14:paraId="1D2E17A0" w14:textId="77777777" w:rsidR="00487860" w:rsidRPr="00487860" w:rsidRDefault="00487860" w:rsidP="00487860">
      <w:pPr>
        <w:spacing w:after="120" w:line="240" w:lineRule="exact"/>
        <w:ind w:left="283" w:hanging="283"/>
        <w:jc w:val="both"/>
        <w:rPr>
          <w:rFonts w:ascii="FrankRuehl" w:hAnsi="FrankRuehl" w:cs="FrankRuehl"/>
          <w:rtl/>
        </w:rPr>
      </w:pPr>
    </w:p>
    <w:p w14:paraId="0C4D0F59" w14:textId="77777777" w:rsidR="00487860" w:rsidRPr="00487860" w:rsidRDefault="00487860" w:rsidP="00487860">
      <w:pPr>
        <w:spacing w:after="120" w:line="240" w:lineRule="exact"/>
        <w:ind w:left="283" w:hanging="283"/>
        <w:jc w:val="both"/>
        <w:rPr>
          <w:rFonts w:ascii="FrankRuehl" w:hAnsi="FrankRuehl" w:cs="FrankRuehl"/>
          <w:rtl/>
        </w:rPr>
      </w:pPr>
      <w:r w:rsidRPr="00487860">
        <w:rPr>
          <w:rFonts w:ascii="FrankRuehl" w:hAnsi="FrankRuehl" w:cs="FrankRuehl"/>
          <w:rtl/>
        </w:rPr>
        <w:t xml:space="preserve">חקיקה שאוזכרה: </w:t>
      </w:r>
    </w:p>
    <w:p w14:paraId="035281FB" w14:textId="77777777" w:rsidR="00487860" w:rsidRPr="00487860" w:rsidRDefault="00487860" w:rsidP="00487860">
      <w:pPr>
        <w:spacing w:after="120" w:line="240" w:lineRule="exact"/>
        <w:ind w:left="283" w:hanging="283"/>
        <w:jc w:val="both"/>
        <w:rPr>
          <w:rFonts w:ascii="FrankRuehl" w:hAnsi="FrankRuehl" w:cs="FrankRuehl"/>
          <w:rtl/>
        </w:rPr>
      </w:pPr>
      <w:hyperlink r:id="rId7" w:history="1">
        <w:r w:rsidRPr="00487860">
          <w:rPr>
            <w:rFonts w:ascii="FrankRuehl" w:hAnsi="FrankRuehl" w:cs="FrankRuehl"/>
            <w:color w:val="0000FF"/>
            <w:u w:val="single"/>
            <w:rtl/>
          </w:rPr>
          <w:t>פקודת הסמים המסוכנים [נוסח חדש], תשל"ג-1973</w:t>
        </w:r>
      </w:hyperlink>
      <w:r w:rsidRPr="00487860">
        <w:rPr>
          <w:rFonts w:ascii="FrankRuehl" w:hAnsi="FrankRuehl" w:cs="FrankRuehl"/>
          <w:rtl/>
        </w:rPr>
        <w:t xml:space="preserve">: סע'  </w:t>
      </w:r>
      <w:hyperlink r:id="rId8" w:history="1">
        <w:r w:rsidRPr="00487860">
          <w:rPr>
            <w:rFonts w:ascii="FrankRuehl" w:hAnsi="FrankRuehl" w:cs="FrankRuehl"/>
            <w:color w:val="0000FF"/>
            <w:u w:val="single"/>
            <w:rtl/>
          </w:rPr>
          <w:t>7.א.</w:t>
        </w:r>
      </w:hyperlink>
      <w:r w:rsidRPr="00487860">
        <w:rPr>
          <w:rFonts w:ascii="FrankRuehl" w:hAnsi="FrankRuehl" w:cs="FrankRuehl"/>
          <w:rtl/>
        </w:rPr>
        <w:t xml:space="preserve">, </w:t>
      </w:r>
      <w:hyperlink r:id="rId9" w:history="1">
        <w:r w:rsidRPr="00487860">
          <w:rPr>
            <w:rFonts w:ascii="FrankRuehl" w:hAnsi="FrankRuehl" w:cs="FrankRuehl"/>
            <w:color w:val="0000FF"/>
            <w:u w:val="single"/>
            <w:rtl/>
          </w:rPr>
          <w:t>7.ג</w:t>
        </w:r>
      </w:hyperlink>
    </w:p>
    <w:p w14:paraId="0F5139F3" w14:textId="77777777" w:rsidR="00487860" w:rsidRPr="00487860" w:rsidRDefault="00487860" w:rsidP="00487860">
      <w:pPr>
        <w:spacing w:after="120" w:line="240" w:lineRule="exact"/>
        <w:ind w:left="283" w:hanging="283"/>
        <w:jc w:val="both"/>
        <w:rPr>
          <w:rFonts w:ascii="FrankRuehl" w:hAnsi="FrankRuehl" w:cs="FrankRuehl"/>
          <w:rtl/>
        </w:rPr>
      </w:pPr>
      <w:hyperlink r:id="rId10" w:history="1">
        <w:r w:rsidRPr="00487860">
          <w:rPr>
            <w:rFonts w:ascii="FrankRuehl" w:hAnsi="FrankRuehl" w:cs="FrankRuehl"/>
            <w:color w:val="0000FF"/>
            <w:u w:val="single"/>
            <w:rtl/>
          </w:rPr>
          <w:t>חוק העונשין, תשל"ז-1977</w:t>
        </w:r>
      </w:hyperlink>
      <w:r w:rsidRPr="00487860">
        <w:rPr>
          <w:rFonts w:ascii="FrankRuehl" w:hAnsi="FrankRuehl" w:cs="FrankRuehl"/>
          <w:rtl/>
        </w:rPr>
        <w:t xml:space="preserve">: סע'  </w:t>
      </w:r>
      <w:hyperlink r:id="rId11" w:history="1">
        <w:r w:rsidRPr="00487860">
          <w:rPr>
            <w:rFonts w:ascii="FrankRuehl" w:hAnsi="FrankRuehl" w:cs="FrankRuehl"/>
            <w:color w:val="0000FF"/>
            <w:u w:val="single"/>
            <w:rtl/>
          </w:rPr>
          <w:t>40ט(א)(5)</w:t>
        </w:r>
      </w:hyperlink>
    </w:p>
    <w:p w14:paraId="3A28E8DC" w14:textId="77777777" w:rsidR="00487860" w:rsidRPr="00487860" w:rsidRDefault="00487860" w:rsidP="00487860">
      <w:pPr>
        <w:spacing w:after="120" w:line="240" w:lineRule="exact"/>
        <w:ind w:left="283" w:hanging="283"/>
        <w:jc w:val="both"/>
        <w:rPr>
          <w:rFonts w:ascii="FrankRuehl" w:hAnsi="FrankRuehl" w:cs="FrankRuehl"/>
          <w:rtl/>
        </w:rPr>
      </w:pPr>
    </w:p>
    <w:p w14:paraId="4E7A18A3" w14:textId="77777777" w:rsidR="00487860" w:rsidRPr="00487860" w:rsidRDefault="00487860" w:rsidP="00DE6637">
      <w:pPr>
        <w:rPr>
          <w:rtl/>
        </w:rPr>
      </w:pPr>
      <w:bookmarkStart w:id="3" w:name="LawTable_End"/>
      <w:bookmarkEnd w:id="3"/>
    </w:p>
    <w:p w14:paraId="3D100174" w14:textId="77777777" w:rsidR="006C0D88" w:rsidRPr="006C0D88" w:rsidRDefault="006C0D88" w:rsidP="00DE6637">
      <w:pPr>
        <w:rPr>
          <w:rtl/>
        </w:rPr>
      </w:pPr>
    </w:p>
    <w:p w14:paraId="2A14899F" w14:textId="77777777" w:rsidR="006C0D88" w:rsidRPr="006C0D88" w:rsidRDefault="006C0D88" w:rsidP="00DE6637">
      <w:pPr>
        <w:rPr>
          <w:rtl/>
        </w:rPr>
      </w:pPr>
    </w:p>
    <w:p w14:paraId="70F0615D" w14:textId="77777777" w:rsidR="00DE6637" w:rsidRPr="006C0D88" w:rsidRDefault="00DE6637" w:rsidP="00DE6637"/>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E6637" w14:paraId="1AC5B9F9" w14:textId="77777777" w:rsidTr="00DE6637">
        <w:trPr>
          <w:trHeight w:val="355"/>
          <w:jc w:val="center"/>
        </w:trPr>
        <w:tc>
          <w:tcPr>
            <w:tcW w:w="8820" w:type="dxa"/>
            <w:tcBorders>
              <w:top w:val="nil"/>
              <w:left w:val="nil"/>
              <w:bottom w:val="nil"/>
              <w:right w:val="nil"/>
            </w:tcBorders>
            <w:shd w:val="clear" w:color="auto" w:fill="auto"/>
          </w:tcPr>
          <w:p w14:paraId="50D42D5D" w14:textId="77777777" w:rsidR="006C0D88" w:rsidRPr="006C0D88" w:rsidRDefault="006C0D88" w:rsidP="006C0D88">
            <w:pPr>
              <w:jc w:val="center"/>
              <w:rPr>
                <w:rFonts w:ascii="Arial" w:hAnsi="Arial" w:cs="FrankRuehl"/>
                <w:b/>
                <w:bCs/>
                <w:sz w:val="32"/>
                <w:szCs w:val="32"/>
                <w:u w:val="single"/>
                <w:rtl/>
              </w:rPr>
            </w:pPr>
            <w:bookmarkStart w:id="4" w:name="PsakDin" w:colFirst="0" w:colLast="0"/>
            <w:bookmarkEnd w:id="0"/>
            <w:r w:rsidRPr="006C0D88">
              <w:rPr>
                <w:rFonts w:ascii="Arial" w:hAnsi="Arial" w:cs="FrankRuehl"/>
                <w:b/>
                <w:bCs/>
                <w:sz w:val="32"/>
                <w:szCs w:val="32"/>
                <w:u w:val="single"/>
                <w:rtl/>
              </w:rPr>
              <w:t>גזר דין</w:t>
            </w:r>
          </w:p>
          <w:p w14:paraId="76DD16EF" w14:textId="77777777" w:rsidR="00DE6637" w:rsidRPr="006C0D88" w:rsidRDefault="00DE6637" w:rsidP="006C0D88">
            <w:pPr>
              <w:jc w:val="center"/>
              <w:rPr>
                <w:rFonts w:ascii="Arial" w:hAnsi="Arial" w:cs="FrankRuehl"/>
                <w:bCs/>
                <w:sz w:val="32"/>
                <w:szCs w:val="32"/>
                <w:u w:val="single"/>
                <w:rtl/>
              </w:rPr>
            </w:pPr>
          </w:p>
        </w:tc>
      </w:tr>
      <w:bookmarkEnd w:id="4"/>
    </w:tbl>
    <w:p w14:paraId="2E7C55B5" w14:textId="77777777" w:rsidR="00DE6637" w:rsidRPr="00B05847" w:rsidRDefault="00DE6637" w:rsidP="00DE6637">
      <w:pPr>
        <w:rPr>
          <w:rFonts w:ascii="Arial" w:hAnsi="Arial"/>
          <w:rtl/>
        </w:rPr>
      </w:pPr>
    </w:p>
    <w:p w14:paraId="72F0C8D5" w14:textId="77777777" w:rsidR="00DE6637" w:rsidRPr="00B05847" w:rsidRDefault="00DE6637" w:rsidP="00DE6637">
      <w:pPr>
        <w:rPr>
          <w:rFonts w:ascii="Arial" w:hAnsi="Arial"/>
          <w:rtl/>
        </w:rPr>
      </w:pPr>
    </w:p>
    <w:p w14:paraId="1A55898B" w14:textId="77777777" w:rsidR="00DE6637" w:rsidRPr="00B05847" w:rsidRDefault="00DE6637" w:rsidP="00DE6637">
      <w:pPr>
        <w:rPr>
          <w:rtl/>
        </w:rPr>
      </w:pPr>
    </w:p>
    <w:p w14:paraId="5E8A5E34" w14:textId="77777777" w:rsidR="00DE6637" w:rsidRPr="00DE6637" w:rsidRDefault="00DE6637" w:rsidP="00DE6637">
      <w:pPr>
        <w:spacing w:after="200" w:line="276" w:lineRule="auto"/>
        <w:rPr>
          <w:rFonts w:ascii="Calibri" w:hAnsi="Calibri"/>
          <w:b/>
          <w:bCs/>
          <w:u w:val="single"/>
        </w:rPr>
      </w:pPr>
    </w:p>
    <w:p w14:paraId="7D4CE061" w14:textId="77777777" w:rsidR="00DE6637" w:rsidRPr="00DE6637" w:rsidRDefault="00DE6637" w:rsidP="00DE6637">
      <w:pPr>
        <w:spacing w:after="200" w:line="360" w:lineRule="auto"/>
        <w:jc w:val="both"/>
        <w:rPr>
          <w:rFonts w:ascii="Calibri" w:hAnsi="Calibri"/>
          <w:u w:val="single"/>
          <w:rtl/>
        </w:rPr>
      </w:pPr>
      <w:r w:rsidRPr="00DE6637">
        <w:rPr>
          <w:rFonts w:ascii="Calibri" w:hAnsi="Calibri" w:hint="cs"/>
          <w:u w:val="single"/>
          <w:rtl/>
        </w:rPr>
        <w:t>רקע</w:t>
      </w:r>
    </w:p>
    <w:p w14:paraId="0948F43C" w14:textId="77777777" w:rsidR="00DE6637" w:rsidRPr="00DE6637" w:rsidRDefault="00DE6637" w:rsidP="00DE6637">
      <w:pPr>
        <w:spacing w:after="200" w:line="360" w:lineRule="auto"/>
        <w:jc w:val="both"/>
        <w:rPr>
          <w:rFonts w:ascii="Calibri" w:hAnsi="Calibri"/>
          <w:rtl/>
        </w:rPr>
      </w:pPr>
      <w:bookmarkStart w:id="5" w:name="ABSTRACT_START"/>
      <w:bookmarkEnd w:id="5"/>
      <w:r w:rsidRPr="00DE6637">
        <w:rPr>
          <w:rFonts w:ascii="Calibri" w:hAnsi="Calibri" w:hint="cs"/>
          <w:rtl/>
        </w:rPr>
        <w:t xml:space="preserve">הנאשם הורשע על פי הודאתו בכתב אישום בביצוע עבירת החזקה/שימוש בסמים שלא לצריכה עצמית, לפי סעיף </w:t>
      </w:r>
      <w:hyperlink r:id="rId12" w:history="1">
        <w:r w:rsidR="00487860" w:rsidRPr="00487860">
          <w:rPr>
            <w:rFonts w:ascii="Calibri" w:hAnsi="Calibri"/>
            <w:color w:val="0000FF"/>
            <w:u w:val="single"/>
            <w:rtl/>
          </w:rPr>
          <w:t>7(</w:t>
        </w:r>
        <w:r w:rsidR="00487860" w:rsidRPr="00487860">
          <w:rPr>
            <w:rFonts w:ascii="Calibri" w:hAnsi="Calibri" w:hint="eastAsia"/>
            <w:color w:val="0000FF"/>
            <w:u w:val="single"/>
            <w:rtl/>
          </w:rPr>
          <w:t>א</w:t>
        </w:r>
        <w:r w:rsidR="00487860" w:rsidRPr="00487860">
          <w:rPr>
            <w:rFonts w:ascii="Calibri" w:hAnsi="Calibri"/>
            <w:color w:val="0000FF"/>
            <w:u w:val="single"/>
            <w:rtl/>
          </w:rPr>
          <w:t>) + 7(</w:t>
        </w:r>
        <w:r w:rsidR="00487860" w:rsidRPr="00487860">
          <w:rPr>
            <w:rFonts w:ascii="Calibri" w:hAnsi="Calibri" w:hint="eastAsia"/>
            <w:color w:val="0000FF"/>
            <w:u w:val="single"/>
            <w:rtl/>
          </w:rPr>
          <w:t>ג</w:t>
        </w:r>
        <w:r w:rsidR="00487860" w:rsidRPr="00487860">
          <w:rPr>
            <w:rFonts w:ascii="Calibri" w:hAnsi="Calibri"/>
            <w:color w:val="0000FF"/>
            <w:u w:val="single"/>
            <w:rtl/>
          </w:rPr>
          <w:t xml:space="preserve">) </w:t>
        </w:r>
      </w:hyperlink>
      <w:r w:rsidRPr="00DE6637">
        <w:rPr>
          <w:rFonts w:ascii="Calibri" w:hAnsi="Calibri" w:hint="cs"/>
          <w:rtl/>
        </w:rPr>
        <w:t xml:space="preserve">  ל</w:t>
      </w:r>
      <w:hyperlink r:id="rId13" w:history="1">
        <w:r w:rsidR="006C0D88" w:rsidRPr="006C0D88">
          <w:rPr>
            <w:rFonts w:ascii="Calibri" w:hAnsi="Calibri" w:hint="eastAsia"/>
            <w:color w:val="0000FF"/>
            <w:u w:val="single"/>
            <w:rtl/>
          </w:rPr>
          <w:t>פקודת</w:t>
        </w:r>
        <w:r w:rsidR="006C0D88" w:rsidRPr="006C0D88">
          <w:rPr>
            <w:rFonts w:ascii="Calibri" w:hAnsi="Calibri"/>
            <w:color w:val="0000FF"/>
            <w:u w:val="single"/>
            <w:rtl/>
          </w:rPr>
          <w:t xml:space="preserve"> </w:t>
        </w:r>
        <w:r w:rsidR="006C0D88" w:rsidRPr="006C0D88">
          <w:rPr>
            <w:rFonts w:ascii="Calibri" w:hAnsi="Calibri" w:hint="eastAsia"/>
            <w:color w:val="0000FF"/>
            <w:u w:val="single"/>
            <w:rtl/>
          </w:rPr>
          <w:t>הסמים</w:t>
        </w:r>
        <w:r w:rsidR="006C0D88" w:rsidRPr="006C0D88">
          <w:rPr>
            <w:rFonts w:ascii="Calibri" w:hAnsi="Calibri"/>
            <w:color w:val="0000FF"/>
            <w:u w:val="single"/>
            <w:rtl/>
          </w:rPr>
          <w:t xml:space="preserve"> </w:t>
        </w:r>
        <w:r w:rsidR="006C0D88" w:rsidRPr="006C0D88">
          <w:rPr>
            <w:rFonts w:ascii="Calibri" w:hAnsi="Calibri" w:hint="eastAsia"/>
            <w:color w:val="0000FF"/>
            <w:u w:val="single"/>
            <w:rtl/>
          </w:rPr>
          <w:t>המסוכנים</w:t>
        </w:r>
      </w:hyperlink>
      <w:r w:rsidRPr="00DE6637">
        <w:rPr>
          <w:rFonts w:ascii="Calibri" w:hAnsi="Calibri" w:hint="cs"/>
          <w:rtl/>
        </w:rPr>
        <w:t xml:space="preserve"> (נוסח חדש), התשל"ג-1973 (להלן- </w:t>
      </w:r>
      <w:r w:rsidRPr="00DE6637">
        <w:rPr>
          <w:rFonts w:ascii="Calibri" w:hAnsi="Calibri" w:hint="cs"/>
          <w:b/>
          <w:bCs/>
          <w:rtl/>
        </w:rPr>
        <w:t>פקודת הסמים</w:t>
      </w:r>
      <w:r w:rsidRPr="00DE6637">
        <w:rPr>
          <w:rFonts w:ascii="Calibri" w:hAnsi="Calibri" w:hint="cs"/>
          <w:rtl/>
        </w:rPr>
        <w:t>).</w:t>
      </w:r>
    </w:p>
    <w:p w14:paraId="4ECE532D" w14:textId="77777777" w:rsidR="00DE6637" w:rsidRPr="00DE6637" w:rsidRDefault="00DE6637" w:rsidP="00DE6637">
      <w:pPr>
        <w:spacing w:after="200" w:line="360" w:lineRule="auto"/>
        <w:jc w:val="both"/>
        <w:rPr>
          <w:rFonts w:ascii="Calibri" w:hAnsi="Calibri"/>
          <w:rtl/>
        </w:rPr>
      </w:pPr>
      <w:bookmarkStart w:id="6" w:name="ABSTRACT_END"/>
      <w:bookmarkEnd w:id="6"/>
      <w:r w:rsidRPr="00DE6637">
        <w:rPr>
          <w:rFonts w:ascii="Calibri" w:hAnsi="Calibri" w:hint="cs"/>
          <w:rtl/>
        </w:rPr>
        <w:t xml:space="preserve">בכתב האישום נטען כי ביום 10.7.17 במסגרת חיפוש שנערך על פי צו בית משפט, החזיק הנאשם סם מסוג קנבוס סינטטי </w:t>
      </w:r>
      <w:r w:rsidRPr="00DE6637">
        <w:rPr>
          <w:rFonts w:ascii="Calibri" w:hAnsi="Calibri"/>
        </w:rPr>
        <w:t>FUB-AMB</w:t>
      </w:r>
      <w:r w:rsidRPr="00DE6637">
        <w:rPr>
          <w:rFonts w:ascii="Calibri" w:hAnsi="Calibri"/>
          <w:rtl/>
        </w:rPr>
        <w:t xml:space="preserve"> </w:t>
      </w:r>
      <w:r w:rsidRPr="00DE6637">
        <w:rPr>
          <w:rFonts w:ascii="Calibri" w:hAnsi="Calibri" w:hint="cs"/>
          <w:rtl/>
        </w:rPr>
        <w:t xml:space="preserve">במשקל כולל של 4.810 ק"ג נטו. במסגרת החיפוש שערכו השוטרים </w:t>
      </w:r>
      <w:r w:rsidRPr="00DE6637">
        <w:rPr>
          <w:rFonts w:ascii="Calibri" w:hAnsi="Calibri" w:hint="cs"/>
          <w:rtl/>
        </w:rPr>
        <w:lastRenderedPageBreak/>
        <w:t>נתפס הסם במספר מקומות בחצר ובמחסן הבית בתוך קרטון, דלי, שתי שקיות גדולות ושש שקיות קטנות.</w:t>
      </w:r>
    </w:p>
    <w:p w14:paraId="5C59B3B9" w14:textId="77777777" w:rsidR="00DE6637" w:rsidRPr="00DE6637" w:rsidRDefault="00DE6637" w:rsidP="00DE6637">
      <w:pPr>
        <w:spacing w:after="200" w:line="360" w:lineRule="auto"/>
        <w:jc w:val="both"/>
        <w:rPr>
          <w:rFonts w:ascii="Calibri" w:hAnsi="Calibri"/>
          <w:rtl/>
        </w:rPr>
      </w:pPr>
      <w:r w:rsidRPr="00DE6637">
        <w:rPr>
          <w:rFonts w:ascii="Calibri" w:hAnsi="Calibri" w:hint="cs"/>
          <w:rtl/>
        </w:rPr>
        <w:t>ביום 7.1.19 הודה הנאשם במיוחס לו בכתב האישום, ונשלח לקבלת תסקיר שירות המבחן בעניינו.</w:t>
      </w:r>
    </w:p>
    <w:p w14:paraId="785099E5" w14:textId="77777777" w:rsidR="00DE6637" w:rsidRPr="00DE6637" w:rsidRDefault="00DE6637" w:rsidP="00DE6637">
      <w:pPr>
        <w:spacing w:after="200" w:line="360" w:lineRule="auto"/>
        <w:jc w:val="both"/>
        <w:rPr>
          <w:rFonts w:ascii="Calibri" w:hAnsi="Calibri"/>
          <w:u w:val="single"/>
          <w:rtl/>
        </w:rPr>
      </w:pPr>
      <w:r w:rsidRPr="00DE6637">
        <w:rPr>
          <w:rFonts w:ascii="Calibri" w:hAnsi="Calibri" w:hint="cs"/>
          <w:u w:val="single"/>
          <w:rtl/>
        </w:rPr>
        <w:t>תסקיר שירות המבחן</w:t>
      </w:r>
    </w:p>
    <w:p w14:paraId="472CD04A" w14:textId="77777777" w:rsidR="00DE6637" w:rsidRPr="00DE6637" w:rsidRDefault="00DE6637" w:rsidP="00DE6637">
      <w:pPr>
        <w:spacing w:after="200" w:line="360" w:lineRule="auto"/>
        <w:jc w:val="both"/>
        <w:rPr>
          <w:rFonts w:ascii="Calibri" w:hAnsi="Calibri"/>
        </w:rPr>
      </w:pPr>
      <w:r w:rsidRPr="00DE6637">
        <w:rPr>
          <w:rFonts w:ascii="Calibri" w:hAnsi="Calibri" w:hint="cs"/>
          <w:rtl/>
        </w:rPr>
        <w:t xml:space="preserve">מתסקיר שירות המבחן שהתקבל ביום 27.6.19 עולה כי הנאשם בן 48, נשוי ואב לשלושה ילדים. קורות חייו פורטו בהרחבה בתסקיר. הנאשם הציג בפני השירות אישורים רפואיים מהם עולה כי נקבעה לו נכות רפואית גבוהה, וכי אובחן כסובל מליקוי ראיה חמור, סכרת, הגבלות פיזיות בתנועה וכן מהפרעת הסתגלות. הנאשם מסר כי החל לעשות שימוש בסמים החל משנות העשרים לחייו, וביטא עמדה לפיה הסמים לא גרמו לו לנזק כלשהו, למעט השימוש בסם מסוג נייס גאי. עוד אישר כי כיום הוא עושה שימוש מזדמן בסם מסוג קנבוס, ואף ציין כי צרך סמים מספר ימים לפני פגישתו עם השירות. עם זאת, בדיקה שערך מספר שבועות לאחר מכן לאיתור סם נמצאה נקייה מסמים. הנאשם שלל היזקקות לטיפול במישור השימוש בסמים, ומסר כי בכוונתו לפעול לקבלת אישור רפואי להקל על כאביו. </w:t>
      </w:r>
    </w:p>
    <w:p w14:paraId="1D3F8884" w14:textId="77777777" w:rsidR="00DE6637" w:rsidRPr="00DE6637" w:rsidRDefault="00DE6637" w:rsidP="00DE6637">
      <w:pPr>
        <w:spacing w:after="200" w:line="360" w:lineRule="auto"/>
        <w:jc w:val="both"/>
        <w:rPr>
          <w:rFonts w:ascii="Calibri" w:hAnsi="Calibri"/>
          <w:rtl/>
        </w:rPr>
      </w:pPr>
      <w:r w:rsidRPr="00DE6637">
        <w:rPr>
          <w:rFonts w:ascii="Calibri" w:hAnsi="Calibri" w:hint="cs"/>
          <w:rtl/>
        </w:rPr>
        <w:t>הנאשם נטל אחריות למעשיו אולם מסר כי החזיק את הסמים לשימושו העצמי. לדבריו, קנה כמות גדולה של סם בשל כאבים מהם סבל.</w:t>
      </w:r>
      <w:r w:rsidRPr="00DE6637">
        <w:rPr>
          <w:rFonts w:ascii="Calibri" w:hAnsi="Calibri"/>
        </w:rPr>
        <w:t xml:space="preserve">  </w:t>
      </w:r>
      <w:r w:rsidRPr="00DE6637">
        <w:rPr>
          <w:rFonts w:ascii="Calibri" w:hAnsi="Calibri" w:hint="cs"/>
          <w:rtl/>
        </w:rPr>
        <w:t>הנאשם שב וחזר על תיאור מצבו הרפואי הקשה וציין כי אינו מנהל אורח חיים עצמאי וכי הוא זקוק לתמיכת אחרים. שירות המבחן התרשם כי לצד קשייו הרפואיים האובייקטיביים, התייחסותו של הנאשם מאופיינת במניפולטיביות וכי הוא עושה שימוש במצבו הרפואי כדרך להתגונן מפני בחינת מעשיו.</w:t>
      </w:r>
    </w:p>
    <w:p w14:paraId="2964FD6E" w14:textId="77777777" w:rsidR="00DE6637" w:rsidRPr="00DE6637" w:rsidRDefault="00DE6637" w:rsidP="00DE6637">
      <w:pPr>
        <w:spacing w:after="200" w:line="360" w:lineRule="auto"/>
        <w:jc w:val="both"/>
        <w:rPr>
          <w:rFonts w:ascii="Calibri" w:hAnsi="Calibri"/>
          <w:rtl/>
        </w:rPr>
      </w:pPr>
      <w:r w:rsidRPr="00DE6637">
        <w:rPr>
          <w:rFonts w:ascii="Calibri" w:hAnsi="Calibri" w:hint="cs"/>
          <w:rtl/>
        </w:rPr>
        <w:t xml:space="preserve">שירות המבחן שקל את גורמי הסיכון להישנות המעשים, כמו גם גורמי הסיכוי לשיקום, והגיע לכלל מסקנה לפיה אין בידו לבוא בהמלצה טיפולית, או המלצה בכלל, בעניינו של הנאשם. </w:t>
      </w:r>
    </w:p>
    <w:p w14:paraId="225B37C2" w14:textId="77777777" w:rsidR="00DE6637" w:rsidRPr="00DE6637" w:rsidRDefault="00DE6637" w:rsidP="00DE6637">
      <w:pPr>
        <w:spacing w:after="200" w:line="360" w:lineRule="auto"/>
        <w:jc w:val="both"/>
        <w:rPr>
          <w:rFonts w:ascii="Calibri" w:hAnsi="Calibri"/>
          <w:u w:val="single"/>
          <w:rtl/>
        </w:rPr>
      </w:pPr>
      <w:r w:rsidRPr="00DE6637">
        <w:rPr>
          <w:rFonts w:ascii="Calibri" w:hAnsi="Calibri" w:hint="cs"/>
          <w:u w:val="single"/>
          <w:rtl/>
        </w:rPr>
        <w:t>תמצית טיעוני הצדדים</w:t>
      </w:r>
    </w:p>
    <w:p w14:paraId="2076DC4E" w14:textId="77777777" w:rsidR="00DE6637" w:rsidRPr="00DE6637" w:rsidRDefault="00DE6637" w:rsidP="00DE6637">
      <w:pPr>
        <w:spacing w:after="200" w:line="360" w:lineRule="auto"/>
        <w:jc w:val="both"/>
        <w:rPr>
          <w:rFonts w:ascii="Calibri" w:hAnsi="Calibri"/>
        </w:rPr>
      </w:pPr>
      <w:r w:rsidRPr="00DE6637">
        <w:rPr>
          <w:rFonts w:ascii="Calibri" w:hAnsi="Calibri" w:hint="cs"/>
          <w:rtl/>
        </w:rPr>
        <w:t>ב"כ המאשימה עמד על נסיבות ביצוע העבירה, ובפרט על כמות הסם הגדולה שהחזיק הנאשם. עוד הרחיב בפגיעה בערכים המוגנים בבסיס העבירה בה הורשע הנאשם. לדבריו, בנסיבות המקרה דנן יש לקבוע מתחם עונש הולם הנע בין 24 ל-48 חודשי מאסר בפועל. נוכח עברו הפלילי הקודם בתחום הסמים, כמו גם האמור בתסקיר שירות המבחן, עתר ב"כ המאשימה להשית על הנאשם 30 חודשי מאסר בפועל, מאסר מותנה, קנס והתחייבות.</w:t>
      </w:r>
    </w:p>
    <w:p w14:paraId="0AEE531D" w14:textId="77777777" w:rsidR="00DE6637" w:rsidRPr="00DE6637" w:rsidRDefault="00DE6637" w:rsidP="00DE6637">
      <w:pPr>
        <w:spacing w:after="200" w:line="360" w:lineRule="auto"/>
        <w:jc w:val="both"/>
        <w:rPr>
          <w:rFonts w:ascii="Calibri" w:hAnsi="Calibri"/>
          <w:rtl/>
        </w:rPr>
      </w:pPr>
      <w:r w:rsidRPr="00DE6637">
        <w:rPr>
          <w:rFonts w:ascii="Calibri" w:hAnsi="Calibri" w:hint="cs"/>
          <w:rtl/>
        </w:rPr>
        <w:t>ב"כ הנאשם עמד על כלל נסיבותיו האישיות של הנאשם כפי שפורטו בתסקיר שירות המבחן, המצדיקות התחשבות של ממש בעונשו. בתוך כך, עמד על מצבו הרפואי המורכב, והעובדה כי כיום מצוי בהליכי גירושין. לדבריו, כלל הגורמים מובילים למסקנה לפיה יש להסתפק בענישה צופה פני עתיד.</w:t>
      </w:r>
    </w:p>
    <w:p w14:paraId="73F72A8B" w14:textId="77777777" w:rsidR="00DE6637" w:rsidRPr="00DE6637" w:rsidRDefault="00DE6637" w:rsidP="00DE6637">
      <w:pPr>
        <w:spacing w:after="200" w:line="360" w:lineRule="auto"/>
        <w:jc w:val="both"/>
        <w:rPr>
          <w:rFonts w:ascii="Calibri" w:hAnsi="Calibri"/>
          <w:rtl/>
        </w:rPr>
      </w:pPr>
      <w:r w:rsidRPr="00DE6637">
        <w:rPr>
          <w:rFonts w:ascii="Calibri" w:hAnsi="Calibri" w:hint="cs"/>
          <w:rtl/>
        </w:rPr>
        <w:lastRenderedPageBreak/>
        <w:t>הנאשם בדברו האחרון התנצל על מעשיו. הנאשם עמד על מצבו הרפואי המורכב, ומסר כי ביצע את העבירה רק כדי להקל על כאביו.</w:t>
      </w:r>
    </w:p>
    <w:p w14:paraId="6C27FA60" w14:textId="77777777" w:rsidR="00DE6637" w:rsidRPr="00DE6637" w:rsidRDefault="00DE6637" w:rsidP="00DE6637">
      <w:pPr>
        <w:spacing w:after="200" w:line="360" w:lineRule="auto"/>
        <w:jc w:val="both"/>
        <w:rPr>
          <w:rFonts w:ascii="Calibri" w:hAnsi="Calibri"/>
          <w:u w:val="single"/>
          <w:rtl/>
        </w:rPr>
      </w:pPr>
      <w:r w:rsidRPr="00DE6637">
        <w:rPr>
          <w:rFonts w:ascii="Calibri" w:hAnsi="Calibri" w:hint="cs"/>
          <w:u w:val="single"/>
          <w:rtl/>
        </w:rPr>
        <w:t>דיון והכרעה</w:t>
      </w:r>
    </w:p>
    <w:p w14:paraId="54BD13A9" w14:textId="77777777" w:rsidR="00DE6637" w:rsidRPr="00DE6637" w:rsidRDefault="00DE6637" w:rsidP="00DE6637">
      <w:pPr>
        <w:spacing w:after="200" w:line="360" w:lineRule="auto"/>
        <w:jc w:val="both"/>
        <w:rPr>
          <w:rFonts w:ascii="Calibri" w:hAnsi="Calibri"/>
          <w:rtl/>
        </w:rPr>
      </w:pPr>
      <w:r w:rsidRPr="00DE6637">
        <w:rPr>
          <w:rFonts w:ascii="Calibri" w:hAnsi="Calibri" w:hint="cs"/>
          <w:rtl/>
        </w:rPr>
        <w:t xml:space="preserve">הערך החברתי שנפגע מביצוע העבירה בה הורשע הנאשם הינו שמירה על שלום הציבור ובריאותו. רבות נכתב על חומרתן של עבירות הסמים, ועל ההשפעה הקשה שיש לאלה על החברה כולה, כמו גם על הצורך בענישה מחמירה לסוחרי ומפיצי הסמים (ראו לדוגמה </w:t>
      </w:r>
      <w:r w:rsidRPr="00DE6637">
        <w:rPr>
          <w:rFonts w:cs="Times New Roman"/>
          <w:rtl/>
        </w:rPr>
        <w:t>ב</w:t>
      </w:r>
      <w:hyperlink r:id="rId14" w:history="1">
        <w:r w:rsidR="006C0D88" w:rsidRPr="006C0D88">
          <w:rPr>
            <w:rFonts w:cs="Times New Roman"/>
            <w:color w:val="0000FF"/>
            <w:u w:val="single"/>
            <w:rtl/>
          </w:rPr>
          <w:t>ע"פ 3669/14</w:t>
        </w:r>
      </w:hyperlink>
      <w:r w:rsidRPr="00DE6637">
        <w:rPr>
          <w:rFonts w:cs="Times New Roman"/>
          <w:rtl/>
        </w:rPr>
        <w:t xml:space="preserve"> </w:t>
      </w:r>
      <w:r w:rsidRPr="00DE6637">
        <w:rPr>
          <w:rFonts w:cs="Times New Roman"/>
          <w:b/>
          <w:bCs/>
          <w:rtl/>
        </w:rPr>
        <w:t>משה גולן נ' מדינת ישראל</w:t>
      </w:r>
      <w:r w:rsidRPr="00DE6637">
        <w:rPr>
          <w:rFonts w:cs="Times New Roman"/>
          <w:rtl/>
        </w:rPr>
        <w:t xml:space="preserve"> (פורסם בנבו, 18.12.16)). </w:t>
      </w:r>
      <w:r w:rsidRPr="00DE6637">
        <w:rPr>
          <w:rFonts w:ascii="Calibri" w:hAnsi="Calibri" w:hint="cs"/>
          <w:rtl/>
        </w:rPr>
        <w:t xml:space="preserve">נדמה כי ארוכה היא הדרך בטרם תמוגר תופעה פסולה זו, אשר ניכר כי עודנה קיימת, שרירה ובעלת השפעה ישירה וממשית על החברה הישראלית כולה. בתי המשפט בכלל, ובית המשפט העליון בפרט, עמדו פעמים אין ספור על הצורך להילחם בנגע הסמים. ראו, לדוגמה, הדברים שהובאו </w:t>
      </w:r>
      <w:r w:rsidRPr="00DE6637">
        <w:rPr>
          <w:rFonts w:cs="Times New Roman"/>
          <w:rtl/>
        </w:rPr>
        <w:t>ב</w:t>
      </w:r>
      <w:hyperlink r:id="rId15" w:history="1">
        <w:r w:rsidR="006C0D88" w:rsidRPr="006C0D88">
          <w:rPr>
            <w:rFonts w:cs="Times New Roman"/>
            <w:color w:val="0000FF"/>
            <w:u w:val="single"/>
            <w:rtl/>
          </w:rPr>
          <w:t>ע"פ 4522/18</w:t>
        </w:r>
      </w:hyperlink>
      <w:r w:rsidRPr="00DE6637">
        <w:rPr>
          <w:rFonts w:cs="Times New Roman"/>
          <w:rtl/>
        </w:rPr>
        <w:t xml:space="preserve"> </w:t>
      </w:r>
      <w:r w:rsidRPr="00DE6637">
        <w:rPr>
          <w:rFonts w:cs="Times New Roman"/>
          <w:b/>
          <w:bCs/>
          <w:rtl/>
        </w:rPr>
        <w:t>בנימין אסאבן נ' מדינת ישראל</w:t>
      </w:r>
      <w:r w:rsidRPr="00DE6637">
        <w:rPr>
          <w:rFonts w:cs="Times New Roman"/>
          <w:rtl/>
        </w:rPr>
        <w:t xml:space="preserve"> (פורסם בנבו, 11.11.18) (</w:t>
      </w:r>
      <w:r>
        <w:rPr>
          <w:rFonts w:hint="cs"/>
          <w:rtl/>
        </w:rPr>
        <w:t>להלן</w:t>
      </w:r>
      <w:r w:rsidRPr="00DE6637">
        <w:rPr>
          <w:rFonts w:cs="Times New Roman"/>
          <w:rtl/>
        </w:rPr>
        <w:t xml:space="preserve">- </w:t>
      </w:r>
      <w:r w:rsidRPr="00DE6637">
        <w:rPr>
          <w:rFonts w:cs="Times New Roman"/>
          <w:b/>
          <w:bCs/>
          <w:rtl/>
        </w:rPr>
        <w:t>עניין בנימין</w:t>
      </w:r>
      <w:r w:rsidRPr="00DE6637">
        <w:rPr>
          <w:rFonts w:cs="Times New Roman"/>
          <w:rtl/>
        </w:rPr>
        <w:t>):</w:t>
      </w:r>
    </w:p>
    <w:p w14:paraId="74A80BB0" w14:textId="77777777" w:rsidR="00DE6637" w:rsidRPr="00DE6637" w:rsidRDefault="00DE6637" w:rsidP="00DE6637">
      <w:pPr>
        <w:spacing w:after="200" w:line="360" w:lineRule="auto"/>
        <w:ind w:left="1134" w:right="1134"/>
        <w:jc w:val="both"/>
        <w:rPr>
          <w:rFonts w:cs="Times New Roman"/>
          <w:rtl/>
        </w:rPr>
      </w:pPr>
      <w:r w:rsidRPr="00DE6637">
        <w:rPr>
          <w:rFonts w:cs="Times New Roman"/>
          <w:rtl/>
        </w:rPr>
        <w:t>בית משפט זה עמד פעמים רבות על חומרתן של עבירות הסמים, ובפרט עבירת הסחר בסמים. חומרה זו נובעת, בין היתר, מנזקיהם הקשים של הסמים – במיוחד כך לגבי סמים המוגדרים 'קשים' – הן למשתמשים, הן לסביבתם [...] לפיכך נפסק לא אחת כי עבירות אלו מחייבות מענה החלטי על דרך של ענישה מחמירה ומרתיעה [...]. כבר צוין כי הענישה בעבירות סמים מאופיינת בשונות רבה, נוכח "האינדיבידואליות בענישה והייחודיות של המקרים השונים" (</w:t>
      </w:r>
      <w:hyperlink r:id="rId16" w:history="1">
        <w:r w:rsidR="006C0D88" w:rsidRPr="006C0D88">
          <w:rPr>
            <w:rFonts w:cs="Times New Roman"/>
            <w:color w:val="0000FF"/>
            <w:u w:val="single"/>
            <w:rtl/>
          </w:rPr>
          <w:t>ע"פ 3931/13</w:t>
        </w:r>
      </w:hyperlink>
      <w:r w:rsidRPr="00DE6637">
        <w:rPr>
          <w:rFonts w:cs="Times New Roman"/>
          <w:rtl/>
        </w:rPr>
        <w:t xml:space="preserve"> באום נ' מדינת ישראל, [פורסם בנבו] פסקה 13 (10.6.2014) (להלן: עניין באום)). במסגרת זו יש ליחס משקל גם לסוג הסם ולכמותו.</w:t>
      </w:r>
    </w:p>
    <w:p w14:paraId="6DD56236" w14:textId="77777777" w:rsidR="00DE6637" w:rsidRDefault="00DE6637" w:rsidP="00DE6637">
      <w:pPr>
        <w:spacing w:after="200" w:line="360" w:lineRule="auto"/>
        <w:jc w:val="both"/>
        <w:rPr>
          <w:rFonts w:ascii="David" w:hAnsi="David"/>
        </w:rPr>
      </w:pPr>
      <w:r>
        <w:rPr>
          <w:rFonts w:hint="cs"/>
          <w:rtl/>
        </w:rPr>
        <w:t>בחינת נסיבות ביצוע העבירה מובילה למסקנה כי הפגיעה בערכים המוגנים הינה ברף הגבוה;</w:t>
      </w:r>
    </w:p>
    <w:p w14:paraId="2E259473" w14:textId="77777777" w:rsidR="00DE6637" w:rsidRDefault="00DE6637" w:rsidP="00DE6637">
      <w:pPr>
        <w:spacing w:after="200" w:line="360" w:lineRule="auto"/>
        <w:jc w:val="both"/>
        <w:rPr>
          <w:rtl/>
        </w:rPr>
      </w:pPr>
      <w:r>
        <w:rPr>
          <w:rFonts w:hint="cs"/>
          <w:rtl/>
        </w:rPr>
        <w:t xml:space="preserve">כידוע, בהלכה פסוקה נקבע כי בהערכת חומרת נסיבות ביצוע עבירות סמים, ישנה חשיבות לבחינה סוג הסם וכמותו (ראו </w:t>
      </w:r>
      <w:r w:rsidRPr="00DE6637">
        <w:rPr>
          <w:rFonts w:cs="Times New Roman"/>
          <w:b/>
          <w:bCs/>
          <w:rtl/>
        </w:rPr>
        <w:t>בעניין בנימין</w:t>
      </w:r>
      <w:r>
        <w:rPr>
          <w:rFonts w:hint="cs"/>
          <w:rtl/>
        </w:rPr>
        <w:t xml:space="preserve"> וכן </w:t>
      </w:r>
      <w:r w:rsidRPr="00DE6637">
        <w:rPr>
          <w:rFonts w:cs="Times New Roman"/>
          <w:rtl/>
        </w:rPr>
        <w:t>ב</w:t>
      </w:r>
      <w:hyperlink r:id="rId17" w:history="1">
        <w:r w:rsidR="006C0D88" w:rsidRPr="006C0D88">
          <w:rPr>
            <w:rFonts w:cs="Times New Roman"/>
            <w:color w:val="0000FF"/>
            <w:u w:val="single"/>
            <w:rtl/>
          </w:rPr>
          <w:t>ע"פ 1654/16</w:t>
        </w:r>
      </w:hyperlink>
      <w:r w:rsidRPr="00DE6637">
        <w:rPr>
          <w:rFonts w:cs="Times New Roman"/>
          <w:rtl/>
        </w:rPr>
        <w:t xml:space="preserve"> </w:t>
      </w:r>
      <w:r w:rsidRPr="00DE6637">
        <w:rPr>
          <w:rFonts w:cs="Times New Roman"/>
          <w:b/>
          <w:bCs/>
          <w:rtl/>
        </w:rPr>
        <w:t>גל שרר נ' מדינת ישראל</w:t>
      </w:r>
      <w:r w:rsidRPr="00DE6637">
        <w:rPr>
          <w:rFonts w:cs="Times New Roman"/>
          <w:rtl/>
        </w:rPr>
        <w:t xml:space="preserve"> (פורסם בנבו, 27.02.17)).</w:t>
      </w:r>
      <w:r>
        <w:rPr>
          <w:rFonts w:hint="cs"/>
          <w:rtl/>
        </w:rPr>
        <w:t xml:space="preserve"> אכן, כתב האישום לא מרחיב בדבר נסיבות ביצוע העבירה, ויש לזכור כי עסקינן אך בעבירה בודדת של החזקת סם שלא לצריכה עצמית. עם זאת, חומרת העבירה מתעצמת לאור העובדה כי מדובר בסם ממשפחת הקנבינואידים הסינתטיים, וברי כי לא ניתן לייחס לסם זה חומרה נמוכה כמיוחסת לסם הקנבוס. יתר על כן, המדובר בכמות אדירה של כמעט 5 קילוגרמים של סם. נתונים אלה, כאמור, יש בהם כדי ללמדנו על חומרה יתרה במעשיו של הנאשם.</w:t>
      </w:r>
    </w:p>
    <w:p w14:paraId="72BCC9BB" w14:textId="77777777" w:rsidR="00DE6637" w:rsidRDefault="00DE6637" w:rsidP="00DE6637">
      <w:pPr>
        <w:spacing w:after="200" w:line="360" w:lineRule="auto"/>
        <w:jc w:val="both"/>
        <w:rPr>
          <w:rtl/>
        </w:rPr>
      </w:pPr>
      <w:r>
        <w:rPr>
          <w:rFonts w:hint="cs"/>
          <w:rtl/>
        </w:rPr>
        <w:t xml:space="preserve">בבחינת הסיבות שהובילו את הנאשם לביצוע העבירה, במובן </w:t>
      </w:r>
      <w:hyperlink r:id="rId18" w:history="1">
        <w:r w:rsidR="00487860" w:rsidRPr="00487860">
          <w:rPr>
            <w:color w:val="0000FF"/>
            <w:u w:val="single"/>
            <w:rtl/>
          </w:rPr>
          <w:t>סעיף 40ט(א)(5)</w:t>
        </w:r>
      </w:hyperlink>
      <w:r>
        <w:rPr>
          <w:rFonts w:hint="cs"/>
          <w:rtl/>
        </w:rPr>
        <w:t xml:space="preserve"> ל</w:t>
      </w:r>
      <w:hyperlink r:id="rId19" w:history="1">
        <w:r w:rsidR="006C0D88" w:rsidRPr="006C0D88">
          <w:rPr>
            <w:color w:val="0000FF"/>
            <w:u w:val="single"/>
            <w:rtl/>
          </w:rPr>
          <w:t>חוק העונשין</w:t>
        </w:r>
      </w:hyperlink>
      <w:r>
        <w:rPr>
          <w:rFonts w:hint="cs"/>
          <w:rtl/>
        </w:rPr>
        <w:t>, עולה מתסקיר שירות המבחן כי מצבו הרפואי הובילו לעשות שימוש בסמים כדי להקל על כאביו. עם זאת, מידע זה שמסר הנאשם לשירות המבחן, כמו גם בדיון בביהמ"ש, אינו עולה בקנה אחד עם מידע אחר שמסר הנאשם, לפיו הוא עושה רק שימוש מזדמן בסמים, שאז טענתו בדבר שימוש לשם הקלה על כאביו-אין בה ממש. משכך, קשה להלום מצב לפיו כמות עצומה זו של קנבוס סינתטי, שיש להניח כי השפעותיו שונות מהשפעות הקנבוס ה"טבעי", נועדו אך לשימושו העצמי כאמצעי לשיכוך כאבים. מכל מקום, התחשבות במצבו הרפואי המורכב תבוא בחשבון בקביעת העונש המתאים.</w:t>
      </w:r>
    </w:p>
    <w:p w14:paraId="4F93EF7D" w14:textId="77777777" w:rsidR="00DE6637" w:rsidRPr="00DE6637" w:rsidRDefault="00DE6637" w:rsidP="00DE6637">
      <w:pPr>
        <w:spacing w:after="200" w:line="360" w:lineRule="auto"/>
        <w:jc w:val="both"/>
        <w:rPr>
          <w:rFonts w:ascii="Calibri" w:hAnsi="Calibri"/>
          <w:rtl/>
        </w:rPr>
      </w:pPr>
      <w:r w:rsidRPr="00DE6637">
        <w:rPr>
          <w:rFonts w:ascii="Calibri" w:hAnsi="Calibri" w:hint="cs"/>
          <w:rtl/>
        </w:rPr>
        <w:t xml:space="preserve">בחינת מדיניות הענישה הנוהגת מעלה כי בגין העבירה בה הורשע הנאשם, משיתים בתי המשפט לרוב עונשים של מאסר בפועל. כפי שצוין לעיל, כאשר עסקינן בעבירות סמים יש חשיבות לסוג הסם, כמות הסם הנתפס, נסיבות ביצוע המעשה והעושה (ראו והשוו ענישה ומתחמי עונש הולם במקרים הבאים: </w:t>
      </w:r>
      <w:hyperlink r:id="rId20" w:history="1">
        <w:r w:rsidR="006C0D88" w:rsidRPr="006C0D88">
          <w:rPr>
            <w:rFonts w:cs="Times New Roman"/>
            <w:color w:val="0000FF"/>
            <w:u w:val="single"/>
            <w:rtl/>
          </w:rPr>
          <w:t>רע"פ 1281/19</w:t>
        </w:r>
      </w:hyperlink>
      <w:r w:rsidRPr="00DE6637">
        <w:rPr>
          <w:rFonts w:cs="Times New Roman"/>
          <w:rtl/>
        </w:rPr>
        <w:t xml:space="preserve"> </w:t>
      </w:r>
      <w:r w:rsidRPr="00DE6637">
        <w:rPr>
          <w:rFonts w:cs="Times New Roman"/>
          <w:b/>
          <w:bCs/>
          <w:rtl/>
        </w:rPr>
        <w:t>אוחנה מישאל נ' מדינת ישראל</w:t>
      </w:r>
      <w:r w:rsidRPr="00DE6637">
        <w:rPr>
          <w:rFonts w:cs="Times New Roman"/>
          <w:rtl/>
        </w:rPr>
        <w:t xml:space="preserve"> (פורסם בנבו, 4.4.19); </w:t>
      </w:r>
      <w:hyperlink r:id="rId21" w:history="1">
        <w:r w:rsidR="006C0D88" w:rsidRPr="006C0D88">
          <w:rPr>
            <w:rFonts w:cs="Times New Roman"/>
            <w:color w:val="0000FF"/>
            <w:u w:val="single"/>
            <w:rtl/>
          </w:rPr>
          <w:t>רע"פ 3807/18</w:t>
        </w:r>
      </w:hyperlink>
      <w:r w:rsidRPr="00DE6637">
        <w:rPr>
          <w:rFonts w:cs="Times New Roman"/>
          <w:rtl/>
        </w:rPr>
        <w:t xml:space="preserve"> </w:t>
      </w:r>
      <w:r w:rsidRPr="00DE6637">
        <w:rPr>
          <w:rFonts w:cs="Times New Roman"/>
          <w:b/>
          <w:bCs/>
          <w:rtl/>
        </w:rPr>
        <w:t>דמיטרי טרטיאקוב נ' מדינת ישראל</w:t>
      </w:r>
      <w:r w:rsidRPr="00DE6637">
        <w:rPr>
          <w:rFonts w:cs="Times New Roman"/>
          <w:rtl/>
        </w:rPr>
        <w:t xml:space="preserve"> (פורסם בנבו, 12.8.18); </w:t>
      </w:r>
      <w:hyperlink r:id="rId22" w:history="1">
        <w:r w:rsidR="006C0D88" w:rsidRPr="006C0D88">
          <w:rPr>
            <w:rFonts w:cs="Times New Roman"/>
            <w:color w:val="0000FF"/>
            <w:u w:val="single"/>
            <w:rtl/>
          </w:rPr>
          <w:t>רע"פ 2870/18</w:t>
        </w:r>
      </w:hyperlink>
      <w:r w:rsidRPr="00DE6637">
        <w:rPr>
          <w:rFonts w:cs="Times New Roman"/>
          <w:rtl/>
        </w:rPr>
        <w:t xml:space="preserve"> </w:t>
      </w:r>
      <w:r w:rsidRPr="00DE6637">
        <w:rPr>
          <w:rFonts w:cs="Times New Roman"/>
          <w:b/>
          <w:bCs/>
          <w:rtl/>
        </w:rPr>
        <w:t>ניר כהן נ' מדינת ישראל</w:t>
      </w:r>
      <w:r w:rsidRPr="00DE6637">
        <w:rPr>
          <w:rFonts w:cs="Times New Roman"/>
          <w:rtl/>
        </w:rPr>
        <w:t xml:space="preserve"> (פורסם בנבו, 11.6.18);</w:t>
      </w:r>
      <w:r w:rsidRPr="00DE6637">
        <w:rPr>
          <w:rFonts w:ascii="Calibri" w:hAnsi="Calibri" w:hint="cs"/>
          <w:rtl/>
        </w:rPr>
        <w:t xml:space="preserve"> </w:t>
      </w:r>
      <w:hyperlink r:id="rId23" w:history="1">
        <w:r w:rsidR="006C0D88" w:rsidRPr="006C0D88">
          <w:rPr>
            <w:rFonts w:cs="Times New Roman"/>
            <w:color w:val="0000FF"/>
            <w:u w:val="single"/>
            <w:rtl/>
          </w:rPr>
          <w:t>רע"פ 4512/15</w:t>
        </w:r>
      </w:hyperlink>
      <w:r w:rsidRPr="00DE6637">
        <w:rPr>
          <w:rFonts w:cs="Times New Roman"/>
          <w:rtl/>
        </w:rPr>
        <w:t xml:space="preserve"> </w:t>
      </w:r>
      <w:r w:rsidRPr="00DE6637">
        <w:rPr>
          <w:rFonts w:cs="Times New Roman"/>
          <w:b/>
          <w:bCs/>
          <w:rtl/>
        </w:rPr>
        <w:t>אברהם הרוש נ' מדינת ישראל</w:t>
      </w:r>
      <w:r w:rsidRPr="00DE6637">
        <w:rPr>
          <w:rFonts w:cs="Times New Roman"/>
          <w:rtl/>
        </w:rPr>
        <w:t xml:space="preserve"> (פורסם בנבו, 06.07.15); </w:t>
      </w:r>
      <w:hyperlink r:id="rId24" w:history="1">
        <w:r w:rsidR="006C0D88" w:rsidRPr="006C0D88">
          <w:rPr>
            <w:rFonts w:cs="Times New Roman"/>
            <w:color w:val="0000FF"/>
            <w:u w:val="single"/>
            <w:rtl/>
          </w:rPr>
          <w:t>ת"פ (ת"א) 3781-11-11</w:t>
        </w:r>
      </w:hyperlink>
      <w:r w:rsidRPr="00DE6637">
        <w:rPr>
          <w:rFonts w:cs="Times New Roman"/>
          <w:rtl/>
        </w:rPr>
        <w:t xml:space="preserve"> </w:t>
      </w:r>
      <w:r w:rsidRPr="00DE6637">
        <w:rPr>
          <w:rFonts w:cs="Times New Roman"/>
          <w:b/>
          <w:bCs/>
          <w:rtl/>
        </w:rPr>
        <w:t>מדינת ישראל נ' אברהם ציוני</w:t>
      </w:r>
      <w:r w:rsidRPr="00DE6637">
        <w:rPr>
          <w:rFonts w:cs="Times New Roman"/>
          <w:rtl/>
        </w:rPr>
        <w:t xml:space="preserve"> (פורסם בנבו, 06.03.16); </w:t>
      </w:r>
      <w:hyperlink r:id="rId25" w:history="1">
        <w:r w:rsidR="006C0D88" w:rsidRPr="006C0D88">
          <w:rPr>
            <w:rFonts w:cs="Times New Roman"/>
            <w:color w:val="0000FF"/>
            <w:u w:val="single"/>
            <w:rtl/>
          </w:rPr>
          <w:t>ת"פ (ק"ג) 53716-03-15</w:t>
        </w:r>
      </w:hyperlink>
      <w:r w:rsidRPr="00DE6637">
        <w:rPr>
          <w:rFonts w:cs="Times New Roman"/>
          <w:rtl/>
        </w:rPr>
        <w:t xml:space="preserve"> </w:t>
      </w:r>
      <w:r w:rsidRPr="00DE6637">
        <w:rPr>
          <w:rFonts w:cs="Times New Roman"/>
          <w:b/>
          <w:bCs/>
          <w:rtl/>
        </w:rPr>
        <w:t>מדינת ישראל נ' ירון זגורי</w:t>
      </w:r>
      <w:r w:rsidRPr="00DE6637">
        <w:rPr>
          <w:rFonts w:cs="Times New Roman"/>
          <w:rtl/>
        </w:rPr>
        <w:t xml:space="preserve"> (פורסם בנבו, 05.04.16); </w:t>
      </w:r>
      <w:hyperlink r:id="rId26" w:history="1">
        <w:r w:rsidR="006C0D88" w:rsidRPr="006C0D88">
          <w:rPr>
            <w:rFonts w:cs="Times New Roman"/>
            <w:color w:val="0000FF"/>
            <w:u w:val="single"/>
            <w:rtl/>
          </w:rPr>
          <w:t>ת"פ (ק"ג)24954-02-16</w:t>
        </w:r>
      </w:hyperlink>
      <w:r w:rsidRPr="00DE6637">
        <w:rPr>
          <w:rFonts w:cs="Times New Roman"/>
          <w:rtl/>
        </w:rPr>
        <w:t xml:space="preserve">   </w:t>
      </w:r>
      <w:r w:rsidRPr="00DE6637">
        <w:rPr>
          <w:rFonts w:cs="Times New Roman"/>
          <w:b/>
          <w:bCs/>
          <w:rtl/>
        </w:rPr>
        <w:t>מדינת ישראל נ' דניאל שלמה כהן</w:t>
      </w:r>
      <w:r w:rsidRPr="00DE6637">
        <w:rPr>
          <w:rFonts w:cs="Times New Roman"/>
          <w:rtl/>
        </w:rPr>
        <w:t xml:space="preserve"> (פורסם בנבו, 19.12.16); </w:t>
      </w:r>
      <w:hyperlink r:id="rId27" w:history="1">
        <w:r w:rsidR="006C0D88" w:rsidRPr="006C0D88">
          <w:rPr>
            <w:rFonts w:cs="Times New Roman"/>
            <w:color w:val="0000FF"/>
            <w:u w:val="single"/>
            <w:rtl/>
          </w:rPr>
          <w:t>ת"פ (ראשל"צ) 22448-05-15</w:t>
        </w:r>
      </w:hyperlink>
      <w:r w:rsidRPr="00DE6637">
        <w:rPr>
          <w:rFonts w:cs="Times New Roman"/>
          <w:rtl/>
        </w:rPr>
        <w:t xml:space="preserve"> </w:t>
      </w:r>
      <w:r w:rsidRPr="00DE6637">
        <w:rPr>
          <w:rFonts w:cs="Times New Roman"/>
          <w:b/>
          <w:bCs/>
          <w:rtl/>
        </w:rPr>
        <w:t>מדינת ישראל נ' פלח ואח'</w:t>
      </w:r>
      <w:r w:rsidRPr="00DE6637">
        <w:rPr>
          <w:rFonts w:cs="Times New Roman"/>
          <w:rtl/>
        </w:rPr>
        <w:t xml:space="preserve"> (פורסם בנבו, 26.05.16</w:t>
      </w:r>
      <w:r w:rsidRPr="00DE6637">
        <w:rPr>
          <w:rFonts w:ascii="Calibri" w:hAnsi="Calibri" w:hint="cs"/>
          <w:rtl/>
        </w:rPr>
        <w:t>)).</w:t>
      </w:r>
    </w:p>
    <w:p w14:paraId="79575F41" w14:textId="77777777" w:rsidR="00DE6637" w:rsidRPr="00DE6637" w:rsidRDefault="00DE6637" w:rsidP="00DE6637">
      <w:pPr>
        <w:spacing w:after="200" w:line="360" w:lineRule="auto"/>
        <w:jc w:val="both"/>
        <w:rPr>
          <w:rFonts w:ascii="Calibri" w:hAnsi="Calibri"/>
          <w:rtl/>
        </w:rPr>
      </w:pPr>
      <w:r w:rsidRPr="00DE6637">
        <w:rPr>
          <w:rFonts w:ascii="Calibri" w:hAnsi="Calibri" w:hint="cs"/>
          <w:rtl/>
        </w:rPr>
        <w:t>בנסיבות האמורות אני סבורה כי מתחם העונש ההולם את נסיבות העבירה, בשים לב לסוג החומר שנתפס, כמות החומר ויתר נסיבות ביצוע העבירה, נע בין 10 ל-30 חודשי מאסר בפועל.</w:t>
      </w:r>
    </w:p>
    <w:p w14:paraId="27EE4071" w14:textId="77777777" w:rsidR="00DE6637" w:rsidRPr="00DE6637" w:rsidRDefault="00DE6637" w:rsidP="00DE6637">
      <w:pPr>
        <w:spacing w:after="200" w:line="360" w:lineRule="auto"/>
        <w:jc w:val="both"/>
        <w:rPr>
          <w:rFonts w:ascii="Calibri" w:hAnsi="Calibri"/>
          <w:b/>
          <w:bCs/>
          <w:u w:val="single"/>
          <w:rtl/>
        </w:rPr>
      </w:pPr>
      <w:r w:rsidRPr="00DE6637">
        <w:rPr>
          <w:rFonts w:ascii="Calibri" w:hAnsi="Calibri" w:hint="cs"/>
          <w:b/>
          <w:bCs/>
          <w:u w:val="single"/>
          <w:rtl/>
        </w:rPr>
        <w:t>העונש המתאים</w:t>
      </w:r>
    </w:p>
    <w:p w14:paraId="7A2B0464" w14:textId="77777777" w:rsidR="00DE6637" w:rsidRPr="00DE6637" w:rsidRDefault="00DE6637" w:rsidP="00DE6637">
      <w:pPr>
        <w:spacing w:after="200" w:line="360" w:lineRule="auto"/>
        <w:jc w:val="both"/>
        <w:rPr>
          <w:rFonts w:ascii="Calibri" w:hAnsi="Calibri"/>
          <w:rtl/>
        </w:rPr>
      </w:pPr>
      <w:r w:rsidRPr="00DE6637">
        <w:rPr>
          <w:rFonts w:ascii="Calibri" w:hAnsi="Calibri" w:hint="cs"/>
          <w:rtl/>
        </w:rPr>
        <w:t xml:space="preserve">כידוע, הלכה היא כי בעבירות סמים יש לבכר את שיקול ההרתעה על פני שיקולים אחרים, כדוגמת השיקול השיקומי, וזאת נוכח חומרתן היתרה של עבירות הסמים והשפעתן על החברה כולה (ראו לעניין זה </w:t>
      </w:r>
      <w:hyperlink r:id="rId28" w:history="1">
        <w:r w:rsidR="006C0D88" w:rsidRPr="006C0D88">
          <w:rPr>
            <w:rFonts w:cs="Times New Roman"/>
            <w:color w:val="0000FF"/>
            <w:u w:val="single"/>
            <w:rtl/>
          </w:rPr>
          <w:t>ע"פ 1274/16</w:t>
        </w:r>
      </w:hyperlink>
      <w:r w:rsidRPr="00DE6637">
        <w:rPr>
          <w:rFonts w:cs="Times New Roman"/>
          <w:rtl/>
        </w:rPr>
        <w:t xml:space="preserve"> </w:t>
      </w:r>
      <w:r w:rsidRPr="00DE6637">
        <w:rPr>
          <w:rFonts w:cs="Times New Roman"/>
          <w:b/>
          <w:bCs/>
          <w:rtl/>
        </w:rPr>
        <w:t>עווד נ' מדינת ישראל</w:t>
      </w:r>
      <w:r w:rsidRPr="00DE6637">
        <w:rPr>
          <w:rFonts w:cs="Times New Roman"/>
          <w:rtl/>
        </w:rPr>
        <w:t xml:space="preserve"> (פורסם בנבו, 06.10.16</w:t>
      </w:r>
      <w:r w:rsidRPr="00DE6637">
        <w:rPr>
          <w:rFonts w:ascii="Calibri" w:hAnsi="Calibri" w:hint="cs"/>
          <w:rtl/>
        </w:rPr>
        <w:t>)). ואכן, בשורה ארוכה עד מאוד של פסקי דין חוזרים בתי המשפט על הצורך להחמיר בענישת עברייני סמים, ולנסות להביא בכך למיגורה של תופעה פסולה זו.</w:t>
      </w:r>
    </w:p>
    <w:p w14:paraId="5F546C42" w14:textId="77777777" w:rsidR="00DE6637" w:rsidRPr="00DE6637" w:rsidRDefault="00DE6637" w:rsidP="00DE6637">
      <w:pPr>
        <w:spacing w:after="200" w:line="360" w:lineRule="auto"/>
        <w:jc w:val="both"/>
        <w:rPr>
          <w:rFonts w:ascii="Calibri" w:hAnsi="Calibri"/>
          <w:rtl/>
        </w:rPr>
      </w:pPr>
      <w:r w:rsidRPr="00DE6637">
        <w:rPr>
          <w:rFonts w:ascii="Calibri" w:hAnsi="Calibri" w:hint="cs"/>
          <w:rtl/>
        </w:rPr>
        <w:t>עברו הפלילי של הנאשם כולל מספר הרשעות קודמות, שהתיישנו, בתחום הסמים. רלבנטית לענייננו הרשעתו בעבירת החזקת סמים שלא לצריכה עצמית שבוצעה בשנת 2004. אכן, המדובר בפרק זמן משמעותי בו לא הסתבך בעבירות סמים, ויש לתת משקל לכך שמדובר בהרשעה שהתיישנה. עם זאת, לא ניתן להתעלם מהעובדה כי זוהי איננה הסתבכותו הראשונה של הנאשם בעבירות סמים, ונדמה כי הליכי משפט מעברו לא היוו גורם מרתיע דיו, באופן המחייב מתן משקל מסוים לשיקולי הרתעת היחיד בתוך מתחם העונש.</w:t>
      </w:r>
    </w:p>
    <w:p w14:paraId="44CA0A99" w14:textId="77777777" w:rsidR="00DE6637" w:rsidRPr="00DE6637" w:rsidRDefault="00DE6637" w:rsidP="00DE6637">
      <w:pPr>
        <w:spacing w:after="200" w:line="360" w:lineRule="auto"/>
        <w:jc w:val="both"/>
        <w:rPr>
          <w:rFonts w:ascii="Calibri" w:hAnsi="Calibri"/>
          <w:rtl/>
        </w:rPr>
      </w:pPr>
      <w:r w:rsidRPr="00DE6637">
        <w:rPr>
          <w:rFonts w:ascii="Calibri" w:hAnsi="Calibri" w:hint="cs"/>
          <w:rtl/>
        </w:rPr>
        <w:t>עוד אשקול את הודאתו של הנאשם שהובילה לחיסכון משמעותי בזמן שיפוטי, נטילת האחריות החלקית מצדו וכן את מצבו הרפואי, כמתואר בתסקיר.</w:t>
      </w:r>
    </w:p>
    <w:p w14:paraId="16057BA2" w14:textId="77777777" w:rsidR="00DE6637" w:rsidRPr="00DE6637" w:rsidRDefault="00DE6637" w:rsidP="00DE6637">
      <w:pPr>
        <w:spacing w:after="200" w:line="360" w:lineRule="auto"/>
        <w:jc w:val="both"/>
        <w:rPr>
          <w:rFonts w:ascii="Calibri" w:hAnsi="Calibri"/>
          <w:rtl/>
        </w:rPr>
      </w:pPr>
      <w:r w:rsidRPr="00DE6637">
        <w:rPr>
          <w:rFonts w:ascii="Calibri" w:hAnsi="Calibri" w:hint="cs"/>
          <w:rtl/>
        </w:rPr>
        <w:t>ויודגש, שירות המבחן לא בא בהמלצה טיפולית, או כל המלצה אחרת, בעניינו של הנאשם. בתוך כך, עלה הרושם כי הנאשם עושה שימוש במצבו הרפואי כדרך להתגונן מפניו מעשיו. כפי שציינתי לעיל, הנאשם טען כי הכמות העצומה שנתפסה בחזקתו נובעת מכך שעשה שימוש בסמים להקלה על כאביו, אולם מוטב היה אילו היה פועל בדרכים חוקיות להשגת אישור לקנבוס רפואי.</w:t>
      </w:r>
    </w:p>
    <w:p w14:paraId="6B64A67A" w14:textId="77777777" w:rsidR="00DE6637" w:rsidRPr="00DE6637" w:rsidRDefault="00DE6637" w:rsidP="00DE6637">
      <w:pPr>
        <w:spacing w:after="200" w:line="360" w:lineRule="auto"/>
        <w:jc w:val="both"/>
        <w:rPr>
          <w:rFonts w:ascii="Calibri" w:hAnsi="Calibri"/>
          <w:rtl/>
        </w:rPr>
      </w:pPr>
      <w:r w:rsidRPr="00DE6637">
        <w:rPr>
          <w:rFonts w:ascii="Calibri" w:hAnsi="Calibri" w:hint="cs"/>
          <w:rtl/>
        </w:rPr>
        <w:t>במצב דברים רגיל נכון היה למקם את הנאשם בחלקו האמצעי של מתחם העונש ההולם. עם זאת, לאור מצבו הרפואי המורכב, הכולל מספר מחלות שונות, וכן לאור ההתרשמות לפיה החרפת מצבו הרפואי הובילה להתמתנות מצדו, מצאתי למקם אותו בחלקו האמצעי-תחתון של המתחם העונש ההולם, אולם לא בתחתיתו.</w:t>
      </w:r>
    </w:p>
    <w:p w14:paraId="0F53921B" w14:textId="77777777" w:rsidR="00DE6637" w:rsidRPr="00DE6637" w:rsidRDefault="00DE6637" w:rsidP="00DE6637">
      <w:pPr>
        <w:spacing w:after="200" w:line="360" w:lineRule="auto"/>
        <w:jc w:val="both"/>
        <w:rPr>
          <w:rFonts w:ascii="Calibri" w:hAnsi="Calibri"/>
          <w:rtl/>
        </w:rPr>
      </w:pPr>
      <w:r w:rsidRPr="00DE6637">
        <w:rPr>
          <w:rFonts w:ascii="Calibri" w:hAnsi="Calibri" w:hint="cs"/>
          <w:u w:val="single"/>
          <w:rtl/>
        </w:rPr>
        <w:t>אני משיתה על הנאשם את העונשים הבאים</w:t>
      </w:r>
      <w:r w:rsidRPr="00DE6637">
        <w:rPr>
          <w:rFonts w:ascii="Calibri" w:hAnsi="Calibri" w:hint="cs"/>
          <w:rtl/>
        </w:rPr>
        <w:t>:</w:t>
      </w:r>
    </w:p>
    <w:p w14:paraId="1418CBFC" w14:textId="77777777" w:rsidR="00DE6637" w:rsidRPr="00DE6637" w:rsidRDefault="00DE6637" w:rsidP="00DE6637">
      <w:pPr>
        <w:numPr>
          <w:ilvl w:val="0"/>
          <w:numId w:val="1"/>
        </w:numPr>
        <w:spacing w:after="200" w:line="360" w:lineRule="auto"/>
        <w:contextualSpacing/>
        <w:jc w:val="both"/>
        <w:rPr>
          <w:rFonts w:ascii="Calibri" w:hAnsi="Calibri"/>
          <w:rtl/>
        </w:rPr>
      </w:pPr>
      <w:r w:rsidRPr="00DE6637">
        <w:rPr>
          <w:rFonts w:ascii="Calibri" w:hAnsi="Calibri" w:hint="cs"/>
          <w:rtl/>
        </w:rPr>
        <w:t>מאסר למשך 13 חודשים. הנאשם יתייצב לתחילת ריצוי עונשו ביום 3.11.19 בשעה 08:00 בבית מעצר ניצן.</w:t>
      </w:r>
    </w:p>
    <w:p w14:paraId="1656428A" w14:textId="77777777" w:rsidR="00DE6637" w:rsidRPr="00DE6637" w:rsidRDefault="00DE6637" w:rsidP="00DE6637">
      <w:pPr>
        <w:numPr>
          <w:ilvl w:val="0"/>
          <w:numId w:val="1"/>
        </w:numPr>
        <w:spacing w:after="200" w:line="360" w:lineRule="auto"/>
        <w:contextualSpacing/>
        <w:jc w:val="both"/>
        <w:rPr>
          <w:rFonts w:ascii="Calibri" w:hAnsi="Calibri"/>
        </w:rPr>
      </w:pPr>
      <w:r w:rsidRPr="00DE6637">
        <w:rPr>
          <w:rFonts w:ascii="Calibri" w:hAnsi="Calibri" w:hint="cs"/>
          <w:rtl/>
        </w:rPr>
        <w:t>מאסר למשך 5 חודשים וזאת על תנאי למשך שלוש שנים, אם יעבור הנאשם עבירת סמים מסוג פשע. התנאי יחול מיום שחרורו מהכלא.</w:t>
      </w:r>
    </w:p>
    <w:p w14:paraId="06436042" w14:textId="77777777" w:rsidR="00DE6637" w:rsidRPr="00DE6637" w:rsidRDefault="00DE6637" w:rsidP="00DE6637">
      <w:pPr>
        <w:numPr>
          <w:ilvl w:val="0"/>
          <w:numId w:val="1"/>
        </w:numPr>
        <w:spacing w:after="200" w:line="360" w:lineRule="auto"/>
        <w:contextualSpacing/>
        <w:jc w:val="both"/>
        <w:rPr>
          <w:rFonts w:ascii="Calibri" w:hAnsi="Calibri"/>
          <w:rtl/>
        </w:rPr>
      </w:pPr>
      <w:r w:rsidRPr="00DE6637">
        <w:rPr>
          <w:rFonts w:ascii="Calibri" w:hAnsi="Calibri" w:hint="cs"/>
          <w:rtl/>
        </w:rPr>
        <w:t>מאסר למשך חודשיים וזאת על תנאי למשך שנתיים, אם יעבור הנאשם עבירת סמים מסוג עוון. התנאי יחול מיום שחרורו מהכלא.</w:t>
      </w:r>
    </w:p>
    <w:p w14:paraId="61D07953" w14:textId="77777777" w:rsidR="00DE6637" w:rsidRPr="00DE6637" w:rsidRDefault="00DE6637" w:rsidP="00DE6637">
      <w:pPr>
        <w:numPr>
          <w:ilvl w:val="0"/>
          <w:numId w:val="1"/>
        </w:numPr>
        <w:spacing w:after="200" w:line="360" w:lineRule="auto"/>
        <w:contextualSpacing/>
        <w:jc w:val="both"/>
        <w:rPr>
          <w:rFonts w:ascii="Calibri" w:hAnsi="Calibri"/>
          <w:rtl/>
        </w:rPr>
      </w:pPr>
      <w:r w:rsidRPr="00DE6637">
        <w:rPr>
          <w:rFonts w:ascii="Calibri" w:hAnsi="Calibri" w:hint="cs"/>
          <w:rtl/>
        </w:rPr>
        <w:t xml:space="preserve">קנס בסך 1,500 ₪ אשר יסולק בשלושה תשלומים שווים ורצופים החל מיום 01.11.19. </w:t>
      </w:r>
    </w:p>
    <w:p w14:paraId="15CB4B95" w14:textId="77777777" w:rsidR="00DE6637" w:rsidRPr="00DE6637" w:rsidRDefault="00DE6637" w:rsidP="00DE6637">
      <w:pPr>
        <w:spacing w:after="200" w:line="360" w:lineRule="auto"/>
        <w:jc w:val="both"/>
        <w:rPr>
          <w:rFonts w:ascii="Calibri" w:hAnsi="Calibri"/>
          <w:b/>
          <w:bCs/>
        </w:rPr>
      </w:pPr>
      <w:r w:rsidRPr="00DE6637">
        <w:rPr>
          <w:rFonts w:ascii="Calibri" w:hAnsi="Calibri" w:hint="cs"/>
          <w:b/>
          <w:bCs/>
          <w:rtl/>
        </w:rPr>
        <w:t xml:space="preserve">מורה על השמדת המוצגים בתיק. </w:t>
      </w:r>
    </w:p>
    <w:p w14:paraId="331F5238" w14:textId="77777777" w:rsidR="00DE6637" w:rsidRPr="00DE6637" w:rsidRDefault="00DE6637" w:rsidP="00DE6637">
      <w:pPr>
        <w:spacing w:after="200" w:line="360" w:lineRule="auto"/>
        <w:jc w:val="both"/>
        <w:rPr>
          <w:rFonts w:ascii="Calibri" w:hAnsi="Calibri"/>
          <w:b/>
          <w:bCs/>
          <w:rtl/>
        </w:rPr>
      </w:pPr>
      <w:r w:rsidRPr="00DE6637">
        <w:rPr>
          <w:rFonts w:ascii="Calibri" w:hAnsi="Calibri" w:hint="cs"/>
          <w:b/>
          <w:bCs/>
          <w:rtl/>
        </w:rPr>
        <w:t xml:space="preserve">מזכירות תשלח ההחלטה לשירות המבחן למבוגרים ולשב"ס. </w:t>
      </w:r>
    </w:p>
    <w:p w14:paraId="53A205EF" w14:textId="77777777" w:rsidR="00DE6637" w:rsidRPr="00DE6637" w:rsidRDefault="00DE6637" w:rsidP="00DE6637">
      <w:pPr>
        <w:spacing w:after="200" w:line="360" w:lineRule="auto"/>
        <w:jc w:val="both"/>
        <w:rPr>
          <w:rFonts w:ascii="Calibri" w:hAnsi="Calibri"/>
        </w:rPr>
      </w:pPr>
      <w:r w:rsidRPr="00DE6637">
        <w:rPr>
          <w:rFonts w:ascii="Calibri" w:hAnsi="Calibri" w:hint="cs"/>
          <w:rtl/>
        </w:rPr>
        <w:t>זכות ערעור לבית המשפט המחוזי תוך 45 ימים</w:t>
      </w:r>
    </w:p>
    <w:p w14:paraId="09CA88A1" w14:textId="77777777" w:rsidR="00DE6637" w:rsidRPr="00C62355" w:rsidRDefault="00DE6637" w:rsidP="00DE6637">
      <w:pPr>
        <w:rPr>
          <w:rtl/>
        </w:rPr>
      </w:pPr>
    </w:p>
    <w:p w14:paraId="39E8440F" w14:textId="77777777" w:rsidR="00DE6637" w:rsidRPr="00B05847" w:rsidRDefault="00DE6637" w:rsidP="00DE6637">
      <w:pPr>
        <w:rPr>
          <w:rtl/>
        </w:rPr>
      </w:pPr>
    </w:p>
    <w:p w14:paraId="1E87B670" w14:textId="77777777" w:rsidR="00DE6637" w:rsidRPr="00B05847" w:rsidRDefault="00DE6637" w:rsidP="00DE6637">
      <w:pPr>
        <w:rPr>
          <w:rtl/>
        </w:rPr>
      </w:pPr>
    </w:p>
    <w:p w14:paraId="576EA8FF" w14:textId="77777777" w:rsidR="00DE6637" w:rsidRPr="00B05847" w:rsidRDefault="00DE6637" w:rsidP="00DE6637">
      <w:pPr>
        <w:rPr>
          <w:rtl/>
        </w:rPr>
      </w:pPr>
    </w:p>
    <w:p w14:paraId="4B563553" w14:textId="77777777" w:rsidR="00DE6637" w:rsidRPr="006C0D88" w:rsidRDefault="006C0D88" w:rsidP="00DE6637">
      <w:pPr>
        <w:rPr>
          <w:color w:val="FFFFFF"/>
          <w:sz w:val="2"/>
          <w:szCs w:val="2"/>
          <w:rtl/>
        </w:rPr>
      </w:pPr>
      <w:r w:rsidRPr="006C0D88">
        <w:rPr>
          <w:color w:val="FFFFFF"/>
          <w:sz w:val="2"/>
          <w:szCs w:val="2"/>
          <w:rtl/>
        </w:rPr>
        <w:t>5129371</w:t>
      </w:r>
    </w:p>
    <w:p w14:paraId="45488034" w14:textId="77777777" w:rsidR="00DE6637" w:rsidRDefault="006C0D88" w:rsidP="00DE6637">
      <w:pPr>
        <w:rPr>
          <w:rFonts w:cs="FrankRuehl"/>
          <w:sz w:val="28"/>
          <w:szCs w:val="28"/>
          <w:rtl/>
        </w:rPr>
      </w:pPr>
      <w:bookmarkStart w:id="7" w:name="Nitan"/>
      <w:r w:rsidRPr="006C0D88">
        <w:rPr>
          <w:rFonts w:ascii="Arial" w:hAnsi="Arial"/>
          <w:color w:val="FFFFFF"/>
          <w:sz w:val="2"/>
          <w:szCs w:val="2"/>
          <w:rtl/>
        </w:rPr>
        <w:t>54678313</w:t>
      </w:r>
      <w:r>
        <w:rPr>
          <w:rFonts w:ascii="Arial" w:hAnsi="Arial"/>
          <w:rtl/>
        </w:rPr>
        <w:t xml:space="preserve">ניתן היום,  י"ח אלול תשע"ט, 18 ספטמבר 2019, בהעדר הצדדים. </w:t>
      </w:r>
      <w:bookmarkEnd w:id="7"/>
    </w:p>
    <w:p w14:paraId="096B1692" w14:textId="77777777" w:rsidR="00DE6637" w:rsidRDefault="00DE6637" w:rsidP="006C0D8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C4DA40C" w14:textId="77777777" w:rsidR="00DE6637" w:rsidRDefault="00DE6637" w:rsidP="00DE6637">
      <w:pPr>
        <w:jc w:val="center"/>
        <w:rPr>
          <w:rFonts w:ascii="Arial" w:hAnsi="Arial" w:cs="FrankRuehl"/>
          <w:sz w:val="28"/>
          <w:szCs w:val="28"/>
          <w:rtl/>
        </w:rPr>
      </w:pPr>
    </w:p>
    <w:p w14:paraId="799B455C" w14:textId="77777777" w:rsidR="00DE6637" w:rsidRDefault="00DE6637" w:rsidP="00DE6637">
      <w:pPr>
        <w:rPr>
          <w:rFonts w:cs="FrankRuehl"/>
          <w:sz w:val="28"/>
          <w:szCs w:val="28"/>
          <w:rtl/>
        </w:rPr>
      </w:pPr>
    </w:p>
    <w:p w14:paraId="54C0D4EE" w14:textId="77777777" w:rsidR="00DE6637" w:rsidRPr="00487860" w:rsidRDefault="00487860" w:rsidP="00DE6637">
      <w:pPr>
        <w:pStyle w:val="a3"/>
        <w:jc w:val="center"/>
        <w:rPr>
          <w:color w:val="FFFFFF"/>
          <w:sz w:val="2"/>
          <w:szCs w:val="2"/>
          <w:rtl/>
        </w:rPr>
      </w:pPr>
      <w:r w:rsidRPr="00487860">
        <w:rPr>
          <w:color w:val="FFFFFF"/>
          <w:sz w:val="2"/>
          <w:szCs w:val="2"/>
          <w:rtl/>
        </w:rPr>
        <w:t>5129371</w:t>
      </w:r>
    </w:p>
    <w:p w14:paraId="04B587B4" w14:textId="77777777" w:rsidR="00EF646E" w:rsidRPr="00487860" w:rsidRDefault="00487860" w:rsidP="006C0D88">
      <w:pPr>
        <w:keepNext/>
        <w:rPr>
          <w:rFonts w:ascii="David" w:hAnsi="David"/>
          <w:color w:val="FFFFFF"/>
          <w:sz w:val="2"/>
          <w:szCs w:val="2"/>
          <w:rtl/>
        </w:rPr>
      </w:pPr>
      <w:r w:rsidRPr="00487860">
        <w:rPr>
          <w:rFonts w:ascii="David" w:hAnsi="David"/>
          <w:color w:val="FFFFFF"/>
          <w:sz w:val="2"/>
          <w:szCs w:val="2"/>
          <w:rtl/>
        </w:rPr>
        <w:t>54678313</w:t>
      </w:r>
    </w:p>
    <w:p w14:paraId="4323C4AE" w14:textId="77777777" w:rsidR="006C0D88" w:rsidRPr="006C0D88" w:rsidRDefault="006C0D88" w:rsidP="006C0D88">
      <w:pPr>
        <w:keepNext/>
        <w:rPr>
          <w:rFonts w:ascii="David" w:hAnsi="David"/>
          <w:color w:val="000000"/>
          <w:sz w:val="22"/>
          <w:szCs w:val="22"/>
          <w:rtl/>
        </w:rPr>
      </w:pPr>
      <w:r w:rsidRPr="006C0D88">
        <w:rPr>
          <w:rFonts w:ascii="David" w:hAnsi="David"/>
          <w:color w:val="000000"/>
          <w:sz w:val="22"/>
          <w:szCs w:val="22"/>
          <w:rtl/>
        </w:rPr>
        <w:t>שרון לארי בבלי 54678313</w:t>
      </w:r>
    </w:p>
    <w:p w14:paraId="4E3D1B34" w14:textId="77777777" w:rsidR="006C0D88" w:rsidRDefault="006C0D88" w:rsidP="006C0D88">
      <w:r w:rsidRPr="006C0D88">
        <w:rPr>
          <w:color w:val="000000"/>
          <w:rtl/>
        </w:rPr>
        <w:t>נוסח מסמך זה כפוף לשינויי ניסוח ועריכה</w:t>
      </w:r>
    </w:p>
    <w:p w14:paraId="19498B7C" w14:textId="77777777" w:rsidR="006C0D88" w:rsidRDefault="006C0D88" w:rsidP="006C0D88">
      <w:pPr>
        <w:rPr>
          <w:rtl/>
        </w:rPr>
      </w:pPr>
    </w:p>
    <w:p w14:paraId="3578D59C" w14:textId="77777777" w:rsidR="006C0D88" w:rsidRPr="006C0D88" w:rsidRDefault="006C0D88" w:rsidP="00487860">
      <w:pPr>
        <w:jc w:val="center"/>
        <w:rPr>
          <w:rFonts w:hint="cs"/>
          <w:color w:val="0000FF"/>
          <w:u w:val="single"/>
        </w:rPr>
      </w:pPr>
      <w:hyperlink r:id="rId29" w:history="1">
        <w:r>
          <w:rPr>
            <w:color w:val="0000FF"/>
            <w:u w:val="single"/>
            <w:rtl/>
          </w:rPr>
          <w:t>בעניין עריכה ושינויים במסמכי פסיקה, חקיקה ועוד באתר נבו – הקש כאן</w:t>
        </w:r>
      </w:hyperlink>
    </w:p>
    <w:sectPr w:rsidR="006C0D88" w:rsidRPr="006C0D88" w:rsidSect="00487860">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293B77" w14:textId="77777777" w:rsidR="00E26D63" w:rsidRDefault="00E26D63" w:rsidP="00312114">
      <w:r>
        <w:separator/>
      </w:r>
    </w:p>
  </w:endnote>
  <w:endnote w:type="continuationSeparator" w:id="0">
    <w:p w14:paraId="45A1A443" w14:textId="77777777" w:rsidR="00E26D63" w:rsidRDefault="00E26D63" w:rsidP="00312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24559" w14:textId="77777777" w:rsidR="00487860" w:rsidRDefault="00487860" w:rsidP="0048786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02B2872" w14:textId="77777777" w:rsidR="00C02588" w:rsidRPr="00487860" w:rsidRDefault="00487860" w:rsidP="00487860">
    <w:pPr>
      <w:pStyle w:val="a5"/>
      <w:pBdr>
        <w:top w:val="single" w:sz="4" w:space="1" w:color="auto"/>
        <w:between w:val="single" w:sz="4" w:space="0" w:color="auto"/>
      </w:pBdr>
      <w:spacing w:after="60"/>
      <w:jc w:val="center"/>
      <w:rPr>
        <w:rFonts w:ascii="FrankRuehl" w:hAnsi="FrankRuehl" w:cs="FrankRuehl"/>
        <w:color w:val="000000"/>
      </w:rPr>
    </w:pPr>
    <w:r w:rsidRPr="0048786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7B480" w14:textId="77777777" w:rsidR="00487860" w:rsidRDefault="00487860" w:rsidP="0048786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4305F">
      <w:rPr>
        <w:rFonts w:ascii="FrankRuehl" w:hAnsi="FrankRuehl" w:cs="FrankRuehl"/>
        <w:noProof/>
        <w:rtl/>
      </w:rPr>
      <w:t>1</w:t>
    </w:r>
    <w:r>
      <w:rPr>
        <w:rFonts w:ascii="FrankRuehl" w:hAnsi="FrankRuehl" w:cs="FrankRuehl"/>
        <w:rtl/>
      </w:rPr>
      <w:fldChar w:fldCharType="end"/>
    </w:r>
  </w:p>
  <w:p w14:paraId="68D47E8B" w14:textId="77777777" w:rsidR="00C02588" w:rsidRPr="00487860" w:rsidRDefault="00487860" w:rsidP="00487860">
    <w:pPr>
      <w:pStyle w:val="a5"/>
      <w:pBdr>
        <w:top w:val="single" w:sz="4" w:space="1" w:color="auto"/>
        <w:between w:val="single" w:sz="4" w:space="0" w:color="auto"/>
      </w:pBdr>
      <w:spacing w:after="60"/>
      <w:jc w:val="center"/>
      <w:rPr>
        <w:rFonts w:ascii="FrankRuehl" w:hAnsi="FrankRuehl" w:cs="FrankRuehl"/>
        <w:color w:val="000000"/>
      </w:rPr>
    </w:pPr>
    <w:r w:rsidRPr="00487860">
      <w:rPr>
        <w:rFonts w:ascii="FrankRuehl" w:hAnsi="FrankRuehl" w:cs="FrankRuehl"/>
        <w:color w:val="000000"/>
      </w:rPr>
      <w:pict w14:anchorId="34A946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A6E687" w14:textId="77777777" w:rsidR="00E26D63" w:rsidRDefault="00E26D63" w:rsidP="00312114">
      <w:r>
        <w:separator/>
      </w:r>
    </w:p>
  </w:footnote>
  <w:footnote w:type="continuationSeparator" w:id="0">
    <w:p w14:paraId="0217266B" w14:textId="77777777" w:rsidR="00E26D63" w:rsidRDefault="00E26D63" w:rsidP="003121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F4B48" w14:textId="77777777" w:rsidR="006C0D88" w:rsidRPr="00487860" w:rsidRDefault="00487860" w:rsidP="0048786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45537-07-17</w:t>
    </w:r>
    <w:r>
      <w:rPr>
        <w:rFonts w:ascii="David" w:hAnsi="David"/>
        <w:color w:val="000000"/>
        <w:sz w:val="22"/>
        <w:szCs w:val="22"/>
        <w:rtl/>
      </w:rPr>
      <w:tab/>
      <w:t xml:space="preserve"> מדינת ישראל נ' עבד אלנאסר גית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8095E" w14:textId="77777777" w:rsidR="006C0D88" w:rsidRPr="00487860" w:rsidRDefault="00487860" w:rsidP="0048786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45537-07-17</w:t>
    </w:r>
    <w:r>
      <w:rPr>
        <w:rFonts w:ascii="David" w:hAnsi="David"/>
        <w:color w:val="000000"/>
        <w:sz w:val="22"/>
        <w:szCs w:val="22"/>
        <w:rtl/>
      </w:rPr>
      <w:tab/>
      <w:t xml:space="preserve"> מדינת ישראל נ' עבד אלנאסר גית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366A9"/>
    <w:multiLevelType w:val="hybridMultilevel"/>
    <w:tmpl w:val="CFFCA4D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20450135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E6637"/>
    <w:rsid w:val="001B5A3B"/>
    <w:rsid w:val="00312114"/>
    <w:rsid w:val="00472632"/>
    <w:rsid w:val="00487860"/>
    <w:rsid w:val="006C0D88"/>
    <w:rsid w:val="0084305F"/>
    <w:rsid w:val="008F5491"/>
    <w:rsid w:val="00C02588"/>
    <w:rsid w:val="00DE6637"/>
    <w:rsid w:val="00E26D63"/>
    <w:rsid w:val="00EF6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A09568C"/>
  <w15:chartTrackingRefBased/>
  <w15:docId w15:val="{DB83AA30-3B5D-4C40-8763-5FD147809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E663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E6637"/>
    <w:pPr>
      <w:tabs>
        <w:tab w:val="center" w:pos="4153"/>
        <w:tab w:val="right" w:pos="8306"/>
      </w:tabs>
    </w:pPr>
  </w:style>
  <w:style w:type="character" w:customStyle="1" w:styleId="a4">
    <w:name w:val="כותרת עליונה תו"/>
    <w:link w:val="a3"/>
    <w:rsid w:val="00DE6637"/>
    <w:rPr>
      <w:rFonts w:ascii="Times New Roman" w:eastAsia="Times New Roman" w:hAnsi="Times New Roman" w:cs="David"/>
      <w:sz w:val="24"/>
      <w:szCs w:val="24"/>
    </w:rPr>
  </w:style>
  <w:style w:type="paragraph" w:styleId="a5">
    <w:name w:val="footer"/>
    <w:basedOn w:val="a"/>
    <w:link w:val="a6"/>
    <w:rsid w:val="00DE6637"/>
    <w:pPr>
      <w:tabs>
        <w:tab w:val="center" w:pos="4153"/>
        <w:tab w:val="right" w:pos="8306"/>
      </w:tabs>
    </w:pPr>
  </w:style>
  <w:style w:type="character" w:customStyle="1" w:styleId="a6">
    <w:name w:val="כותרת תחתונה תו"/>
    <w:link w:val="a5"/>
    <w:rsid w:val="00DE6637"/>
    <w:rPr>
      <w:rFonts w:ascii="Times New Roman" w:eastAsia="Times New Roman" w:hAnsi="Times New Roman" w:cs="David"/>
      <w:sz w:val="24"/>
      <w:szCs w:val="24"/>
    </w:rPr>
  </w:style>
  <w:style w:type="table" w:styleId="a7">
    <w:name w:val="Table Grid"/>
    <w:basedOn w:val="a1"/>
    <w:rsid w:val="00DE663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E6637"/>
  </w:style>
  <w:style w:type="character" w:styleId="Hyperlink">
    <w:name w:val="Hyperlink"/>
    <w:rsid w:val="006C0D8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40i.a.5" TargetMode="External"/><Relationship Id="rId26" Type="http://schemas.openxmlformats.org/officeDocument/2006/relationships/hyperlink" Target="http://www.nevo.co.il/case/20954184" TargetMode="External"/><Relationship Id="rId3" Type="http://schemas.openxmlformats.org/officeDocument/2006/relationships/settings" Target="settings.xml"/><Relationship Id="rId21" Type="http://schemas.openxmlformats.org/officeDocument/2006/relationships/hyperlink" Target="http://www.nevo.co.il/case/24263098"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4216/7.a.;7.c" TargetMode="External"/><Relationship Id="rId17" Type="http://schemas.openxmlformats.org/officeDocument/2006/relationships/hyperlink" Target="http://www.nevo.co.il/case/21015131" TargetMode="External"/><Relationship Id="rId25" Type="http://schemas.openxmlformats.org/officeDocument/2006/relationships/hyperlink" Target="http://www.nevo.co.il/case/20145219"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7653052" TargetMode="External"/><Relationship Id="rId20" Type="http://schemas.openxmlformats.org/officeDocument/2006/relationships/hyperlink" Target="http://www.nevo.co.il/case/25463674"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a.5" TargetMode="External"/><Relationship Id="rId24" Type="http://schemas.openxmlformats.org/officeDocument/2006/relationships/hyperlink" Target="http://www.nevo.co.il/case/2887374"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4287803" TargetMode="External"/><Relationship Id="rId23" Type="http://schemas.openxmlformats.org/officeDocument/2006/relationships/hyperlink" Target="http://www.nevo.co.il/case/20402486" TargetMode="External"/><Relationship Id="rId28" Type="http://schemas.openxmlformats.org/officeDocument/2006/relationships/hyperlink" Target="http://www.nevo.co.il/case/21472796"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16968058" TargetMode="External"/><Relationship Id="rId22" Type="http://schemas.openxmlformats.org/officeDocument/2006/relationships/hyperlink" Target="http://www.nevo.co.il/case/23858961" TargetMode="External"/><Relationship Id="rId27" Type="http://schemas.openxmlformats.org/officeDocument/2006/relationships/hyperlink" Target="http://www.nevo.co.il/case/20321102"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1629</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9756</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3997813</vt:i4>
      </vt:variant>
      <vt:variant>
        <vt:i4>63</vt:i4>
      </vt:variant>
      <vt:variant>
        <vt:i4>0</vt:i4>
      </vt:variant>
      <vt:variant>
        <vt:i4>5</vt:i4>
      </vt:variant>
      <vt:variant>
        <vt:lpwstr>http://www.nevo.co.il/case/21472796</vt:lpwstr>
      </vt:variant>
      <vt:variant>
        <vt:lpwstr/>
      </vt:variant>
      <vt:variant>
        <vt:i4>3145847</vt:i4>
      </vt:variant>
      <vt:variant>
        <vt:i4>60</vt:i4>
      </vt:variant>
      <vt:variant>
        <vt:i4>0</vt:i4>
      </vt:variant>
      <vt:variant>
        <vt:i4>5</vt:i4>
      </vt:variant>
      <vt:variant>
        <vt:lpwstr>http://www.nevo.co.il/case/20321102</vt:lpwstr>
      </vt:variant>
      <vt:variant>
        <vt:lpwstr/>
      </vt:variant>
      <vt:variant>
        <vt:i4>3604592</vt:i4>
      </vt:variant>
      <vt:variant>
        <vt:i4>57</vt:i4>
      </vt:variant>
      <vt:variant>
        <vt:i4>0</vt:i4>
      </vt:variant>
      <vt:variant>
        <vt:i4>5</vt:i4>
      </vt:variant>
      <vt:variant>
        <vt:lpwstr>http://www.nevo.co.il/case/20954184</vt:lpwstr>
      </vt:variant>
      <vt:variant>
        <vt:lpwstr/>
      </vt:variant>
      <vt:variant>
        <vt:i4>3604594</vt:i4>
      </vt:variant>
      <vt:variant>
        <vt:i4>54</vt:i4>
      </vt:variant>
      <vt:variant>
        <vt:i4>0</vt:i4>
      </vt:variant>
      <vt:variant>
        <vt:i4>5</vt:i4>
      </vt:variant>
      <vt:variant>
        <vt:lpwstr>http://www.nevo.co.il/case/20145219</vt:lpwstr>
      </vt:variant>
      <vt:variant>
        <vt:lpwstr/>
      </vt:variant>
      <vt:variant>
        <vt:i4>3997820</vt:i4>
      </vt:variant>
      <vt:variant>
        <vt:i4>51</vt:i4>
      </vt:variant>
      <vt:variant>
        <vt:i4>0</vt:i4>
      </vt:variant>
      <vt:variant>
        <vt:i4>5</vt:i4>
      </vt:variant>
      <vt:variant>
        <vt:lpwstr>http://www.nevo.co.il/case/2887374</vt:lpwstr>
      </vt:variant>
      <vt:variant>
        <vt:lpwstr/>
      </vt:variant>
      <vt:variant>
        <vt:i4>3932272</vt:i4>
      </vt:variant>
      <vt:variant>
        <vt:i4>48</vt:i4>
      </vt:variant>
      <vt:variant>
        <vt:i4>0</vt:i4>
      </vt:variant>
      <vt:variant>
        <vt:i4>5</vt:i4>
      </vt:variant>
      <vt:variant>
        <vt:lpwstr>http://www.nevo.co.il/case/20402486</vt:lpwstr>
      </vt:variant>
      <vt:variant>
        <vt:lpwstr/>
      </vt:variant>
      <vt:variant>
        <vt:i4>3407995</vt:i4>
      </vt:variant>
      <vt:variant>
        <vt:i4>45</vt:i4>
      </vt:variant>
      <vt:variant>
        <vt:i4>0</vt:i4>
      </vt:variant>
      <vt:variant>
        <vt:i4>5</vt:i4>
      </vt:variant>
      <vt:variant>
        <vt:lpwstr>http://www.nevo.co.il/case/23858961</vt:lpwstr>
      </vt:variant>
      <vt:variant>
        <vt:lpwstr/>
      </vt:variant>
      <vt:variant>
        <vt:i4>3801206</vt:i4>
      </vt:variant>
      <vt:variant>
        <vt:i4>42</vt:i4>
      </vt:variant>
      <vt:variant>
        <vt:i4>0</vt:i4>
      </vt:variant>
      <vt:variant>
        <vt:i4>5</vt:i4>
      </vt:variant>
      <vt:variant>
        <vt:lpwstr>http://www.nevo.co.il/case/24263098</vt:lpwstr>
      </vt:variant>
      <vt:variant>
        <vt:lpwstr/>
      </vt:variant>
      <vt:variant>
        <vt:i4>3276913</vt:i4>
      </vt:variant>
      <vt:variant>
        <vt:i4>39</vt:i4>
      </vt:variant>
      <vt:variant>
        <vt:i4>0</vt:i4>
      </vt:variant>
      <vt:variant>
        <vt:i4>5</vt:i4>
      </vt:variant>
      <vt:variant>
        <vt:lpwstr>http://www.nevo.co.il/case/25463674</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6619241</vt:i4>
      </vt:variant>
      <vt:variant>
        <vt:i4>33</vt:i4>
      </vt:variant>
      <vt:variant>
        <vt:i4>0</vt:i4>
      </vt:variant>
      <vt:variant>
        <vt:i4>5</vt:i4>
      </vt:variant>
      <vt:variant>
        <vt:lpwstr>http://www.nevo.co.il/law/70301/40i.a.5</vt:lpwstr>
      </vt:variant>
      <vt:variant>
        <vt:lpwstr/>
      </vt:variant>
      <vt:variant>
        <vt:i4>3407989</vt:i4>
      </vt:variant>
      <vt:variant>
        <vt:i4>30</vt:i4>
      </vt:variant>
      <vt:variant>
        <vt:i4>0</vt:i4>
      </vt:variant>
      <vt:variant>
        <vt:i4>5</vt:i4>
      </vt:variant>
      <vt:variant>
        <vt:lpwstr>http://www.nevo.co.il/case/21015131</vt:lpwstr>
      </vt:variant>
      <vt:variant>
        <vt:lpwstr/>
      </vt:variant>
      <vt:variant>
        <vt:i4>3145844</vt:i4>
      </vt:variant>
      <vt:variant>
        <vt:i4>27</vt:i4>
      </vt:variant>
      <vt:variant>
        <vt:i4>0</vt:i4>
      </vt:variant>
      <vt:variant>
        <vt:i4>5</vt:i4>
      </vt:variant>
      <vt:variant>
        <vt:lpwstr>http://www.nevo.co.il/case/7653052</vt:lpwstr>
      </vt:variant>
      <vt:variant>
        <vt:lpwstr/>
      </vt:variant>
      <vt:variant>
        <vt:i4>3604592</vt:i4>
      </vt:variant>
      <vt:variant>
        <vt:i4>24</vt:i4>
      </vt:variant>
      <vt:variant>
        <vt:i4>0</vt:i4>
      </vt:variant>
      <vt:variant>
        <vt:i4>5</vt:i4>
      </vt:variant>
      <vt:variant>
        <vt:lpwstr>http://www.nevo.co.il/case/24287803</vt:lpwstr>
      </vt:variant>
      <vt:variant>
        <vt:lpwstr/>
      </vt:variant>
      <vt:variant>
        <vt:i4>3473524</vt:i4>
      </vt:variant>
      <vt:variant>
        <vt:i4>21</vt:i4>
      </vt:variant>
      <vt:variant>
        <vt:i4>0</vt:i4>
      </vt:variant>
      <vt:variant>
        <vt:i4>5</vt:i4>
      </vt:variant>
      <vt:variant>
        <vt:lpwstr>http://www.nevo.co.il/case/16968058</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6619241</vt:i4>
      </vt:variant>
      <vt:variant>
        <vt:i4>12</vt:i4>
      </vt:variant>
      <vt:variant>
        <vt:i4>0</vt:i4>
      </vt:variant>
      <vt:variant>
        <vt:i4>5</vt:i4>
      </vt:variant>
      <vt:variant>
        <vt:lpwstr>http://www.nevo.co.il/law/70301/40i.a.5</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2025-04-22T23:29:00Z</dcterms:created>
  <dcterms:modified xsi:type="dcterms:W3CDTF">2025-04-22T23:29:00Z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45537</vt:lpwstr>
  </property>
  <property fmtid="{D5CDD505-2E9C-101B-9397-08002B2CF9AE}" pid="6" name="NEWPARTB">
    <vt:lpwstr>07</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עבד אלנאסר גית</vt:lpwstr>
  </property>
  <property fmtid="{D5CDD505-2E9C-101B-9397-08002B2CF9AE}" pid="10" name="JUDGE">
    <vt:lpwstr>שרון לארי בבל</vt:lpwstr>
  </property>
  <property fmtid="{D5CDD505-2E9C-101B-9397-08002B2CF9AE}" pid="11" name="CITY">
    <vt:lpwstr>י-ם</vt:lpwstr>
  </property>
  <property fmtid="{D5CDD505-2E9C-101B-9397-08002B2CF9AE}" pid="12" name="DATE">
    <vt:lpwstr>20190918</vt:lpwstr>
  </property>
  <property fmtid="{D5CDD505-2E9C-101B-9397-08002B2CF9AE}" pid="13" name="TYPE_N_DATE">
    <vt:lpwstr>38020190918</vt:lpwstr>
  </property>
  <property fmtid="{D5CDD505-2E9C-101B-9397-08002B2CF9AE}" pid="14" name="CASESLISTTMP1">
    <vt:lpwstr>16968058;24287803;7653052;21015131;25463674;24263098;23858961;20402486;2887374;20145219;20954184;20321102;21472796</vt:lpwstr>
  </property>
  <property fmtid="{D5CDD505-2E9C-101B-9397-08002B2CF9AE}" pid="15" name="WORDNUMPAGES">
    <vt:lpwstr>5</vt:lpwstr>
  </property>
  <property fmtid="{D5CDD505-2E9C-101B-9397-08002B2CF9AE}" pid="16" name="TYPE_ABS_DATE">
    <vt:lpwstr>380020190918</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vt:lpwstr>
  </property>
  <property fmtid="{D5CDD505-2E9C-101B-9397-08002B2CF9AE}" pid="37" name="LAWLISTTMP2">
    <vt:lpwstr>70301/040i.a.5</vt:lpwstr>
  </property>
</Properties>
</file>