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67397D" w:rsidRPr="0046296C" w14:paraId="08C92578" w14:textId="77777777" w:rsidTr="00B43993">
        <w:trPr>
          <w:trHeight w:hRule="exact" w:val="418"/>
          <w:jc w:val="center"/>
        </w:trPr>
        <w:tc>
          <w:tcPr>
            <w:tcW w:w="8721" w:type="dxa"/>
            <w:gridSpan w:val="2"/>
          </w:tcPr>
          <w:p w14:paraId="3A347068" w14:textId="77777777" w:rsidR="0067397D" w:rsidRPr="0046296C" w:rsidRDefault="0067397D" w:rsidP="00772028">
            <w:pPr>
              <w:pStyle w:val="a3"/>
              <w:jc w:val="center"/>
              <w:rPr>
                <w:rFonts w:ascii="Tahoma" w:hAnsi="Tahoma" w:cs="Tahoma"/>
                <w:color w:val="000080"/>
                <w:rtl/>
              </w:rPr>
            </w:pPr>
            <w:bookmarkStart w:id="0" w:name="FirstLawyer"/>
            <w:bookmarkStart w:id="1" w:name="LastJudge"/>
            <w:r w:rsidRPr="0046296C">
              <w:rPr>
                <w:rFonts w:ascii="Tahoma" w:hAnsi="Tahoma" w:cs="Tahoma"/>
                <w:b/>
                <w:bCs/>
                <w:color w:val="000080"/>
                <w:rtl/>
              </w:rPr>
              <w:t>בית משפט השלום בירושלים</w:t>
            </w:r>
          </w:p>
        </w:tc>
      </w:tr>
      <w:tr w:rsidR="0067397D" w:rsidRPr="0046296C" w14:paraId="68A1B749" w14:textId="77777777" w:rsidTr="00B43993">
        <w:trPr>
          <w:trHeight w:val="337"/>
          <w:jc w:val="center"/>
        </w:trPr>
        <w:tc>
          <w:tcPr>
            <w:tcW w:w="5061" w:type="dxa"/>
          </w:tcPr>
          <w:p w14:paraId="27AF1E59" w14:textId="77777777" w:rsidR="0067397D" w:rsidRPr="0046296C" w:rsidRDefault="0067397D" w:rsidP="00772028">
            <w:pPr>
              <w:rPr>
                <w:rFonts w:cs="FrankRuehl"/>
                <w:sz w:val="28"/>
                <w:szCs w:val="28"/>
                <w:rtl/>
              </w:rPr>
            </w:pPr>
            <w:r w:rsidRPr="0046296C">
              <w:rPr>
                <w:rFonts w:cs="FrankRuehl"/>
                <w:sz w:val="28"/>
                <w:szCs w:val="28"/>
                <w:rtl/>
              </w:rPr>
              <w:t>ת"פ</w:t>
            </w:r>
            <w:r w:rsidRPr="0046296C">
              <w:rPr>
                <w:rFonts w:cs="FrankRuehl" w:hint="cs"/>
                <w:sz w:val="28"/>
                <w:szCs w:val="28"/>
                <w:rtl/>
              </w:rPr>
              <w:t xml:space="preserve"> </w:t>
            </w:r>
            <w:r w:rsidRPr="0046296C">
              <w:rPr>
                <w:rFonts w:cs="FrankRuehl"/>
                <w:sz w:val="28"/>
                <w:szCs w:val="28"/>
                <w:rtl/>
              </w:rPr>
              <w:t>45961-07-17</w:t>
            </w:r>
            <w:r w:rsidRPr="0046296C">
              <w:rPr>
                <w:rFonts w:cs="FrankRuehl" w:hint="cs"/>
                <w:sz w:val="28"/>
                <w:szCs w:val="28"/>
                <w:rtl/>
              </w:rPr>
              <w:t xml:space="preserve"> </w:t>
            </w:r>
            <w:r w:rsidRPr="0046296C">
              <w:rPr>
                <w:rFonts w:cs="FrankRuehl"/>
                <w:sz w:val="28"/>
                <w:szCs w:val="28"/>
                <w:rtl/>
              </w:rPr>
              <w:t>מדינת ישראל נ' נסים(אחר/נוסף)</w:t>
            </w:r>
          </w:p>
          <w:p w14:paraId="042C0730" w14:textId="77777777" w:rsidR="0067397D" w:rsidRPr="0046296C" w:rsidRDefault="0067397D" w:rsidP="00772028">
            <w:pPr>
              <w:pStyle w:val="a3"/>
              <w:rPr>
                <w:rFonts w:cs="FrankRuehl"/>
                <w:sz w:val="28"/>
                <w:szCs w:val="28"/>
                <w:rtl/>
              </w:rPr>
            </w:pPr>
          </w:p>
        </w:tc>
        <w:tc>
          <w:tcPr>
            <w:tcW w:w="3660" w:type="dxa"/>
          </w:tcPr>
          <w:p w14:paraId="281C8186" w14:textId="77777777" w:rsidR="0067397D" w:rsidRPr="0046296C" w:rsidRDefault="0067397D" w:rsidP="00772028">
            <w:pPr>
              <w:pStyle w:val="a3"/>
              <w:jc w:val="right"/>
              <w:rPr>
                <w:rFonts w:cs="FrankRuehl"/>
                <w:sz w:val="28"/>
                <w:szCs w:val="28"/>
                <w:rtl/>
              </w:rPr>
            </w:pPr>
          </w:p>
        </w:tc>
      </w:tr>
    </w:tbl>
    <w:p w14:paraId="1F0161E9" w14:textId="77777777" w:rsidR="0067397D" w:rsidRPr="0046296C" w:rsidRDefault="0067397D" w:rsidP="0067397D">
      <w:pPr>
        <w:pStyle w:val="a3"/>
        <w:rPr>
          <w:rtl/>
        </w:rPr>
      </w:pPr>
      <w:r w:rsidRPr="0046296C">
        <w:rPr>
          <w:rFonts w:hint="cs"/>
          <w:rtl/>
        </w:rPr>
        <w:t xml:space="preserve"> </w:t>
      </w:r>
    </w:p>
    <w:p w14:paraId="1315DAD3" w14:textId="77777777" w:rsidR="0067397D" w:rsidRPr="0046296C" w:rsidRDefault="0067397D" w:rsidP="0067397D">
      <w:pPr>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6"/>
        <w:gridCol w:w="207"/>
        <w:gridCol w:w="3919"/>
        <w:gridCol w:w="207"/>
        <w:gridCol w:w="3564"/>
        <w:gridCol w:w="207"/>
      </w:tblGrid>
      <w:tr w:rsidR="00772028" w:rsidRPr="0046296C" w14:paraId="41FB8914" w14:textId="77777777" w:rsidTr="0067397D">
        <w:trPr>
          <w:trHeight w:val="295"/>
          <w:jc w:val="center"/>
        </w:trPr>
        <w:tc>
          <w:tcPr>
            <w:tcW w:w="923" w:type="dxa"/>
            <w:gridSpan w:val="2"/>
            <w:tcBorders>
              <w:top w:val="nil"/>
              <w:left w:val="nil"/>
              <w:bottom w:val="nil"/>
              <w:right w:val="nil"/>
            </w:tcBorders>
            <w:shd w:val="clear" w:color="auto" w:fill="auto"/>
          </w:tcPr>
          <w:p w14:paraId="48788673" w14:textId="77777777" w:rsidR="0067397D" w:rsidRPr="0046296C" w:rsidRDefault="0067397D" w:rsidP="0067397D">
            <w:pPr>
              <w:jc w:val="both"/>
              <w:rPr>
                <w:rFonts w:ascii="FrankRuehl" w:hAnsi="FrankRuehl" w:cs="FrankRuehl"/>
                <w:sz w:val="32"/>
                <w:szCs w:val="32"/>
              </w:rPr>
            </w:pPr>
            <w:r w:rsidRPr="0046296C">
              <w:rPr>
                <w:rFonts w:ascii="FrankRuehl" w:hAnsi="FrankRuehl" w:cs="FrankRuehl"/>
                <w:sz w:val="32"/>
                <w:szCs w:val="32"/>
                <w:rtl/>
              </w:rPr>
              <w:t xml:space="preserve">בפני </w:t>
            </w:r>
          </w:p>
        </w:tc>
        <w:tc>
          <w:tcPr>
            <w:tcW w:w="7897" w:type="dxa"/>
            <w:gridSpan w:val="4"/>
            <w:tcBorders>
              <w:top w:val="nil"/>
              <w:left w:val="nil"/>
              <w:bottom w:val="nil"/>
              <w:right w:val="nil"/>
            </w:tcBorders>
            <w:shd w:val="clear" w:color="auto" w:fill="auto"/>
          </w:tcPr>
          <w:p w14:paraId="52CAD3A6" w14:textId="77777777" w:rsidR="0067397D" w:rsidRPr="0046296C" w:rsidRDefault="0067397D" w:rsidP="00772028">
            <w:pPr>
              <w:rPr>
                <w:rFonts w:ascii="FrankRuehl" w:hAnsi="FrankRuehl" w:cs="FrankRuehl"/>
                <w:b/>
                <w:bCs/>
                <w:sz w:val="32"/>
                <w:szCs w:val="32"/>
                <w:rtl/>
              </w:rPr>
            </w:pPr>
            <w:r w:rsidRPr="0046296C">
              <w:rPr>
                <w:rFonts w:ascii="FrankRuehl" w:hAnsi="FrankRuehl" w:cs="FrankRuehl"/>
                <w:b/>
                <w:bCs/>
                <w:sz w:val="32"/>
                <w:szCs w:val="32"/>
                <w:rtl/>
              </w:rPr>
              <w:t>כבוד השופט  דוד שאול גבאי ריכטר</w:t>
            </w:r>
          </w:p>
          <w:p w14:paraId="4A267A65" w14:textId="77777777" w:rsidR="0067397D" w:rsidRPr="0046296C" w:rsidRDefault="0067397D" w:rsidP="00772028">
            <w:pPr>
              <w:rPr>
                <w:rFonts w:ascii="FrankRuehl" w:hAnsi="FrankRuehl" w:cs="FrankRuehl"/>
                <w:sz w:val="32"/>
                <w:szCs w:val="32"/>
                <w:rtl/>
              </w:rPr>
            </w:pPr>
          </w:p>
          <w:p w14:paraId="41324E88" w14:textId="77777777" w:rsidR="0067397D" w:rsidRPr="0046296C" w:rsidRDefault="0067397D" w:rsidP="0067397D">
            <w:pPr>
              <w:jc w:val="both"/>
              <w:rPr>
                <w:rFonts w:ascii="FrankRuehl" w:hAnsi="FrankRuehl" w:cs="FrankRuehl"/>
                <w:sz w:val="32"/>
                <w:szCs w:val="32"/>
              </w:rPr>
            </w:pPr>
          </w:p>
        </w:tc>
      </w:tr>
      <w:tr w:rsidR="00772028" w:rsidRPr="0046296C" w14:paraId="130A88EA" w14:textId="77777777" w:rsidTr="0067397D">
        <w:trPr>
          <w:trHeight w:val="355"/>
          <w:jc w:val="center"/>
        </w:trPr>
        <w:tc>
          <w:tcPr>
            <w:tcW w:w="923" w:type="dxa"/>
            <w:gridSpan w:val="2"/>
            <w:tcBorders>
              <w:top w:val="nil"/>
              <w:left w:val="nil"/>
              <w:bottom w:val="nil"/>
              <w:right w:val="nil"/>
            </w:tcBorders>
            <w:shd w:val="clear" w:color="auto" w:fill="auto"/>
          </w:tcPr>
          <w:p w14:paraId="69C69DA7" w14:textId="77777777" w:rsidR="0067397D" w:rsidRPr="0046296C" w:rsidRDefault="0067397D" w:rsidP="0067397D">
            <w:pPr>
              <w:jc w:val="both"/>
              <w:rPr>
                <w:rFonts w:ascii="FrankRuehl" w:hAnsi="FrankRuehl" w:cs="FrankRuehl"/>
                <w:sz w:val="28"/>
                <w:szCs w:val="28"/>
              </w:rPr>
            </w:pPr>
            <w:bookmarkStart w:id="2" w:name="FirstAppellant"/>
            <w:r w:rsidRPr="0046296C">
              <w:rPr>
                <w:rFonts w:ascii="FrankRuehl" w:hAnsi="FrankRuehl" w:cs="FrankRuehl"/>
                <w:sz w:val="28"/>
                <w:szCs w:val="28"/>
                <w:rtl/>
              </w:rPr>
              <w:t>בעניין:</w:t>
            </w:r>
          </w:p>
        </w:tc>
        <w:tc>
          <w:tcPr>
            <w:tcW w:w="4126" w:type="dxa"/>
            <w:gridSpan w:val="2"/>
            <w:tcBorders>
              <w:top w:val="nil"/>
              <w:left w:val="nil"/>
              <w:bottom w:val="nil"/>
              <w:right w:val="nil"/>
            </w:tcBorders>
            <w:shd w:val="clear" w:color="auto" w:fill="auto"/>
          </w:tcPr>
          <w:p w14:paraId="039B0443" w14:textId="77777777" w:rsidR="0067397D" w:rsidRPr="0046296C" w:rsidRDefault="0067397D" w:rsidP="00772028">
            <w:pPr>
              <w:rPr>
                <w:rFonts w:ascii="FrankRuehl" w:hAnsi="FrankRuehl" w:cs="FrankRuehl"/>
              </w:rPr>
            </w:pPr>
            <w:r w:rsidRPr="0046296C">
              <w:rPr>
                <w:rFonts w:ascii="FrankRuehl" w:hAnsi="FrankRuehl" w:cs="FrankRuehl"/>
                <w:sz w:val="28"/>
                <w:szCs w:val="28"/>
                <w:rtl/>
              </w:rPr>
              <w:t>מדינת ישראל</w:t>
            </w:r>
            <w:r w:rsidRPr="0046296C">
              <w:rPr>
                <w:rFonts w:ascii="FrankRuehl" w:hAnsi="FrankRuehl" w:cs="FrankRuehl"/>
                <w:sz w:val="28"/>
                <w:szCs w:val="28"/>
                <w:rtl/>
              </w:rPr>
              <w:br/>
            </w:r>
            <w:r w:rsidRPr="0046296C">
              <w:rPr>
                <w:rFonts w:ascii="FrankRuehl" w:hAnsi="FrankRuehl" w:cs="FrankRuehl" w:hint="cs"/>
                <w:rtl/>
              </w:rPr>
              <w:t>ע"י תביעות מחוז ירושלים</w:t>
            </w:r>
          </w:p>
        </w:tc>
        <w:tc>
          <w:tcPr>
            <w:tcW w:w="3771" w:type="dxa"/>
            <w:gridSpan w:val="2"/>
            <w:tcBorders>
              <w:top w:val="nil"/>
              <w:left w:val="nil"/>
              <w:bottom w:val="nil"/>
              <w:right w:val="nil"/>
            </w:tcBorders>
            <w:shd w:val="clear" w:color="auto" w:fill="auto"/>
          </w:tcPr>
          <w:p w14:paraId="6CFF23BA" w14:textId="77777777" w:rsidR="0067397D" w:rsidRPr="0046296C" w:rsidRDefault="0067397D" w:rsidP="0067397D">
            <w:pPr>
              <w:jc w:val="both"/>
              <w:rPr>
                <w:rFonts w:ascii="FrankRuehl" w:hAnsi="FrankRuehl" w:cs="FrankRuehl"/>
                <w:sz w:val="28"/>
                <w:szCs w:val="28"/>
              </w:rPr>
            </w:pPr>
          </w:p>
        </w:tc>
      </w:tr>
      <w:bookmarkEnd w:id="2"/>
      <w:tr w:rsidR="00772028" w:rsidRPr="0046296C" w14:paraId="76C00D7C" w14:textId="77777777" w:rsidTr="0067397D">
        <w:trPr>
          <w:gridAfter w:val="1"/>
          <w:wAfter w:w="207" w:type="dxa"/>
          <w:trHeight w:val="355"/>
          <w:jc w:val="center"/>
        </w:trPr>
        <w:tc>
          <w:tcPr>
            <w:tcW w:w="716" w:type="dxa"/>
            <w:tcBorders>
              <w:top w:val="nil"/>
              <w:left w:val="nil"/>
              <w:bottom w:val="nil"/>
              <w:right w:val="nil"/>
            </w:tcBorders>
            <w:shd w:val="clear" w:color="auto" w:fill="auto"/>
          </w:tcPr>
          <w:p w14:paraId="163333AE" w14:textId="77777777" w:rsidR="0067397D" w:rsidRPr="0046296C" w:rsidRDefault="0067397D" w:rsidP="0067397D">
            <w:pPr>
              <w:jc w:val="both"/>
              <w:rPr>
                <w:rFonts w:ascii="FrankRuehl" w:hAnsi="FrankRuehl" w:cs="FrankRuehl"/>
                <w:sz w:val="28"/>
                <w:szCs w:val="28"/>
                <w:rtl/>
              </w:rPr>
            </w:pPr>
          </w:p>
        </w:tc>
        <w:tc>
          <w:tcPr>
            <w:tcW w:w="4126" w:type="dxa"/>
            <w:gridSpan w:val="2"/>
            <w:tcBorders>
              <w:top w:val="nil"/>
              <w:left w:val="nil"/>
              <w:bottom w:val="nil"/>
              <w:right w:val="nil"/>
            </w:tcBorders>
            <w:shd w:val="clear" w:color="auto" w:fill="auto"/>
          </w:tcPr>
          <w:p w14:paraId="4552564E" w14:textId="77777777" w:rsidR="0067397D" w:rsidRPr="0046296C" w:rsidRDefault="0067397D" w:rsidP="0067397D">
            <w:pPr>
              <w:jc w:val="both"/>
              <w:rPr>
                <w:rFonts w:ascii="FrankRuehl" w:hAnsi="FrankRuehl" w:cs="FrankRuehl"/>
                <w:rtl/>
              </w:rPr>
            </w:pPr>
          </w:p>
        </w:tc>
        <w:tc>
          <w:tcPr>
            <w:tcW w:w="3771" w:type="dxa"/>
            <w:gridSpan w:val="2"/>
            <w:tcBorders>
              <w:top w:val="nil"/>
              <w:left w:val="nil"/>
              <w:bottom w:val="nil"/>
              <w:right w:val="nil"/>
            </w:tcBorders>
            <w:shd w:val="clear" w:color="auto" w:fill="auto"/>
          </w:tcPr>
          <w:p w14:paraId="02C5BBBE" w14:textId="77777777" w:rsidR="0067397D" w:rsidRPr="0046296C" w:rsidRDefault="0067397D" w:rsidP="0067397D">
            <w:pPr>
              <w:jc w:val="right"/>
              <w:rPr>
                <w:rFonts w:ascii="FrankRuehl" w:hAnsi="FrankRuehl" w:cs="FrankRuehl"/>
                <w:sz w:val="28"/>
                <w:szCs w:val="28"/>
                <w:rtl/>
              </w:rPr>
            </w:pPr>
            <w:r w:rsidRPr="0046296C">
              <w:rPr>
                <w:rFonts w:ascii="FrankRuehl" w:hAnsi="FrankRuehl" w:cs="FrankRuehl"/>
                <w:sz w:val="28"/>
                <w:szCs w:val="28"/>
                <w:rtl/>
              </w:rPr>
              <w:t>המאשימה</w:t>
            </w:r>
          </w:p>
        </w:tc>
      </w:tr>
      <w:tr w:rsidR="00772028" w:rsidRPr="0046296C" w14:paraId="2438B941" w14:textId="77777777" w:rsidTr="0067397D">
        <w:trPr>
          <w:trHeight w:val="355"/>
          <w:jc w:val="center"/>
        </w:trPr>
        <w:tc>
          <w:tcPr>
            <w:tcW w:w="923" w:type="dxa"/>
            <w:gridSpan w:val="2"/>
            <w:tcBorders>
              <w:top w:val="nil"/>
              <w:left w:val="nil"/>
              <w:bottom w:val="nil"/>
              <w:right w:val="nil"/>
            </w:tcBorders>
            <w:shd w:val="clear" w:color="auto" w:fill="auto"/>
          </w:tcPr>
          <w:p w14:paraId="40D2475C" w14:textId="77777777" w:rsidR="0067397D" w:rsidRPr="0046296C" w:rsidRDefault="0067397D" w:rsidP="0067397D">
            <w:pPr>
              <w:jc w:val="both"/>
              <w:rPr>
                <w:rFonts w:ascii="FrankRuehl" w:hAnsi="FrankRuehl" w:cs="FrankRuehl"/>
                <w:sz w:val="28"/>
                <w:szCs w:val="28"/>
                <w:rtl/>
              </w:rPr>
            </w:pPr>
          </w:p>
        </w:tc>
        <w:tc>
          <w:tcPr>
            <w:tcW w:w="7897" w:type="dxa"/>
            <w:gridSpan w:val="4"/>
            <w:tcBorders>
              <w:top w:val="nil"/>
              <w:left w:val="nil"/>
              <w:bottom w:val="nil"/>
              <w:right w:val="nil"/>
            </w:tcBorders>
            <w:shd w:val="clear" w:color="auto" w:fill="auto"/>
          </w:tcPr>
          <w:p w14:paraId="5E0861D2" w14:textId="77777777" w:rsidR="0067397D" w:rsidRPr="0046296C" w:rsidRDefault="0067397D" w:rsidP="0067397D">
            <w:pPr>
              <w:jc w:val="center"/>
              <w:rPr>
                <w:rFonts w:ascii="FrankRuehl" w:hAnsi="FrankRuehl" w:cs="FrankRuehl"/>
                <w:b/>
                <w:bCs/>
                <w:sz w:val="28"/>
                <w:szCs w:val="28"/>
                <w:rtl/>
              </w:rPr>
            </w:pPr>
          </w:p>
          <w:p w14:paraId="029DA77C" w14:textId="77777777" w:rsidR="0067397D" w:rsidRPr="0046296C" w:rsidRDefault="0067397D" w:rsidP="0067397D">
            <w:pPr>
              <w:jc w:val="center"/>
              <w:rPr>
                <w:rFonts w:ascii="FrankRuehl" w:hAnsi="FrankRuehl" w:cs="FrankRuehl"/>
                <w:b/>
                <w:bCs/>
                <w:sz w:val="28"/>
                <w:szCs w:val="28"/>
                <w:rtl/>
              </w:rPr>
            </w:pPr>
            <w:r w:rsidRPr="0046296C">
              <w:rPr>
                <w:rFonts w:ascii="FrankRuehl" w:hAnsi="FrankRuehl" w:cs="FrankRuehl"/>
                <w:b/>
                <w:bCs/>
                <w:sz w:val="28"/>
                <w:szCs w:val="28"/>
                <w:rtl/>
              </w:rPr>
              <w:t>נגד</w:t>
            </w:r>
          </w:p>
          <w:p w14:paraId="752EECA0" w14:textId="77777777" w:rsidR="0067397D" w:rsidRPr="0046296C" w:rsidRDefault="0067397D" w:rsidP="0067397D">
            <w:pPr>
              <w:jc w:val="both"/>
              <w:rPr>
                <w:rFonts w:ascii="FrankRuehl" w:hAnsi="FrankRuehl" w:cs="FrankRuehl"/>
                <w:sz w:val="28"/>
                <w:szCs w:val="28"/>
              </w:rPr>
            </w:pPr>
          </w:p>
        </w:tc>
      </w:tr>
      <w:tr w:rsidR="00772028" w:rsidRPr="0046296C" w14:paraId="52CE431E" w14:textId="77777777" w:rsidTr="0067397D">
        <w:trPr>
          <w:trHeight w:val="355"/>
          <w:jc w:val="center"/>
        </w:trPr>
        <w:tc>
          <w:tcPr>
            <w:tcW w:w="923" w:type="dxa"/>
            <w:gridSpan w:val="2"/>
            <w:tcBorders>
              <w:top w:val="nil"/>
              <w:left w:val="nil"/>
              <w:bottom w:val="nil"/>
              <w:right w:val="nil"/>
            </w:tcBorders>
            <w:shd w:val="clear" w:color="auto" w:fill="auto"/>
          </w:tcPr>
          <w:p w14:paraId="2F27B839" w14:textId="77777777" w:rsidR="0067397D" w:rsidRPr="0046296C" w:rsidRDefault="0067397D" w:rsidP="00772028">
            <w:pPr>
              <w:rPr>
                <w:rFonts w:ascii="FrankRuehl" w:hAnsi="FrankRuehl" w:cs="FrankRuehl"/>
                <w:sz w:val="28"/>
                <w:szCs w:val="28"/>
                <w:rtl/>
              </w:rPr>
            </w:pPr>
          </w:p>
        </w:tc>
        <w:tc>
          <w:tcPr>
            <w:tcW w:w="4126" w:type="dxa"/>
            <w:gridSpan w:val="2"/>
            <w:tcBorders>
              <w:top w:val="nil"/>
              <w:left w:val="nil"/>
              <w:bottom w:val="nil"/>
              <w:right w:val="nil"/>
            </w:tcBorders>
            <w:shd w:val="clear" w:color="auto" w:fill="auto"/>
          </w:tcPr>
          <w:p w14:paraId="21D332BC" w14:textId="77777777" w:rsidR="0067397D" w:rsidRPr="0046296C" w:rsidRDefault="0067397D" w:rsidP="00772028">
            <w:pPr>
              <w:rPr>
                <w:rFonts w:ascii="FrankRuehl" w:hAnsi="FrankRuehl" w:cs="FrankRuehl"/>
                <w:rtl/>
              </w:rPr>
            </w:pPr>
            <w:r w:rsidRPr="0046296C">
              <w:rPr>
                <w:rFonts w:ascii="FrankRuehl" w:hAnsi="FrankRuehl" w:cs="FrankRuehl"/>
                <w:sz w:val="28"/>
                <w:szCs w:val="28"/>
                <w:rtl/>
              </w:rPr>
              <w:t>נאגי נתנאל נסי</w:t>
            </w:r>
            <w:r w:rsidRPr="0046296C">
              <w:rPr>
                <w:rFonts w:ascii="FrankRuehl" w:hAnsi="FrankRuehl" w:cs="FrankRuehl" w:hint="cs"/>
                <w:sz w:val="28"/>
                <w:szCs w:val="28"/>
                <w:rtl/>
              </w:rPr>
              <w:t xml:space="preserve">ם, ת"ז </w:t>
            </w:r>
            <w:r w:rsidR="0046296C">
              <w:rPr>
                <w:rFonts w:ascii="FrankRuehl" w:hAnsi="FrankRuehl" w:cs="FrankRuehl"/>
                <w:sz w:val="28"/>
                <w:szCs w:val="28"/>
              </w:rPr>
              <w:t>xxxxxxxxx</w:t>
            </w:r>
            <w:r w:rsidRPr="0046296C">
              <w:rPr>
                <w:rFonts w:ascii="FrankRuehl" w:hAnsi="FrankRuehl" w:cs="FrankRuehl"/>
                <w:sz w:val="28"/>
                <w:szCs w:val="28"/>
                <w:rtl/>
              </w:rPr>
              <w:br/>
            </w:r>
            <w:r w:rsidRPr="0046296C">
              <w:rPr>
                <w:rFonts w:ascii="FrankRuehl" w:hAnsi="FrankRuehl" w:cs="FrankRuehl" w:hint="cs"/>
                <w:rtl/>
              </w:rPr>
              <w:t>ע"י ב"כ עו"ד עירוני, עו"ד עמון, עו"ד רייכבך</w:t>
            </w:r>
          </w:p>
        </w:tc>
        <w:tc>
          <w:tcPr>
            <w:tcW w:w="3771" w:type="dxa"/>
            <w:gridSpan w:val="2"/>
            <w:tcBorders>
              <w:top w:val="nil"/>
              <w:left w:val="nil"/>
              <w:bottom w:val="nil"/>
              <w:right w:val="nil"/>
            </w:tcBorders>
            <w:shd w:val="clear" w:color="auto" w:fill="auto"/>
          </w:tcPr>
          <w:p w14:paraId="3E4E0979" w14:textId="77777777" w:rsidR="0067397D" w:rsidRPr="0046296C" w:rsidRDefault="0067397D" w:rsidP="0067397D">
            <w:pPr>
              <w:jc w:val="right"/>
              <w:rPr>
                <w:rFonts w:ascii="FrankRuehl" w:hAnsi="FrankRuehl" w:cs="FrankRuehl"/>
                <w:sz w:val="28"/>
                <w:szCs w:val="28"/>
              </w:rPr>
            </w:pPr>
          </w:p>
        </w:tc>
      </w:tr>
      <w:tr w:rsidR="00772028" w:rsidRPr="0046296C" w14:paraId="23C35DB0" w14:textId="77777777" w:rsidTr="0067397D">
        <w:trPr>
          <w:trHeight w:val="355"/>
          <w:jc w:val="center"/>
        </w:trPr>
        <w:tc>
          <w:tcPr>
            <w:tcW w:w="923" w:type="dxa"/>
            <w:gridSpan w:val="2"/>
            <w:tcBorders>
              <w:top w:val="nil"/>
              <w:left w:val="nil"/>
              <w:bottom w:val="nil"/>
              <w:right w:val="nil"/>
            </w:tcBorders>
            <w:shd w:val="clear" w:color="auto" w:fill="auto"/>
          </w:tcPr>
          <w:p w14:paraId="4DF1BFC6" w14:textId="77777777" w:rsidR="0067397D" w:rsidRPr="0046296C" w:rsidRDefault="0067397D" w:rsidP="0067397D">
            <w:pPr>
              <w:jc w:val="both"/>
              <w:rPr>
                <w:rFonts w:ascii="FrankRuehl" w:hAnsi="FrankRuehl" w:cs="FrankRuehl"/>
                <w:sz w:val="28"/>
                <w:szCs w:val="28"/>
                <w:rtl/>
              </w:rPr>
            </w:pPr>
          </w:p>
        </w:tc>
        <w:tc>
          <w:tcPr>
            <w:tcW w:w="4126" w:type="dxa"/>
            <w:gridSpan w:val="2"/>
            <w:tcBorders>
              <w:top w:val="nil"/>
              <w:left w:val="nil"/>
              <w:bottom w:val="nil"/>
              <w:right w:val="nil"/>
            </w:tcBorders>
            <w:shd w:val="clear" w:color="auto" w:fill="auto"/>
          </w:tcPr>
          <w:p w14:paraId="4E56DBA8" w14:textId="77777777" w:rsidR="0067397D" w:rsidRPr="0046296C" w:rsidRDefault="0067397D" w:rsidP="0067397D">
            <w:pPr>
              <w:jc w:val="both"/>
              <w:rPr>
                <w:rFonts w:ascii="FrankRuehl" w:hAnsi="FrankRuehl" w:cs="FrankRuehl"/>
                <w:rtl/>
              </w:rPr>
            </w:pPr>
          </w:p>
        </w:tc>
        <w:tc>
          <w:tcPr>
            <w:tcW w:w="3771" w:type="dxa"/>
            <w:gridSpan w:val="2"/>
            <w:tcBorders>
              <w:top w:val="nil"/>
              <w:left w:val="nil"/>
              <w:bottom w:val="nil"/>
              <w:right w:val="nil"/>
            </w:tcBorders>
            <w:shd w:val="clear" w:color="auto" w:fill="auto"/>
          </w:tcPr>
          <w:p w14:paraId="753595DE" w14:textId="77777777" w:rsidR="0067397D" w:rsidRPr="0046296C" w:rsidRDefault="0067397D" w:rsidP="0067397D">
            <w:pPr>
              <w:jc w:val="right"/>
              <w:rPr>
                <w:rFonts w:ascii="FrankRuehl" w:hAnsi="FrankRuehl" w:cs="FrankRuehl"/>
                <w:sz w:val="28"/>
                <w:szCs w:val="28"/>
              </w:rPr>
            </w:pPr>
            <w:r w:rsidRPr="0046296C">
              <w:rPr>
                <w:rFonts w:ascii="FrankRuehl" w:hAnsi="FrankRuehl" w:cs="FrankRuehl"/>
                <w:sz w:val="28"/>
                <w:szCs w:val="28"/>
                <w:rtl/>
              </w:rPr>
              <w:t>הנאשם</w:t>
            </w:r>
          </w:p>
        </w:tc>
      </w:tr>
    </w:tbl>
    <w:p w14:paraId="18EDDC1E" w14:textId="77777777" w:rsidR="00B43993" w:rsidRDefault="00B43993" w:rsidP="0067397D">
      <w:pPr>
        <w:rPr>
          <w:rFonts w:ascii="FrankRuehl" w:hAnsi="FrankRuehl" w:cs="FrankRuehl"/>
          <w:rtl/>
        </w:rPr>
      </w:pPr>
      <w:bookmarkStart w:id="3" w:name="LawTable"/>
      <w:bookmarkEnd w:id="3"/>
    </w:p>
    <w:p w14:paraId="782220B2" w14:textId="77777777" w:rsidR="00B43993" w:rsidRPr="00B43993" w:rsidRDefault="00B43993" w:rsidP="00B43993">
      <w:pPr>
        <w:spacing w:after="120" w:line="240" w:lineRule="exact"/>
        <w:ind w:left="283" w:hanging="283"/>
        <w:jc w:val="both"/>
        <w:rPr>
          <w:rFonts w:ascii="FrankRuehl" w:hAnsi="FrankRuehl" w:cs="FrankRuehl"/>
          <w:rtl/>
        </w:rPr>
      </w:pPr>
    </w:p>
    <w:p w14:paraId="504D3689" w14:textId="77777777" w:rsidR="00B43993" w:rsidRPr="00B43993" w:rsidRDefault="00B43993" w:rsidP="00B43993">
      <w:pPr>
        <w:spacing w:after="120" w:line="240" w:lineRule="exact"/>
        <w:ind w:left="283" w:hanging="283"/>
        <w:jc w:val="both"/>
        <w:rPr>
          <w:rFonts w:ascii="FrankRuehl" w:hAnsi="FrankRuehl" w:cs="FrankRuehl"/>
          <w:rtl/>
        </w:rPr>
      </w:pPr>
      <w:r w:rsidRPr="00B43993">
        <w:rPr>
          <w:rFonts w:ascii="FrankRuehl" w:hAnsi="FrankRuehl" w:cs="FrankRuehl"/>
          <w:rtl/>
        </w:rPr>
        <w:t xml:space="preserve">חקיקה שאוזכרה: </w:t>
      </w:r>
    </w:p>
    <w:p w14:paraId="3D3218EF" w14:textId="77777777" w:rsidR="00B43993" w:rsidRPr="00B43993" w:rsidRDefault="00B43993" w:rsidP="00B43993">
      <w:pPr>
        <w:spacing w:after="120" w:line="240" w:lineRule="exact"/>
        <w:ind w:left="283" w:hanging="283"/>
        <w:jc w:val="both"/>
        <w:rPr>
          <w:rFonts w:ascii="FrankRuehl" w:hAnsi="FrankRuehl" w:cs="FrankRuehl"/>
          <w:rtl/>
        </w:rPr>
      </w:pPr>
      <w:hyperlink r:id="rId7" w:history="1">
        <w:r w:rsidRPr="00B43993">
          <w:rPr>
            <w:rFonts w:ascii="FrankRuehl" w:hAnsi="FrankRuehl" w:cs="FrankRuehl"/>
            <w:color w:val="0000FF"/>
            <w:u w:val="single"/>
            <w:rtl/>
          </w:rPr>
          <w:t>פקודת הסמים המסוכנים [נוסח חדש], תשל"ג-1973</w:t>
        </w:r>
      </w:hyperlink>
      <w:r w:rsidRPr="00B43993">
        <w:rPr>
          <w:rFonts w:ascii="FrankRuehl" w:hAnsi="FrankRuehl" w:cs="FrankRuehl"/>
          <w:rtl/>
        </w:rPr>
        <w:t xml:space="preserve">: סע'  </w:t>
      </w:r>
      <w:hyperlink r:id="rId8" w:history="1">
        <w:r w:rsidRPr="00B43993">
          <w:rPr>
            <w:rFonts w:ascii="FrankRuehl" w:hAnsi="FrankRuehl" w:cs="FrankRuehl"/>
            <w:color w:val="0000FF"/>
            <w:u w:val="single"/>
            <w:rtl/>
          </w:rPr>
          <w:t>13</w:t>
        </w:r>
      </w:hyperlink>
      <w:r w:rsidRPr="00B43993">
        <w:rPr>
          <w:rFonts w:ascii="FrankRuehl" w:hAnsi="FrankRuehl" w:cs="FrankRuehl"/>
          <w:rtl/>
        </w:rPr>
        <w:t xml:space="preserve">, </w:t>
      </w:r>
      <w:hyperlink r:id="rId9" w:history="1">
        <w:r w:rsidRPr="00B43993">
          <w:rPr>
            <w:rFonts w:ascii="FrankRuehl" w:hAnsi="FrankRuehl" w:cs="FrankRuehl"/>
            <w:color w:val="0000FF"/>
            <w:u w:val="single"/>
            <w:rtl/>
          </w:rPr>
          <w:t>19א</w:t>
        </w:r>
      </w:hyperlink>
    </w:p>
    <w:p w14:paraId="45F369A2" w14:textId="77777777" w:rsidR="00B43993" w:rsidRPr="00B43993" w:rsidRDefault="00B43993" w:rsidP="00B43993">
      <w:pPr>
        <w:spacing w:after="120" w:line="240" w:lineRule="exact"/>
        <w:ind w:left="283" w:hanging="283"/>
        <w:jc w:val="both"/>
        <w:rPr>
          <w:rFonts w:ascii="FrankRuehl" w:hAnsi="FrankRuehl" w:cs="FrankRuehl"/>
          <w:rtl/>
        </w:rPr>
      </w:pPr>
      <w:hyperlink r:id="rId10" w:history="1">
        <w:r w:rsidRPr="00B43993">
          <w:rPr>
            <w:rFonts w:ascii="FrankRuehl" w:hAnsi="FrankRuehl" w:cs="FrankRuehl"/>
            <w:color w:val="0000FF"/>
            <w:u w:val="single"/>
            <w:rtl/>
          </w:rPr>
          <w:t>חוק העונשין, תשל"ז-1977</w:t>
        </w:r>
      </w:hyperlink>
      <w:r w:rsidRPr="00B43993">
        <w:rPr>
          <w:rFonts w:ascii="FrankRuehl" w:hAnsi="FrankRuehl" w:cs="FrankRuehl"/>
          <w:rtl/>
        </w:rPr>
        <w:t xml:space="preserve">: סע'  </w:t>
      </w:r>
      <w:hyperlink r:id="rId11" w:history="1">
        <w:r w:rsidRPr="00B43993">
          <w:rPr>
            <w:rFonts w:ascii="FrankRuehl" w:hAnsi="FrankRuehl" w:cs="FrankRuehl"/>
            <w:color w:val="0000FF"/>
            <w:u w:val="single"/>
            <w:rtl/>
          </w:rPr>
          <w:t>40ט'</w:t>
        </w:r>
      </w:hyperlink>
      <w:r w:rsidRPr="00B43993">
        <w:rPr>
          <w:rFonts w:ascii="FrankRuehl" w:hAnsi="FrankRuehl" w:cs="FrankRuehl"/>
          <w:rtl/>
        </w:rPr>
        <w:t xml:space="preserve">, </w:t>
      </w:r>
      <w:hyperlink r:id="rId12" w:history="1">
        <w:r w:rsidRPr="00B43993">
          <w:rPr>
            <w:rFonts w:ascii="FrankRuehl" w:hAnsi="FrankRuehl" w:cs="FrankRuehl"/>
            <w:color w:val="0000FF"/>
            <w:u w:val="single"/>
            <w:rtl/>
          </w:rPr>
          <w:t>40יא</w:t>
        </w:r>
      </w:hyperlink>
    </w:p>
    <w:p w14:paraId="26283967" w14:textId="77777777" w:rsidR="0067397D" w:rsidRPr="0046296C" w:rsidRDefault="0067397D" w:rsidP="0067397D">
      <w:pPr>
        <w:rPr>
          <w:rFonts w:ascii="FrankRuehl" w:hAnsi="FrankRuehl" w:cs="FrankRueh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72028" w:rsidRPr="00D04996" w14:paraId="2B687EE1" w14:textId="77777777" w:rsidTr="0067397D">
        <w:trPr>
          <w:trHeight w:val="355"/>
          <w:jc w:val="center"/>
        </w:trPr>
        <w:tc>
          <w:tcPr>
            <w:tcW w:w="8820" w:type="dxa"/>
            <w:tcBorders>
              <w:top w:val="nil"/>
              <w:left w:val="nil"/>
              <w:bottom w:val="nil"/>
              <w:right w:val="nil"/>
            </w:tcBorders>
            <w:shd w:val="clear" w:color="auto" w:fill="auto"/>
          </w:tcPr>
          <w:p w14:paraId="702EFE2E" w14:textId="77777777" w:rsidR="0046296C" w:rsidRPr="0046296C" w:rsidRDefault="0046296C" w:rsidP="0046296C">
            <w:pPr>
              <w:jc w:val="center"/>
              <w:rPr>
                <w:rFonts w:ascii="FrankRuehl" w:hAnsi="FrankRuehl" w:cs="FrankRuehl"/>
                <w:b/>
                <w:bCs/>
                <w:sz w:val="32"/>
                <w:szCs w:val="32"/>
                <w:u w:val="single"/>
                <w:rtl/>
              </w:rPr>
            </w:pPr>
            <w:bookmarkStart w:id="4" w:name="PsakDin" w:colFirst="0" w:colLast="0"/>
            <w:bookmarkEnd w:id="0"/>
            <w:bookmarkEnd w:id="1"/>
            <w:r w:rsidRPr="0046296C">
              <w:rPr>
                <w:rFonts w:ascii="FrankRuehl" w:hAnsi="FrankRuehl" w:cs="FrankRuehl"/>
                <w:b/>
                <w:bCs/>
                <w:sz w:val="32"/>
                <w:szCs w:val="32"/>
                <w:u w:val="single"/>
                <w:rtl/>
              </w:rPr>
              <w:t>גזר דין</w:t>
            </w:r>
          </w:p>
          <w:p w14:paraId="55DA1BC7" w14:textId="77777777" w:rsidR="0067397D" w:rsidRPr="0046296C" w:rsidRDefault="0067397D" w:rsidP="0046296C">
            <w:pPr>
              <w:jc w:val="center"/>
              <w:rPr>
                <w:rFonts w:ascii="FrankRuehl" w:hAnsi="FrankRuehl" w:cs="FrankRuehl"/>
                <w:bCs/>
                <w:sz w:val="32"/>
                <w:szCs w:val="32"/>
                <w:u w:val="single"/>
                <w:rtl/>
              </w:rPr>
            </w:pPr>
          </w:p>
        </w:tc>
      </w:tr>
      <w:bookmarkEnd w:id="4"/>
    </w:tbl>
    <w:p w14:paraId="62D8528E" w14:textId="77777777" w:rsidR="0067397D" w:rsidRPr="00D04996" w:rsidRDefault="0067397D" w:rsidP="0067397D">
      <w:pPr>
        <w:rPr>
          <w:rFonts w:ascii="FrankRuehl" w:hAnsi="FrankRuehl" w:cs="FrankRuehl"/>
          <w:rtl/>
        </w:rPr>
      </w:pPr>
    </w:p>
    <w:p w14:paraId="1FE4031B" w14:textId="77777777" w:rsidR="0067397D" w:rsidRPr="00D04996" w:rsidRDefault="0067397D" w:rsidP="0067397D">
      <w:pPr>
        <w:rPr>
          <w:rFonts w:ascii="FrankRuehl" w:hAnsi="FrankRuehl" w:cs="FrankRuehl"/>
          <w:rtl/>
        </w:rPr>
      </w:pPr>
    </w:p>
    <w:p w14:paraId="0957DD68" w14:textId="77777777" w:rsidR="0067397D" w:rsidRPr="00D04996" w:rsidRDefault="0067397D" w:rsidP="0067397D">
      <w:pPr>
        <w:rPr>
          <w:rFonts w:ascii="FrankRuehl" w:hAnsi="FrankRuehl" w:cs="FrankRuehl"/>
          <w:rtl/>
        </w:rPr>
      </w:pPr>
    </w:p>
    <w:p w14:paraId="0AD593E9" w14:textId="77777777" w:rsidR="0067397D" w:rsidRPr="00D04996" w:rsidRDefault="0067397D" w:rsidP="0067397D">
      <w:pPr>
        <w:rPr>
          <w:rFonts w:ascii="FrankRuehl" w:hAnsi="FrankRuehl" w:cs="FrankRuehl"/>
          <w:b/>
          <w:bCs/>
          <w:u w:val="single"/>
        </w:rPr>
      </w:pPr>
      <w:r w:rsidRPr="00D04996">
        <w:rPr>
          <w:rFonts w:ascii="FrankRuehl" w:hAnsi="FrankRuehl" w:cs="FrankRuehl"/>
          <w:b/>
          <w:bCs/>
          <w:u w:val="single"/>
          <w:rtl/>
        </w:rPr>
        <w:t>כתב האישום</w:t>
      </w:r>
    </w:p>
    <w:p w14:paraId="3E97FCCE" w14:textId="77777777" w:rsidR="0067397D" w:rsidRPr="00D04996" w:rsidRDefault="0067397D" w:rsidP="0067397D">
      <w:pPr>
        <w:spacing w:after="160" w:line="360" w:lineRule="auto"/>
        <w:jc w:val="both"/>
        <w:rPr>
          <w:rFonts w:ascii="FrankRuehl" w:hAnsi="FrankRuehl" w:cs="FrankRuehl"/>
        </w:rPr>
      </w:pPr>
    </w:p>
    <w:p w14:paraId="67CA3649" w14:textId="77777777" w:rsidR="0067397D" w:rsidRPr="00D04996" w:rsidRDefault="0067397D" w:rsidP="0067397D">
      <w:pPr>
        <w:spacing w:after="160" w:line="360" w:lineRule="auto"/>
        <w:jc w:val="both"/>
        <w:rPr>
          <w:rFonts w:ascii="FrankRuehl" w:hAnsi="FrankRuehl" w:cs="FrankRuehl"/>
          <w:rtl/>
        </w:rPr>
      </w:pPr>
      <w:bookmarkStart w:id="5" w:name="ABSTRACT_START"/>
      <w:bookmarkEnd w:id="5"/>
      <w:r w:rsidRPr="00D04996">
        <w:rPr>
          <w:rFonts w:ascii="FrankRuehl" w:hAnsi="FrankRuehl" w:cs="FrankRuehl"/>
          <w:rtl/>
        </w:rPr>
        <w:t>הנאשם הורשע על פי הודאתו בעבירות ובעובדות המנויות בכתב האישום, בכך ש</w:t>
      </w:r>
      <w:r>
        <w:rPr>
          <w:rFonts w:ascii="FrankRuehl" w:hAnsi="FrankRuehl" w:cs="FrankRuehl" w:hint="cs"/>
          <w:rtl/>
        </w:rPr>
        <w:t>בשלוש הזדמנויות סחר בסם מסוכן מסוג קוקאין אל מול סוכן משטרתי (</w:t>
      </w:r>
      <w:hyperlink r:id="rId13" w:history="1">
        <w:r w:rsidR="00B43993" w:rsidRPr="00B43993">
          <w:rPr>
            <w:rFonts w:ascii="FrankRuehl" w:hAnsi="FrankRuehl" w:cs="FrankRuehl"/>
            <w:color w:val="0000FF"/>
            <w:u w:val="single"/>
            <w:rtl/>
          </w:rPr>
          <w:t>סעיפים 13 ו-19א</w:t>
        </w:r>
      </w:hyperlink>
      <w:r>
        <w:rPr>
          <w:rFonts w:ascii="FrankRuehl" w:hAnsi="FrankRuehl" w:cs="FrankRuehl" w:hint="cs"/>
          <w:rtl/>
        </w:rPr>
        <w:t xml:space="preserve"> ל</w:t>
      </w:r>
      <w:hyperlink r:id="rId14" w:history="1">
        <w:r w:rsidR="0046296C" w:rsidRPr="0046296C">
          <w:rPr>
            <w:rFonts w:ascii="FrankRuehl" w:hAnsi="FrankRuehl" w:cs="FrankRuehl"/>
            <w:color w:val="0000FF"/>
            <w:u w:val="single"/>
            <w:rtl/>
          </w:rPr>
          <w:t>פקודת הסמים המסוכנים</w:t>
        </w:r>
      </w:hyperlink>
      <w:r>
        <w:rPr>
          <w:rFonts w:ascii="FrankRuehl" w:hAnsi="FrankRuehl" w:cs="FrankRuehl" w:hint="cs"/>
          <w:rtl/>
        </w:rPr>
        <w:t xml:space="preserve">). באישום הראשון מדובר באירוע סחר מיום 15.3.2017 בסם במשקל 2.47 גרם נטו תמורת 2,200 ₪; באישום השני מדובר באירוע סחר מיום 21.3.2017 בסם במשקל 2.35 גרם נטו תמורת 2,500 ₪ ובאישום השלישי מדובר באירוע סחר מיום 3.4.2017 בסם במשקל 2.37 גרם נטו תמורת 2,000 ₪. </w:t>
      </w:r>
    </w:p>
    <w:p w14:paraId="53918B59" w14:textId="77777777" w:rsidR="0067397D" w:rsidRPr="00D04996" w:rsidRDefault="0067397D" w:rsidP="0067397D">
      <w:pPr>
        <w:spacing w:after="160" w:line="360" w:lineRule="auto"/>
        <w:jc w:val="both"/>
        <w:rPr>
          <w:rFonts w:ascii="FrankRuehl" w:hAnsi="FrankRuehl" w:cs="FrankRuehl"/>
        </w:rPr>
      </w:pPr>
    </w:p>
    <w:p w14:paraId="119BC6B4" w14:textId="77777777" w:rsidR="0067397D" w:rsidRPr="00D04996" w:rsidRDefault="0067397D" w:rsidP="0067397D">
      <w:pPr>
        <w:spacing w:after="160" w:line="360" w:lineRule="auto"/>
        <w:jc w:val="both"/>
        <w:rPr>
          <w:rFonts w:ascii="FrankRuehl" w:hAnsi="FrankRuehl" w:cs="FrankRuehl"/>
          <w:b/>
          <w:bCs/>
          <w:u w:val="single"/>
          <w:rtl/>
        </w:rPr>
      </w:pPr>
      <w:r w:rsidRPr="00D04996">
        <w:rPr>
          <w:rFonts w:ascii="FrankRuehl" w:hAnsi="FrankRuehl" w:cs="FrankRuehl"/>
          <w:b/>
          <w:bCs/>
          <w:u w:val="single"/>
          <w:rtl/>
        </w:rPr>
        <w:t>טיעונים לעונש</w:t>
      </w:r>
    </w:p>
    <w:p w14:paraId="2022940D" w14:textId="77777777" w:rsidR="0067397D" w:rsidRPr="00D04996" w:rsidRDefault="0067397D" w:rsidP="0067397D">
      <w:pPr>
        <w:spacing w:after="160" w:line="360" w:lineRule="auto"/>
        <w:jc w:val="both"/>
        <w:rPr>
          <w:rFonts w:ascii="FrankRuehl" w:hAnsi="FrankRuehl" w:cs="FrankRuehl"/>
          <w:rtl/>
        </w:rPr>
      </w:pPr>
      <w:r w:rsidRPr="00D04996">
        <w:rPr>
          <w:rFonts w:ascii="FrankRuehl" w:hAnsi="FrankRuehl" w:cs="FrankRuehl"/>
          <w:rtl/>
        </w:rPr>
        <w:t xml:space="preserve">הצדדים לא הגיעו להסכמה עונשית. </w:t>
      </w:r>
    </w:p>
    <w:p w14:paraId="69967416" w14:textId="77777777" w:rsidR="0067397D" w:rsidRDefault="0067397D" w:rsidP="0067397D">
      <w:pPr>
        <w:spacing w:after="160" w:line="360" w:lineRule="auto"/>
        <w:jc w:val="both"/>
        <w:rPr>
          <w:rFonts w:ascii="FrankRuehl" w:hAnsi="FrankRuehl" w:cs="FrankRuehl"/>
          <w:rtl/>
        </w:rPr>
      </w:pPr>
      <w:r w:rsidRPr="00D04996">
        <w:rPr>
          <w:rFonts w:ascii="FrankRuehl" w:hAnsi="FrankRuehl" w:cs="FrankRuehl"/>
          <w:rtl/>
        </w:rPr>
        <w:lastRenderedPageBreak/>
        <w:t xml:space="preserve">מחד, המאשימה טוענת כי יש להטיל על </w:t>
      </w:r>
      <w:r>
        <w:rPr>
          <w:rFonts w:ascii="FrankRuehl" w:hAnsi="FrankRuehl" w:cs="FrankRuehl" w:hint="cs"/>
          <w:rtl/>
        </w:rPr>
        <w:t>הנאשם עונש מאסר בן 30 חודשים לכל הפחות, על-פי מתחם דו-ספרתי מצטבר לכל עבירה ועבירה</w:t>
      </w:r>
      <w:r w:rsidRPr="00D04996">
        <w:rPr>
          <w:rFonts w:ascii="FrankRuehl" w:hAnsi="FrankRuehl" w:cs="FrankRuehl"/>
          <w:rtl/>
        </w:rPr>
        <w:t xml:space="preserve">, וזאת בשל </w:t>
      </w:r>
      <w:r>
        <w:rPr>
          <w:rFonts w:ascii="FrankRuehl" w:hAnsi="FrankRuehl" w:cs="FrankRuehl" w:hint="cs"/>
          <w:rtl/>
        </w:rPr>
        <w:t xml:space="preserve">חומרת המעשים, המניע הכלכלי לביצוע העבירות וטיבו הרע של הסם. </w:t>
      </w:r>
    </w:p>
    <w:p w14:paraId="4BF06721" w14:textId="77777777" w:rsidR="0067397D" w:rsidRPr="00D04996" w:rsidRDefault="0067397D" w:rsidP="0067397D">
      <w:pPr>
        <w:spacing w:after="160" w:line="360" w:lineRule="auto"/>
        <w:jc w:val="both"/>
        <w:rPr>
          <w:rFonts w:ascii="FrankRuehl" w:hAnsi="FrankRuehl" w:cs="FrankRuehl"/>
          <w:rtl/>
        </w:rPr>
      </w:pPr>
      <w:r w:rsidRPr="00D04996">
        <w:rPr>
          <w:rFonts w:ascii="FrankRuehl" w:hAnsi="FrankRuehl" w:cs="FrankRuehl"/>
          <w:rtl/>
        </w:rPr>
        <w:t xml:space="preserve">מאידך, הסניגור טוען כי </w:t>
      </w:r>
      <w:r>
        <w:rPr>
          <w:rFonts w:ascii="FrankRuehl" w:hAnsi="FrankRuehl" w:cs="FrankRuehl" w:hint="cs"/>
          <w:rtl/>
        </w:rPr>
        <w:t>יש מקום להסתפק בהמלצת שירות המבחן, שהולמת את התהליך השיקומי שהנאשם עבר לאורך למעלה משנה בפיקוחם של בית המשפט ושירות המבחן.</w:t>
      </w:r>
    </w:p>
    <w:p w14:paraId="60B12F7C" w14:textId="77777777" w:rsidR="0067397D" w:rsidRDefault="0067397D" w:rsidP="0067397D">
      <w:pPr>
        <w:spacing w:after="160" w:line="360" w:lineRule="auto"/>
        <w:jc w:val="both"/>
        <w:rPr>
          <w:rFonts w:ascii="FrankRuehl" w:hAnsi="FrankRuehl" w:cs="FrankRuehl"/>
          <w:b/>
          <w:bCs/>
          <w:u w:val="single"/>
          <w:rtl/>
        </w:rPr>
      </w:pPr>
      <w:bookmarkStart w:id="6" w:name="ABSTRACT_END"/>
      <w:bookmarkEnd w:id="6"/>
    </w:p>
    <w:p w14:paraId="0877815D" w14:textId="77777777" w:rsidR="0067397D" w:rsidRDefault="0067397D" w:rsidP="0067397D">
      <w:pPr>
        <w:spacing w:after="160" w:line="360" w:lineRule="auto"/>
        <w:jc w:val="both"/>
        <w:rPr>
          <w:rFonts w:ascii="FrankRuehl" w:hAnsi="FrankRuehl" w:cs="FrankRuehl"/>
          <w:b/>
          <w:bCs/>
          <w:u w:val="single"/>
          <w:rtl/>
        </w:rPr>
      </w:pPr>
    </w:p>
    <w:p w14:paraId="6BAA940A" w14:textId="77777777" w:rsidR="0067397D" w:rsidRDefault="0067397D" w:rsidP="0067397D">
      <w:pPr>
        <w:spacing w:after="160" w:line="360" w:lineRule="auto"/>
        <w:jc w:val="both"/>
        <w:rPr>
          <w:rFonts w:ascii="FrankRuehl" w:hAnsi="FrankRuehl" w:cs="FrankRuehl"/>
          <w:b/>
          <w:bCs/>
          <w:u w:val="single"/>
          <w:rtl/>
        </w:rPr>
      </w:pPr>
    </w:p>
    <w:p w14:paraId="09FE39E0" w14:textId="77777777" w:rsidR="0067397D" w:rsidRPr="00251BD0" w:rsidRDefault="0067397D" w:rsidP="0067397D">
      <w:pPr>
        <w:spacing w:after="160" w:line="360" w:lineRule="auto"/>
        <w:jc w:val="both"/>
        <w:rPr>
          <w:rFonts w:ascii="FrankRuehl" w:hAnsi="FrankRuehl" w:cs="FrankRuehl"/>
          <w:b/>
          <w:bCs/>
          <w:u w:val="single"/>
          <w:rtl/>
        </w:rPr>
      </w:pPr>
      <w:r w:rsidRPr="00251BD0">
        <w:rPr>
          <w:rFonts w:ascii="FrankRuehl" w:hAnsi="FrankRuehl" w:cs="FrankRuehl" w:hint="cs"/>
          <w:b/>
          <w:bCs/>
          <w:u w:val="single"/>
          <w:rtl/>
        </w:rPr>
        <w:t>רישום פלילי</w:t>
      </w:r>
    </w:p>
    <w:p w14:paraId="78FEEBC3" w14:textId="77777777" w:rsidR="0067397D" w:rsidRPr="00B34654" w:rsidRDefault="0067397D" w:rsidP="0067397D">
      <w:pPr>
        <w:spacing w:after="160" w:line="360" w:lineRule="auto"/>
        <w:jc w:val="both"/>
        <w:rPr>
          <w:rFonts w:ascii="FrankRuehl" w:hAnsi="FrankRuehl" w:cs="FrankRuehl"/>
          <w:rtl/>
        </w:rPr>
      </w:pPr>
      <w:r>
        <w:rPr>
          <w:rFonts w:ascii="FrankRuehl" w:hAnsi="FrankRuehl" w:cs="FrankRuehl" w:hint="cs"/>
          <w:rtl/>
        </w:rPr>
        <w:t>לנאשם רישום פלילי בעבירת איומים משנת  2015  בגינו הוטל עליו מאסר מותנה.</w:t>
      </w:r>
    </w:p>
    <w:p w14:paraId="66A78A2E" w14:textId="77777777" w:rsidR="0067397D" w:rsidRDefault="0067397D" w:rsidP="0067397D">
      <w:pPr>
        <w:spacing w:after="160" w:line="360" w:lineRule="auto"/>
        <w:jc w:val="both"/>
        <w:rPr>
          <w:rFonts w:ascii="FrankRuehl" w:hAnsi="FrankRuehl" w:cs="FrankRuehl"/>
          <w:b/>
          <w:bCs/>
          <w:u w:val="single"/>
          <w:rtl/>
        </w:rPr>
      </w:pPr>
    </w:p>
    <w:p w14:paraId="446CE7BE" w14:textId="77777777" w:rsidR="0067397D" w:rsidRPr="00D04996" w:rsidRDefault="0067397D" w:rsidP="0067397D">
      <w:pPr>
        <w:spacing w:after="160" w:line="360" w:lineRule="auto"/>
        <w:jc w:val="both"/>
        <w:rPr>
          <w:rFonts w:ascii="FrankRuehl" w:hAnsi="FrankRuehl" w:cs="FrankRuehl"/>
          <w:b/>
          <w:bCs/>
          <w:u w:val="single"/>
          <w:rtl/>
        </w:rPr>
      </w:pPr>
      <w:r w:rsidRPr="00D04996">
        <w:rPr>
          <w:rFonts w:ascii="FrankRuehl" w:hAnsi="FrankRuehl" w:cs="FrankRuehl"/>
          <w:b/>
          <w:bCs/>
          <w:u w:val="single"/>
          <w:rtl/>
        </w:rPr>
        <w:t>תסקיר</w:t>
      </w:r>
    </w:p>
    <w:p w14:paraId="2103467B" w14:textId="77777777" w:rsidR="0067397D" w:rsidRDefault="0067397D" w:rsidP="0067397D">
      <w:pPr>
        <w:spacing w:after="160" w:line="360" w:lineRule="auto"/>
        <w:jc w:val="both"/>
        <w:rPr>
          <w:rFonts w:ascii="FrankRuehl" w:hAnsi="FrankRuehl" w:cs="FrankRuehl"/>
          <w:rtl/>
        </w:rPr>
      </w:pPr>
      <w:r w:rsidRPr="00D04996">
        <w:rPr>
          <w:rFonts w:ascii="FrankRuehl" w:hAnsi="FrankRuehl" w:cs="FrankRuehl"/>
          <w:rtl/>
        </w:rPr>
        <w:t>מהתסקיר שהוגש בעניינו של הנאשם עולה</w:t>
      </w:r>
      <w:r>
        <w:rPr>
          <w:rFonts w:ascii="FrankRuehl" w:hAnsi="FrankRuehl" w:cs="FrankRuehl" w:hint="cs"/>
          <w:rtl/>
        </w:rPr>
        <w:t xml:space="preserve"> כי מדובר באדם כבן 27, נשוי ואב לתינוק. במסגרת הליך המעצר הנאשם עבר טיפול תחת פיקוח שירות המבחן, וכיום הוא מצוי בתנאים של מעצר בית לילי והותר לו לצאת לעבודה. השירות מגולל את קורות חייו של הנאשם מילדותו. לאחר סיום לימודי התיכון הוא התגייס לצבא ושירת כשנתיים שבסופן השתחרר מוקדם מן הצפוי בשל אי התאמה, עובדה עליה הוא מתחרט היום.  לאחר הצבא עבד בעבודות שונות, אך צבר חובות והסתבך לדבריו עם גורמים עבריינים, הסתבכות שהייתה ברקע מעורבותו בעבירות בביצוען הודה לפניי. יחד עם זאת הוא הצליח להסדיר את חובותיו בסיוע בני משפחתו, ולאחר הגשת כתב האישום בתיק זה, נישא ונולד לבני הזוג ילד לאחרונה. כיום הנאשם עובד בחברה כצובע ומסמן כבישים, והוא מתואר ע"י מעסיקו כעובד חרוץ וממושמע, ובכוונת המעסיק אף לקדמו. הנאשם מסר בדיקות שתן שנמצאו נקיות מעדות על שימוש בסמים. לפני שירות המבחן נטל הנאשם אחריות למעשיו, וטען כי בוצעו על רקע משבר אישי שחווה, חבירה לגורמים שוליים, רצון להשיג רווח מהיר ותחושת ניכור שחווה באותה עת ממשפחתו שביקרה את התנהלותו. שירות המבחן ציין כי הנאשם חש בושה מן המעשים והרושם הוא כי מדובר בנטילת אחריות מלאה למעשים.  שירות המבחן ציין את שיתוף הפעולה המלא של הנאשם עמו לאורך הדרך, שלא כללה טיפול בנושא סמים או אלכוהול בהיעדר נזקקות טיפולית. שירות המבחן שקל את הגורמים מגבירי הסיכון ואת אלו מפחיתי הסיכון והעריך כי קיים סיכון להישנות עוברת חוק. שירות המבחן עמד על כך שהנאשם שיתף פעולה לאורך הדרך עמו, הן בהליך המעצר והן בהליך העיקרי, אלא שאף אם סבר שירות המבחן שיש מקום להמלצה טיפולית בדמות שילוב בטיפול קבוצתי לעוברי חוק, הרי שנסיבות חייו של הנאשם, היותו אב טרי ועובד במשרה מלאה, לא יאפשרו את הפניות הנדרשת לתהליך שכזה. לכן המליץ שירות המבחן על הטלת עונש מוחשי של מאסר לריצוי בדרך של עבודות שירות ומאסר מותנה.</w:t>
      </w:r>
    </w:p>
    <w:p w14:paraId="15B3AA16" w14:textId="77777777" w:rsidR="0067397D" w:rsidRDefault="0067397D" w:rsidP="0067397D">
      <w:pPr>
        <w:spacing w:after="160" w:line="360" w:lineRule="auto"/>
        <w:jc w:val="both"/>
        <w:rPr>
          <w:rFonts w:ascii="FrankRuehl" w:hAnsi="FrankRuehl" w:cs="FrankRuehl"/>
          <w:b/>
          <w:bCs/>
          <w:u w:val="single"/>
          <w:rtl/>
        </w:rPr>
      </w:pPr>
    </w:p>
    <w:p w14:paraId="2890D9D2" w14:textId="77777777" w:rsidR="0067397D" w:rsidRPr="00B819F5" w:rsidRDefault="0067397D" w:rsidP="0067397D">
      <w:pPr>
        <w:spacing w:after="160" w:line="360" w:lineRule="auto"/>
        <w:jc w:val="both"/>
        <w:rPr>
          <w:rFonts w:ascii="FrankRuehl" w:hAnsi="FrankRuehl" w:cs="FrankRuehl"/>
          <w:b/>
          <w:bCs/>
          <w:u w:val="single"/>
          <w:rtl/>
        </w:rPr>
      </w:pPr>
      <w:r w:rsidRPr="00B819F5">
        <w:rPr>
          <w:rFonts w:ascii="FrankRuehl" w:hAnsi="FrankRuehl" w:cs="FrankRuehl" w:hint="cs"/>
          <w:b/>
          <w:bCs/>
          <w:u w:val="single"/>
          <w:rtl/>
        </w:rPr>
        <w:lastRenderedPageBreak/>
        <w:t>חוות דעת הממונה על עבודות השירות</w:t>
      </w:r>
    </w:p>
    <w:p w14:paraId="5801203C" w14:textId="77777777" w:rsidR="0067397D" w:rsidRPr="00D04996" w:rsidRDefault="0067397D" w:rsidP="0067397D">
      <w:pPr>
        <w:spacing w:after="160" w:line="360" w:lineRule="auto"/>
        <w:jc w:val="both"/>
        <w:rPr>
          <w:rFonts w:ascii="FrankRuehl" w:hAnsi="FrankRuehl" w:cs="FrankRuehl"/>
          <w:rtl/>
        </w:rPr>
      </w:pPr>
      <w:r>
        <w:rPr>
          <w:rFonts w:ascii="FrankRuehl" w:hAnsi="FrankRuehl" w:cs="FrankRuehl" w:hint="cs"/>
          <w:rtl/>
        </w:rPr>
        <w:t xml:space="preserve">שלחתי את הנאשם אל הממונה על עבודות שירות, אשר מצא אותו מתאים לריצוי עבודות שירות ב"נווה עמית" במוצא עלית. </w:t>
      </w:r>
    </w:p>
    <w:p w14:paraId="3E3E7A8F" w14:textId="77777777" w:rsidR="0067397D" w:rsidRDefault="0067397D" w:rsidP="0067397D">
      <w:pPr>
        <w:spacing w:after="160" w:line="360" w:lineRule="auto"/>
        <w:jc w:val="both"/>
        <w:rPr>
          <w:rFonts w:ascii="FrankRuehl" w:hAnsi="FrankRuehl" w:cs="FrankRuehl"/>
          <w:b/>
          <w:bCs/>
          <w:u w:val="single"/>
          <w:rtl/>
        </w:rPr>
      </w:pPr>
    </w:p>
    <w:p w14:paraId="7DF094D7" w14:textId="77777777" w:rsidR="0067397D" w:rsidRDefault="0067397D" w:rsidP="0067397D">
      <w:pPr>
        <w:spacing w:after="160" w:line="360" w:lineRule="auto"/>
        <w:jc w:val="both"/>
        <w:rPr>
          <w:rFonts w:ascii="FrankRuehl" w:hAnsi="FrankRuehl" w:cs="FrankRuehl"/>
          <w:b/>
          <w:bCs/>
          <w:u w:val="single"/>
          <w:rtl/>
        </w:rPr>
      </w:pPr>
    </w:p>
    <w:p w14:paraId="118AF498" w14:textId="77777777" w:rsidR="0067397D" w:rsidRDefault="0067397D" w:rsidP="0067397D">
      <w:pPr>
        <w:spacing w:after="160" w:line="360" w:lineRule="auto"/>
        <w:jc w:val="both"/>
        <w:rPr>
          <w:rFonts w:ascii="FrankRuehl" w:hAnsi="FrankRuehl" w:cs="FrankRuehl"/>
          <w:b/>
          <w:bCs/>
          <w:u w:val="single"/>
          <w:rtl/>
        </w:rPr>
      </w:pPr>
    </w:p>
    <w:p w14:paraId="1AD621B2" w14:textId="77777777" w:rsidR="0067397D" w:rsidRDefault="0067397D" w:rsidP="0067397D">
      <w:pPr>
        <w:spacing w:after="160" w:line="360" w:lineRule="auto"/>
        <w:jc w:val="both"/>
        <w:rPr>
          <w:rFonts w:ascii="FrankRuehl" w:hAnsi="FrankRuehl" w:cs="FrankRuehl"/>
          <w:b/>
          <w:bCs/>
          <w:u w:val="single"/>
          <w:rtl/>
        </w:rPr>
      </w:pPr>
      <w:r w:rsidRPr="00D04996">
        <w:rPr>
          <w:rFonts w:ascii="FrankRuehl" w:hAnsi="FrankRuehl" w:cs="FrankRuehl"/>
          <w:b/>
          <w:bCs/>
          <w:u w:val="single"/>
          <w:rtl/>
        </w:rPr>
        <w:t>קביעת מתחם הענישה</w:t>
      </w:r>
    </w:p>
    <w:p w14:paraId="23D75F2A" w14:textId="77777777" w:rsidR="0067397D" w:rsidRPr="00D04996" w:rsidRDefault="0067397D" w:rsidP="0067397D">
      <w:pPr>
        <w:spacing w:after="160" w:line="360" w:lineRule="auto"/>
        <w:jc w:val="both"/>
        <w:rPr>
          <w:rFonts w:ascii="FrankRuehl" w:hAnsi="FrankRuehl" w:cs="FrankRuehl"/>
          <w:b/>
          <w:bCs/>
          <w:u w:val="single"/>
          <w:rtl/>
        </w:rPr>
      </w:pPr>
      <w:r w:rsidRPr="00D04996">
        <w:rPr>
          <w:rFonts w:ascii="FrankRuehl" w:hAnsi="FrankRuehl" w:cs="FrankRuehl"/>
          <w:rtl/>
        </w:rPr>
        <w:t xml:space="preserve">מתחם הענישה צריך להתייחס לעקרון ההלימה, הנוגע ליחס לערך החברתי המוגן, מידת הפגיעה בו, מדיניות הענישה הנוהגת ונסיבות ביצוע העבירה. </w:t>
      </w:r>
    </w:p>
    <w:p w14:paraId="186A9C43" w14:textId="77777777" w:rsidR="0067397D" w:rsidRPr="00D04996" w:rsidRDefault="0067397D" w:rsidP="0067397D">
      <w:pPr>
        <w:spacing w:after="160" w:line="360" w:lineRule="auto"/>
        <w:jc w:val="both"/>
        <w:rPr>
          <w:rFonts w:ascii="FrankRuehl" w:hAnsi="FrankRuehl" w:cs="FrankRuehl"/>
          <w:b/>
          <w:bCs/>
          <w:u w:val="single"/>
          <w:rtl/>
        </w:rPr>
      </w:pPr>
    </w:p>
    <w:p w14:paraId="4CF96D30" w14:textId="77777777" w:rsidR="0067397D" w:rsidRDefault="0067397D" w:rsidP="0067397D">
      <w:pPr>
        <w:spacing w:after="160" w:line="360" w:lineRule="auto"/>
        <w:jc w:val="both"/>
        <w:rPr>
          <w:rFonts w:ascii="FrankRuehl" w:hAnsi="FrankRuehl" w:cs="FrankRuehl"/>
          <w:b/>
          <w:bCs/>
          <w:u w:val="single"/>
          <w:rtl/>
        </w:rPr>
      </w:pPr>
      <w:r>
        <w:rPr>
          <w:rFonts w:ascii="FrankRuehl" w:hAnsi="FrankRuehl" w:cs="FrankRuehl" w:hint="cs"/>
          <w:b/>
          <w:bCs/>
          <w:u w:val="single"/>
          <w:rtl/>
        </w:rPr>
        <w:t xml:space="preserve">הערך </w:t>
      </w:r>
      <w:r w:rsidRPr="00D04996">
        <w:rPr>
          <w:rFonts w:ascii="FrankRuehl" w:hAnsi="FrankRuehl" w:cs="FrankRuehl"/>
          <w:b/>
          <w:bCs/>
          <w:u w:val="single"/>
          <w:rtl/>
        </w:rPr>
        <w:t xml:space="preserve">המוגן </w:t>
      </w:r>
    </w:p>
    <w:p w14:paraId="17DEA2C8" w14:textId="77777777" w:rsidR="0067397D" w:rsidRDefault="0067397D" w:rsidP="0067397D">
      <w:pPr>
        <w:spacing w:after="160" w:line="360" w:lineRule="auto"/>
        <w:jc w:val="both"/>
        <w:rPr>
          <w:rFonts w:ascii="FrankRuehl" w:hAnsi="FrankRuehl" w:cs="FrankRuehl"/>
          <w:b/>
          <w:bCs/>
          <w:rtl/>
        </w:rPr>
      </w:pPr>
      <w:r w:rsidRPr="00B77AEE">
        <w:rPr>
          <w:rFonts w:ascii="FrankRuehl" w:hAnsi="FrankRuehl" w:cs="FrankRuehl" w:hint="cs"/>
          <w:rtl/>
        </w:rPr>
        <w:t xml:space="preserve">מעשיו של הנאשם פגעו בערך המוגן של שלום הציבור ובריאותו. נגע הסמים פשה בחברתנו, והוא פוגע בכל חלקי החברה ללא אפליה, למרבה הצער. </w:t>
      </w:r>
      <w:r w:rsidRPr="00AB2377">
        <w:rPr>
          <w:rFonts w:ascii="FrankRuehl" w:hAnsi="FrankRuehl" w:cs="FrankRuehl" w:hint="cs"/>
          <w:rtl/>
        </w:rPr>
        <w:t>ב</w:t>
      </w:r>
      <w:r>
        <w:rPr>
          <w:rFonts w:ascii="FrankRuehl" w:hAnsi="FrankRuehl" w:cs="FrankRuehl" w:hint="cs"/>
          <w:rtl/>
        </w:rPr>
        <w:t>-</w:t>
      </w:r>
      <w:hyperlink r:id="rId15" w:history="1">
        <w:r w:rsidR="0046296C" w:rsidRPr="0046296C">
          <w:rPr>
            <w:rFonts w:ascii="FrankRuehl" w:hAnsi="FrankRuehl" w:cs="FrankRuehl"/>
            <w:color w:val="0000FF"/>
            <w:u w:val="single"/>
            <w:rtl/>
          </w:rPr>
          <w:t>ע"פ 3669/14</w:t>
        </w:r>
      </w:hyperlink>
      <w:r w:rsidRPr="00AB2377">
        <w:rPr>
          <w:rFonts w:ascii="FrankRuehl" w:hAnsi="FrankRuehl" w:cs="FrankRuehl" w:hint="cs"/>
          <w:rtl/>
        </w:rPr>
        <w:t xml:space="preserve"> </w:t>
      </w:r>
      <w:r w:rsidRPr="00AB2377">
        <w:rPr>
          <w:rFonts w:ascii="FrankRuehl" w:hAnsi="FrankRuehl" w:cs="FrankRuehl" w:hint="cs"/>
          <w:b/>
          <w:bCs/>
          <w:u w:val="single"/>
          <w:rtl/>
        </w:rPr>
        <w:t>גולן</w:t>
      </w:r>
      <w:r w:rsidRPr="00AB2377">
        <w:rPr>
          <w:rFonts w:ascii="FrankRuehl" w:hAnsi="FrankRuehl" w:cs="FrankRuehl" w:hint="cs"/>
          <w:rtl/>
        </w:rPr>
        <w:t xml:space="preserve"> נ' </w:t>
      </w:r>
      <w:r w:rsidRPr="00AB2377">
        <w:rPr>
          <w:rFonts w:ascii="FrankRuehl" w:hAnsi="FrankRuehl" w:cs="FrankRuehl" w:hint="cs"/>
          <w:b/>
          <w:bCs/>
          <w:u w:val="single"/>
          <w:rtl/>
        </w:rPr>
        <w:t>מ"י</w:t>
      </w:r>
      <w:r w:rsidRPr="00AB2377">
        <w:rPr>
          <w:rFonts w:ascii="FrankRuehl" w:hAnsi="FrankRuehl" w:cs="FrankRuehl" w:hint="cs"/>
          <w:rtl/>
        </w:rPr>
        <w:t xml:space="preserve"> (מיום 18.12.2016) נאמר: "אין צורך להכביר מילים על חומרתן הרבה של עבירות הסמים, לנוכח פוטנציאל הנזק המשמעותי הגלום בהן </w:t>
      </w:r>
      <w:r w:rsidRPr="00AB2377">
        <w:rPr>
          <w:rFonts w:ascii="FrankRuehl" w:hAnsi="FrankRuehl" w:cs="FrankRuehl"/>
          <w:rtl/>
        </w:rPr>
        <w:t>–</w:t>
      </w:r>
      <w:r w:rsidRPr="00AB2377">
        <w:rPr>
          <w:rFonts w:ascii="FrankRuehl" w:hAnsi="FrankRuehl" w:cs="FrankRuehl" w:hint="cs"/>
          <w:rtl/>
        </w:rPr>
        <w:t xml:space="preserve"> הן לחברה בכללותה והן לניזוקים הישירים </w:t>
      </w:r>
      <w:r w:rsidRPr="00AB2377">
        <w:rPr>
          <w:rFonts w:ascii="FrankRuehl" w:hAnsi="FrankRuehl" w:cs="FrankRuehl"/>
          <w:rtl/>
        </w:rPr>
        <w:t>–</w:t>
      </w:r>
      <w:r w:rsidRPr="00AB2377">
        <w:rPr>
          <w:rFonts w:ascii="FrankRuehl" w:hAnsi="FrankRuehl" w:cs="FrankRuehl" w:hint="cs"/>
          <w:rtl/>
        </w:rPr>
        <w:t xml:space="preserve"> ועל הצורך להיאבק בהן באמצעות ענישה מרתיעה, </w:t>
      </w:r>
      <w:r w:rsidRPr="003B2E2A">
        <w:rPr>
          <w:rFonts w:ascii="FrankRuehl" w:hAnsi="FrankRuehl" w:cs="FrankRuehl" w:hint="cs"/>
          <w:rtl/>
        </w:rPr>
        <w:t>שאף מצויה במגמת החמרה</w:t>
      </w:r>
      <w:r w:rsidRPr="00AB2377">
        <w:rPr>
          <w:rFonts w:ascii="FrankRuehl" w:hAnsi="FrankRuehl" w:cs="FrankRuehl" w:hint="cs"/>
          <w:rtl/>
        </w:rPr>
        <w:t>".</w:t>
      </w:r>
    </w:p>
    <w:p w14:paraId="53178C0D" w14:textId="77777777" w:rsidR="0067397D" w:rsidRDefault="0067397D" w:rsidP="0067397D">
      <w:pPr>
        <w:spacing w:after="160" w:line="360" w:lineRule="auto"/>
        <w:jc w:val="both"/>
        <w:rPr>
          <w:rFonts w:ascii="FrankRuehl" w:hAnsi="FrankRuehl" w:cs="FrankRuehl"/>
          <w:b/>
          <w:bCs/>
          <w:u w:val="single"/>
          <w:rtl/>
        </w:rPr>
      </w:pPr>
    </w:p>
    <w:p w14:paraId="4964ADCE" w14:textId="77777777" w:rsidR="0067397D" w:rsidRDefault="0067397D" w:rsidP="0067397D">
      <w:pPr>
        <w:spacing w:after="160" w:line="360" w:lineRule="auto"/>
        <w:jc w:val="both"/>
        <w:rPr>
          <w:rFonts w:ascii="FrankRuehl" w:hAnsi="FrankRuehl" w:cs="FrankRuehl"/>
          <w:b/>
          <w:bCs/>
          <w:rtl/>
        </w:rPr>
      </w:pPr>
      <w:r w:rsidRPr="00D04996">
        <w:rPr>
          <w:rFonts w:ascii="FrankRuehl" w:hAnsi="FrankRuehl" w:cs="FrankRuehl"/>
          <w:b/>
          <w:bCs/>
          <w:u w:val="single"/>
          <w:rtl/>
        </w:rPr>
        <w:t xml:space="preserve">נסיבות הקשורות בביצוע העבירה, לפי </w:t>
      </w:r>
      <w:hyperlink r:id="rId16" w:history="1">
        <w:r w:rsidR="00B43993" w:rsidRPr="00B43993">
          <w:rPr>
            <w:rFonts w:ascii="FrankRuehl" w:hAnsi="FrankRuehl" w:cs="FrankRuehl"/>
            <w:b/>
            <w:bCs/>
            <w:color w:val="0000FF"/>
            <w:u w:val="single"/>
            <w:rtl/>
          </w:rPr>
          <w:t>סעיף 40ט'</w:t>
        </w:r>
      </w:hyperlink>
      <w:r w:rsidRPr="00D04996">
        <w:rPr>
          <w:rFonts w:ascii="FrankRuehl" w:hAnsi="FrankRuehl" w:cs="FrankRuehl"/>
          <w:b/>
          <w:bCs/>
          <w:u w:val="single"/>
          <w:rtl/>
        </w:rPr>
        <w:t xml:space="preserve"> ל</w:t>
      </w:r>
      <w:hyperlink r:id="rId17" w:history="1">
        <w:r w:rsidR="0046296C" w:rsidRPr="0046296C">
          <w:rPr>
            <w:rFonts w:ascii="FrankRuehl" w:hAnsi="FrankRuehl" w:cs="FrankRuehl"/>
            <w:b/>
            <w:bCs/>
            <w:color w:val="0000FF"/>
            <w:u w:val="single"/>
            <w:rtl/>
          </w:rPr>
          <w:t>חוק העונשין</w:t>
        </w:r>
      </w:hyperlink>
    </w:p>
    <w:p w14:paraId="366CA4EF" w14:textId="77777777" w:rsidR="0067397D" w:rsidRDefault="0067397D" w:rsidP="0067397D">
      <w:pPr>
        <w:spacing w:after="160" w:line="360" w:lineRule="auto"/>
        <w:jc w:val="both"/>
        <w:rPr>
          <w:rFonts w:ascii="FrankRuehl" w:hAnsi="FrankRuehl" w:cs="FrankRuehl"/>
          <w:rtl/>
        </w:rPr>
      </w:pPr>
      <w:r w:rsidRPr="00D04996">
        <w:rPr>
          <w:rFonts w:ascii="FrankRuehl" w:hAnsi="FrankRuehl" w:cs="FrankRuehl"/>
          <w:rtl/>
        </w:rPr>
        <w:t>בין הנסיבות הקשורות בביצוע העבירה יש לשקול את אלה, לעניין קביעת המתחם:</w:t>
      </w:r>
      <w:r>
        <w:rPr>
          <w:rFonts w:ascii="FrankRuehl" w:hAnsi="FrankRuehl" w:cs="FrankRuehl" w:hint="cs"/>
          <w:rtl/>
        </w:rPr>
        <w:t xml:space="preserve"> מדובר בשלוש עבירות של סחר בסמים מול סוכן תמורת בצע כסף; אלמלא היה מדובר בסוכן, הנזק שהיה צפוי להיגרם מן העבירה הוא חמור מבחינת הפגיעה במשתמשי הסמים, בבריאותם ובתמיכה בהמשך התמכרותם, תוך שלקחתי בחשבון את סוג הסם; הנאשם אחראי בלעדית למעשים, ואחריות זו מתגברת שעה שמדובר במעשים חוזרים ונשנים </w:t>
      </w:r>
      <w:r>
        <w:rPr>
          <w:rFonts w:ascii="FrankRuehl" w:hAnsi="FrankRuehl" w:cs="FrankRuehl"/>
          <w:rtl/>
        </w:rPr>
        <w:t>–</w:t>
      </w:r>
      <w:r>
        <w:rPr>
          <w:rFonts w:ascii="FrankRuehl" w:hAnsi="FrankRuehl" w:cs="FrankRuehl" w:hint="cs"/>
          <w:rtl/>
        </w:rPr>
        <w:t xml:space="preserve"> הדבר משליך כמובן על החומרה הנובעת מאי-עצירת עשיית המעשים בכל שלב בו היה ניתן לעשות זאת.</w:t>
      </w:r>
    </w:p>
    <w:p w14:paraId="01002A49" w14:textId="77777777" w:rsidR="0067397D" w:rsidRPr="00D04996" w:rsidRDefault="0067397D" w:rsidP="0067397D">
      <w:pPr>
        <w:spacing w:after="160" w:line="360" w:lineRule="auto"/>
        <w:jc w:val="both"/>
        <w:rPr>
          <w:rFonts w:ascii="FrankRuehl" w:hAnsi="FrankRuehl" w:cs="FrankRuehl"/>
        </w:rPr>
      </w:pPr>
    </w:p>
    <w:p w14:paraId="7E62F49A" w14:textId="77777777" w:rsidR="0067397D" w:rsidRDefault="0067397D" w:rsidP="0067397D">
      <w:pPr>
        <w:spacing w:after="160" w:line="360" w:lineRule="auto"/>
        <w:jc w:val="both"/>
        <w:rPr>
          <w:rFonts w:ascii="FrankRuehl" w:hAnsi="FrankRuehl" w:cs="FrankRuehl"/>
          <w:b/>
          <w:bCs/>
          <w:rtl/>
        </w:rPr>
      </w:pPr>
      <w:r>
        <w:rPr>
          <w:rFonts w:ascii="FrankRuehl" w:hAnsi="FrankRuehl" w:cs="FrankRuehl" w:hint="cs"/>
          <w:b/>
          <w:bCs/>
          <w:u w:val="single"/>
          <w:rtl/>
        </w:rPr>
        <w:t>מד</w:t>
      </w:r>
      <w:r w:rsidRPr="00D04996">
        <w:rPr>
          <w:rFonts w:ascii="FrankRuehl" w:hAnsi="FrankRuehl" w:cs="FrankRuehl"/>
          <w:b/>
          <w:bCs/>
          <w:u w:val="single"/>
          <w:rtl/>
        </w:rPr>
        <w:t>י</w:t>
      </w:r>
      <w:r>
        <w:rPr>
          <w:rFonts w:ascii="FrankRuehl" w:hAnsi="FrankRuehl" w:cs="FrankRuehl" w:hint="cs"/>
          <w:b/>
          <w:bCs/>
          <w:u w:val="single"/>
          <w:rtl/>
        </w:rPr>
        <w:t>ני</w:t>
      </w:r>
      <w:r w:rsidRPr="00D04996">
        <w:rPr>
          <w:rFonts w:ascii="FrankRuehl" w:hAnsi="FrankRuehl" w:cs="FrankRuehl"/>
          <w:b/>
          <w:bCs/>
          <w:u w:val="single"/>
          <w:rtl/>
        </w:rPr>
        <w:t>ות הענישה הנוהגת</w:t>
      </w:r>
    </w:p>
    <w:p w14:paraId="354EC018" w14:textId="77777777" w:rsidR="0067397D" w:rsidRDefault="0067397D" w:rsidP="0067397D">
      <w:pPr>
        <w:spacing w:after="160" w:line="360" w:lineRule="auto"/>
        <w:jc w:val="both"/>
        <w:rPr>
          <w:rFonts w:ascii="FrankRuehl" w:hAnsi="FrankRuehl" w:cs="FrankRuehl"/>
          <w:rtl/>
        </w:rPr>
      </w:pPr>
      <w:r w:rsidRPr="00AB2377">
        <w:rPr>
          <w:rFonts w:ascii="FrankRuehl" w:hAnsi="FrankRuehl" w:cs="FrankRuehl" w:hint="cs"/>
          <w:rtl/>
        </w:rPr>
        <w:t>סקירת הפסיקה מלמד</w:t>
      </w:r>
      <w:r>
        <w:rPr>
          <w:rFonts w:ascii="FrankRuehl" w:hAnsi="FrankRuehl" w:cs="FrankRuehl" w:hint="cs"/>
          <w:rtl/>
        </w:rPr>
        <w:t>ת</w:t>
      </w:r>
      <w:r w:rsidRPr="00AB2377">
        <w:rPr>
          <w:rFonts w:ascii="FrankRuehl" w:hAnsi="FrankRuehl" w:cs="FrankRuehl" w:hint="cs"/>
          <w:rtl/>
        </w:rPr>
        <w:t xml:space="preserve"> כי הכלל הוא עונש מאסר בפועל</w:t>
      </w:r>
      <w:r>
        <w:rPr>
          <w:rFonts w:ascii="FrankRuehl" w:hAnsi="FrankRuehl" w:cs="FrankRuehl" w:hint="cs"/>
          <w:rtl/>
        </w:rPr>
        <w:t>. בהקשר זה אפנה לסקירת הפסיקה המקיפה שערך כב' סגן הנשיאה, השופט קובו (כתוארו אז) ב-</w:t>
      </w:r>
      <w:hyperlink r:id="rId18" w:history="1">
        <w:r w:rsidR="0046296C" w:rsidRPr="0046296C">
          <w:rPr>
            <w:rFonts w:ascii="FrankRuehl" w:hAnsi="FrankRuehl" w:cs="FrankRuehl"/>
            <w:color w:val="0000FF"/>
            <w:u w:val="single"/>
            <w:rtl/>
          </w:rPr>
          <w:t>ת"פ (רמלה)  28270-11-15</w:t>
        </w:r>
      </w:hyperlink>
      <w:r>
        <w:rPr>
          <w:rFonts w:ascii="FrankRuehl" w:hAnsi="FrankRuehl" w:cs="FrankRuehl" w:hint="cs"/>
          <w:rtl/>
        </w:rPr>
        <w:t xml:space="preserve"> </w:t>
      </w:r>
      <w:r w:rsidRPr="00080127">
        <w:rPr>
          <w:rFonts w:ascii="FrankRuehl" w:hAnsi="FrankRuehl" w:cs="FrankRuehl" w:hint="cs"/>
          <w:b/>
          <w:bCs/>
          <w:u w:val="single"/>
          <w:rtl/>
        </w:rPr>
        <w:t>מ"י</w:t>
      </w:r>
      <w:r>
        <w:rPr>
          <w:rFonts w:ascii="FrankRuehl" w:hAnsi="FrankRuehl" w:cs="FrankRuehl" w:hint="cs"/>
          <w:rtl/>
        </w:rPr>
        <w:t xml:space="preserve"> נ' </w:t>
      </w:r>
      <w:r w:rsidRPr="00080127">
        <w:rPr>
          <w:rFonts w:ascii="FrankRuehl" w:hAnsi="FrankRuehl" w:cs="FrankRuehl" w:hint="cs"/>
          <w:b/>
          <w:bCs/>
          <w:u w:val="single"/>
          <w:rtl/>
        </w:rPr>
        <w:t>בוקובזה</w:t>
      </w:r>
      <w:r>
        <w:rPr>
          <w:rFonts w:ascii="FrankRuehl" w:hAnsi="FrankRuehl" w:cs="FrankRuehl" w:hint="cs"/>
          <w:rtl/>
        </w:rPr>
        <w:t xml:space="preserve"> (מיום 2.4.2017 בסעיף 12 לגזר הדין). </w:t>
      </w:r>
      <w:r w:rsidRPr="00080127">
        <w:rPr>
          <w:rFonts w:ascii="FrankRuehl" w:hAnsi="FrankRuehl" w:cs="FrankRuehl" w:hint="cs"/>
          <w:rtl/>
        </w:rPr>
        <w:t>לצד זאת ניתן למצוא פסיקה המסתפקת בגזירת הדין על דרך של מאסר לריצוי בעבודות שירות בנסיבות של סיוע לסחר בקוקאין במשקל 8 גרם (5 חודשי עבודות שירות על סמך מתחם שבין עבודות שירות ל-12 חודשי מאסר) כפי שנקבע ב</w:t>
      </w:r>
      <w:hyperlink r:id="rId19" w:history="1">
        <w:r w:rsidR="0046296C" w:rsidRPr="0046296C">
          <w:rPr>
            <w:rFonts w:ascii="FrankRuehl" w:hAnsi="FrankRuehl" w:cs="FrankRuehl"/>
            <w:color w:val="0000FF"/>
            <w:u w:val="single"/>
            <w:rtl/>
          </w:rPr>
          <w:t>ת"פ (מחוזי חיפה) 22435-01-15</w:t>
        </w:r>
      </w:hyperlink>
      <w:r w:rsidRPr="00080127">
        <w:rPr>
          <w:rFonts w:ascii="FrankRuehl" w:hAnsi="FrankRuehl" w:cs="FrankRuehl" w:hint="cs"/>
          <w:rtl/>
        </w:rPr>
        <w:t xml:space="preserve"> </w:t>
      </w:r>
      <w:r w:rsidRPr="00080127">
        <w:rPr>
          <w:rFonts w:ascii="FrankRuehl" w:hAnsi="FrankRuehl" w:cs="FrankRuehl" w:hint="cs"/>
          <w:b/>
          <w:bCs/>
          <w:u w:val="single"/>
          <w:rtl/>
        </w:rPr>
        <w:t>מ"י</w:t>
      </w:r>
      <w:r w:rsidRPr="00080127">
        <w:rPr>
          <w:rFonts w:ascii="FrankRuehl" w:hAnsi="FrankRuehl" w:cs="FrankRuehl" w:hint="cs"/>
          <w:rtl/>
        </w:rPr>
        <w:t xml:space="preserve"> נ' </w:t>
      </w:r>
      <w:r w:rsidRPr="00080127">
        <w:rPr>
          <w:rFonts w:ascii="FrankRuehl" w:hAnsi="FrankRuehl" w:cs="FrankRuehl" w:hint="cs"/>
          <w:b/>
          <w:bCs/>
          <w:u w:val="single"/>
          <w:rtl/>
        </w:rPr>
        <w:t>שעיב</w:t>
      </w:r>
      <w:r w:rsidRPr="00080127">
        <w:rPr>
          <w:rFonts w:ascii="FrankRuehl" w:hAnsi="FrankRuehl" w:cs="FrankRuehl" w:hint="cs"/>
          <w:rtl/>
        </w:rPr>
        <w:t xml:space="preserve"> (מיום 16.2.2016). במסגרת תיק אחר, [</w:t>
      </w:r>
      <w:hyperlink r:id="rId20" w:history="1">
        <w:r w:rsidR="0046296C" w:rsidRPr="0046296C">
          <w:rPr>
            <w:rFonts w:ascii="FrankRuehl" w:hAnsi="FrankRuehl" w:cs="FrankRuehl"/>
            <w:color w:val="0000FF"/>
            <w:u w:val="single"/>
            <w:rtl/>
          </w:rPr>
          <w:t>עפ"ג (חיפה) 53142-12-16</w:t>
        </w:r>
      </w:hyperlink>
      <w:r w:rsidRPr="00080127">
        <w:rPr>
          <w:rFonts w:ascii="FrankRuehl" w:hAnsi="FrankRuehl" w:cs="FrankRuehl" w:hint="cs"/>
          <w:rtl/>
        </w:rPr>
        <w:t xml:space="preserve"> </w:t>
      </w:r>
      <w:r w:rsidRPr="00080127">
        <w:rPr>
          <w:rFonts w:ascii="FrankRuehl" w:hAnsi="FrankRuehl" w:cs="FrankRuehl" w:hint="cs"/>
          <w:b/>
          <w:bCs/>
          <w:u w:val="single"/>
          <w:rtl/>
        </w:rPr>
        <w:t>רחימוב</w:t>
      </w:r>
      <w:r w:rsidRPr="00080127">
        <w:rPr>
          <w:rFonts w:ascii="FrankRuehl" w:hAnsi="FrankRuehl" w:cs="FrankRuehl" w:hint="cs"/>
          <w:rtl/>
        </w:rPr>
        <w:t xml:space="preserve"> נ' </w:t>
      </w:r>
      <w:r w:rsidRPr="00080127">
        <w:rPr>
          <w:rFonts w:ascii="FrankRuehl" w:hAnsi="FrankRuehl" w:cs="FrankRuehl" w:hint="cs"/>
          <w:b/>
          <w:bCs/>
          <w:u w:val="single"/>
          <w:rtl/>
        </w:rPr>
        <w:t>מ"י</w:t>
      </w:r>
      <w:r w:rsidRPr="00080127">
        <w:rPr>
          <w:rFonts w:ascii="FrankRuehl" w:hAnsi="FrankRuehl" w:cs="FrankRuehl" w:hint="cs"/>
          <w:rtl/>
        </w:rPr>
        <w:t xml:space="preserve"> (מיום 17.5.2017)], הגיע בית המשפט לתוצאה של 6 חודשי עבודות שירות מחמת שיקום בנסיבות של סחר ב-15 גרם קוקאין והחזקת חשיש להחזקה עצמית (נקבע מתוחם ענישה שבין 13 ל-30 ח' מאסר)</w:t>
      </w:r>
      <w:r>
        <w:rPr>
          <w:rFonts w:ascii="FrankRuehl" w:hAnsi="FrankRuehl" w:cs="FrankRuehl" w:hint="cs"/>
          <w:rtl/>
        </w:rPr>
        <w:t>.</w:t>
      </w:r>
    </w:p>
    <w:p w14:paraId="292C1962" w14:textId="77777777" w:rsidR="0067397D" w:rsidRPr="00080127" w:rsidRDefault="0067397D" w:rsidP="0067397D">
      <w:pPr>
        <w:spacing w:after="160" w:line="360" w:lineRule="auto"/>
        <w:jc w:val="both"/>
        <w:rPr>
          <w:rFonts w:ascii="FrankRuehl" w:hAnsi="FrankRuehl" w:cs="FrankRuehl"/>
          <w:rtl/>
        </w:rPr>
      </w:pPr>
    </w:p>
    <w:p w14:paraId="1BD69514" w14:textId="77777777" w:rsidR="0067397D" w:rsidRDefault="0067397D" w:rsidP="0067397D">
      <w:pPr>
        <w:spacing w:after="160" w:line="360" w:lineRule="auto"/>
        <w:jc w:val="both"/>
        <w:rPr>
          <w:rFonts w:ascii="FrankRuehl" w:hAnsi="FrankRuehl" w:cs="FrankRuehl"/>
          <w:b/>
          <w:bCs/>
          <w:u w:val="single"/>
          <w:rtl/>
        </w:rPr>
      </w:pPr>
    </w:p>
    <w:p w14:paraId="1221D6E4" w14:textId="77777777" w:rsidR="0067397D" w:rsidRDefault="0067397D" w:rsidP="0067397D">
      <w:pPr>
        <w:spacing w:after="160" w:line="360" w:lineRule="auto"/>
        <w:jc w:val="both"/>
        <w:rPr>
          <w:rFonts w:ascii="FrankRuehl" w:hAnsi="FrankRuehl" w:cs="FrankRuehl"/>
          <w:rtl/>
        </w:rPr>
      </w:pPr>
      <w:r w:rsidRPr="00D04996">
        <w:rPr>
          <w:rFonts w:ascii="FrankRuehl" w:hAnsi="FrankRuehl" w:cs="FrankRuehl"/>
          <w:b/>
          <w:bCs/>
          <w:u w:val="single"/>
          <w:rtl/>
        </w:rPr>
        <w:t>מתחם הענישה</w:t>
      </w:r>
      <w:r w:rsidRPr="00D04996">
        <w:rPr>
          <w:rFonts w:ascii="FrankRuehl" w:hAnsi="FrankRuehl" w:cs="FrankRuehl"/>
          <w:rtl/>
        </w:rPr>
        <w:t xml:space="preserve"> </w:t>
      </w:r>
    </w:p>
    <w:p w14:paraId="373DAC44" w14:textId="77777777" w:rsidR="0067397D" w:rsidRDefault="0067397D" w:rsidP="0067397D">
      <w:pPr>
        <w:spacing w:after="160" w:line="360" w:lineRule="auto"/>
        <w:jc w:val="both"/>
        <w:rPr>
          <w:rFonts w:ascii="FrankRuehl" w:hAnsi="FrankRuehl" w:cs="FrankRuehl"/>
          <w:rtl/>
        </w:rPr>
      </w:pPr>
      <w:r w:rsidRPr="00361265">
        <w:rPr>
          <w:rFonts w:ascii="FrankRuehl" w:hAnsi="FrankRuehl" w:cs="FrankRuehl" w:hint="cs"/>
          <w:b/>
          <w:bCs/>
          <w:rtl/>
        </w:rPr>
        <w:t>ראשית</w:t>
      </w:r>
      <w:r>
        <w:rPr>
          <w:rFonts w:ascii="FrankRuehl" w:hAnsi="FrankRuehl" w:cs="FrankRuehl" w:hint="cs"/>
          <w:rtl/>
        </w:rPr>
        <w:t xml:space="preserve">, אקבע מתחם ענישה </w:t>
      </w:r>
      <w:r w:rsidRPr="003B2E2A">
        <w:rPr>
          <w:rFonts w:ascii="FrankRuehl" w:hAnsi="FrankRuehl" w:cs="FrankRuehl" w:hint="cs"/>
          <w:b/>
          <w:bCs/>
          <w:rtl/>
        </w:rPr>
        <w:t>אחד</w:t>
      </w:r>
      <w:r>
        <w:rPr>
          <w:rFonts w:ascii="FrankRuehl" w:hAnsi="FrankRuehl" w:cs="FrankRuehl" w:hint="cs"/>
          <w:rtl/>
        </w:rPr>
        <w:t xml:space="preserve"> עבור שלושת האישומים, לנוכח זהות הנאשם ואותו סוכן משטרתי, אותו סוג סם ותמורה דומה, והקרבה בזמן בין האירועים, כל זאת בהתאם למבחן "הקשר ההדוק" שנקבע ב-</w:t>
      </w:r>
      <w:hyperlink r:id="rId21" w:history="1">
        <w:r w:rsidR="0046296C" w:rsidRPr="0046296C">
          <w:rPr>
            <w:rFonts w:ascii="FrankRuehl" w:hAnsi="FrankRuehl" w:cs="FrankRuehl"/>
            <w:color w:val="0000FF"/>
            <w:u w:val="single"/>
            <w:rtl/>
          </w:rPr>
          <w:t>ע"פ 4910/13</w:t>
        </w:r>
      </w:hyperlink>
      <w:r>
        <w:rPr>
          <w:rFonts w:ascii="FrankRuehl" w:hAnsi="FrankRuehl" w:cs="FrankRuehl" w:hint="cs"/>
          <w:rtl/>
        </w:rPr>
        <w:t xml:space="preserve"> </w:t>
      </w:r>
      <w:r w:rsidRPr="00361265">
        <w:rPr>
          <w:rFonts w:ascii="FrankRuehl" w:hAnsi="FrankRuehl" w:cs="FrankRuehl" w:hint="cs"/>
          <w:b/>
          <w:bCs/>
          <w:u w:val="single"/>
          <w:rtl/>
        </w:rPr>
        <w:t>בני ג'אבר</w:t>
      </w:r>
      <w:r>
        <w:rPr>
          <w:rFonts w:ascii="FrankRuehl" w:hAnsi="FrankRuehl" w:cs="FrankRuehl" w:hint="cs"/>
          <w:rtl/>
        </w:rPr>
        <w:t xml:space="preserve"> נ' </w:t>
      </w:r>
      <w:r w:rsidRPr="00361265">
        <w:rPr>
          <w:rFonts w:ascii="FrankRuehl" w:hAnsi="FrankRuehl" w:cs="FrankRuehl" w:hint="cs"/>
          <w:b/>
          <w:bCs/>
          <w:u w:val="single"/>
          <w:rtl/>
        </w:rPr>
        <w:t>מ"י</w:t>
      </w:r>
      <w:r>
        <w:rPr>
          <w:rFonts w:ascii="FrankRuehl" w:hAnsi="FrankRuehl" w:cs="FrankRuehl" w:hint="cs"/>
          <w:rtl/>
        </w:rPr>
        <w:t xml:space="preserve"> (מיום 29.10.2014). </w:t>
      </w:r>
    </w:p>
    <w:p w14:paraId="54067276" w14:textId="77777777" w:rsidR="0067397D" w:rsidRDefault="0067397D" w:rsidP="0067397D">
      <w:pPr>
        <w:spacing w:after="160" w:line="360" w:lineRule="auto"/>
        <w:jc w:val="both"/>
        <w:rPr>
          <w:rFonts w:ascii="FrankRuehl" w:hAnsi="FrankRuehl" w:cs="FrankRuehl"/>
          <w:rtl/>
        </w:rPr>
      </w:pPr>
      <w:r w:rsidRPr="00361265">
        <w:rPr>
          <w:rFonts w:ascii="FrankRuehl" w:hAnsi="FrankRuehl" w:cs="FrankRuehl" w:hint="cs"/>
          <w:b/>
          <w:bCs/>
          <w:rtl/>
        </w:rPr>
        <w:t>שנית</w:t>
      </w:r>
      <w:r>
        <w:rPr>
          <w:rFonts w:ascii="FrankRuehl" w:hAnsi="FrankRuehl" w:cs="FrankRuehl" w:hint="cs"/>
          <w:rtl/>
        </w:rPr>
        <w:t>, לנוכח הפסיקה הנוהגת עליה עמדתי ולנוכח נסיבות ביצוע העבירה שפורטו,  אני סבור שיש לקבוע מתחם שבין 5 ל-12 חודשי מאסר, לרבות אפשרות של ריצוי המאסר בדרך של עבודות שירות.  מפנה בהקשר זה לגזר דין שנתתי ב</w:t>
      </w:r>
      <w:hyperlink r:id="rId22" w:history="1">
        <w:r w:rsidR="0046296C" w:rsidRPr="0046296C">
          <w:rPr>
            <w:rFonts w:ascii="FrankRuehl" w:hAnsi="FrankRuehl" w:cs="FrankRuehl"/>
            <w:color w:val="0000FF"/>
            <w:u w:val="single"/>
            <w:rtl/>
          </w:rPr>
          <w:t>ת"פ 66475-11-16</w:t>
        </w:r>
      </w:hyperlink>
      <w:r>
        <w:rPr>
          <w:rFonts w:ascii="FrankRuehl" w:hAnsi="FrankRuehl" w:cs="FrankRuehl" w:hint="cs"/>
          <w:rtl/>
        </w:rPr>
        <w:t xml:space="preserve"> </w:t>
      </w:r>
      <w:r w:rsidRPr="00361265">
        <w:rPr>
          <w:rFonts w:ascii="FrankRuehl" w:hAnsi="FrankRuehl" w:cs="FrankRuehl" w:hint="cs"/>
          <w:b/>
          <w:bCs/>
          <w:u w:val="single"/>
          <w:rtl/>
        </w:rPr>
        <w:t xml:space="preserve">מ"י </w:t>
      </w:r>
      <w:r>
        <w:rPr>
          <w:rFonts w:ascii="FrankRuehl" w:hAnsi="FrankRuehl" w:cs="FrankRuehl" w:hint="cs"/>
          <w:rtl/>
        </w:rPr>
        <w:t xml:space="preserve">נ' </w:t>
      </w:r>
      <w:r w:rsidRPr="00361265">
        <w:rPr>
          <w:rFonts w:ascii="FrankRuehl" w:hAnsi="FrankRuehl" w:cs="FrankRuehl" w:hint="cs"/>
          <w:b/>
          <w:bCs/>
          <w:u w:val="single"/>
          <w:rtl/>
        </w:rPr>
        <w:t>אבו חצירה</w:t>
      </w:r>
      <w:r>
        <w:rPr>
          <w:rFonts w:ascii="FrankRuehl" w:hAnsi="FrankRuehl" w:cs="FrankRuehl" w:hint="cs"/>
          <w:rtl/>
        </w:rPr>
        <w:t xml:space="preserve"> (מיום 30.4.2018), שם תלוי ועומד ערעור המדינה. </w:t>
      </w:r>
    </w:p>
    <w:p w14:paraId="1661F6D5" w14:textId="77777777" w:rsidR="0067397D" w:rsidRPr="00D04996" w:rsidRDefault="0067397D" w:rsidP="0067397D">
      <w:pPr>
        <w:spacing w:after="160" w:line="360" w:lineRule="auto"/>
        <w:jc w:val="both"/>
        <w:rPr>
          <w:rFonts w:ascii="FrankRuehl" w:hAnsi="FrankRuehl" w:cs="FrankRuehl"/>
          <w:b/>
          <w:bCs/>
          <w:rtl/>
        </w:rPr>
      </w:pPr>
    </w:p>
    <w:p w14:paraId="4746F450" w14:textId="77777777" w:rsidR="0067397D" w:rsidRDefault="0067397D" w:rsidP="0067397D">
      <w:pPr>
        <w:spacing w:after="160" w:line="360" w:lineRule="auto"/>
        <w:jc w:val="both"/>
        <w:rPr>
          <w:rFonts w:ascii="FrankRuehl" w:hAnsi="FrankRuehl" w:cs="FrankRuehl"/>
          <w:b/>
          <w:bCs/>
          <w:u w:val="single"/>
          <w:rtl/>
        </w:rPr>
      </w:pPr>
      <w:r w:rsidRPr="00D04996">
        <w:rPr>
          <w:rFonts w:ascii="FrankRuehl" w:hAnsi="FrankRuehl" w:cs="FrankRuehl"/>
          <w:b/>
          <w:bCs/>
          <w:u w:val="single"/>
          <w:rtl/>
        </w:rPr>
        <w:t xml:space="preserve">נסיבות שאינן קשורות בביצוע העבירה לפי </w:t>
      </w:r>
      <w:hyperlink r:id="rId23" w:history="1">
        <w:r w:rsidR="00B43993" w:rsidRPr="00B43993">
          <w:rPr>
            <w:rFonts w:ascii="FrankRuehl" w:hAnsi="FrankRuehl" w:cs="FrankRuehl"/>
            <w:b/>
            <w:bCs/>
            <w:color w:val="0000FF"/>
            <w:u w:val="single"/>
            <w:rtl/>
          </w:rPr>
          <w:t>סעיף 40י"א</w:t>
        </w:r>
      </w:hyperlink>
      <w:r w:rsidRPr="00D04996">
        <w:rPr>
          <w:rFonts w:ascii="FrankRuehl" w:hAnsi="FrankRuehl" w:cs="FrankRuehl"/>
          <w:b/>
          <w:bCs/>
          <w:u w:val="single"/>
          <w:rtl/>
        </w:rPr>
        <w:t xml:space="preserve"> ל</w:t>
      </w:r>
      <w:hyperlink r:id="rId24" w:history="1">
        <w:r w:rsidR="0046296C" w:rsidRPr="0046296C">
          <w:rPr>
            <w:rFonts w:ascii="FrankRuehl" w:hAnsi="FrankRuehl" w:cs="FrankRuehl"/>
            <w:b/>
            <w:bCs/>
            <w:color w:val="0000FF"/>
            <w:u w:val="single"/>
            <w:rtl/>
          </w:rPr>
          <w:t>חוק העונשין</w:t>
        </w:r>
      </w:hyperlink>
    </w:p>
    <w:p w14:paraId="08177DFA" w14:textId="77777777" w:rsidR="0067397D" w:rsidRPr="00D04996" w:rsidRDefault="0067397D" w:rsidP="0067397D">
      <w:pPr>
        <w:spacing w:after="160" w:line="360" w:lineRule="auto"/>
        <w:jc w:val="both"/>
        <w:rPr>
          <w:rFonts w:ascii="FrankRuehl" w:hAnsi="FrankRuehl" w:cs="FrankRuehl"/>
          <w:rtl/>
        </w:rPr>
      </w:pPr>
      <w:r w:rsidRPr="00D04996">
        <w:rPr>
          <w:rFonts w:ascii="FrankRuehl" w:hAnsi="FrankRuehl" w:cs="FrankRuehl"/>
          <w:rtl/>
        </w:rPr>
        <w:t>ניתן  לתת משקל לנסיבות הבאות שאינן קשורות בביצוע העבירה, במסגרת גזירת העונש בתוך המתחם:</w:t>
      </w:r>
      <w:r>
        <w:rPr>
          <w:rFonts w:ascii="FrankRuehl" w:hAnsi="FrankRuehl" w:cs="FrankRuehl" w:hint="cs"/>
          <w:rtl/>
        </w:rPr>
        <w:t xml:space="preserve"> הנאשם מעולם לא נשא עונש מאסר, כך שלבטח מדובר בפגיעה משמעותית בו ובמשפחתו הטריה, כאשר לאחרונה הפך לאב לראשונה; מאז נעצר שהה הנאשם בתנאים מגבילים תקופה לא קצרה ואלו הוקלו לנוכח התקדמותו, שיתוף הפעולה שלו עם שירות המבחן והשמירה על התנאים; הנאשם נטל אחריות משמעותית לחייו וניתן לומר שהעלה את חייו על פסים של התנהלות נורמטיבית, הן בתחום העבודה והן בתחום המשפחה; לנאשם אמנם עבר פלילי, אך הוא אינו ממין העניין ועיון ברישום מלמד כי אין מדובר בעבירות ברף חומרה גבוה בתחום האלימות. </w:t>
      </w:r>
    </w:p>
    <w:p w14:paraId="08489C4B" w14:textId="77777777" w:rsidR="0067397D" w:rsidRPr="00D04996" w:rsidRDefault="0067397D" w:rsidP="0067397D">
      <w:pPr>
        <w:spacing w:after="160" w:line="360" w:lineRule="auto"/>
        <w:jc w:val="both"/>
        <w:rPr>
          <w:rFonts w:ascii="FrankRuehl" w:hAnsi="FrankRuehl" w:cs="FrankRuehl"/>
          <w:rtl/>
        </w:rPr>
      </w:pPr>
    </w:p>
    <w:p w14:paraId="64A08CC3" w14:textId="77777777" w:rsidR="0067397D" w:rsidRPr="00D04996" w:rsidRDefault="0067397D" w:rsidP="0067397D">
      <w:pPr>
        <w:spacing w:after="160" w:line="360" w:lineRule="auto"/>
        <w:jc w:val="both"/>
        <w:rPr>
          <w:rFonts w:ascii="FrankRuehl" w:hAnsi="FrankRuehl" w:cs="FrankRuehl"/>
          <w:rtl/>
        </w:rPr>
      </w:pPr>
      <w:r w:rsidRPr="00D04996">
        <w:rPr>
          <w:rFonts w:ascii="FrankRuehl" w:hAnsi="FrankRuehl" w:cs="FrankRuehl"/>
          <w:b/>
          <w:bCs/>
          <w:u w:val="single"/>
          <w:rtl/>
        </w:rPr>
        <w:t>המיקום במתחם</w:t>
      </w:r>
      <w:r>
        <w:rPr>
          <w:rFonts w:ascii="FrankRuehl" w:hAnsi="FrankRuehl" w:cs="FrankRuehl"/>
          <w:rtl/>
        </w:rPr>
        <w:t xml:space="preserve"> </w:t>
      </w:r>
    </w:p>
    <w:p w14:paraId="7E44F26C" w14:textId="77777777" w:rsidR="0067397D" w:rsidRDefault="0067397D" w:rsidP="0067397D">
      <w:pPr>
        <w:spacing w:after="160" w:line="360" w:lineRule="auto"/>
        <w:jc w:val="both"/>
        <w:rPr>
          <w:rFonts w:ascii="FrankRuehl" w:hAnsi="FrankRuehl" w:cs="FrankRuehl"/>
          <w:rtl/>
        </w:rPr>
      </w:pPr>
      <w:r w:rsidRPr="00F1397F">
        <w:rPr>
          <w:rFonts w:ascii="FrankRuehl" w:hAnsi="FrankRuehl" w:cs="FrankRuehl" w:hint="cs"/>
          <w:rtl/>
        </w:rPr>
        <w:t xml:space="preserve">בענייננו, אין בנמצא שיקולים לקולא או לחומרא המאפשרים סטיה מן המתחם.  </w:t>
      </w:r>
    </w:p>
    <w:p w14:paraId="3615146B" w14:textId="77777777" w:rsidR="0067397D" w:rsidRDefault="0067397D" w:rsidP="0067397D">
      <w:pPr>
        <w:spacing w:after="160" w:line="360" w:lineRule="auto"/>
        <w:jc w:val="both"/>
        <w:rPr>
          <w:rFonts w:ascii="FrankRuehl" w:hAnsi="FrankRuehl" w:cs="FrankRuehl"/>
          <w:rtl/>
        </w:rPr>
      </w:pPr>
      <w:r>
        <w:rPr>
          <w:rFonts w:ascii="FrankRuehl" w:hAnsi="FrankRuehl" w:cs="FrankRuehl" w:hint="cs"/>
          <w:rtl/>
        </w:rPr>
        <w:t xml:space="preserve">מחד, </w:t>
      </w:r>
      <w:r w:rsidRPr="00F1397F">
        <w:rPr>
          <w:rFonts w:ascii="FrankRuehl" w:hAnsi="FrankRuehl" w:cs="FrankRuehl" w:hint="cs"/>
          <w:rtl/>
        </w:rPr>
        <w:t xml:space="preserve">מדובר באדם בן 27, אשר נמצא בשנה האחרונה על מסלול חיובי של ייצוב חייו </w:t>
      </w:r>
      <w:r w:rsidRPr="00F1397F">
        <w:rPr>
          <w:rFonts w:ascii="FrankRuehl" w:hAnsi="FrankRuehl" w:cs="FrankRuehl"/>
          <w:rtl/>
        </w:rPr>
        <w:t>–</w:t>
      </w:r>
      <w:r w:rsidRPr="00F1397F">
        <w:rPr>
          <w:rFonts w:ascii="FrankRuehl" w:hAnsi="FrankRuehl" w:cs="FrankRuehl" w:hint="cs"/>
          <w:rtl/>
        </w:rPr>
        <w:t xml:space="preserve"> הן בהיבט התעסוקתי והן בהיבט המשפחתי </w:t>
      </w:r>
      <w:r w:rsidRPr="00F1397F">
        <w:rPr>
          <w:rFonts w:ascii="FrankRuehl" w:hAnsi="FrankRuehl" w:cs="FrankRuehl"/>
          <w:rtl/>
        </w:rPr>
        <w:t>–</w:t>
      </w:r>
      <w:r w:rsidRPr="00F1397F">
        <w:rPr>
          <w:rFonts w:ascii="FrankRuehl" w:hAnsi="FrankRuehl" w:cs="FrankRuehl" w:hint="cs"/>
          <w:rtl/>
        </w:rPr>
        <w:t xml:space="preserve"> הוא נישא והפך אב לתינוק. בעבודתו הוא מגלה אחריות רבה כפי שעולה מהתסקיר, ולאורך תקופת משפטו לפניי, שמר על ת</w:t>
      </w:r>
      <w:r>
        <w:rPr>
          <w:rFonts w:ascii="FrankRuehl" w:hAnsi="FrankRuehl" w:cs="FrankRuehl" w:hint="cs"/>
          <w:rtl/>
        </w:rPr>
        <w:t xml:space="preserve">נאי השחרור ושיתף פעולה </w:t>
      </w:r>
      <w:r w:rsidRPr="00F1397F">
        <w:rPr>
          <w:rFonts w:ascii="FrankRuehl" w:hAnsi="FrankRuehl" w:cs="FrankRuehl" w:hint="cs"/>
          <w:rtl/>
        </w:rPr>
        <w:t>עם שירות המבחן. שירות המבחן סבר כי הנאשם לא יהיה פנוי, מחמת עבודתו וחיי משפחתו הטריה, לתהליך טיפולי, וממילא לא נרשמה נזקקות טיפולית בתחום הסמים. לכן המליץ שירות המבחן כפי שהמליץ .</w:t>
      </w:r>
      <w:r>
        <w:rPr>
          <w:rFonts w:ascii="FrankRuehl" w:hAnsi="FrankRuehl" w:cs="FrankRuehl" w:hint="cs"/>
          <w:rtl/>
        </w:rPr>
        <w:t xml:space="preserve"> עברו הפלילי של הנאשם אינו רלבנטי לעבירות הסמים בהן הורשע לפניי. </w:t>
      </w:r>
    </w:p>
    <w:p w14:paraId="61BD1806" w14:textId="77777777" w:rsidR="0067397D" w:rsidRDefault="0067397D" w:rsidP="0067397D">
      <w:pPr>
        <w:spacing w:after="160" w:line="360" w:lineRule="auto"/>
        <w:jc w:val="both"/>
        <w:rPr>
          <w:rFonts w:ascii="FrankRuehl" w:hAnsi="FrankRuehl" w:cs="FrankRuehl"/>
          <w:rtl/>
        </w:rPr>
      </w:pPr>
      <w:r>
        <w:rPr>
          <w:rFonts w:ascii="FrankRuehl" w:hAnsi="FrankRuehl" w:cs="FrankRuehl" w:hint="cs"/>
          <w:rtl/>
        </w:rPr>
        <w:t>מאידך, עדיין מדובר בעבירות חמורות, ראויות לגינוי, שבוצעו מבצע כסף ומתוך רצון אנוכי להיחלץ ממצוקה כלכלית בה היה שרוי הנאשם. כאמור, על-פי הפסיקה שציינתי, קיימת מגמת החמרה בענישה כאשר "כלל האצבע" הוא מאסר בפועל.</w:t>
      </w:r>
    </w:p>
    <w:p w14:paraId="2E4F7F23" w14:textId="77777777" w:rsidR="0067397D" w:rsidRDefault="0067397D" w:rsidP="0067397D">
      <w:pPr>
        <w:spacing w:after="160" w:line="360" w:lineRule="auto"/>
        <w:jc w:val="both"/>
        <w:rPr>
          <w:rFonts w:ascii="FrankRuehl" w:hAnsi="FrankRuehl" w:cs="FrankRuehl"/>
          <w:rtl/>
        </w:rPr>
      </w:pPr>
      <w:r>
        <w:rPr>
          <w:rFonts w:ascii="FrankRuehl" w:hAnsi="FrankRuehl" w:cs="FrankRuehl" w:hint="cs"/>
          <w:rtl/>
        </w:rPr>
        <w:t xml:space="preserve">אלא שבאוגוסט 2015 פורסמו מסקנות "הועדה הציבורית לבחינת מדיניות הענישה והטיפול בעבריינים </w:t>
      </w:r>
      <w:r>
        <w:rPr>
          <w:rFonts w:ascii="FrankRuehl" w:hAnsi="FrankRuehl" w:cs="FrankRuehl"/>
          <w:rtl/>
        </w:rPr>
        <w:t>–</w:t>
      </w:r>
      <w:r>
        <w:rPr>
          <w:rFonts w:ascii="FrankRuehl" w:hAnsi="FrankRuehl" w:cs="FrankRuehl" w:hint="cs"/>
          <w:rtl/>
        </w:rPr>
        <w:t xml:space="preserve"> דין וחשבון" בראשות כב' שופטת בית המשפט העליון בדימוס, דליה דורנר (להלן </w:t>
      </w:r>
      <w:r>
        <w:rPr>
          <w:rFonts w:ascii="FrankRuehl" w:hAnsi="FrankRuehl" w:cs="FrankRuehl"/>
          <w:rtl/>
        </w:rPr>
        <w:t>–</w:t>
      </w:r>
      <w:r>
        <w:rPr>
          <w:rFonts w:ascii="FrankRuehl" w:hAnsi="FrankRuehl" w:cs="FrankRuehl" w:hint="cs"/>
          <w:rtl/>
        </w:rPr>
        <w:t xml:space="preserve"> </w:t>
      </w:r>
      <w:r w:rsidRPr="00E31E4A">
        <w:rPr>
          <w:rFonts w:ascii="FrankRuehl" w:hAnsi="FrankRuehl" w:cs="FrankRuehl" w:hint="cs"/>
          <w:b/>
          <w:bCs/>
          <w:rtl/>
        </w:rPr>
        <w:t>ועדת דורנר</w:t>
      </w:r>
      <w:r>
        <w:rPr>
          <w:rFonts w:ascii="FrankRuehl" w:hAnsi="FrankRuehl" w:cs="FrankRuehl" w:hint="cs"/>
          <w:rtl/>
        </w:rPr>
        <w:t>). בעמ' 19 לדו"ח מציינת הוועדה כך: "הרתעה היוותה שיקול מרכזי בענישה ע"פ המודל הקלאסי. עד לאחרונה, עם כניסתו לתוקף של תיקון 113 ל</w:t>
      </w:r>
      <w:hyperlink r:id="rId25" w:history="1">
        <w:r w:rsidR="0046296C" w:rsidRPr="0046296C">
          <w:rPr>
            <w:rFonts w:ascii="FrankRuehl" w:hAnsi="FrankRuehl" w:cs="FrankRuehl"/>
            <w:color w:val="0000FF"/>
            <w:u w:val="single"/>
            <w:rtl/>
          </w:rPr>
          <w:t>חוק העונשין</w:t>
        </w:r>
      </w:hyperlink>
      <w:r>
        <w:rPr>
          <w:rFonts w:ascii="FrankRuehl" w:hAnsi="FrankRuehl" w:cs="FrankRuehl" w:hint="cs"/>
          <w:rtl/>
        </w:rPr>
        <w:t xml:space="preserve">, גם בישראל הדגיש בית המשפט העליון את שיקול ההרתעה כשיקול מרכזי בקביעת חומרת העונש. אולם, בניגוד לאינטואיציה החזקה הקיימת בציבור ולעתים גם בקרב העוסקים בתחום ,המחקרים הרבים שבחנו את תיאוריית ההרתעה לא מצאו קשר בין חומרת הענישה להרתעה. </w:t>
      </w:r>
      <w:r w:rsidRPr="00B31691">
        <w:rPr>
          <w:rFonts w:ascii="FrankRuehl" w:hAnsi="FrankRuehl" w:cs="FrankRuehl" w:hint="cs"/>
          <w:b/>
          <w:bCs/>
          <w:rtl/>
        </w:rPr>
        <w:t>לפיכך, מקובל כיום על מרבית הקרימינולוגים כי ככלל החמרה בעונשי מאסר אינה מקדמת הרתעה כללי, והקלה בעונשים אלו אינה פוגעת בהתרעה</w:t>
      </w:r>
      <w:r>
        <w:rPr>
          <w:rFonts w:ascii="FrankRuehl" w:hAnsi="FrankRuehl" w:cs="FrankRuehl" w:hint="cs"/>
          <w:rtl/>
        </w:rPr>
        <w:t>" (ההדגשות הוספו). מסקנות והמלצת דו"ח דורנר נבדקו ע"י גורמים שונים לרבות "צוות התביעה לבחינת יישום דו"ח דורנר", וגם שם ניתן למצוא כי ההשקפה שתוארה לעיל מצאה לה ביטוי נכבד במסקנות הצוות. מעבר לכך, ברוח המלצות וועדת דורנר, חוקקה לאחרונה הוראת שעה ב</w:t>
      </w:r>
      <w:hyperlink r:id="rId26" w:history="1">
        <w:r w:rsidR="0046296C" w:rsidRPr="0046296C">
          <w:rPr>
            <w:rFonts w:ascii="FrankRuehl" w:hAnsi="FrankRuehl" w:cs="FrankRuehl"/>
            <w:color w:val="0000FF"/>
            <w:u w:val="single"/>
            <w:rtl/>
          </w:rPr>
          <w:t>חוק העונשין</w:t>
        </w:r>
      </w:hyperlink>
      <w:r>
        <w:rPr>
          <w:rFonts w:ascii="FrankRuehl" w:hAnsi="FrankRuehl" w:cs="FrankRuehl" w:hint="cs"/>
          <w:rtl/>
        </w:rPr>
        <w:t xml:space="preserve"> [תיקון 133 לחוק העונשין, </w:t>
      </w:r>
      <w:r w:rsidRPr="00B9233A">
        <w:rPr>
          <w:rFonts w:ascii="FrankRuehl" w:hAnsi="FrankRuehl" w:cs="FrankRuehl" w:hint="cs"/>
          <w:b/>
          <w:bCs/>
          <w:u w:val="single"/>
          <w:rtl/>
        </w:rPr>
        <w:t>ס"ח</w:t>
      </w:r>
      <w:r>
        <w:rPr>
          <w:rFonts w:ascii="FrankRuehl" w:hAnsi="FrankRuehl" w:cs="FrankRuehl" w:hint="cs"/>
          <w:rtl/>
        </w:rPr>
        <w:t xml:space="preserve"> תשע"ח, 2742, 26.7.2018, עמ' 286 </w:t>
      </w:r>
      <w:r>
        <w:rPr>
          <w:rFonts w:ascii="FrankRuehl" w:hAnsi="FrankRuehl" w:cs="FrankRuehl"/>
          <w:rtl/>
        </w:rPr>
        <w:t>–</w:t>
      </w:r>
      <w:r>
        <w:rPr>
          <w:rFonts w:ascii="FrankRuehl" w:hAnsi="FrankRuehl" w:cs="FrankRuehl" w:hint="cs"/>
          <w:rtl/>
        </w:rPr>
        <w:t xml:space="preserve"> תחולת התיקון מיום 1.4.2019], שתמציתה, הארכת התקופה המירבית של עונש מאסר לריצוי בעבודות שירות ל-9 חודשים, כאשר צוין בדבר הצעת החוק כך: "</w:t>
      </w:r>
      <w:r w:rsidRPr="00B9233A">
        <w:rPr>
          <w:rFonts w:ascii="FrankRuehl" w:hAnsi="FrankRuehl" w:cs="FrankRuehl" w:hint="cs"/>
          <w:b/>
          <w:bCs/>
          <w:rtl/>
        </w:rPr>
        <w:t>כחלק מהמלצות הועדה שעסקה, בין השאר, בענישה בדרך של ריצוי מאסר בעבודות שירות, הוצע להרחיב את השימוש בענישה בקהילה כתחליף לעונשי מאסר קצרים, תוך שמירה על עקרון ההלימה בין חומרת העבירה לעונש הקהילתי שיוטל על העבריין</w:t>
      </w:r>
      <w:r>
        <w:rPr>
          <w:rFonts w:ascii="FrankRuehl" w:hAnsi="FrankRuehl" w:cs="FrankRuehl" w:hint="cs"/>
          <w:rtl/>
        </w:rPr>
        <w:t xml:space="preserve">" [הצעת חוק העונשין (נשיאת מאסר בעבודות שירות </w:t>
      </w:r>
      <w:r>
        <w:rPr>
          <w:rFonts w:ascii="FrankRuehl" w:hAnsi="FrankRuehl" w:cs="FrankRuehl"/>
          <w:rtl/>
        </w:rPr>
        <w:t>–</w:t>
      </w:r>
      <w:r>
        <w:rPr>
          <w:rFonts w:ascii="FrankRuehl" w:hAnsi="FrankRuehl" w:cs="FrankRuehl" w:hint="cs"/>
          <w:rtl/>
        </w:rPr>
        <w:t xml:space="preserve"> הוראת שעה), התשע"ז-2016, </w:t>
      </w:r>
      <w:r w:rsidRPr="00B9233A">
        <w:rPr>
          <w:rFonts w:ascii="FrankRuehl" w:hAnsi="FrankRuehl" w:cs="FrankRuehl" w:hint="cs"/>
          <w:b/>
          <w:bCs/>
          <w:u w:val="single"/>
          <w:rtl/>
        </w:rPr>
        <w:t>ה"ח הממשלה</w:t>
      </w:r>
      <w:r>
        <w:rPr>
          <w:rFonts w:ascii="FrankRuehl" w:hAnsi="FrankRuehl" w:cs="FrankRuehl" w:hint="cs"/>
          <w:rtl/>
        </w:rPr>
        <w:t xml:space="preserve">, 1019, 14.11.2016, עמ' 654]. </w:t>
      </w:r>
    </w:p>
    <w:p w14:paraId="3ACD3D34" w14:textId="77777777" w:rsidR="0067397D" w:rsidRDefault="0067397D" w:rsidP="0067397D">
      <w:pPr>
        <w:spacing w:after="160" w:line="360" w:lineRule="auto"/>
        <w:jc w:val="both"/>
        <w:rPr>
          <w:rFonts w:ascii="FrankRuehl" w:hAnsi="FrankRuehl" w:cs="FrankRuehl"/>
          <w:rtl/>
        </w:rPr>
      </w:pPr>
      <w:r>
        <w:rPr>
          <w:rFonts w:ascii="FrankRuehl" w:hAnsi="FrankRuehl" w:cs="FrankRuehl" w:hint="cs"/>
          <w:rtl/>
        </w:rPr>
        <w:t xml:space="preserve">פועל יוצא מכל אלו הוא, שסברתי כי לנוכח עקרון ההלימה מחד, ועקרון השפיטה האינדיבידואלית מאידך, לאחר שלקחתי בחשבון את נסיבות ביצוע העבירה ואת נסיבותיו של הנאשם גם יחד, העונש הראוי להטיל עליו הוא מאסר לריצוי בעבודות שירות לתקופה המירבית בצירוף ענישה כספית משמעותית. בכל אלו, יש לטעמי, לשקף את חומרת המעשים ואת המחיר הנלווה להם לצד אי-גרימת נזק ארוך טווח לנאשם, כתוצאה משליחתו אל מאחורי סורג ובריח, כמי שמעולם לא ריצה עונש שכזה. </w:t>
      </w:r>
    </w:p>
    <w:p w14:paraId="6EB1C569" w14:textId="77777777" w:rsidR="0067397D" w:rsidRDefault="0067397D" w:rsidP="0067397D">
      <w:pPr>
        <w:spacing w:after="160" w:line="360" w:lineRule="auto"/>
        <w:jc w:val="both"/>
        <w:rPr>
          <w:rFonts w:ascii="FrankRuehl" w:hAnsi="FrankRuehl" w:cs="FrankRuehl"/>
          <w:rtl/>
        </w:rPr>
      </w:pPr>
    </w:p>
    <w:p w14:paraId="34EF3EF6" w14:textId="77777777" w:rsidR="0067397D" w:rsidRPr="00F1397F" w:rsidRDefault="0067397D" w:rsidP="0067397D">
      <w:pPr>
        <w:spacing w:after="160" w:line="360" w:lineRule="auto"/>
        <w:jc w:val="both"/>
        <w:rPr>
          <w:rFonts w:ascii="FrankRuehl" w:hAnsi="FrankRuehl" w:cs="FrankRuehl"/>
          <w:rtl/>
        </w:rPr>
      </w:pPr>
      <w:r>
        <w:rPr>
          <w:rFonts w:ascii="FrankRuehl" w:hAnsi="FrankRuehl" w:cs="FrankRuehl" w:hint="cs"/>
          <w:rtl/>
        </w:rPr>
        <w:t>לכן, אמקם את הנאשם עד מחצית המתחם, דהיינו 6 חודשי מאסר לריצוי בעבודות שירות וענישה נלווית.</w:t>
      </w:r>
    </w:p>
    <w:p w14:paraId="594F39E8" w14:textId="77777777" w:rsidR="0067397D" w:rsidRPr="00D04996" w:rsidRDefault="0067397D" w:rsidP="0067397D">
      <w:pPr>
        <w:spacing w:after="160" w:line="360" w:lineRule="auto"/>
        <w:jc w:val="both"/>
        <w:rPr>
          <w:rFonts w:ascii="FrankRuehl" w:hAnsi="FrankRuehl" w:cs="FrankRuehl"/>
          <w:rtl/>
        </w:rPr>
      </w:pPr>
    </w:p>
    <w:p w14:paraId="4F6D719E" w14:textId="77777777" w:rsidR="0067397D" w:rsidRPr="00D04996" w:rsidRDefault="0067397D" w:rsidP="0067397D">
      <w:pPr>
        <w:spacing w:after="160" w:line="360" w:lineRule="auto"/>
        <w:jc w:val="both"/>
        <w:rPr>
          <w:rFonts w:ascii="FrankRuehl" w:hAnsi="FrankRuehl" w:cs="FrankRuehl"/>
          <w:rtl/>
        </w:rPr>
      </w:pPr>
      <w:r w:rsidRPr="00D04996">
        <w:rPr>
          <w:rFonts w:ascii="FrankRuehl" w:hAnsi="FrankRuehl" w:cs="FrankRuehl"/>
          <w:rtl/>
        </w:rPr>
        <w:t>לפיכך, אני מחליט לגזור על הנאשם את העונשים הבאים:</w:t>
      </w:r>
    </w:p>
    <w:p w14:paraId="34AC894D" w14:textId="77777777" w:rsidR="0067397D" w:rsidRPr="008B57B7" w:rsidRDefault="0067397D" w:rsidP="0067397D">
      <w:pPr>
        <w:numPr>
          <w:ilvl w:val="0"/>
          <w:numId w:val="1"/>
        </w:numPr>
        <w:spacing w:after="160" w:line="360" w:lineRule="auto"/>
        <w:contextualSpacing/>
        <w:jc w:val="both"/>
        <w:rPr>
          <w:rFonts w:ascii="FrankRuehl" w:hAnsi="FrankRuehl" w:cs="FrankRuehl"/>
        </w:rPr>
      </w:pPr>
      <w:r w:rsidRPr="008B57B7">
        <w:rPr>
          <w:rFonts w:ascii="FrankRuehl" w:hAnsi="FrankRuehl" w:cs="FrankRuehl" w:hint="cs"/>
          <w:rtl/>
        </w:rPr>
        <w:t>6</w:t>
      </w:r>
      <w:r w:rsidRPr="008B57B7">
        <w:rPr>
          <w:rFonts w:ascii="FrankRuehl" w:hAnsi="FrankRuehl" w:cs="FrankRuehl"/>
          <w:rtl/>
        </w:rPr>
        <w:t xml:space="preserve"> חודשי מאסר</w:t>
      </w:r>
      <w:r w:rsidRPr="008B57B7">
        <w:rPr>
          <w:rFonts w:ascii="FrankRuehl" w:hAnsi="FrankRuehl" w:cs="FrankRuehl" w:hint="cs"/>
          <w:rtl/>
        </w:rPr>
        <w:t xml:space="preserve"> בפועל</w:t>
      </w:r>
      <w:r w:rsidRPr="008B57B7">
        <w:rPr>
          <w:rFonts w:ascii="FrankRuehl" w:hAnsi="FrankRuehl" w:cs="FrankRuehl"/>
          <w:rtl/>
        </w:rPr>
        <w:t xml:space="preserve">, אשר ירוצו בעבודות שירות, החל </w:t>
      </w:r>
      <w:r>
        <w:rPr>
          <w:rFonts w:ascii="FrankRuehl" w:hAnsi="FrankRuehl" w:cs="FrankRuehl" w:hint="cs"/>
          <w:rtl/>
        </w:rPr>
        <w:t xml:space="preserve">מיום 4.11.2018 </w:t>
      </w:r>
      <w:r w:rsidRPr="008B57B7">
        <w:rPr>
          <w:rFonts w:ascii="FrankRuehl" w:hAnsi="FrankRuehl" w:cs="FrankRuehl"/>
          <w:rtl/>
        </w:rPr>
        <w:t>, אשר ירוצו ב</w:t>
      </w:r>
      <w:r>
        <w:rPr>
          <w:rFonts w:ascii="FrankRuehl" w:hAnsi="FrankRuehl" w:cs="FrankRuehl" w:hint="cs"/>
          <w:rtl/>
        </w:rPr>
        <w:t>"נווה עמית" במוצא עלית</w:t>
      </w:r>
      <w:r w:rsidRPr="008B57B7">
        <w:rPr>
          <w:rFonts w:ascii="FrankRuehl" w:hAnsi="FrankRuehl" w:cs="FrankRuehl"/>
          <w:rtl/>
        </w:rPr>
        <w:t xml:space="preserve"> וזאת על פי חוות דעת הממונה על עבודות השירות. מובהר בזה כי הפרת הוראות הממונה ואי עמידה בכללים הנוגעים לריצוי עבודות השירות עלולים להביא להפקעת העבודות ולהמרת העונש בעונש מאסר של ממש.</w:t>
      </w:r>
      <w:r>
        <w:rPr>
          <w:rFonts w:ascii="FrankRuehl" w:hAnsi="FrankRuehl" w:cs="FrankRuehl" w:hint="cs"/>
          <w:rtl/>
        </w:rPr>
        <w:t xml:space="preserve"> על הנאשם להתייצב אצל הממונה בבאר שבע ביםו 4.11.2018 עד לשעה 08:00.</w:t>
      </w:r>
    </w:p>
    <w:p w14:paraId="5A1C0CB6" w14:textId="77777777" w:rsidR="0067397D" w:rsidRDefault="0067397D" w:rsidP="0067397D">
      <w:pPr>
        <w:numPr>
          <w:ilvl w:val="0"/>
          <w:numId w:val="1"/>
        </w:numPr>
        <w:spacing w:after="160" w:line="360" w:lineRule="auto"/>
        <w:contextualSpacing/>
        <w:jc w:val="both"/>
        <w:rPr>
          <w:rFonts w:ascii="FrankRuehl" w:hAnsi="FrankRuehl" w:cs="FrankRuehl"/>
        </w:rPr>
      </w:pPr>
      <w:r>
        <w:rPr>
          <w:rFonts w:ascii="FrankRuehl" w:hAnsi="FrankRuehl" w:cs="FrankRuehl" w:hint="cs"/>
          <w:rtl/>
        </w:rPr>
        <w:t xml:space="preserve">7 </w:t>
      </w:r>
      <w:r w:rsidRPr="00D04996">
        <w:rPr>
          <w:rFonts w:ascii="FrankRuehl" w:hAnsi="FrankRuehl" w:cs="FrankRuehl"/>
          <w:rtl/>
        </w:rPr>
        <w:t xml:space="preserve">חודשי מאסר, שלא ירוצו אלא אם יעבור הנאשם </w:t>
      </w:r>
      <w:r>
        <w:rPr>
          <w:rFonts w:ascii="FrankRuehl" w:hAnsi="FrankRuehl" w:cs="FrankRuehl" w:hint="cs"/>
          <w:rtl/>
        </w:rPr>
        <w:t xml:space="preserve">כל עבירה לפי פקודת הסמים (למעט שימוש עצמי והחזקת כלים לשימוש עצמי) </w:t>
      </w:r>
      <w:r w:rsidRPr="00D04996">
        <w:rPr>
          <w:rFonts w:ascii="FrankRuehl" w:hAnsi="FrankRuehl" w:cs="FrankRuehl"/>
          <w:rtl/>
        </w:rPr>
        <w:t xml:space="preserve">וזאת בתוך שלוש </w:t>
      </w:r>
      <w:r>
        <w:rPr>
          <w:rFonts w:ascii="FrankRuehl" w:hAnsi="FrankRuehl" w:cs="FrankRuehl" w:hint="cs"/>
          <w:rtl/>
        </w:rPr>
        <w:t>מהיום;</w:t>
      </w:r>
    </w:p>
    <w:p w14:paraId="012095BC" w14:textId="77777777" w:rsidR="0067397D" w:rsidRPr="00D04996" w:rsidRDefault="0067397D" w:rsidP="0067397D">
      <w:pPr>
        <w:numPr>
          <w:ilvl w:val="0"/>
          <w:numId w:val="1"/>
        </w:numPr>
        <w:spacing w:after="160" w:line="360" w:lineRule="auto"/>
        <w:contextualSpacing/>
        <w:jc w:val="both"/>
        <w:rPr>
          <w:rFonts w:ascii="FrankRuehl" w:hAnsi="FrankRuehl" w:cs="FrankRuehl"/>
          <w:rtl/>
        </w:rPr>
      </w:pPr>
      <w:r>
        <w:rPr>
          <w:rFonts w:ascii="FrankRuehl" w:hAnsi="FrankRuehl" w:cs="FrankRuehl" w:hint="cs"/>
          <w:rtl/>
        </w:rPr>
        <w:t>4 חודשי מאסר, שלא ירוצו אלא אם יעבור הנאשם עבירה של שימוש עצמי בסמים או החזקת כלים לצורך סמים בשימוש עצמי, וזאת בתוך שלוש שנים מהיום;</w:t>
      </w:r>
    </w:p>
    <w:p w14:paraId="5A1D0B30" w14:textId="77777777" w:rsidR="0067397D" w:rsidRPr="00D04996" w:rsidRDefault="0067397D" w:rsidP="0067397D">
      <w:pPr>
        <w:numPr>
          <w:ilvl w:val="0"/>
          <w:numId w:val="1"/>
        </w:numPr>
        <w:spacing w:after="160" w:line="360" w:lineRule="auto"/>
        <w:contextualSpacing/>
        <w:jc w:val="both"/>
        <w:rPr>
          <w:rFonts w:ascii="FrankRuehl" w:hAnsi="FrankRuehl" w:cs="FrankRuehl"/>
          <w:rtl/>
        </w:rPr>
      </w:pPr>
      <w:r w:rsidRPr="00D04996">
        <w:rPr>
          <w:rFonts w:ascii="FrankRuehl" w:hAnsi="FrankRuehl" w:cs="FrankRuehl"/>
          <w:rtl/>
        </w:rPr>
        <w:t xml:space="preserve">קנס בסך </w:t>
      </w:r>
      <w:r>
        <w:rPr>
          <w:rFonts w:ascii="FrankRuehl" w:hAnsi="FrankRuehl" w:cs="FrankRuehl" w:hint="cs"/>
          <w:rtl/>
        </w:rPr>
        <w:t>10,000</w:t>
      </w:r>
      <w:r w:rsidRPr="00D04996">
        <w:rPr>
          <w:rFonts w:ascii="FrankRuehl" w:hAnsi="FrankRuehl" w:cs="FrankRuehl"/>
          <w:rtl/>
        </w:rPr>
        <w:t xml:space="preserve">  ₪, אשר ישולם החל מיום</w:t>
      </w:r>
      <w:r>
        <w:rPr>
          <w:rFonts w:ascii="FrankRuehl" w:hAnsi="FrankRuehl" w:cs="FrankRuehl" w:hint="cs"/>
          <w:rtl/>
        </w:rPr>
        <w:t xml:space="preserve"> 1.1.2019</w:t>
      </w:r>
      <w:r w:rsidRPr="00D04996">
        <w:rPr>
          <w:rFonts w:ascii="FrankRuehl" w:hAnsi="FrankRuehl" w:cs="FrankRuehl"/>
          <w:rtl/>
        </w:rPr>
        <w:t xml:space="preserve">, או  </w:t>
      </w:r>
      <w:r>
        <w:rPr>
          <w:rFonts w:ascii="FrankRuehl" w:hAnsi="FrankRuehl" w:cs="FrankRuehl" w:hint="cs"/>
          <w:rtl/>
        </w:rPr>
        <w:t xml:space="preserve">60 ימי </w:t>
      </w:r>
      <w:r w:rsidRPr="00D04996">
        <w:rPr>
          <w:rFonts w:ascii="FrankRuehl" w:hAnsi="FrankRuehl" w:cs="FrankRuehl"/>
          <w:rtl/>
        </w:rPr>
        <w:t>מאסר תמורתו. הקנס ישולם ב-</w:t>
      </w:r>
      <w:r>
        <w:rPr>
          <w:rFonts w:ascii="FrankRuehl" w:hAnsi="FrankRuehl" w:cs="FrankRuehl" w:hint="cs"/>
          <w:rtl/>
        </w:rPr>
        <w:t>20</w:t>
      </w:r>
      <w:r w:rsidRPr="00D04996">
        <w:rPr>
          <w:rFonts w:ascii="FrankRuehl" w:hAnsi="FrankRuehl" w:cs="FrankRuehl"/>
          <w:rtl/>
        </w:rPr>
        <w:t xml:space="preserve"> תשלומים שווים ורצופים ב</w:t>
      </w:r>
      <w:r>
        <w:rPr>
          <w:rFonts w:ascii="FrankRuehl" w:hAnsi="FrankRuehl" w:cs="FrankRuehl" w:hint="cs"/>
          <w:rtl/>
        </w:rPr>
        <w:t>-1 ב</w:t>
      </w:r>
      <w:r w:rsidRPr="00D04996">
        <w:rPr>
          <w:rFonts w:ascii="FrankRuehl" w:hAnsi="FrankRuehl" w:cs="FrankRuehl"/>
          <w:rtl/>
        </w:rPr>
        <w:t>כל  בחודש. לא ישולם תשלום במועד או לא ישולם כלל, יעמוד הקנס לפירעון מיידי.</w:t>
      </w:r>
    </w:p>
    <w:p w14:paraId="27430BA1" w14:textId="77777777" w:rsidR="0067397D" w:rsidRPr="00D04996" w:rsidRDefault="0067397D" w:rsidP="0067397D">
      <w:pPr>
        <w:numPr>
          <w:ilvl w:val="0"/>
          <w:numId w:val="1"/>
        </w:numPr>
        <w:spacing w:after="160" w:line="360" w:lineRule="auto"/>
        <w:contextualSpacing/>
        <w:jc w:val="both"/>
        <w:rPr>
          <w:rFonts w:ascii="FrankRuehl" w:hAnsi="FrankRuehl" w:cs="FrankRuehl"/>
        </w:rPr>
      </w:pPr>
      <w:r w:rsidRPr="00D04996">
        <w:rPr>
          <w:rFonts w:ascii="FrankRuehl" w:hAnsi="FrankRuehl" w:cs="FrankRuehl"/>
          <w:rtl/>
        </w:rPr>
        <w:t>צו מבחן לתקופה של</w:t>
      </w:r>
      <w:r>
        <w:rPr>
          <w:rFonts w:ascii="FrankRuehl" w:hAnsi="FrankRuehl" w:cs="FrankRuehl" w:hint="cs"/>
          <w:rtl/>
        </w:rPr>
        <w:t xml:space="preserve"> 18 חודשים, במסגרתו חובה על הנאשם למסור בדיקת שתן בתדירות שלא תפחת מאחת לשבועיים</w:t>
      </w:r>
      <w:r w:rsidRPr="00D04996">
        <w:rPr>
          <w:rFonts w:ascii="FrankRuehl" w:hAnsi="FrankRuehl" w:cs="FrankRuehl"/>
          <w:rtl/>
        </w:rPr>
        <w:t>.</w:t>
      </w:r>
      <w:r>
        <w:rPr>
          <w:rFonts w:ascii="FrankRuehl" w:hAnsi="FrankRuehl" w:cs="FrankRuehl" w:hint="cs"/>
          <w:rtl/>
        </w:rPr>
        <w:t xml:space="preserve"> הטלת הצו נועדה לוודא כי הנאשם אכן שומר על ניקיון מסמים ונועדה להרתיעו לבל יפר את הצו, שכן הובהר לו ש</w:t>
      </w:r>
      <w:r w:rsidRPr="00D04996">
        <w:rPr>
          <w:rFonts w:ascii="FrankRuehl" w:hAnsi="FrankRuehl" w:cs="FrankRuehl"/>
          <w:rtl/>
        </w:rPr>
        <w:t xml:space="preserve">במהלך תקופה זו הנאשם מחויב בשיתוף פעולה עם שירות המבחן, </w:t>
      </w:r>
      <w:r>
        <w:rPr>
          <w:rFonts w:ascii="FrankRuehl" w:hAnsi="FrankRuehl" w:cs="FrankRuehl" w:hint="cs"/>
          <w:rtl/>
        </w:rPr>
        <w:t>ו</w:t>
      </w:r>
      <w:r w:rsidRPr="00D04996">
        <w:rPr>
          <w:rFonts w:ascii="FrankRuehl" w:hAnsi="FrankRuehl" w:cs="FrankRuehl"/>
          <w:rtl/>
        </w:rPr>
        <w:t>הפרת  הצו תוכל להביא לפתיחה מחודשת של המשפט וגזירת עונשו של הנאשם, לרבות עונש מאסר.</w:t>
      </w:r>
    </w:p>
    <w:p w14:paraId="5221E09A" w14:textId="77777777" w:rsidR="0067397D" w:rsidRPr="00D04996" w:rsidRDefault="0067397D" w:rsidP="0067397D">
      <w:pPr>
        <w:numPr>
          <w:ilvl w:val="0"/>
          <w:numId w:val="1"/>
        </w:numPr>
        <w:spacing w:after="160" w:line="360" w:lineRule="auto"/>
        <w:contextualSpacing/>
        <w:jc w:val="both"/>
        <w:rPr>
          <w:rFonts w:ascii="FrankRuehl" w:hAnsi="FrankRuehl" w:cs="FrankRuehl"/>
        </w:rPr>
      </w:pPr>
      <w:r w:rsidRPr="00D04996">
        <w:rPr>
          <w:rFonts w:ascii="FrankRuehl" w:hAnsi="FrankRuehl" w:cs="FrankRuehl"/>
          <w:rtl/>
        </w:rPr>
        <w:t xml:space="preserve">התחייבות בסך </w:t>
      </w:r>
      <w:r>
        <w:rPr>
          <w:rFonts w:ascii="FrankRuehl" w:hAnsi="FrankRuehl" w:cs="FrankRuehl" w:hint="cs"/>
          <w:rtl/>
        </w:rPr>
        <w:t xml:space="preserve">20,000 </w:t>
      </w:r>
      <w:r>
        <w:rPr>
          <w:rFonts w:ascii="FrankRuehl" w:hAnsi="FrankRuehl" w:cs="FrankRuehl"/>
          <w:rtl/>
        </w:rPr>
        <w:t>₪ שלא לעבור כל עביר</w:t>
      </w:r>
      <w:r>
        <w:rPr>
          <w:rFonts w:ascii="FrankRuehl" w:hAnsi="FrankRuehl" w:cs="FrankRuehl" w:hint="cs"/>
          <w:rtl/>
        </w:rPr>
        <w:t>ה לפי פקודת הסמים (למעט שימוש עצמי והחזקת כלים לשימוש עצמי)</w:t>
      </w:r>
      <w:r w:rsidRPr="00D04996">
        <w:rPr>
          <w:rFonts w:ascii="FrankRuehl" w:hAnsi="FrankRuehl" w:cs="FrankRuehl"/>
          <w:rtl/>
        </w:rPr>
        <w:t xml:space="preserve"> במשך שנתיים מהיום או </w:t>
      </w:r>
      <w:r>
        <w:rPr>
          <w:rFonts w:ascii="FrankRuehl" w:hAnsi="FrankRuehl" w:cs="FrankRuehl" w:hint="cs"/>
          <w:rtl/>
        </w:rPr>
        <w:t xml:space="preserve">10 </w:t>
      </w:r>
      <w:r w:rsidRPr="00D04996">
        <w:rPr>
          <w:rFonts w:ascii="FrankRuehl" w:hAnsi="FrankRuehl" w:cs="FrankRuehl"/>
          <w:rtl/>
        </w:rPr>
        <w:t xml:space="preserve">ימי מאסר תמורתה אם לא תיחתם. הובהר לנאשם שמשמעות ההתחייבות היא, כי אם יעבור את </w:t>
      </w:r>
      <w:r>
        <w:rPr>
          <w:rFonts w:ascii="FrankRuehl" w:hAnsi="FrankRuehl" w:cs="FrankRuehl" w:hint="cs"/>
          <w:rtl/>
        </w:rPr>
        <w:t xml:space="preserve">העבירות </w:t>
      </w:r>
      <w:r w:rsidRPr="00D04996">
        <w:rPr>
          <w:rFonts w:ascii="FrankRuehl" w:hAnsi="FrankRuehl" w:cs="FrankRuehl"/>
          <w:rtl/>
        </w:rPr>
        <w:t>בתוך התקופה שצוינה, בית המשפט שיגזור את הדין יהא חייב לחלט את ההתחייבות כקנס.</w:t>
      </w:r>
    </w:p>
    <w:p w14:paraId="78B247DD" w14:textId="77777777" w:rsidR="0067397D" w:rsidRDefault="0067397D" w:rsidP="0067397D">
      <w:pPr>
        <w:rPr>
          <w:rFonts w:ascii="FrankRuehl" w:hAnsi="FrankRuehl" w:cs="FrankRuehl"/>
          <w:rtl/>
        </w:rPr>
      </w:pPr>
    </w:p>
    <w:p w14:paraId="6A7BD3E8" w14:textId="77777777" w:rsidR="0067397D" w:rsidRDefault="0067397D" w:rsidP="0067397D">
      <w:pPr>
        <w:rPr>
          <w:rFonts w:ascii="FrankRuehl" w:hAnsi="FrankRuehl" w:cs="FrankRuehl"/>
          <w:rtl/>
        </w:rPr>
      </w:pPr>
    </w:p>
    <w:p w14:paraId="2B7D5768" w14:textId="77777777" w:rsidR="0067397D" w:rsidRDefault="0067397D" w:rsidP="0067397D">
      <w:pPr>
        <w:rPr>
          <w:rFonts w:ascii="FrankRuehl" w:hAnsi="FrankRuehl" w:cs="FrankRuehl"/>
          <w:rtl/>
        </w:rPr>
      </w:pPr>
      <w:r>
        <w:rPr>
          <w:rFonts w:ascii="FrankRuehl" w:hAnsi="FrankRuehl" w:cs="FrankRuehl" w:hint="cs"/>
          <w:rtl/>
        </w:rPr>
        <w:t>הסם יושמד.</w:t>
      </w:r>
    </w:p>
    <w:p w14:paraId="028EE862" w14:textId="77777777" w:rsidR="0067397D" w:rsidRDefault="0067397D" w:rsidP="0067397D">
      <w:pPr>
        <w:rPr>
          <w:rFonts w:ascii="FrankRuehl" w:hAnsi="FrankRuehl" w:cs="FrankRuehl"/>
          <w:rtl/>
        </w:rPr>
      </w:pPr>
    </w:p>
    <w:p w14:paraId="3F75A289" w14:textId="77777777" w:rsidR="0067397D" w:rsidRDefault="0067397D" w:rsidP="0067397D">
      <w:pPr>
        <w:rPr>
          <w:rFonts w:ascii="FrankRuehl" w:hAnsi="FrankRuehl" w:cs="FrankRuehl"/>
          <w:rtl/>
        </w:rPr>
      </w:pPr>
    </w:p>
    <w:p w14:paraId="1EE93EAF" w14:textId="77777777" w:rsidR="0067397D" w:rsidRDefault="0067397D" w:rsidP="0067397D">
      <w:pPr>
        <w:rPr>
          <w:rFonts w:ascii="FrankRuehl" w:hAnsi="FrankRuehl" w:cs="FrankRuehl"/>
          <w:rtl/>
        </w:rPr>
      </w:pPr>
      <w:r>
        <w:rPr>
          <w:rFonts w:ascii="FrankRuehl" w:hAnsi="FrankRuehl" w:cs="FrankRuehl" w:hint="cs"/>
          <w:rtl/>
        </w:rPr>
        <w:t>זכות ערעור כחוק.</w:t>
      </w:r>
    </w:p>
    <w:p w14:paraId="7516930B" w14:textId="77777777" w:rsidR="0067397D" w:rsidRPr="0046296C" w:rsidRDefault="0046296C" w:rsidP="0067397D">
      <w:pPr>
        <w:rPr>
          <w:rFonts w:ascii="FrankRuehl" w:hAnsi="FrankRuehl" w:cs="FrankRuehl"/>
          <w:color w:val="FFFFFF"/>
          <w:sz w:val="2"/>
          <w:szCs w:val="2"/>
          <w:rtl/>
        </w:rPr>
      </w:pPr>
      <w:r w:rsidRPr="0046296C">
        <w:rPr>
          <w:rFonts w:ascii="FrankRuehl" w:hAnsi="FrankRuehl" w:cs="FrankRuehl"/>
          <w:color w:val="FFFFFF"/>
          <w:sz w:val="2"/>
          <w:szCs w:val="2"/>
          <w:rtl/>
        </w:rPr>
        <w:t>5129371</w:t>
      </w:r>
    </w:p>
    <w:p w14:paraId="7E13F42B" w14:textId="77777777" w:rsidR="0067397D" w:rsidRPr="00D04996" w:rsidRDefault="0046296C" w:rsidP="0067397D">
      <w:pPr>
        <w:rPr>
          <w:rFonts w:ascii="FrankRuehl" w:hAnsi="FrankRuehl" w:cs="FrankRuehl"/>
          <w:sz w:val="28"/>
          <w:szCs w:val="28"/>
          <w:rtl/>
        </w:rPr>
      </w:pPr>
      <w:r w:rsidRPr="0046296C">
        <w:rPr>
          <w:rFonts w:ascii="FrankRuehl" w:hAnsi="FrankRuehl" w:cs="FrankRuehl"/>
          <w:color w:val="FFFFFF"/>
          <w:sz w:val="2"/>
          <w:szCs w:val="2"/>
          <w:rtl/>
        </w:rPr>
        <w:t>54678313</w:t>
      </w:r>
      <w:r>
        <w:rPr>
          <w:rFonts w:ascii="FrankRuehl" w:hAnsi="FrankRuehl" w:cs="FrankRuehl"/>
          <w:rtl/>
        </w:rPr>
        <w:t xml:space="preserve">ניתן היום,  ט' חשוון, התשע"ט, 18 אוקטובר 2018 במעמד הצדדים. </w:t>
      </w:r>
    </w:p>
    <w:p w14:paraId="5E8B1A78" w14:textId="77777777" w:rsidR="0067397D" w:rsidRPr="00D04996" w:rsidRDefault="0067397D" w:rsidP="0067397D">
      <w:pPr>
        <w:jc w:val="center"/>
      </w:pPr>
      <w:r w:rsidRPr="00D04996">
        <w:rPr>
          <w:rFonts w:ascii="FrankRuehl" w:hAnsi="FrankRuehl" w:cs="FrankRuehl"/>
          <w:rtl/>
        </w:rPr>
        <w:t xml:space="preserve">   </w:t>
      </w:r>
      <w:r w:rsidRPr="00D04996">
        <w:rPr>
          <w:rFonts w:ascii="FrankRuehl" w:hAnsi="FrankRuehl" w:cs="FrankRuehl"/>
          <w:rtl/>
        </w:rPr>
        <w:tab/>
      </w:r>
      <w:r w:rsidRPr="00D04996">
        <w:rPr>
          <w:rFonts w:ascii="FrankRuehl" w:hAnsi="FrankRuehl" w:cs="FrankRuehl"/>
          <w:rtl/>
        </w:rPr>
        <w:tab/>
      </w:r>
      <w:r w:rsidRPr="00D04996">
        <w:rPr>
          <w:rFonts w:ascii="FrankRuehl" w:hAnsi="FrankRuehl" w:cs="FrankRuehl"/>
          <w:rtl/>
        </w:rPr>
        <w:tab/>
      </w:r>
      <w:r w:rsidRPr="00D04996">
        <w:rPr>
          <w:rFonts w:ascii="FrankRuehl" w:hAnsi="FrankRuehl" w:cs="FrankRuehl"/>
          <w:rtl/>
        </w:rPr>
        <w:tab/>
      </w:r>
      <w:r w:rsidRPr="00D04996">
        <w:rPr>
          <w:rFonts w:ascii="FrankRuehl" w:hAnsi="FrankRuehl" w:cs="FrankRuehl"/>
          <w:rtl/>
        </w:rPr>
        <w:tab/>
      </w:r>
      <w:r>
        <w:rPr>
          <w:rtl/>
        </w:rPr>
        <w:t xml:space="preserve">     </w:t>
      </w:r>
    </w:p>
    <w:p w14:paraId="19834962" w14:textId="77777777" w:rsidR="0067397D" w:rsidRPr="00D04996" w:rsidRDefault="0067397D" w:rsidP="0067397D">
      <w:pPr>
        <w:jc w:val="center"/>
        <w:rPr>
          <w:rFonts w:ascii="FrankRuehl" w:hAnsi="FrankRuehl" w:cs="FrankRuehl"/>
          <w:sz w:val="28"/>
          <w:szCs w:val="28"/>
          <w:rtl/>
        </w:rPr>
      </w:pPr>
    </w:p>
    <w:p w14:paraId="5CA2FBA2" w14:textId="77777777" w:rsidR="0067397D" w:rsidRPr="00D04996" w:rsidRDefault="0067397D" w:rsidP="0067397D">
      <w:pPr>
        <w:rPr>
          <w:rFonts w:ascii="FrankRuehl" w:hAnsi="FrankRuehl" w:cs="FrankRuehl"/>
          <w:sz w:val="28"/>
          <w:szCs w:val="28"/>
          <w:rtl/>
        </w:rPr>
      </w:pPr>
    </w:p>
    <w:p w14:paraId="739C572E" w14:textId="77777777" w:rsidR="0067397D" w:rsidRPr="00B43993" w:rsidRDefault="00B43993" w:rsidP="0067397D">
      <w:pPr>
        <w:pStyle w:val="a3"/>
        <w:jc w:val="center"/>
        <w:rPr>
          <w:rFonts w:ascii="FrankRuehl" w:hAnsi="FrankRuehl" w:cs="FrankRuehl"/>
          <w:color w:val="FFFFFF"/>
          <w:sz w:val="2"/>
          <w:szCs w:val="2"/>
          <w:rtl/>
        </w:rPr>
      </w:pPr>
      <w:r w:rsidRPr="00B43993">
        <w:rPr>
          <w:rFonts w:ascii="FrankRuehl" w:hAnsi="FrankRuehl" w:cs="FrankRuehl"/>
          <w:color w:val="FFFFFF"/>
          <w:sz w:val="2"/>
          <w:szCs w:val="2"/>
          <w:rtl/>
        </w:rPr>
        <w:t>5129371</w:t>
      </w:r>
    </w:p>
    <w:p w14:paraId="4FC97E0A" w14:textId="77777777" w:rsidR="00F8019D" w:rsidRPr="00B43993" w:rsidRDefault="00B43993" w:rsidP="0046296C">
      <w:pPr>
        <w:keepNext/>
        <w:rPr>
          <w:rFonts w:ascii="David" w:hAnsi="David"/>
          <w:color w:val="FFFFFF"/>
          <w:sz w:val="2"/>
          <w:szCs w:val="2"/>
          <w:rtl/>
        </w:rPr>
      </w:pPr>
      <w:r w:rsidRPr="00B43993">
        <w:rPr>
          <w:rFonts w:ascii="David" w:hAnsi="David"/>
          <w:color w:val="FFFFFF"/>
          <w:sz w:val="2"/>
          <w:szCs w:val="2"/>
          <w:rtl/>
        </w:rPr>
        <w:t>54678313</w:t>
      </w:r>
    </w:p>
    <w:p w14:paraId="7FF5290F" w14:textId="77777777" w:rsidR="0046296C" w:rsidRPr="0046296C" w:rsidRDefault="0046296C" w:rsidP="0046296C">
      <w:pPr>
        <w:keepNext/>
        <w:rPr>
          <w:rFonts w:ascii="David" w:hAnsi="David"/>
          <w:color w:val="000000"/>
          <w:sz w:val="22"/>
          <w:szCs w:val="22"/>
          <w:rtl/>
        </w:rPr>
      </w:pPr>
      <w:r w:rsidRPr="0046296C">
        <w:rPr>
          <w:rFonts w:ascii="David" w:hAnsi="David"/>
          <w:color w:val="000000"/>
          <w:sz w:val="22"/>
          <w:szCs w:val="22"/>
          <w:rtl/>
        </w:rPr>
        <w:t>דוד שאול גבאי ריכטר 54678313</w:t>
      </w:r>
    </w:p>
    <w:p w14:paraId="7B352612" w14:textId="77777777" w:rsidR="0046296C" w:rsidRDefault="0046296C" w:rsidP="0046296C">
      <w:r w:rsidRPr="0046296C">
        <w:rPr>
          <w:color w:val="000000"/>
          <w:rtl/>
        </w:rPr>
        <w:t>נוסח מסמך זה כפוף לשינויי ניסוח ועריכה</w:t>
      </w:r>
    </w:p>
    <w:p w14:paraId="41028A08" w14:textId="77777777" w:rsidR="0046296C" w:rsidRDefault="0046296C" w:rsidP="0046296C">
      <w:pPr>
        <w:rPr>
          <w:rtl/>
        </w:rPr>
      </w:pPr>
    </w:p>
    <w:p w14:paraId="19763ABD" w14:textId="77777777" w:rsidR="0046296C" w:rsidRDefault="0046296C" w:rsidP="0046296C">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67B8125D" w14:textId="77777777" w:rsidR="00B43993" w:rsidRPr="00B43993" w:rsidRDefault="00B43993" w:rsidP="00B43993">
      <w:pPr>
        <w:keepNext/>
        <w:rPr>
          <w:rFonts w:ascii="David" w:hAnsi="David"/>
          <w:color w:val="000000"/>
          <w:sz w:val="22"/>
          <w:szCs w:val="22"/>
          <w:rtl/>
        </w:rPr>
      </w:pPr>
    </w:p>
    <w:p w14:paraId="1BA57259" w14:textId="77777777" w:rsidR="0046296C" w:rsidRPr="0046296C" w:rsidRDefault="0046296C" w:rsidP="00B43993">
      <w:pPr>
        <w:rPr>
          <w:color w:val="0000FF"/>
          <w:u w:val="single"/>
        </w:rPr>
      </w:pPr>
    </w:p>
    <w:sectPr w:rsidR="0046296C" w:rsidRPr="0046296C" w:rsidSect="00B43993">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5F233" w14:textId="77777777" w:rsidR="00D10DF5" w:rsidRDefault="00D10DF5" w:rsidP="00EB1DB7">
      <w:r>
        <w:separator/>
      </w:r>
    </w:p>
  </w:endnote>
  <w:endnote w:type="continuationSeparator" w:id="0">
    <w:p w14:paraId="46FB6529" w14:textId="77777777" w:rsidR="00D10DF5" w:rsidRDefault="00D10DF5" w:rsidP="00EB1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D1E96" w14:textId="77777777" w:rsidR="00B43993" w:rsidRDefault="00B43993" w:rsidP="00B4399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7CB3B4F" w14:textId="77777777" w:rsidR="00772028" w:rsidRPr="00B43993" w:rsidRDefault="00B43993" w:rsidP="00B43993">
    <w:pPr>
      <w:pStyle w:val="a5"/>
      <w:pBdr>
        <w:top w:val="single" w:sz="4" w:space="1" w:color="auto"/>
        <w:between w:val="single" w:sz="4" w:space="0" w:color="auto"/>
      </w:pBdr>
      <w:spacing w:after="60"/>
      <w:jc w:val="center"/>
      <w:rPr>
        <w:rFonts w:ascii="FrankRuehl" w:hAnsi="FrankRuehl" w:cs="FrankRuehl"/>
        <w:color w:val="000000"/>
      </w:rPr>
    </w:pPr>
    <w:r w:rsidRPr="00B4399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47B30" w14:textId="77777777" w:rsidR="00B43993" w:rsidRDefault="00B43993" w:rsidP="00B4399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16DBF">
      <w:rPr>
        <w:rFonts w:ascii="FrankRuehl" w:hAnsi="FrankRuehl" w:cs="FrankRuehl"/>
        <w:noProof/>
        <w:rtl/>
      </w:rPr>
      <w:t>1</w:t>
    </w:r>
    <w:r>
      <w:rPr>
        <w:rFonts w:ascii="FrankRuehl" w:hAnsi="FrankRuehl" w:cs="FrankRuehl"/>
        <w:rtl/>
      </w:rPr>
      <w:fldChar w:fldCharType="end"/>
    </w:r>
  </w:p>
  <w:p w14:paraId="1DA6D9E6" w14:textId="77777777" w:rsidR="00772028" w:rsidRPr="00B43993" w:rsidRDefault="00B43993" w:rsidP="00B43993">
    <w:pPr>
      <w:pStyle w:val="a5"/>
      <w:pBdr>
        <w:top w:val="single" w:sz="4" w:space="1" w:color="auto"/>
        <w:between w:val="single" w:sz="4" w:space="0" w:color="auto"/>
      </w:pBdr>
      <w:spacing w:after="60"/>
      <w:jc w:val="center"/>
      <w:rPr>
        <w:rFonts w:ascii="FrankRuehl" w:hAnsi="FrankRuehl" w:cs="FrankRuehl"/>
        <w:color w:val="000000"/>
      </w:rPr>
    </w:pPr>
    <w:r w:rsidRPr="00B43993">
      <w:rPr>
        <w:rFonts w:ascii="FrankRuehl" w:hAnsi="FrankRuehl" w:cs="FrankRuehl"/>
        <w:color w:val="000000"/>
      </w:rPr>
      <w:pict w14:anchorId="78478C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85ECAC" w14:textId="77777777" w:rsidR="00D10DF5" w:rsidRDefault="00D10DF5" w:rsidP="00EB1DB7">
      <w:r>
        <w:separator/>
      </w:r>
    </w:p>
  </w:footnote>
  <w:footnote w:type="continuationSeparator" w:id="0">
    <w:p w14:paraId="188BE19D" w14:textId="77777777" w:rsidR="00D10DF5" w:rsidRDefault="00D10DF5" w:rsidP="00EB1D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003FA" w14:textId="77777777" w:rsidR="00772028" w:rsidRPr="00B43993" w:rsidRDefault="00B43993" w:rsidP="00B4399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45961-07-17</w:t>
    </w:r>
    <w:r>
      <w:rPr>
        <w:rFonts w:ascii="David" w:hAnsi="David"/>
        <w:color w:val="000000"/>
        <w:sz w:val="22"/>
        <w:szCs w:val="22"/>
        <w:rtl/>
      </w:rPr>
      <w:tab/>
      <w:t xml:space="preserve"> מדינת ישראל נ' נאגי נתנאל נסים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17C9D" w14:textId="77777777" w:rsidR="00772028" w:rsidRPr="00B43993" w:rsidRDefault="00B43993" w:rsidP="00B4399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45961-07-17</w:t>
    </w:r>
    <w:r>
      <w:rPr>
        <w:rFonts w:ascii="David" w:hAnsi="David"/>
        <w:color w:val="000000"/>
        <w:sz w:val="22"/>
        <w:szCs w:val="22"/>
        <w:rtl/>
      </w:rPr>
      <w:tab/>
      <w:t xml:space="preserve"> מדינת ישראל נ' נאגי נתנאל נסים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698176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7397D"/>
    <w:rsid w:val="000621E4"/>
    <w:rsid w:val="003E3319"/>
    <w:rsid w:val="0044208B"/>
    <w:rsid w:val="0046296C"/>
    <w:rsid w:val="0067397D"/>
    <w:rsid w:val="00772028"/>
    <w:rsid w:val="00B43993"/>
    <w:rsid w:val="00D10DF5"/>
    <w:rsid w:val="00EB1DB7"/>
    <w:rsid w:val="00EE5D7E"/>
    <w:rsid w:val="00F16DBF"/>
    <w:rsid w:val="00F801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D56D754"/>
  <w15:chartTrackingRefBased/>
  <w15:docId w15:val="{EC8C77E9-2AC1-4B73-B492-58E5E87A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7397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7397D"/>
    <w:pPr>
      <w:tabs>
        <w:tab w:val="center" w:pos="4153"/>
        <w:tab w:val="right" w:pos="8306"/>
      </w:tabs>
    </w:pPr>
  </w:style>
  <w:style w:type="character" w:customStyle="1" w:styleId="a4">
    <w:name w:val="כותרת עליונה תו"/>
    <w:link w:val="a3"/>
    <w:rsid w:val="0067397D"/>
    <w:rPr>
      <w:rFonts w:ascii="Times New Roman" w:eastAsia="Times New Roman" w:hAnsi="Times New Roman" w:cs="David"/>
      <w:sz w:val="24"/>
      <w:szCs w:val="24"/>
    </w:rPr>
  </w:style>
  <w:style w:type="paragraph" w:styleId="a5">
    <w:name w:val="footer"/>
    <w:basedOn w:val="a"/>
    <w:link w:val="a6"/>
    <w:rsid w:val="0067397D"/>
    <w:pPr>
      <w:tabs>
        <w:tab w:val="center" w:pos="4153"/>
        <w:tab w:val="right" w:pos="8306"/>
      </w:tabs>
    </w:pPr>
  </w:style>
  <w:style w:type="character" w:customStyle="1" w:styleId="a6">
    <w:name w:val="כותרת תחתונה תו"/>
    <w:link w:val="a5"/>
    <w:rsid w:val="0067397D"/>
    <w:rPr>
      <w:rFonts w:ascii="Times New Roman" w:eastAsia="Times New Roman" w:hAnsi="Times New Roman" w:cs="David"/>
      <w:sz w:val="24"/>
      <w:szCs w:val="24"/>
    </w:rPr>
  </w:style>
  <w:style w:type="table" w:styleId="a7">
    <w:name w:val="Table Grid"/>
    <w:basedOn w:val="a1"/>
    <w:rsid w:val="0067397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7397D"/>
  </w:style>
  <w:style w:type="paragraph" w:styleId="a9">
    <w:name w:val="Balloon Text"/>
    <w:basedOn w:val="a"/>
    <w:link w:val="aa"/>
    <w:rsid w:val="0067397D"/>
    <w:rPr>
      <w:rFonts w:ascii="Tahoma" w:hAnsi="Tahoma" w:cs="Tahoma"/>
      <w:sz w:val="16"/>
      <w:szCs w:val="16"/>
    </w:rPr>
  </w:style>
  <w:style w:type="character" w:customStyle="1" w:styleId="aa">
    <w:name w:val="טקסט בלונים תו"/>
    <w:link w:val="a9"/>
    <w:rsid w:val="0067397D"/>
    <w:rPr>
      <w:rFonts w:ascii="Tahoma" w:eastAsia="Times New Roman" w:hAnsi="Tahoma" w:cs="Tahoma"/>
      <w:sz w:val="16"/>
      <w:szCs w:val="16"/>
    </w:rPr>
  </w:style>
  <w:style w:type="character" w:styleId="Hyperlink">
    <w:name w:val="Hyperlink"/>
    <w:rsid w:val="004629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19a" TargetMode="External"/><Relationship Id="rId18" Type="http://schemas.openxmlformats.org/officeDocument/2006/relationships/hyperlink" Target="http://www.nevo.co.il/case/20724222" TargetMode="External"/><Relationship Id="rId26"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yperlink" Target="http://www.nevo.co.il/case/13093721"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40i" TargetMode="External"/><Relationship Id="rId20" Type="http://schemas.openxmlformats.org/officeDocument/2006/relationships/hyperlink" Target="http://www.nevo.co.il/case/21827077"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law/7030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16968058" TargetMode="External"/><Relationship Id="rId23" Type="http://schemas.openxmlformats.org/officeDocument/2006/relationships/hyperlink" Target="http://www.nevo.co.il/law/70301/40ja" TargetMode="External"/><Relationship Id="rId28"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hyperlink" Target="http://www.nevo.co.il/case/18809103"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1699800"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1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1937</Words>
  <Characters>9687</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11601</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7995492</vt:i4>
      </vt:variant>
      <vt:variant>
        <vt:i4>57</vt:i4>
      </vt:variant>
      <vt:variant>
        <vt:i4>0</vt:i4>
      </vt:variant>
      <vt:variant>
        <vt:i4>5</vt:i4>
      </vt:variant>
      <vt:variant>
        <vt:lpwstr>http://www.nevo.co.il/law/70301</vt:lpwstr>
      </vt:variant>
      <vt:variant>
        <vt:lpwstr/>
      </vt:variant>
      <vt:variant>
        <vt:i4>7995492</vt:i4>
      </vt:variant>
      <vt:variant>
        <vt:i4>54</vt:i4>
      </vt:variant>
      <vt:variant>
        <vt:i4>0</vt:i4>
      </vt:variant>
      <vt:variant>
        <vt:i4>5</vt:i4>
      </vt:variant>
      <vt:variant>
        <vt:lpwstr>http://www.nevo.co.il/law/70301</vt:lpwstr>
      </vt:variant>
      <vt:variant>
        <vt:lpwstr/>
      </vt:variant>
      <vt:variant>
        <vt:i4>7995492</vt:i4>
      </vt:variant>
      <vt:variant>
        <vt:i4>51</vt:i4>
      </vt:variant>
      <vt:variant>
        <vt:i4>0</vt:i4>
      </vt:variant>
      <vt:variant>
        <vt:i4>5</vt:i4>
      </vt:variant>
      <vt:variant>
        <vt:lpwstr>http://www.nevo.co.il/law/70301</vt:lpwstr>
      </vt:variant>
      <vt:variant>
        <vt:lpwstr/>
      </vt:variant>
      <vt:variant>
        <vt:i4>262155</vt:i4>
      </vt:variant>
      <vt:variant>
        <vt:i4>48</vt:i4>
      </vt:variant>
      <vt:variant>
        <vt:i4>0</vt:i4>
      </vt:variant>
      <vt:variant>
        <vt:i4>5</vt:i4>
      </vt:variant>
      <vt:variant>
        <vt:lpwstr>http://www.nevo.co.il/law/70301/40ja</vt:lpwstr>
      </vt:variant>
      <vt:variant>
        <vt:lpwstr/>
      </vt:variant>
      <vt:variant>
        <vt:i4>3997812</vt:i4>
      </vt:variant>
      <vt:variant>
        <vt:i4>45</vt:i4>
      </vt:variant>
      <vt:variant>
        <vt:i4>0</vt:i4>
      </vt:variant>
      <vt:variant>
        <vt:i4>5</vt:i4>
      </vt:variant>
      <vt:variant>
        <vt:lpwstr>http://www.nevo.co.il/case/21699800</vt:lpwstr>
      </vt:variant>
      <vt:variant>
        <vt:lpwstr/>
      </vt:variant>
      <vt:variant>
        <vt:i4>3145849</vt:i4>
      </vt:variant>
      <vt:variant>
        <vt:i4>42</vt:i4>
      </vt:variant>
      <vt:variant>
        <vt:i4>0</vt:i4>
      </vt:variant>
      <vt:variant>
        <vt:i4>5</vt:i4>
      </vt:variant>
      <vt:variant>
        <vt:lpwstr>http://www.nevo.co.il/case/13093721</vt:lpwstr>
      </vt:variant>
      <vt:variant>
        <vt:lpwstr/>
      </vt:variant>
      <vt:variant>
        <vt:i4>3801207</vt:i4>
      </vt:variant>
      <vt:variant>
        <vt:i4>39</vt:i4>
      </vt:variant>
      <vt:variant>
        <vt:i4>0</vt:i4>
      </vt:variant>
      <vt:variant>
        <vt:i4>5</vt:i4>
      </vt:variant>
      <vt:variant>
        <vt:lpwstr>http://www.nevo.co.il/case/21827077</vt:lpwstr>
      </vt:variant>
      <vt:variant>
        <vt:lpwstr/>
      </vt:variant>
      <vt:variant>
        <vt:i4>3145853</vt:i4>
      </vt:variant>
      <vt:variant>
        <vt:i4>36</vt:i4>
      </vt:variant>
      <vt:variant>
        <vt:i4>0</vt:i4>
      </vt:variant>
      <vt:variant>
        <vt:i4>5</vt:i4>
      </vt:variant>
      <vt:variant>
        <vt:lpwstr>http://www.nevo.co.il/case/18809103</vt:lpwstr>
      </vt:variant>
      <vt:variant>
        <vt:lpwstr/>
      </vt:variant>
      <vt:variant>
        <vt:i4>3342452</vt:i4>
      </vt:variant>
      <vt:variant>
        <vt:i4>33</vt:i4>
      </vt:variant>
      <vt:variant>
        <vt:i4>0</vt:i4>
      </vt:variant>
      <vt:variant>
        <vt:i4>5</vt:i4>
      </vt:variant>
      <vt:variant>
        <vt:lpwstr>http://www.nevo.co.il/case/20724222</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3473524</vt:i4>
      </vt:variant>
      <vt:variant>
        <vt:i4>24</vt:i4>
      </vt:variant>
      <vt:variant>
        <vt:i4>0</vt:i4>
      </vt:variant>
      <vt:variant>
        <vt:i4>5</vt:i4>
      </vt:variant>
      <vt:variant>
        <vt:lpwstr>http://www.nevo.co.il/case/16968058</vt:lpwstr>
      </vt:variant>
      <vt:variant>
        <vt:lpwstr/>
      </vt:variant>
      <vt:variant>
        <vt:i4>8257637</vt:i4>
      </vt:variant>
      <vt:variant>
        <vt:i4>21</vt:i4>
      </vt:variant>
      <vt:variant>
        <vt:i4>0</vt:i4>
      </vt:variant>
      <vt:variant>
        <vt:i4>5</vt:i4>
      </vt:variant>
      <vt:variant>
        <vt:lpwstr>http://www.nevo.co.il/law/4216</vt:lpwstr>
      </vt:variant>
      <vt:variant>
        <vt:lpwstr/>
      </vt:variant>
      <vt:variant>
        <vt:i4>5046344</vt:i4>
      </vt:variant>
      <vt:variant>
        <vt:i4>18</vt:i4>
      </vt:variant>
      <vt:variant>
        <vt:i4>0</vt:i4>
      </vt:variant>
      <vt:variant>
        <vt:i4>5</vt:i4>
      </vt:variant>
      <vt:variant>
        <vt:lpwstr>http://www.nevo.co.il/law/4216/13;19a</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2025-04-22T23:29:00Z</dcterms:created>
  <dcterms:modified xsi:type="dcterms:W3CDTF">2025-04-22T23:29:00Z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45961</vt:lpwstr>
  </property>
  <property fmtid="{D5CDD505-2E9C-101B-9397-08002B2CF9AE}" pid="6" name="NEWPARTB">
    <vt:lpwstr>07</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נאגי נתנאל נסים</vt:lpwstr>
  </property>
  <property fmtid="{D5CDD505-2E9C-101B-9397-08002B2CF9AE}" pid="10" name="LAWYER">
    <vt:lpwstr>עירוני;עמון;רייכבך</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20181018</vt:lpwstr>
  </property>
  <property fmtid="{D5CDD505-2E9C-101B-9397-08002B2CF9AE}" pid="14" name="TYPE_N_DATE">
    <vt:lpwstr>38020181018</vt:lpwstr>
  </property>
  <property fmtid="{D5CDD505-2E9C-101B-9397-08002B2CF9AE}" pid="15" name="CASESLISTTMP1">
    <vt:lpwstr>16968058;20724222;18809103;21827077;13093721;21699800</vt:lpwstr>
  </property>
  <property fmtid="{D5CDD505-2E9C-101B-9397-08002B2CF9AE}" pid="16" name="WORDNUMPAGES">
    <vt:lpwstr>6</vt:lpwstr>
  </property>
  <property fmtid="{D5CDD505-2E9C-101B-9397-08002B2CF9AE}" pid="17" name="TYPE_ABS_DATE">
    <vt:lpwstr>380020181018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vt:lpwstr>
  </property>
  <property fmtid="{D5CDD505-2E9C-101B-9397-08002B2CF9AE}" pid="37" name="LAWLISTTMP2">
    <vt:lpwstr>70301/040i;40ja</vt:lpwstr>
  </property>
</Properties>
</file>